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9FA45">
      <w:pPr>
        <w:pStyle w:val="18"/>
        <w:bidi w:val="0"/>
        <w:rPr>
          <w:rFonts w:hint="default"/>
          <w:color w:val="auto"/>
          <w:highlight w:val="none"/>
          <w:lang w:val="en-US"/>
        </w:rPr>
      </w:pPr>
    </w:p>
    <w:p w14:paraId="7A6004F2">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outlineLvl w:val="0"/>
        <w:rPr>
          <w:rFonts w:hint="eastAsia" w:ascii="宋体" w:hAnsi="宋体" w:eastAsia="宋体" w:cs="宋体"/>
          <w:b w:val="0"/>
          <w:bCs/>
          <w:color w:val="auto"/>
          <w:sz w:val="36"/>
          <w:szCs w:val="36"/>
          <w:highlight w:val="none"/>
        </w:rPr>
      </w:pPr>
    </w:p>
    <w:p w14:paraId="145E28E2">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outlineLvl w:val="0"/>
        <w:rPr>
          <w:rFonts w:hint="eastAsia" w:ascii="宋体" w:hAnsi="宋体" w:eastAsia="宋体" w:cs="宋体"/>
          <w:b w:val="0"/>
          <w:bCs/>
          <w:color w:val="auto"/>
          <w:sz w:val="36"/>
          <w:szCs w:val="36"/>
          <w:highlight w:val="none"/>
        </w:rPr>
      </w:pPr>
    </w:p>
    <w:p w14:paraId="0F527946">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outlineLvl w:val="0"/>
        <w:rPr>
          <w:rFonts w:hint="eastAsia" w:ascii="宋体" w:hAnsi="宋体" w:eastAsia="宋体" w:cs="宋体"/>
          <w:b w:val="0"/>
          <w:bCs/>
          <w:color w:val="auto"/>
          <w:sz w:val="36"/>
          <w:szCs w:val="36"/>
          <w:highlight w:val="none"/>
        </w:rPr>
      </w:pPr>
    </w:p>
    <w:p w14:paraId="63FC57AC">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outlineLvl w:val="0"/>
        <w:rPr>
          <w:rFonts w:hint="eastAsia" w:ascii="宋体" w:hAnsi="宋体" w:eastAsia="宋体" w:cs="宋体"/>
          <w:b w:val="0"/>
          <w:bCs/>
          <w:color w:val="auto"/>
          <w:sz w:val="36"/>
          <w:szCs w:val="36"/>
          <w:highlight w:val="none"/>
        </w:rPr>
      </w:pPr>
    </w:p>
    <w:p w14:paraId="0563B2AF">
      <w:pPr>
        <w:keepNext w:val="0"/>
        <w:keepLines w:val="0"/>
        <w:pageBreakBefore w:val="0"/>
        <w:widowControl w:val="0"/>
        <w:shd w:val="clear" w:color="auto" w:fill="auto"/>
        <w:kinsoku/>
        <w:wordWrap/>
        <w:overflowPunct/>
        <w:topLinePunct/>
        <w:autoSpaceDE/>
        <w:autoSpaceDN/>
        <w:bidi w:val="0"/>
        <w:adjustRightInd w:val="0"/>
        <w:snapToGrid w:val="0"/>
        <w:spacing w:line="360" w:lineRule="auto"/>
        <w:jc w:val="center"/>
        <w:textAlignment w:val="auto"/>
        <w:outlineLvl w:val="0"/>
        <w:rPr>
          <w:rFonts w:hint="eastAsia" w:ascii="宋体" w:hAnsi="宋体" w:cs="宋体"/>
          <w:b/>
          <w:color w:val="auto"/>
          <w:sz w:val="72"/>
          <w:szCs w:val="72"/>
          <w:highlight w:val="none"/>
        </w:rPr>
      </w:pPr>
      <w:r>
        <w:rPr>
          <w:rFonts w:hint="eastAsia" w:ascii="宋体" w:hAnsi="宋体" w:cs="宋体"/>
          <w:b/>
          <w:color w:val="auto"/>
          <w:sz w:val="72"/>
          <w:szCs w:val="72"/>
          <w:highlight w:val="none"/>
        </w:rPr>
        <w:t>建设项目环境影响报告表</w:t>
      </w:r>
    </w:p>
    <w:p w14:paraId="43C57474">
      <w:pPr>
        <w:keepNext w:val="0"/>
        <w:keepLines w:val="0"/>
        <w:pageBreakBefore w:val="0"/>
        <w:widowControl w:val="0"/>
        <w:shd w:val="clear" w:color="auto" w:fill="auto"/>
        <w:kinsoku/>
        <w:wordWrap/>
        <w:overflowPunct/>
        <w:topLinePunct/>
        <w:autoSpaceDE/>
        <w:autoSpaceDN/>
        <w:bidi w:val="0"/>
        <w:adjustRightInd w:val="0"/>
        <w:snapToGrid w:val="0"/>
        <w:spacing w:before="192" w:beforeLines="80" w:line="360" w:lineRule="auto"/>
        <w:jc w:val="center"/>
        <w:textAlignment w:val="auto"/>
        <w:rPr>
          <w:bCs/>
          <w:color w:val="auto"/>
          <w:sz w:val="48"/>
          <w:szCs w:val="48"/>
          <w:highlight w:val="none"/>
        </w:rPr>
      </w:pPr>
      <w:r>
        <w:rPr>
          <w:bCs/>
          <w:color w:val="auto"/>
          <w:sz w:val="48"/>
          <w:szCs w:val="48"/>
          <w:highlight w:val="none"/>
        </w:rPr>
        <w:t>（污染影响类）</w:t>
      </w:r>
    </w:p>
    <w:p w14:paraId="0DAD82EA">
      <w:pPr>
        <w:bidi w:val="0"/>
        <w:rPr>
          <w:rFonts w:hint="eastAsia"/>
          <w:color w:val="auto"/>
          <w:highlight w:val="none"/>
        </w:rPr>
      </w:pPr>
    </w:p>
    <w:p w14:paraId="51D4442B">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p w14:paraId="5F96D66C">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p w14:paraId="0EF0F92A">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p w14:paraId="3A00E5FA">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p w14:paraId="2BE0EA25">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tbl>
      <w:tblPr>
        <w:tblStyle w:val="26"/>
        <w:tblW w:w="9298" w:type="dxa"/>
        <w:jc w:val="center"/>
        <w:tblLayout w:type="autofit"/>
        <w:tblCellMar>
          <w:top w:w="0" w:type="dxa"/>
          <w:left w:w="28" w:type="dxa"/>
          <w:bottom w:w="0" w:type="dxa"/>
          <w:right w:w="28" w:type="dxa"/>
        </w:tblCellMar>
      </w:tblPr>
      <w:tblGrid>
        <w:gridCol w:w="1701"/>
        <w:gridCol w:w="7597"/>
      </w:tblGrid>
      <w:tr w14:paraId="47634BEB">
        <w:trPr>
          <w:trHeight w:val="1247" w:hRule="atLeast"/>
          <w:jc w:val="center"/>
        </w:trPr>
        <w:tc>
          <w:tcPr>
            <w:tcW w:w="1701" w:type="dxa"/>
            <w:noWrap w:val="0"/>
            <w:vAlign w:val="center"/>
          </w:tcPr>
          <w:p w14:paraId="40DBACED">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color w:val="auto"/>
                <w:sz w:val="36"/>
                <w:szCs w:val="36"/>
                <w:highlight w:val="none"/>
                <w:u w:val="none"/>
              </w:rPr>
            </w:pPr>
            <w:bookmarkStart w:id="0" w:name="_Hlk57884087"/>
            <w:r>
              <w:rPr>
                <w:rFonts w:hint="default"/>
                <w:b/>
                <w:bCs/>
                <w:color w:val="auto"/>
                <w:sz w:val="36"/>
                <w:szCs w:val="36"/>
                <w:highlight w:val="none"/>
                <w:u w:val="none"/>
              </w:rPr>
              <w:t>项目名称</w:t>
            </w:r>
          </w:p>
        </w:tc>
        <w:tc>
          <w:tcPr>
            <w:tcW w:w="7597" w:type="dxa"/>
            <w:noWrap w:val="0"/>
            <w:vAlign w:val="center"/>
          </w:tcPr>
          <w:p w14:paraId="155D994B">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360" w:leftChars="0" w:right="0" w:rightChars="0" w:hanging="360" w:hangingChars="100"/>
              <w:jc w:val="both"/>
              <w:textAlignment w:val="auto"/>
              <w:rPr>
                <w:rFonts w:hint="default"/>
                <w:b w:val="0"/>
                <w:bCs w:val="0"/>
                <w:color w:val="auto"/>
                <w:sz w:val="36"/>
                <w:szCs w:val="36"/>
                <w:highlight w:val="none"/>
                <w:u w:val="none"/>
                <w:lang w:val="en-US"/>
              </w:rPr>
            </w:pPr>
            <w:r>
              <w:rPr>
                <w:rFonts w:hint="default"/>
                <w:b w:val="0"/>
                <w:bCs w:val="0"/>
                <w:color w:val="auto"/>
                <w:sz w:val="36"/>
                <w:szCs w:val="36"/>
                <w:highlight w:val="none"/>
                <w:u w:val="none"/>
              </w:rPr>
              <w:t>：</w:t>
            </w:r>
            <w:r>
              <w:rPr>
                <w:rFonts w:hint="eastAsia" w:ascii="Times New Roman" w:eastAsia="宋体"/>
                <w:b w:val="0"/>
                <w:bCs w:val="0"/>
                <w:color w:val="auto"/>
                <w:sz w:val="36"/>
                <w:szCs w:val="36"/>
                <w:highlight w:val="none"/>
                <w:u w:val="single"/>
                <w:lang w:val="en-US" w:eastAsia="zh-CN"/>
              </w:rPr>
              <w:t>安徽清鑫纺织有限公司</w:t>
            </w:r>
            <w:r>
              <w:rPr>
                <w:rFonts w:hint="eastAsia"/>
                <w:b w:val="0"/>
                <w:bCs w:val="0"/>
                <w:color w:val="auto"/>
                <w:sz w:val="36"/>
                <w:szCs w:val="36"/>
                <w:highlight w:val="none"/>
                <w:u w:val="single"/>
                <w:lang w:val="en-US" w:eastAsia="zh-CN"/>
              </w:rPr>
              <w:t xml:space="preserve">年产8000万米汽车内饰、家居服饰高端面料智能制造项目        </w:t>
            </w:r>
          </w:p>
        </w:tc>
      </w:tr>
      <w:tr w14:paraId="7245A070">
        <w:tblPrEx>
          <w:tblCellMar>
            <w:top w:w="0" w:type="dxa"/>
            <w:left w:w="28" w:type="dxa"/>
            <w:bottom w:w="0" w:type="dxa"/>
            <w:right w:w="28" w:type="dxa"/>
          </w:tblCellMar>
        </w:tblPrEx>
        <w:trPr>
          <w:trHeight w:val="1247" w:hRule="atLeast"/>
          <w:jc w:val="center"/>
        </w:trPr>
        <w:tc>
          <w:tcPr>
            <w:tcW w:w="1701" w:type="dxa"/>
            <w:noWrap w:val="0"/>
            <w:vAlign w:val="center"/>
          </w:tcPr>
          <w:p w14:paraId="0F2FBC31">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color w:val="auto"/>
                <w:sz w:val="36"/>
                <w:szCs w:val="36"/>
                <w:highlight w:val="none"/>
                <w:u w:val="none"/>
              </w:rPr>
            </w:pPr>
            <w:r>
              <w:rPr>
                <w:rFonts w:hint="default"/>
                <w:b/>
                <w:bCs/>
                <w:color w:val="auto"/>
                <w:sz w:val="36"/>
                <w:szCs w:val="36"/>
                <w:highlight w:val="none"/>
                <w:u w:val="none"/>
              </w:rPr>
              <w:t>建设单位</w:t>
            </w:r>
            <w:r>
              <w:rPr>
                <w:rFonts w:hint="eastAsia"/>
                <w:b w:val="0"/>
                <w:bCs w:val="0"/>
                <w:color w:val="auto"/>
                <w:sz w:val="32"/>
                <w:szCs w:val="32"/>
                <w:highlight w:val="none"/>
                <w:u w:val="none"/>
              </w:rPr>
              <w:t>（</w:t>
            </w:r>
            <w:r>
              <w:rPr>
                <w:rFonts w:hint="default"/>
                <w:b w:val="0"/>
                <w:bCs w:val="0"/>
                <w:color w:val="auto"/>
                <w:sz w:val="32"/>
                <w:szCs w:val="32"/>
                <w:highlight w:val="none"/>
                <w:u w:val="none"/>
              </w:rPr>
              <w:t>盖章</w:t>
            </w:r>
            <w:r>
              <w:rPr>
                <w:rFonts w:hint="eastAsia"/>
                <w:b w:val="0"/>
                <w:bCs w:val="0"/>
                <w:color w:val="auto"/>
                <w:sz w:val="32"/>
                <w:szCs w:val="32"/>
                <w:highlight w:val="none"/>
                <w:u w:val="none"/>
              </w:rPr>
              <w:t>）</w:t>
            </w:r>
          </w:p>
        </w:tc>
        <w:tc>
          <w:tcPr>
            <w:tcW w:w="7597" w:type="dxa"/>
            <w:noWrap w:val="0"/>
            <w:vAlign w:val="center"/>
          </w:tcPr>
          <w:p w14:paraId="1740C698">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left"/>
              <w:textAlignment w:val="auto"/>
              <w:rPr>
                <w:rFonts w:hint="default"/>
                <w:b w:val="0"/>
                <w:bCs w:val="0"/>
                <w:color w:val="auto"/>
                <w:sz w:val="36"/>
                <w:szCs w:val="36"/>
                <w:highlight w:val="none"/>
                <w:u w:val="none"/>
                <w:lang w:val="en-US"/>
              </w:rPr>
            </w:pPr>
            <w:r>
              <w:rPr>
                <w:rFonts w:hint="default"/>
                <w:b w:val="0"/>
                <w:bCs w:val="0"/>
                <w:color w:val="auto"/>
                <w:sz w:val="36"/>
                <w:szCs w:val="36"/>
                <w:highlight w:val="none"/>
                <w:u w:val="none"/>
              </w:rPr>
              <w:t>：</w:t>
            </w:r>
            <w:r>
              <w:rPr>
                <w:rFonts w:hint="eastAsia"/>
                <w:b w:val="0"/>
                <w:bCs w:val="0"/>
                <w:color w:val="auto"/>
                <w:sz w:val="36"/>
                <w:szCs w:val="36"/>
                <w:highlight w:val="none"/>
                <w:u w:val="none"/>
                <w:lang w:val="en-US" w:eastAsia="zh-CN"/>
              </w:rPr>
              <w:t xml:space="preserve"> </w:t>
            </w:r>
            <w:r>
              <w:rPr>
                <w:rFonts w:hint="eastAsia"/>
                <w:b w:val="0"/>
                <w:bCs w:val="0"/>
                <w:color w:val="auto"/>
                <w:sz w:val="36"/>
                <w:szCs w:val="36"/>
                <w:highlight w:val="none"/>
                <w:u w:val="single"/>
                <w:lang w:val="en-US" w:eastAsia="zh-CN"/>
              </w:rPr>
              <w:t xml:space="preserve">         安徽清鑫纺织有限公司                    </w:t>
            </w:r>
          </w:p>
        </w:tc>
      </w:tr>
      <w:tr w14:paraId="421B77FB">
        <w:tblPrEx>
          <w:tblCellMar>
            <w:top w:w="0" w:type="dxa"/>
            <w:left w:w="28" w:type="dxa"/>
            <w:bottom w:w="0" w:type="dxa"/>
            <w:right w:w="28" w:type="dxa"/>
          </w:tblCellMar>
        </w:tblPrEx>
        <w:trPr>
          <w:trHeight w:val="850" w:hRule="atLeast"/>
          <w:jc w:val="center"/>
        </w:trPr>
        <w:tc>
          <w:tcPr>
            <w:tcW w:w="1701" w:type="dxa"/>
            <w:noWrap w:val="0"/>
            <w:vAlign w:val="center"/>
          </w:tcPr>
          <w:p w14:paraId="2E957AFD">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color w:val="auto"/>
                <w:sz w:val="36"/>
                <w:szCs w:val="36"/>
                <w:highlight w:val="none"/>
                <w:u w:val="none"/>
              </w:rPr>
            </w:pPr>
            <w:r>
              <w:rPr>
                <w:rFonts w:hint="default"/>
                <w:b/>
                <w:bCs/>
                <w:color w:val="auto"/>
                <w:sz w:val="36"/>
                <w:szCs w:val="36"/>
                <w:highlight w:val="none"/>
                <w:u w:val="none"/>
              </w:rPr>
              <w:t>编制日期</w:t>
            </w:r>
          </w:p>
        </w:tc>
        <w:tc>
          <w:tcPr>
            <w:tcW w:w="7597" w:type="dxa"/>
            <w:noWrap w:val="0"/>
            <w:vAlign w:val="center"/>
          </w:tcPr>
          <w:p w14:paraId="19FC62EA">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left"/>
              <w:textAlignment w:val="auto"/>
              <w:rPr>
                <w:rFonts w:hint="default" w:eastAsia="宋体"/>
                <w:b w:val="0"/>
                <w:bCs w:val="0"/>
                <w:color w:val="auto"/>
                <w:sz w:val="36"/>
                <w:szCs w:val="36"/>
                <w:highlight w:val="none"/>
                <w:u w:val="none"/>
                <w:lang w:val="en-US" w:eastAsia="zh-CN"/>
              </w:rPr>
            </w:pPr>
            <w:r>
              <w:rPr>
                <w:rFonts w:hint="default"/>
                <w:b w:val="0"/>
                <w:bCs w:val="0"/>
                <w:color w:val="auto"/>
                <w:sz w:val="36"/>
                <w:szCs w:val="36"/>
                <w:highlight w:val="none"/>
                <w:u w:val="none"/>
              </w:rPr>
              <w:t>：</w:t>
            </w:r>
            <w:r>
              <w:rPr>
                <w:rFonts w:hint="eastAsia"/>
                <w:b w:val="0"/>
                <w:bCs w:val="0"/>
                <w:color w:val="auto"/>
                <w:sz w:val="36"/>
                <w:szCs w:val="36"/>
                <w:highlight w:val="none"/>
                <w:u w:val="single"/>
                <w:lang w:val="en-US" w:eastAsia="zh-CN"/>
              </w:rPr>
              <w:t xml:space="preserve">            </w:t>
            </w:r>
            <w:r>
              <w:rPr>
                <w:rFonts w:hint="default"/>
                <w:b w:val="0"/>
                <w:bCs w:val="0"/>
                <w:color w:val="auto"/>
                <w:sz w:val="36"/>
                <w:szCs w:val="36"/>
                <w:highlight w:val="none"/>
                <w:u w:val="single"/>
              </w:rPr>
              <w:t>202</w:t>
            </w:r>
            <w:r>
              <w:rPr>
                <w:rFonts w:hint="eastAsia"/>
                <w:b w:val="0"/>
                <w:bCs w:val="0"/>
                <w:color w:val="auto"/>
                <w:sz w:val="36"/>
                <w:szCs w:val="36"/>
                <w:highlight w:val="none"/>
                <w:u w:val="single"/>
                <w:lang w:val="en-US" w:eastAsia="zh-CN"/>
              </w:rPr>
              <w:t>6</w:t>
            </w:r>
            <w:r>
              <w:rPr>
                <w:rFonts w:hint="default"/>
                <w:b w:val="0"/>
                <w:bCs w:val="0"/>
                <w:color w:val="auto"/>
                <w:sz w:val="36"/>
                <w:szCs w:val="36"/>
                <w:highlight w:val="none"/>
                <w:u w:val="single"/>
              </w:rPr>
              <w:t>年</w:t>
            </w:r>
            <w:r>
              <w:rPr>
                <w:rFonts w:hint="eastAsia"/>
                <w:b w:val="0"/>
                <w:bCs w:val="0"/>
                <w:color w:val="auto"/>
                <w:sz w:val="36"/>
                <w:szCs w:val="36"/>
                <w:highlight w:val="none"/>
                <w:u w:val="single"/>
                <w:lang w:val="en-US" w:eastAsia="zh-CN"/>
              </w:rPr>
              <w:t>1</w:t>
            </w:r>
            <w:r>
              <w:rPr>
                <w:rFonts w:hint="default"/>
                <w:b w:val="0"/>
                <w:bCs w:val="0"/>
                <w:color w:val="auto"/>
                <w:sz w:val="36"/>
                <w:szCs w:val="36"/>
                <w:highlight w:val="none"/>
                <w:u w:val="single"/>
              </w:rPr>
              <w:t>月</w:t>
            </w:r>
            <w:r>
              <w:rPr>
                <w:rFonts w:hint="eastAsia"/>
                <w:b w:val="0"/>
                <w:bCs w:val="0"/>
                <w:color w:val="auto"/>
                <w:sz w:val="36"/>
                <w:szCs w:val="36"/>
                <w:highlight w:val="none"/>
                <w:u w:val="single"/>
                <w:lang w:val="en-US" w:eastAsia="zh-CN"/>
              </w:rPr>
              <w:t xml:space="preserve">                 </w:t>
            </w:r>
          </w:p>
        </w:tc>
      </w:tr>
    </w:tbl>
    <w:p w14:paraId="27F7B094">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p w14:paraId="00F2BCE6">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p w14:paraId="159144F0">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p w14:paraId="581ABE06">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bookmarkEnd w:id="0"/>
    <w:p w14:paraId="3D2707A7">
      <w:pPr>
        <w:keepNext w:val="0"/>
        <w:keepLines w:val="0"/>
        <w:pageBreakBefore w:val="0"/>
        <w:widowControl w:val="0"/>
        <w:shd w:val="clear" w:color="auto" w:fill="auto"/>
        <w:kinsoku/>
        <w:wordWrap/>
        <w:overflowPunct/>
        <w:topLinePunct/>
        <w:autoSpaceDE/>
        <w:autoSpaceDN/>
        <w:bidi w:val="0"/>
        <w:adjustRightInd w:val="0"/>
        <w:snapToGrid w:val="0"/>
        <w:spacing w:line="288" w:lineRule="auto"/>
        <w:jc w:val="center"/>
        <w:textAlignment w:val="auto"/>
        <w:rPr>
          <w:rFonts w:hint="eastAsia" w:ascii="宋体" w:hAnsi="宋体" w:cs="宋体"/>
          <w:b/>
          <w:bCs/>
          <w:color w:val="auto"/>
          <w:sz w:val="36"/>
          <w:szCs w:val="36"/>
          <w:highlight w:val="none"/>
        </w:rPr>
      </w:pPr>
      <w:r>
        <w:rPr>
          <w:rFonts w:hint="eastAsia" w:ascii="宋体" w:hAnsi="宋体" w:cs="宋体"/>
          <w:b/>
          <w:bCs/>
          <w:color w:val="auto"/>
          <w:sz w:val="36"/>
          <w:szCs w:val="36"/>
          <w:highlight w:val="none"/>
        </w:rPr>
        <w:t>中华人民共和国生态环境部制</w:t>
      </w:r>
    </w:p>
    <w:p w14:paraId="6CEF3624">
      <w:pPr>
        <w:bidi w:val="0"/>
        <w:jc w:val="center"/>
        <w:rPr>
          <w:rFonts w:hint="default"/>
          <w:color w:val="auto"/>
          <w:highlight w:val="none"/>
        </w:rPr>
      </w:pPr>
    </w:p>
    <w:p w14:paraId="4D60214A">
      <w:pPr>
        <w:bidi w:val="0"/>
        <w:jc w:val="both"/>
        <w:rPr>
          <w:rFonts w:hint="default"/>
          <w:color w:val="auto"/>
          <w:highlight w:val="none"/>
        </w:rPr>
      </w:pPr>
    </w:p>
    <w:p w14:paraId="6D562C45">
      <w:pPr>
        <w:bidi w:val="0"/>
        <w:jc w:val="center"/>
        <w:rPr>
          <w:rFonts w:hint="default"/>
          <w:color w:val="auto"/>
          <w:highlight w:val="none"/>
        </w:rPr>
      </w:pPr>
    </w:p>
    <w:p w14:paraId="59E36EA7">
      <w:pPr>
        <w:bidi w:val="0"/>
        <w:rPr>
          <w:rFonts w:hint="default"/>
          <w:color w:val="auto"/>
          <w:highlight w:val="none"/>
        </w:rPr>
      </w:pPr>
    </w:p>
    <w:p w14:paraId="53835199">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sectPr>
          <w:headerReference r:id="rId3" w:type="default"/>
          <w:footerReference r:id="rId4" w:type="default"/>
          <w:pgSz w:w="11906" w:h="16838"/>
          <w:pgMar w:top="1134" w:right="1134" w:bottom="1134" w:left="1134" w:header="737" w:footer="737" w:gutter="0"/>
          <w:pgBorders>
            <w:top w:val="none" w:sz="0" w:space="0"/>
            <w:left w:val="none" w:sz="0" w:space="0"/>
            <w:bottom w:val="none" w:sz="0" w:space="0"/>
            <w:right w:val="none" w:sz="0" w:space="0"/>
          </w:pgBorders>
          <w:pgNumType w:fmt="decimal" w:start="1"/>
          <w:cols w:space="0" w:num="1"/>
          <w:rtlGutter w:val="0"/>
          <w:docGrid w:linePitch="312" w:charSpace="0"/>
        </w:sectPr>
      </w:pPr>
    </w:p>
    <w:p w14:paraId="0A59998D">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一、建设项目基本情况</w:t>
      </w:r>
    </w:p>
    <w:tbl>
      <w:tblPr>
        <w:tblStyle w:val="26"/>
        <w:tblW w:w="963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564"/>
        <w:gridCol w:w="359"/>
        <w:gridCol w:w="2071"/>
        <w:gridCol w:w="1846"/>
        <w:gridCol w:w="4871"/>
      </w:tblGrid>
      <w:tr w14:paraId="048398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100" w:type="dxa"/>
            <w:gridSpan w:val="2"/>
            <w:noWrap w:val="0"/>
            <w:tcMar>
              <w:top w:w="16" w:type="dxa"/>
              <w:left w:w="16" w:type="dxa"/>
              <w:right w:w="16" w:type="dxa"/>
            </w:tcMar>
            <w:vAlign w:val="center"/>
          </w:tcPr>
          <w:p w14:paraId="33D6CF3A">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r>
              <w:rPr>
                <w:rFonts w:hint="default"/>
                <w:b/>
                <w:bCs/>
                <w:color w:val="auto"/>
                <w:highlight w:val="none"/>
              </w:rPr>
              <w:t>建设项目名称</w:t>
            </w:r>
          </w:p>
        </w:tc>
        <w:tc>
          <w:tcPr>
            <w:tcW w:w="8530" w:type="dxa"/>
            <w:gridSpan w:val="3"/>
            <w:noWrap w:val="0"/>
            <w:vAlign w:val="center"/>
          </w:tcPr>
          <w:p w14:paraId="6E9CD8DF">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eastAsia="宋体"/>
                <w:color w:val="auto"/>
                <w:highlight w:val="none"/>
                <w:lang w:val="en-US" w:eastAsia="zh-CN"/>
              </w:rPr>
            </w:pPr>
            <w:r>
              <w:rPr>
                <w:rFonts w:hint="eastAsia" w:cs="Times New Roman"/>
                <w:color w:val="auto"/>
                <w:highlight w:val="none"/>
                <w:lang w:eastAsia="zh-CN"/>
              </w:rPr>
              <w:t>安徽清鑫纺织有限公司年产8000万米汽车内饰、家居服饰高端面料智能制造项目</w:t>
            </w:r>
          </w:p>
        </w:tc>
      </w:tr>
      <w:tr w14:paraId="46654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100" w:type="dxa"/>
            <w:gridSpan w:val="2"/>
            <w:noWrap w:val="0"/>
            <w:tcMar>
              <w:top w:w="16" w:type="dxa"/>
              <w:left w:w="16" w:type="dxa"/>
              <w:right w:w="16" w:type="dxa"/>
            </w:tcMar>
            <w:vAlign w:val="center"/>
          </w:tcPr>
          <w:p w14:paraId="512CFBAD">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r>
              <w:rPr>
                <w:rFonts w:hint="default"/>
                <w:b/>
                <w:bCs/>
                <w:color w:val="auto"/>
                <w:highlight w:val="none"/>
              </w:rPr>
              <w:t>项目代码</w:t>
            </w:r>
          </w:p>
        </w:tc>
        <w:tc>
          <w:tcPr>
            <w:tcW w:w="8530" w:type="dxa"/>
            <w:gridSpan w:val="3"/>
            <w:noWrap w:val="0"/>
            <w:vAlign w:val="center"/>
          </w:tcPr>
          <w:p w14:paraId="585F1FFD">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highlight w:val="none"/>
                <w:lang w:val="en-US" w:eastAsia="zh-CN"/>
              </w:rPr>
            </w:pPr>
            <w:r>
              <w:rPr>
                <w:rFonts w:hint="eastAsia" w:cs="Times New Roman"/>
                <w:color w:val="auto"/>
                <w:highlight w:val="none"/>
                <w:shd w:val="clear"/>
                <w:lang w:eastAsia="zh-CN"/>
              </w:rPr>
              <w:t>2509-340322-04-05-976515</w:t>
            </w:r>
          </w:p>
        </w:tc>
      </w:tr>
      <w:tr w14:paraId="6911B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100" w:type="dxa"/>
            <w:gridSpan w:val="2"/>
            <w:noWrap w:val="0"/>
            <w:tcMar>
              <w:top w:w="16" w:type="dxa"/>
              <w:left w:w="16" w:type="dxa"/>
              <w:right w:w="16" w:type="dxa"/>
            </w:tcMar>
            <w:vAlign w:val="center"/>
          </w:tcPr>
          <w:p w14:paraId="76C70267">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r>
              <w:rPr>
                <w:rFonts w:hint="default"/>
                <w:b/>
                <w:bCs/>
                <w:color w:val="auto"/>
                <w:highlight w:val="none"/>
              </w:rPr>
              <w:t>建设单位联系人</w:t>
            </w:r>
          </w:p>
        </w:tc>
        <w:tc>
          <w:tcPr>
            <w:tcW w:w="2144" w:type="dxa"/>
            <w:noWrap w:val="0"/>
            <w:vAlign w:val="center"/>
          </w:tcPr>
          <w:p w14:paraId="52A5D610">
            <w:pPr>
              <w:pStyle w:val="66"/>
              <w:keepNext w:val="0"/>
              <w:keepLines w:val="0"/>
              <w:suppressLineNumbers w:val="0"/>
              <w:spacing w:before="0" w:after="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张桂清</w:t>
            </w:r>
          </w:p>
        </w:tc>
        <w:tc>
          <w:tcPr>
            <w:tcW w:w="1910" w:type="dxa"/>
            <w:noWrap w:val="0"/>
            <w:vAlign w:val="center"/>
          </w:tcPr>
          <w:p w14:paraId="3FA44391">
            <w:pPr>
              <w:keepNext w:val="0"/>
              <w:keepLines w:val="0"/>
              <w:suppressLineNumbers w:val="0"/>
              <w:spacing w:before="0" w:beforeAutospacing="0" w:after="0" w:afterAutospacing="0"/>
              <w:ind w:left="-14" w:leftChars="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kern w:val="0"/>
                <w:sz w:val="24"/>
                <w:szCs w:val="24"/>
                <w:highlight w:val="none"/>
              </w:rPr>
              <w:t>联系方式</w:t>
            </w:r>
          </w:p>
        </w:tc>
        <w:tc>
          <w:tcPr>
            <w:tcW w:w="4476" w:type="dxa"/>
            <w:noWrap w:val="0"/>
            <w:vAlign w:val="center"/>
          </w:tcPr>
          <w:p w14:paraId="2319403A">
            <w:pPr>
              <w:pStyle w:val="66"/>
              <w:keepNext w:val="0"/>
              <w:keepLines w:val="0"/>
              <w:suppressLineNumbers w:val="0"/>
              <w:spacing w:before="0" w:after="0"/>
              <w:ind w:left="0" w:right="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13655820050</w:t>
            </w:r>
          </w:p>
        </w:tc>
      </w:tr>
      <w:tr w14:paraId="281D64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100" w:type="dxa"/>
            <w:gridSpan w:val="2"/>
            <w:noWrap w:val="0"/>
            <w:tcMar>
              <w:top w:w="16" w:type="dxa"/>
              <w:left w:w="16" w:type="dxa"/>
              <w:right w:w="16" w:type="dxa"/>
            </w:tcMar>
            <w:vAlign w:val="center"/>
          </w:tcPr>
          <w:p w14:paraId="659FDA8C">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r>
              <w:rPr>
                <w:rFonts w:hint="default"/>
                <w:b/>
                <w:bCs/>
                <w:color w:val="auto"/>
                <w:highlight w:val="none"/>
              </w:rPr>
              <w:t>建设地点</w:t>
            </w:r>
          </w:p>
        </w:tc>
        <w:tc>
          <w:tcPr>
            <w:tcW w:w="8530" w:type="dxa"/>
            <w:gridSpan w:val="3"/>
            <w:noWrap w:val="0"/>
            <w:vAlign w:val="center"/>
          </w:tcPr>
          <w:p w14:paraId="6048CAA9">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eastAsia="宋体"/>
                <w:color w:val="auto"/>
                <w:highlight w:val="none"/>
                <w:lang w:val="en-US" w:eastAsia="zh-CN"/>
              </w:rPr>
            </w:pPr>
            <w:r>
              <w:rPr>
                <w:rFonts w:hint="eastAsia" w:cs="Times New Roman"/>
                <w:color w:val="auto"/>
                <w:highlight w:val="none"/>
                <w:lang w:eastAsia="zh-CN"/>
              </w:rPr>
              <w:t>安徽省蚌埠市五河县开发区彩虹大道与兴潼路交口西80米</w:t>
            </w:r>
          </w:p>
        </w:tc>
      </w:tr>
      <w:tr w14:paraId="01867E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100" w:type="dxa"/>
            <w:gridSpan w:val="2"/>
            <w:noWrap w:val="0"/>
            <w:tcMar>
              <w:top w:w="16" w:type="dxa"/>
              <w:left w:w="16" w:type="dxa"/>
              <w:right w:w="16" w:type="dxa"/>
            </w:tcMar>
            <w:vAlign w:val="center"/>
          </w:tcPr>
          <w:p w14:paraId="392C5358">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r>
              <w:rPr>
                <w:rFonts w:hint="default"/>
                <w:b/>
                <w:bCs/>
                <w:color w:val="auto"/>
                <w:highlight w:val="none"/>
              </w:rPr>
              <w:t>地理坐标</w:t>
            </w:r>
          </w:p>
        </w:tc>
        <w:tc>
          <w:tcPr>
            <w:tcW w:w="8530" w:type="dxa"/>
            <w:gridSpan w:val="3"/>
            <w:noWrap w:val="0"/>
            <w:vAlign w:val="center"/>
          </w:tcPr>
          <w:p w14:paraId="2B24DAF7">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color w:val="auto"/>
                <w:highlight w:val="none"/>
                <w:lang w:val="en-US" w:eastAsia="zh-CN"/>
              </w:rPr>
            </w:pPr>
            <w:r>
              <w:rPr>
                <w:rFonts w:hint="default" w:ascii="Times New Roman" w:hAnsi="Times New Roman" w:cs="Times New Roman"/>
                <w:color w:val="auto"/>
                <w:highlight w:val="none"/>
                <w:shd w:val="clear"/>
                <w:lang w:eastAsia="zh-CN"/>
              </w:rPr>
              <w:t>117</w:t>
            </w:r>
            <w:r>
              <w:rPr>
                <w:rFonts w:hint="eastAsia" w:cs="Times New Roman"/>
                <w:color w:val="auto"/>
                <w:highlight w:val="none"/>
                <w:shd w:val="clear"/>
                <w:lang w:val="en-US" w:eastAsia="zh-CN"/>
              </w:rPr>
              <w:t>度</w:t>
            </w:r>
            <w:r>
              <w:rPr>
                <w:rFonts w:hint="default" w:ascii="Times New Roman" w:hAnsi="Times New Roman" w:cs="Times New Roman"/>
                <w:color w:val="auto"/>
                <w:highlight w:val="none"/>
                <w:shd w:val="clear"/>
                <w:lang w:eastAsia="zh-CN"/>
              </w:rPr>
              <w:t>19</w:t>
            </w:r>
            <w:r>
              <w:rPr>
                <w:rFonts w:hint="eastAsia" w:cs="Times New Roman"/>
                <w:color w:val="auto"/>
                <w:highlight w:val="none"/>
                <w:shd w:val="clear"/>
                <w:lang w:val="en-US" w:eastAsia="zh-CN"/>
              </w:rPr>
              <w:t>分30.107秒</w:t>
            </w:r>
            <w:r>
              <w:rPr>
                <w:rFonts w:hint="default" w:ascii="Times New Roman" w:hAnsi="Times New Roman" w:cs="Times New Roman"/>
                <w:color w:val="auto"/>
                <w:highlight w:val="none"/>
                <w:shd w:val="clear"/>
                <w:lang w:eastAsia="zh-CN"/>
              </w:rPr>
              <w:t>，32</w:t>
            </w:r>
            <w:r>
              <w:rPr>
                <w:rFonts w:hint="eastAsia" w:cs="Times New Roman"/>
                <w:color w:val="auto"/>
                <w:highlight w:val="none"/>
                <w:shd w:val="clear"/>
                <w:lang w:val="en-US" w:eastAsia="zh-CN"/>
              </w:rPr>
              <w:t>度</w:t>
            </w:r>
            <w:r>
              <w:rPr>
                <w:rFonts w:hint="default" w:ascii="Times New Roman" w:hAnsi="Times New Roman" w:cs="Times New Roman"/>
                <w:color w:val="auto"/>
                <w:highlight w:val="none"/>
                <w:shd w:val="clear"/>
                <w:lang w:eastAsia="zh-CN"/>
              </w:rPr>
              <w:t>58</w:t>
            </w:r>
            <w:r>
              <w:rPr>
                <w:rFonts w:hint="eastAsia" w:cs="Times New Roman"/>
                <w:color w:val="auto"/>
                <w:highlight w:val="none"/>
                <w:shd w:val="clear"/>
                <w:lang w:val="en-US" w:eastAsia="zh-CN"/>
              </w:rPr>
              <w:t>分38.327秒</w:t>
            </w:r>
          </w:p>
        </w:tc>
      </w:tr>
      <w:tr w14:paraId="1C2094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1100" w:type="dxa"/>
            <w:gridSpan w:val="2"/>
            <w:noWrap w:val="0"/>
            <w:tcMar>
              <w:top w:w="16" w:type="dxa"/>
              <w:left w:w="16" w:type="dxa"/>
              <w:right w:w="16" w:type="dxa"/>
            </w:tcMar>
            <w:vAlign w:val="center"/>
          </w:tcPr>
          <w:p w14:paraId="6513D29C">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r>
              <w:rPr>
                <w:rFonts w:hint="default"/>
                <w:b/>
                <w:bCs/>
                <w:color w:val="auto"/>
                <w:highlight w:val="none"/>
              </w:rPr>
              <w:t>国民经济行业类别</w:t>
            </w:r>
          </w:p>
        </w:tc>
        <w:tc>
          <w:tcPr>
            <w:tcW w:w="2144" w:type="dxa"/>
            <w:noWrap w:val="0"/>
            <w:vAlign w:val="center"/>
          </w:tcPr>
          <w:p w14:paraId="1AA3F2B6">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eastAsia" w:eastAsia="宋体"/>
                <w:color w:val="auto"/>
                <w:highlight w:val="none"/>
                <w:lang w:val="en-US" w:eastAsia="zh-CN"/>
              </w:rPr>
            </w:pPr>
            <w:r>
              <w:rPr>
                <w:rFonts w:hint="eastAsia"/>
                <w:color w:val="auto"/>
                <w:sz w:val="24"/>
                <w:highlight w:val="none"/>
                <w:lang w:eastAsia="zh-CN"/>
              </w:rPr>
              <w:t>C1751化纤织造加工</w:t>
            </w:r>
          </w:p>
        </w:tc>
        <w:tc>
          <w:tcPr>
            <w:tcW w:w="1910" w:type="dxa"/>
            <w:noWrap w:val="0"/>
            <w:vAlign w:val="center"/>
          </w:tcPr>
          <w:p w14:paraId="67A3C6C7">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bookmarkStart w:id="1" w:name="_Hlk49843745"/>
            <w:r>
              <w:rPr>
                <w:rFonts w:hint="default"/>
                <w:b/>
                <w:bCs/>
                <w:color w:val="auto"/>
                <w:highlight w:val="none"/>
              </w:rPr>
              <w:t>建设项目</w:t>
            </w:r>
          </w:p>
          <w:p w14:paraId="2A4C2356">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r>
              <w:rPr>
                <w:rFonts w:hint="default"/>
                <w:b/>
                <w:bCs/>
                <w:color w:val="auto"/>
                <w:highlight w:val="none"/>
              </w:rPr>
              <w:t>行业类别</w:t>
            </w:r>
            <w:bookmarkEnd w:id="1"/>
          </w:p>
        </w:tc>
        <w:tc>
          <w:tcPr>
            <w:tcW w:w="4476" w:type="dxa"/>
            <w:noWrap w:val="0"/>
            <w:vAlign w:val="center"/>
          </w:tcPr>
          <w:p w14:paraId="2EE1C374">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eastAsia" w:eastAsia="宋体"/>
                <w:color w:val="auto"/>
                <w:highlight w:val="none"/>
                <w:lang w:eastAsia="zh-CN"/>
              </w:rPr>
            </w:pPr>
            <w:r>
              <w:rPr>
                <w:rFonts w:hint="eastAsia"/>
                <w:color w:val="auto"/>
                <w:spacing w:val="0"/>
                <w:sz w:val="24"/>
                <w:highlight w:val="none"/>
                <w:lang w:val="en-US" w:eastAsia="zh-CN"/>
              </w:rPr>
              <w:t>十四、纺织业17.化纤织造及印染精加工175；有喷墨印花或数码印花工艺的；后整理工序涉及有机溶剂的；有喷水织造工艺的；有水刺无纺布织造工艺的</w:t>
            </w:r>
          </w:p>
        </w:tc>
      </w:tr>
      <w:tr w14:paraId="583F01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417" w:hRule="atLeast"/>
          <w:jc w:val="center"/>
        </w:trPr>
        <w:tc>
          <w:tcPr>
            <w:tcW w:w="1100" w:type="dxa"/>
            <w:gridSpan w:val="2"/>
            <w:noWrap w:val="0"/>
            <w:tcMar>
              <w:top w:w="16" w:type="dxa"/>
              <w:left w:w="16" w:type="dxa"/>
              <w:right w:w="16" w:type="dxa"/>
            </w:tcMar>
            <w:vAlign w:val="center"/>
          </w:tcPr>
          <w:p w14:paraId="656C7285">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建设性质</w:t>
            </w:r>
          </w:p>
        </w:tc>
        <w:tc>
          <w:tcPr>
            <w:tcW w:w="2144" w:type="dxa"/>
            <w:noWrap w:val="0"/>
            <w:vAlign w:val="center"/>
          </w:tcPr>
          <w:p w14:paraId="317B73DB">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textAlignment w:val="auto"/>
              <w:rPr>
                <w:rFonts w:hint="eastAsia" w:ascii="宋体" w:hAnsi="宋体" w:eastAsia="宋体" w:cs="宋体"/>
                <w:color w:val="auto"/>
                <w:sz w:val="24"/>
                <w:szCs w:val="24"/>
                <w:highlight w:val="none"/>
              </w:rPr>
            </w:pPr>
            <w:r>
              <w:rPr>
                <w:rFonts w:hint="eastAsia" w:ascii="宋体" w:hAnsi="宋体" w:cs="宋体"/>
                <w:color w:val="auto"/>
                <w:highlight w:val="none"/>
                <w:lang w:eastAsia="zh-CN"/>
              </w:rPr>
              <w:sym w:font="Wingdings 2" w:char="0052"/>
            </w:r>
            <w:r>
              <w:rPr>
                <w:rFonts w:hint="eastAsia" w:ascii="宋体" w:hAnsi="宋体" w:eastAsia="宋体" w:cs="宋体"/>
                <w:color w:val="auto"/>
                <w:sz w:val="24"/>
                <w:szCs w:val="24"/>
                <w:highlight w:val="none"/>
              </w:rPr>
              <w:t>新建（迁建）</w:t>
            </w:r>
          </w:p>
          <w:p w14:paraId="3FED918E">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sz w:val="24"/>
                <w:szCs w:val="24"/>
                <w:highlight w:val="none"/>
              </w:rPr>
              <w:t>改建</w:t>
            </w:r>
          </w:p>
          <w:p w14:paraId="43A8C2F6">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textAlignment w:val="auto"/>
              <w:rPr>
                <w:rFonts w:hint="eastAsia" w:ascii="宋体" w:hAnsi="宋体" w:eastAsia="宋体" w:cs="宋体"/>
                <w:color w:val="auto"/>
                <w:sz w:val="24"/>
                <w:szCs w:val="24"/>
                <w:highlight w:val="none"/>
              </w:rPr>
            </w:pPr>
            <w:r>
              <w:rPr>
                <w:rFonts w:hint="eastAsia" w:ascii="宋体" w:hAnsi="宋体" w:cs="宋体"/>
                <w:color w:val="auto"/>
                <w:highlight w:val="none"/>
                <w:lang w:eastAsia="zh-CN"/>
              </w:rPr>
              <w:t>□</w:t>
            </w:r>
            <w:r>
              <w:rPr>
                <w:rFonts w:hint="eastAsia" w:ascii="宋体" w:hAnsi="宋体" w:eastAsia="宋体" w:cs="宋体"/>
                <w:color w:val="auto"/>
                <w:sz w:val="24"/>
                <w:szCs w:val="24"/>
                <w:highlight w:val="none"/>
              </w:rPr>
              <w:t>扩建</w:t>
            </w:r>
          </w:p>
          <w:p w14:paraId="137D3E4C">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sz w:val="24"/>
                <w:szCs w:val="24"/>
                <w:highlight w:val="none"/>
              </w:rPr>
              <w:t>技术改造</w:t>
            </w:r>
          </w:p>
        </w:tc>
        <w:tc>
          <w:tcPr>
            <w:tcW w:w="1910" w:type="dxa"/>
            <w:noWrap w:val="0"/>
            <w:vAlign w:val="center"/>
          </w:tcPr>
          <w:p w14:paraId="363FAB2A">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建设项目申报情形</w:t>
            </w:r>
          </w:p>
        </w:tc>
        <w:tc>
          <w:tcPr>
            <w:tcW w:w="4476" w:type="dxa"/>
            <w:noWrap w:val="0"/>
            <w:vAlign w:val="center"/>
          </w:tcPr>
          <w:p w14:paraId="7FF782A3">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textAlignment w:val="auto"/>
              <w:rPr>
                <w:rFonts w:hint="eastAsia" w:ascii="宋体" w:hAnsi="宋体" w:eastAsia="宋体" w:cs="宋体"/>
                <w:color w:val="auto"/>
                <w:sz w:val="24"/>
                <w:szCs w:val="24"/>
                <w:highlight w:val="none"/>
              </w:rPr>
            </w:pPr>
            <w:r>
              <w:rPr>
                <w:rFonts w:hint="eastAsia" w:ascii="宋体" w:hAnsi="宋体" w:cs="宋体"/>
                <w:color w:val="auto"/>
                <w:highlight w:val="none"/>
                <w:lang w:eastAsia="zh-CN"/>
              </w:rPr>
              <w:sym w:font="Wingdings 2" w:char="0052"/>
            </w:r>
            <w:r>
              <w:rPr>
                <w:rFonts w:hint="eastAsia" w:ascii="宋体" w:hAnsi="宋体" w:eastAsia="宋体" w:cs="宋体"/>
                <w:color w:val="auto"/>
                <w:sz w:val="24"/>
                <w:szCs w:val="24"/>
                <w:highlight w:val="none"/>
              </w:rPr>
              <w:t>首次申报项目</w:t>
            </w:r>
          </w:p>
          <w:p w14:paraId="3C59C177">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sz w:val="24"/>
                <w:szCs w:val="24"/>
                <w:highlight w:val="none"/>
              </w:rPr>
              <w:t>不予批准后再次申报项目</w:t>
            </w:r>
          </w:p>
          <w:p w14:paraId="3EE21DF2">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sz w:val="24"/>
                <w:szCs w:val="24"/>
                <w:highlight w:val="none"/>
              </w:rPr>
              <w:t>超五年重新审核项目</w:t>
            </w:r>
          </w:p>
          <w:p w14:paraId="5052EB7E">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sz w:val="24"/>
                <w:szCs w:val="24"/>
                <w:highlight w:val="none"/>
              </w:rPr>
              <w:t>重大变动重新报批项目</w:t>
            </w:r>
          </w:p>
        </w:tc>
      </w:tr>
      <w:tr w14:paraId="150B4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100" w:type="dxa"/>
            <w:gridSpan w:val="2"/>
            <w:noWrap w:val="0"/>
            <w:tcMar>
              <w:top w:w="16" w:type="dxa"/>
              <w:left w:w="16" w:type="dxa"/>
              <w:right w:w="16" w:type="dxa"/>
            </w:tcMar>
            <w:vAlign w:val="center"/>
          </w:tcPr>
          <w:p w14:paraId="5EE5A338">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r>
              <w:rPr>
                <w:rFonts w:hint="default"/>
                <w:b/>
                <w:bCs/>
                <w:color w:val="auto"/>
                <w:highlight w:val="none"/>
              </w:rPr>
              <w:t>项目审批（核准/备案）部门（选填）</w:t>
            </w:r>
          </w:p>
        </w:tc>
        <w:tc>
          <w:tcPr>
            <w:tcW w:w="2144" w:type="dxa"/>
            <w:noWrap w:val="0"/>
            <w:vAlign w:val="center"/>
          </w:tcPr>
          <w:p w14:paraId="534D157D">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五河县发展和</w:t>
            </w:r>
            <w:r>
              <w:rPr>
                <w:rFonts w:hint="eastAsia"/>
                <w:color w:val="auto"/>
                <w:highlight w:val="none"/>
                <w:lang w:eastAsia="zh-CN"/>
              </w:rPr>
              <w:t>改革委</w:t>
            </w:r>
            <w:r>
              <w:rPr>
                <w:rFonts w:hint="eastAsia"/>
                <w:color w:val="auto"/>
                <w:highlight w:val="none"/>
                <w:lang w:val="en-US" w:eastAsia="zh-CN"/>
              </w:rPr>
              <w:t>员会</w:t>
            </w:r>
          </w:p>
        </w:tc>
        <w:tc>
          <w:tcPr>
            <w:tcW w:w="1910" w:type="dxa"/>
            <w:noWrap w:val="0"/>
            <w:vAlign w:val="center"/>
          </w:tcPr>
          <w:p w14:paraId="32E212C6">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r>
              <w:rPr>
                <w:rFonts w:hint="default"/>
                <w:b/>
                <w:bCs/>
                <w:color w:val="auto"/>
                <w:highlight w:val="none"/>
              </w:rPr>
              <w:t>项目审批（核准/备案）文号（选填）</w:t>
            </w:r>
          </w:p>
        </w:tc>
        <w:tc>
          <w:tcPr>
            <w:tcW w:w="4476" w:type="dxa"/>
            <w:noWrap w:val="0"/>
            <w:vAlign w:val="center"/>
          </w:tcPr>
          <w:p w14:paraId="4B7C2CEA">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eastAsia" w:eastAsia="宋体"/>
                <w:color w:val="auto"/>
                <w:highlight w:val="none"/>
                <w:lang w:eastAsia="zh-CN"/>
              </w:rPr>
            </w:pPr>
            <w:r>
              <w:rPr>
                <w:rFonts w:hint="eastAsia" w:cs="Times New Roman"/>
                <w:color w:val="auto"/>
                <w:highlight w:val="none"/>
                <w:shd w:val="clear"/>
                <w:lang w:eastAsia="zh-CN"/>
              </w:rPr>
              <w:t>2509-340322-04-05-976515</w:t>
            </w:r>
          </w:p>
        </w:tc>
      </w:tr>
      <w:tr w14:paraId="23D1A3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100" w:type="dxa"/>
            <w:gridSpan w:val="2"/>
            <w:noWrap w:val="0"/>
            <w:tcMar>
              <w:top w:w="16" w:type="dxa"/>
              <w:left w:w="16" w:type="dxa"/>
              <w:right w:w="16" w:type="dxa"/>
            </w:tcMar>
            <w:vAlign w:val="center"/>
          </w:tcPr>
          <w:p w14:paraId="14942AD1">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eastAsia" w:eastAsia="宋体"/>
                <w:b/>
                <w:bCs/>
                <w:color w:val="auto"/>
                <w:highlight w:val="none"/>
                <w:lang w:val="en-US" w:eastAsia="zh-CN"/>
              </w:rPr>
            </w:pPr>
            <w:r>
              <w:rPr>
                <w:rFonts w:hint="default"/>
                <w:b/>
                <w:bCs/>
                <w:color w:val="auto"/>
                <w:highlight w:val="none"/>
              </w:rPr>
              <w:t>总投资</w:t>
            </w:r>
            <w:r>
              <w:rPr>
                <w:rFonts w:hint="eastAsia"/>
                <w:b/>
                <w:bCs/>
                <w:color w:val="auto"/>
                <w:highlight w:val="none"/>
                <w:lang w:eastAsia="zh-CN"/>
              </w:rPr>
              <w:t>（</w:t>
            </w:r>
            <w:r>
              <w:rPr>
                <w:rFonts w:hint="default"/>
                <w:b/>
                <w:bCs/>
                <w:color w:val="auto"/>
                <w:highlight w:val="none"/>
              </w:rPr>
              <w:t>万元</w:t>
            </w:r>
            <w:r>
              <w:rPr>
                <w:rFonts w:hint="eastAsia"/>
                <w:b/>
                <w:bCs/>
                <w:color w:val="auto"/>
                <w:highlight w:val="none"/>
                <w:lang w:eastAsia="zh-CN"/>
              </w:rPr>
              <w:t>）</w:t>
            </w:r>
          </w:p>
        </w:tc>
        <w:tc>
          <w:tcPr>
            <w:tcW w:w="2144" w:type="dxa"/>
            <w:noWrap w:val="0"/>
            <w:vAlign w:val="center"/>
          </w:tcPr>
          <w:p w14:paraId="2D990DD1">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20000</w:t>
            </w:r>
          </w:p>
        </w:tc>
        <w:tc>
          <w:tcPr>
            <w:tcW w:w="1910" w:type="dxa"/>
            <w:noWrap w:val="0"/>
            <w:tcMar>
              <w:top w:w="16" w:type="dxa"/>
              <w:left w:w="16" w:type="dxa"/>
              <w:right w:w="16" w:type="dxa"/>
            </w:tcMar>
            <w:vAlign w:val="center"/>
          </w:tcPr>
          <w:p w14:paraId="2911D601">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r>
              <w:rPr>
                <w:rFonts w:hint="default"/>
                <w:b/>
                <w:bCs/>
                <w:color w:val="auto"/>
                <w:highlight w:val="none"/>
              </w:rPr>
              <w:t>环保投资</w:t>
            </w:r>
            <w:r>
              <w:rPr>
                <w:rFonts w:hint="eastAsia"/>
                <w:b/>
                <w:bCs/>
                <w:color w:val="auto"/>
                <w:highlight w:val="none"/>
                <w:lang w:eastAsia="zh-CN"/>
              </w:rPr>
              <w:t>（</w:t>
            </w:r>
            <w:r>
              <w:rPr>
                <w:rFonts w:hint="default"/>
                <w:b/>
                <w:bCs/>
                <w:color w:val="auto"/>
                <w:highlight w:val="none"/>
              </w:rPr>
              <w:t>万元</w:t>
            </w:r>
            <w:r>
              <w:rPr>
                <w:rFonts w:hint="eastAsia"/>
                <w:b/>
                <w:bCs/>
                <w:color w:val="auto"/>
                <w:highlight w:val="none"/>
                <w:lang w:eastAsia="zh-CN"/>
              </w:rPr>
              <w:t>）</w:t>
            </w:r>
          </w:p>
        </w:tc>
        <w:tc>
          <w:tcPr>
            <w:tcW w:w="4476" w:type="dxa"/>
            <w:noWrap w:val="0"/>
            <w:vAlign w:val="center"/>
          </w:tcPr>
          <w:p w14:paraId="06DB636E">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100</w:t>
            </w:r>
          </w:p>
        </w:tc>
      </w:tr>
      <w:tr w14:paraId="6CF78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100" w:type="dxa"/>
            <w:gridSpan w:val="2"/>
            <w:noWrap w:val="0"/>
            <w:tcMar>
              <w:top w:w="16" w:type="dxa"/>
              <w:left w:w="16" w:type="dxa"/>
              <w:right w:w="16" w:type="dxa"/>
            </w:tcMar>
            <w:vAlign w:val="center"/>
          </w:tcPr>
          <w:p w14:paraId="684F83B2">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eastAsia" w:eastAsia="宋体"/>
                <w:b/>
                <w:bCs/>
                <w:color w:val="auto"/>
                <w:highlight w:val="none"/>
                <w:lang w:val="en-US" w:eastAsia="zh-CN"/>
              </w:rPr>
            </w:pPr>
            <w:r>
              <w:rPr>
                <w:rFonts w:hint="default"/>
                <w:b/>
                <w:bCs/>
                <w:color w:val="auto"/>
                <w:highlight w:val="none"/>
              </w:rPr>
              <w:t>环保投资占比</w:t>
            </w:r>
            <w:r>
              <w:rPr>
                <w:rFonts w:hint="eastAsia"/>
                <w:b/>
                <w:bCs/>
                <w:color w:val="auto"/>
                <w:highlight w:val="none"/>
                <w:lang w:val="en-US" w:eastAsia="zh-CN"/>
              </w:rPr>
              <w:t>（</w:t>
            </w:r>
            <w:r>
              <w:rPr>
                <w:rFonts w:hint="default"/>
                <w:b/>
                <w:bCs/>
                <w:color w:val="auto"/>
                <w:highlight w:val="none"/>
              </w:rPr>
              <w:t>%</w:t>
            </w:r>
            <w:r>
              <w:rPr>
                <w:rFonts w:hint="eastAsia"/>
                <w:b/>
                <w:bCs/>
                <w:color w:val="auto"/>
                <w:highlight w:val="none"/>
                <w:lang w:val="en-US" w:eastAsia="zh-CN"/>
              </w:rPr>
              <w:t>）</w:t>
            </w:r>
          </w:p>
        </w:tc>
        <w:tc>
          <w:tcPr>
            <w:tcW w:w="2144" w:type="dxa"/>
            <w:noWrap w:val="0"/>
            <w:vAlign w:val="center"/>
          </w:tcPr>
          <w:p w14:paraId="2E4E4C3C">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0.5</w:t>
            </w:r>
          </w:p>
        </w:tc>
        <w:tc>
          <w:tcPr>
            <w:tcW w:w="1910" w:type="dxa"/>
            <w:noWrap w:val="0"/>
            <w:tcMar>
              <w:top w:w="16" w:type="dxa"/>
              <w:left w:w="16" w:type="dxa"/>
              <w:right w:w="16" w:type="dxa"/>
            </w:tcMar>
            <w:vAlign w:val="center"/>
          </w:tcPr>
          <w:p w14:paraId="299A4BCC">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r>
              <w:rPr>
                <w:rFonts w:hint="default"/>
                <w:b/>
                <w:bCs/>
                <w:color w:val="auto"/>
                <w:highlight w:val="none"/>
              </w:rPr>
              <w:t>施工工期</w:t>
            </w:r>
          </w:p>
        </w:tc>
        <w:tc>
          <w:tcPr>
            <w:tcW w:w="4476" w:type="dxa"/>
            <w:noWrap w:val="0"/>
            <w:vAlign w:val="center"/>
          </w:tcPr>
          <w:p w14:paraId="1D6FFED7">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color w:val="auto"/>
                <w:highlight w:val="none"/>
              </w:rPr>
            </w:pPr>
            <w:r>
              <w:rPr>
                <w:rFonts w:hint="eastAsia"/>
                <w:color w:val="auto"/>
                <w:highlight w:val="none"/>
                <w:lang w:val="en-US" w:eastAsia="zh-CN"/>
              </w:rPr>
              <w:t>6</w:t>
            </w:r>
            <w:r>
              <w:rPr>
                <w:rFonts w:hint="default"/>
                <w:color w:val="auto"/>
                <w:highlight w:val="none"/>
              </w:rPr>
              <w:t>个月</w:t>
            </w:r>
          </w:p>
        </w:tc>
      </w:tr>
      <w:tr w14:paraId="134FCC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1100" w:type="dxa"/>
            <w:gridSpan w:val="2"/>
            <w:noWrap w:val="0"/>
            <w:tcMar>
              <w:top w:w="16" w:type="dxa"/>
              <w:left w:w="16" w:type="dxa"/>
              <w:right w:w="16" w:type="dxa"/>
            </w:tcMar>
            <w:vAlign w:val="center"/>
          </w:tcPr>
          <w:p w14:paraId="6A1C93F9">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r>
              <w:rPr>
                <w:rFonts w:hint="default"/>
                <w:b/>
                <w:bCs/>
                <w:color w:val="auto"/>
                <w:highlight w:val="none"/>
              </w:rPr>
              <w:t>是否开工建设</w:t>
            </w:r>
          </w:p>
        </w:tc>
        <w:tc>
          <w:tcPr>
            <w:tcW w:w="2144" w:type="dxa"/>
            <w:noWrap w:val="0"/>
            <w:vAlign w:val="center"/>
          </w:tcPr>
          <w:p w14:paraId="2F51CDD5">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textAlignment w:val="auto"/>
              <w:rPr>
                <w:rFonts w:hint="default"/>
                <w:color w:val="auto"/>
                <w:highlight w:val="none"/>
              </w:rPr>
            </w:pPr>
            <w:r>
              <w:rPr>
                <w:rFonts w:hint="eastAsia"/>
                <w:color w:val="auto"/>
                <w:highlight w:val="none"/>
                <w:lang w:eastAsia="zh-CN"/>
              </w:rPr>
              <w:sym w:font="Wingdings 2" w:char="0052"/>
            </w:r>
            <w:r>
              <w:rPr>
                <w:rFonts w:hint="default"/>
                <w:color w:val="auto"/>
                <w:highlight w:val="none"/>
              </w:rPr>
              <w:t>否</w:t>
            </w:r>
          </w:p>
          <w:p w14:paraId="7B69967D">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textAlignment w:val="auto"/>
              <w:rPr>
                <w:rFonts w:hint="eastAsia" w:eastAsia="宋体"/>
                <w:color w:val="auto"/>
                <w:highlight w:val="none"/>
                <w:u w:val="single"/>
                <w:lang w:eastAsia="zh-CN"/>
              </w:rPr>
            </w:pPr>
            <w:r>
              <w:rPr>
                <w:rFonts w:hint="eastAsia"/>
                <w:color w:val="auto"/>
                <w:highlight w:val="none"/>
                <w:lang w:eastAsia="zh-CN"/>
              </w:rPr>
              <w:t>□</w:t>
            </w:r>
            <w:r>
              <w:rPr>
                <w:rFonts w:hint="default"/>
                <w:color w:val="auto"/>
                <w:highlight w:val="none"/>
              </w:rPr>
              <w:t>是：</w:t>
            </w:r>
          </w:p>
        </w:tc>
        <w:tc>
          <w:tcPr>
            <w:tcW w:w="1910" w:type="dxa"/>
            <w:noWrap w:val="0"/>
            <w:tcMar>
              <w:top w:w="16" w:type="dxa"/>
              <w:left w:w="16" w:type="dxa"/>
              <w:right w:w="16" w:type="dxa"/>
            </w:tcMar>
            <w:vAlign w:val="center"/>
          </w:tcPr>
          <w:p w14:paraId="19C5124A">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r>
              <w:rPr>
                <w:rFonts w:hint="default"/>
                <w:b/>
                <w:bCs/>
                <w:color w:val="auto"/>
                <w:highlight w:val="none"/>
              </w:rPr>
              <w:t>用地（用海）</w:t>
            </w:r>
          </w:p>
          <w:p w14:paraId="47DCEE9C">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r>
              <w:rPr>
                <w:rFonts w:hint="default"/>
                <w:b/>
                <w:bCs/>
                <w:color w:val="auto"/>
                <w:highlight w:val="none"/>
              </w:rPr>
              <w:t>面积（m</w:t>
            </w:r>
            <w:r>
              <w:rPr>
                <w:rFonts w:hint="default"/>
                <w:b/>
                <w:bCs/>
                <w:color w:val="auto"/>
                <w:highlight w:val="none"/>
                <w:vertAlign w:val="superscript"/>
              </w:rPr>
              <w:t>2</w:t>
            </w:r>
            <w:r>
              <w:rPr>
                <w:rFonts w:hint="default"/>
                <w:b/>
                <w:bCs/>
                <w:color w:val="auto"/>
                <w:highlight w:val="none"/>
              </w:rPr>
              <w:t>）</w:t>
            </w:r>
          </w:p>
        </w:tc>
        <w:tc>
          <w:tcPr>
            <w:tcW w:w="4476" w:type="dxa"/>
            <w:noWrap w:val="0"/>
            <w:vAlign w:val="center"/>
          </w:tcPr>
          <w:p w14:paraId="5EC24D6E">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w:t>
            </w:r>
          </w:p>
        </w:tc>
      </w:tr>
      <w:tr w14:paraId="157B9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19" w:hRule="atLeast"/>
          <w:jc w:val="center"/>
        </w:trPr>
        <w:tc>
          <w:tcPr>
            <w:tcW w:w="686" w:type="dxa"/>
            <w:noWrap w:val="0"/>
            <w:vAlign w:val="center"/>
          </w:tcPr>
          <w:p w14:paraId="2869F9D9">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kern w:val="0"/>
                <w:highlight w:val="none"/>
              </w:rPr>
            </w:pPr>
            <w:r>
              <w:rPr>
                <w:rFonts w:hint="default"/>
                <w:b/>
                <w:bCs/>
                <w:color w:val="auto"/>
                <w:kern w:val="0"/>
                <w:highlight w:val="none"/>
              </w:rPr>
              <w:t>专项评价设置情况</w:t>
            </w:r>
          </w:p>
        </w:tc>
        <w:tc>
          <w:tcPr>
            <w:tcW w:w="8944" w:type="dxa"/>
            <w:gridSpan w:val="4"/>
            <w:noWrap w:val="0"/>
            <w:vAlign w:val="center"/>
          </w:tcPr>
          <w:p w14:paraId="554EEAC9">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157" w:beforeLines="50" w:beforeAutospacing="0" w:after="0" w:afterAutospacing="0" w:line="360" w:lineRule="auto"/>
              <w:ind w:left="0" w:leftChars="0" w:right="0" w:rightChars="0" w:firstLine="480" w:firstLineChars="200"/>
              <w:textAlignment w:val="auto"/>
              <w:rPr>
                <w:rFonts w:hint="default"/>
                <w:color w:val="auto"/>
                <w:highlight w:val="none"/>
              </w:rPr>
            </w:pPr>
            <w:r>
              <w:rPr>
                <w:rFonts w:hint="eastAsia"/>
                <w:color w:val="auto"/>
                <w:highlight w:val="none"/>
                <w:lang w:eastAsia="zh-CN"/>
              </w:rPr>
              <w:t>对照</w:t>
            </w:r>
            <w:r>
              <w:rPr>
                <w:rFonts w:hint="default"/>
                <w:color w:val="auto"/>
                <w:highlight w:val="none"/>
              </w:rPr>
              <w:t>《建设项目环境影响报告表编制技术指南</w:t>
            </w:r>
            <w:r>
              <w:rPr>
                <w:rFonts w:hint="eastAsia"/>
                <w:color w:val="auto"/>
                <w:highlight w:val="none"/>
                <w:lang w:val="en-US" w:eastAsia="zh-CN"/>
              </w:rPr>
              <w:t>--</w:t>
            </w:r>
            <w:r>
              <w:rPr>
                <w:rFonts w:hint="default"/>
                <w:color w:val="auto"/>
                <w:highlight w:val="none"/>
              </w:rPr>
              <w:t>污染影响类》</w:t>
            </w:r>
            <w:r>
              <w:rPr>
                <w:rFonts w:hint="eastAsia"/>
                <w:color w:val="auto"/>
                <w:highlight w:val="none"/>
              </w:rPr>
              <w:t>（试行）</w:t>
            </w:r>
            <w:r>
              <w:rPr>
                <w:rFonts w:hint="eastAsia"/>
                <w:color w:val="auto"/>
                <w:highlight w:val="none"/>
                <w:lang w:eastAsia="zh-CN"/>
              </w:rPr>
              <w:t>中专项评价设置原则，分析情况见下表</w:t>
            </w:r>
            <w:r>
              <w:rPr>
                <w:rFonts w:hint="default"/>
                <w:color w:val="auto"/>
                <w:highlight w:val="none"/>
              </w:rPr>
              <w:t>。</w:t>
            </w:r>
          </w:p>
          <w:p w14:paraId="0256BFCB">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eastAsia"/>
                <w:color w:val="auto"/>
                <w:highlight w:val="none"/>
                <w:lang w:val="en-US" w:eastAsia="zh-CN"/>
              </w:rPr>
            </w:pPr>
            <w:r>
              <w:rPr>
                <w:rFonts w:hint="eastAsia"/>
                <w:color w:val="auto"/>
                <w:highlight w:val="none"/>
                <w:lang w:eastAsia="zh-CN"/>
              </w:rPr>
              <w:t>表</w:t>
            </w:r>
            <w:r>
              <w:rPr>
                <w:rFonts w:hint="eastAsia"/>
                <w:color w:val="auto"/>
                <w:highlight w:val="none"/>
                <w:lang w:val="en-US" w:eastAsia="zh-CN"/>
              </w:rPr>
              <w:t>1-1专项评价设置分析情况</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126"/>
              <w:gridCol w:w="5862"/>
              <w:gridCol w:w="981"/>
              <w:gridCol w:w="1060"/>
            </w:tblGrid>
            <w:tr w14:paraId="3A7FA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01" w:hRule="atLeast"/>
                <w:jc w:val="center"/>
              </w:trPr>
              <w:tc>
                <w:tcPr>
                  <w:tcW w:w="623" w:type="pct"/>
                  <w:tcBorders>
                    <w:tl2br w:val="nil"/>
                    <w:tr2bl w:val="nil"/>
                  </w:tcBorders>
                  <w:noWrap w:val="0"/>
                  <w:vAlign w:val="center"/>
                </w:tcPr>
                <w:p w14:paraId="4A53E59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bCs/>
                      <w:color w:val="auto"/>
                      <w:sz w:val="21"/>
                      <w:szCs w:val="21"/>
                      <w:highlight w:val="none"/>
                      <w:vertAlign w:val="baseline"/>
                      <w:lang w:val="en-US" w:eastAsia="zh-CN"/>
                    </w:rPr>
                  </w:pPr>
                  <w:r>
                    <w:rPr>
                      <w:rFonts w:hint="default"/>
                      <w:b/>
                      <w:bCs/>
                      <w:color w:val="auto"/>
                      <w:sz w:val="21"/>
                      <w:szCs w:val="21"/>
                      <w:highlight w:val="none"/>
                      <w:vertAlign w:val="baseline"/>
                      <w:lang w:val="en-US" w:eastAsia="zh-CN"/>
                    </w:rPr>
                    <w:t>专项评价类别</w:t>
                  </w:r>
                </w:p>
              </w:tc>
              <w:tc>
                <w:tcPr>
                  <w:tcW w:w="3245" w:type="pct"/>
                  <w:tcBorders>
                    <w:tl2br w:val="nil"/>
                    <w:tr2bl w:val="nil"/>
                  </w:tcBorders>
                  <w:noWrap w:val="0"/>
                  <w:vAlign w:val="center"/>
                </w:tcPr>
                <w:p w14:paraId="7F1DFE0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bCs/>
                      <w:color w:val="auto"/>
                      <w:sz w:val="21"/>
                      <w:szCs w:val="21"/>
                      <w:highlight w:val="none"/>
                      <w:vertAlign w:val="baseline"/>
                      <w:lang w:val="en-US" w:eastAsia="zh-CN"/>
                    </w:rPr>
                  </w:pPr>
                  <w:r>
                    <w:rPr>
                      <w:rFonts w:hint="default"/>
                      <w:b/>
                      <w:bCs/>
                      <w:color w:val="auto"/>
                      <w:sz w:val="21"/>
                      <w:szCs w:val="21"/>
                      <w:highlight w:val="none"/>
                      <w:vertAlign w:val="baseline"/>
                      <w:lang w:val="en-US" w:eastAsia="zh-CN"/>
                    </w:rPr>
                    <w:t>设置原则</w:t>
                  </w:r>
                </w:p>
              </w:tc>
              <w:tc>
                <w:tcPr>
                  <w:tcW w:w="543" w:type="pct"/>
                  <w:tcBorders>
                    <w:tl2br w:val="nil"/>
                    <w:tr2bl w:val="nil"/>
                  </w:tcBorders>
                  <w:noWrap w:val="0"/>
                  <w:vAlign w:val="center"/>
                </w:tcPr>
                <w:p w14:paraId="0F8A57B1">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bCs/>
                      <w:color w:val="auto"/>
                      <w:sz w:val="21"/>
                      <w:szCs w:val="21"/>
                      <w:highlight w:val="none"/>
                      <w:vertAlign w:val="baseline"/>
                      <w:lang w:val="en-US" w:eastAsia="zh-CN"/>
                    </w:rPr>
                  </w:pPr>
                  <w:r>
                    <w:rPr>
                      <w:rFonts w:hint="default"/>
                      <w:b/>
                      <w:bCs/>
                      <w:color w:val="auto"/>
                      <w:sz w:val="21"/>
                      <w:szCs w:val="21"/>
                      <w:highlight w:val="none"/>
                      <w:vertAlign w:val="baseline"/>
                      <w:lang w:val="en-US" w:eastAsia="zh-CN"/>
                    </w:rPr>
                    <w:t>项目</w:t>
                  </w:r>
                </w:p>
                <w:p w14:paraId="0C2CE618">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bCs/>
                      <w:color w:val="auto"/>
                      <w:sz w:val="21"/>
                      <w:szCs w:val="21"/>
                      <w:highlight w:val="none"/>
                      <w:vertAlign w:val="baseline"/>
                      <w:lang w:val="en-US" w:eastAsia="zh-CN"/>
                    </w:rPr>
                  </w:pPr>
                  <w:r>
                    <w:rPr>
                      <w:rFonts w:hint="default"/>
                      <w:b/>
                      <w:bCs/>
                      <w:color w:val="auto"/>
                      <w:sz w:val="21"/>
                      <w:szCs w:val="21"/>
                      <w:highlight w:val="none"/>
                      <w:vertAlign w:val="baseline"/>
                      <w:lang w:val="en-US" w:eastAsia="zh-CN"/>
                    </w:rPr>
                    <w:t>情况</w:t>
                  </w:r>
                </w:p>
              </w:tc>
              <w:tc>
                <w:tcPr>
                  <w:tcW w:w="587" w:type="pct"/>
                  <w:tcBorders>
                    <w:tl2br w:val="nil"/>
                    <w:tr2bl w:val="nil"/>
                  </w:tcBorders>
                  <w:noWrap w:val="0"/>
                  <w:vAlign w:val="center"/>
                </w:tcPr>
                <w:p w14:paraId="1692CBB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bCs/>
                      <w:color w:val="auto"/>
                      <w:sz w:val="21"/>
                      <w:szCs w:val="21"/>
                      <w:highlight w:val="none"/>
                      <w:vertAlign w:val="baseline"/>
                      <w:lang w:val="en-US" w:eastAsia="zh-CN"/>
                    </w:rPr>
                  </w:pPr>
                  <w:r>
                    <w:rPr>
                      <w:rFonts w:hint="default"/>
                      <w:b/>
                      <w:bCs/>
                      <w:color w:val="auto"/>
                      <w:sz w:val="21"/>
                      <w:szCs w:val="21"/>
                      <w:highlight w:val="none"/>
                      <w:vertAlign w:val="baseline"/>
                      <w:lang w:val="en-US" w:eastAsia="zh-CN"/>
                    </w:rPr>
                    <w:t>是否设专项</w:t>
                  </w:r>
                </w:p>
              </w:tc>
            </w:tr>
            <w:tr w14:paraId="5DBA5D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23" w:type="pct"/>
                  <w:tcBorders>
                    <w:tl2br w:val="nil"/>
                    <w:tr2bl w:val="nil"/>
                  </w:tcBorders>
                  <w:noWrap w:val="0"/>
                  <w:vAlign w:val="center"/>
                </w:tcPr>
                <w:p w14:paraId="113C96E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大气</w:t>
                  </w:r>
                </w:p>
              </w:tc>
              <w:tc>
                <w:tcPr>
                  <w:tcW w:w="3245" w:type="pct"/>
                  <w:tcBorders>
                    <w:tl2br w:val="nil"/>
                    <w:tr2bl w:val="nil"/>
                  </w:tcBorders>
                  <w:noWrap w:val="0"/>
                  <w:vAlign w:val="center"/>
                </w:tcPr>
                <w:p w14:paraId="4F2832B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排放废气含有毒有害污染物</w:t>
                  </w:r>
                  <w:r>
                    <w:rPr>
                      <w:rFonts w:hint="default" w:ascii="Times New Roman" w:hAnsi="Times New Roman" w:eastAsia="宋体" w:cs="Times New Roman"/>
                      <w:color w:val="auto"/>
                      <w:kern w:val="0"/>
                      <w:sz w:val="21"/>
                      <w:szCs w:val="21"/>
                      <w:highlight w:val="none"/>
                      <w:vertAlign w:val="superscript"/>
                      <w:lang w:val="en-US" w:eastAsia="zh-CN" w:bidi="ar"/>
                    </w:rPr>
                    <w:t>1</w:t>
                  </w:r>
                  <w:r>
                    <w:rPr>
                      <w:rFonts w:hint="default" w:ascii="Times New Roman" w:hAnsi="Times New Roman" w:eastAsia="宋体" w:cs="Times New Roman"/>
                      <w:color w:val="auto"/>
                      <w:kern w:val="0"/>
                      <w:sz w:val="21"/>
                      <w:szCs w:val="21"/>
                      <w:highlight w:val="none"/>
                      <w:lang w:val="en-US" w:eastAsia="zh-CN" w:bidi="ar"/>
                    </w:rPr>
                    <w:t>、二噁英、苯并</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i/>
                      <w:iCs/>
                      <w:color w:val="auto"/>
                      <w:kern w:val="0"/>
                      <w:sz w:val="21"/>
                      <w:szCs w:val="21"/>
                      <w:highlight w:val="none"/>
                      <w:lang w:val="en-US" w:eastAsia="zh-CN" w:bidi="ar"/>
                    </w:rPr>
                    <w:t>a</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芘、氰化物、氯气且厂界外500米范围内有环境空气保护目标</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的建设项目</w:t>
                  </w:r>
                </w:p>
              </w:tc>
              <w:tc>
                <w:tcPr>
                  <w:tcW w:w="543" w:type="pct"/>
                  <w:tcBorders>
                    <w:tl2br w:val="nil"/>
                    <w:tr2bl w:val="nil"/>
                  </w:tcBorders>
                  <w:noWrap w:val="0"/>
                  <w:vAlign w:val="center"/>
                </w:tcPr>
                <w:p w14:paraId="67BAADC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不涉及</w:t>
                  </w:r>
                </w:p>
              </w:tc>
              <w:tc>
                <w:tcPr>
                  <w:tcW w:w="587" w:type="pct"/>
                  <w:tcBorders>
                    <w:tl2br w:val="nil"/>
                    <w:tr2bl w:val="nil"/>
                  </w:tcBorders>
                  <w:noWrap w:val="0"/>
                  <w:vAlign w:val="center"/>
                </w:tcPr>
                <w:p w14:paraId="389D469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否</w:t>
                  </w:r>
                </w:p>
              </w:tc>
            </w:tr>
            <w:tr w14:paraId="7473F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23" w:type="pct"/>
                  <w:tcBorders>
                    <w:tl2br w:val="nil"/>
                    <w:tr2bl w:val="nil"/>
                  </w:tcBorders>
                  <w:noWrap w:val="0"/>
                  <w:vAlign w:val="center"/>
                </w:tcPr>
                <w:p w14:paraId="5B37F06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3245" w:type="pct"/>
                  <w:tcBorders>
                    <w:tl2br w:val="nil"/>
                    <w:tr2bl w:val="nil"/>
                  </w:tcBorders>
                  <w:noWrap w:val="0"/>
                  <w:vAlign w:val="center"/>
                </w:tcPr>
                <w:p w14:paraId="71E787B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新增工业废水直排建设项目（槽罐车外送污水处理厂的除外）；新增废水直排的污水集中处理厂</w:t>
                  </w:r>
                </w:p>
              </w:tc>
              <w:tc>
                <w:tcPr>
                  <w:tcW w:w="543" w:type="pct"/>
                  <w:tcBorders>
                    <w:tl2br w:val="nil"/>
                    <w:tr2bl w:val="nil"/>
                  </w:tcBorders>
                  <w:noWrap w:val="0"/>
                  <w:vAlign w:val="center"/>
                </w:tcPr>
                <w:p w14:paraId="20D5FDB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间接</w:t>
                  </w:r>
                </w:p>
                <w:p w14:paraId="61DFD8C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排放</w:t>
                  </w:r>
                </w:p>
              </w:tc>
              <w:tc>
                <w:tcPr>
                  <w:tcW w:w="587" w:type="pct"/>
                  <w:tcBorders>
                    <w:tl2br w:val="nil"/>
                    <w:tr2bl w:val="nil"/>
                  </w:tcBorders>
                  <w:noWrap w:val="0"/>
                  <w:vAlign w:val="center"/>
                </w:tcPr>
                <w:p w14:paraId="1F6A3E2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否</w:t>
                  </w:r>
                </w:p>
              </w:tc>
            </w:tr>
            <w:tr w14:paraId="3D388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23" w:type="pct"/>
                  <w:tcBorders>
                    <w:tl2br w:val="nil"/>
                    <w:tr2bl w:val="nil"/>
                  </w:tcBorders>
                  <w:noWrap w:val="0"/>
                  <w:vAlign w:val="center"/>
                </w:tcPr>
                <w:p w14:paraId="727C09F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环境风险</w:t>
                  </w:r>
                </w:p>
              </w:tc>
              <w:tc>
                <w:tcPr>
                  <w:tcW w:w="3245" w:type="pct"/>
                  <w:tcBorders>
                    <w:tl2br w:val="nil"/>
                    <w:tr2bl w:val="nil"/>
                  </w:tcBorders>
                  <w:noWrap w:val="0"/>
                  <w:vAlign w:val="center"/>
                </w:tcPr>
                <w:p w14:paraId="77F33E6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有毒有害和易燃易爆危险物质存储量超过临界量</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的建设项目</w:t>
                  </w:r>
                </w:p>
              </w:tc>
              <w:tc>
                <w:tcPr>
                  <w:tcW w:w="543" w:type="pct"/>
                  <w:tcBorders>
                    <w:tl2br w:val="nil"/>
                    <w:tr2bl w:val="nil"/>
                  </w:tcBorders>
                  <w:noWrap w:val="0"/>
                  <w:vAlign w:val="center"/>
                </w:tcPr>
                <w:p w14:paraId="1C649EB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Q</w:t>
                  </w:r>
                  <w:r>
                    <w:rPr>
                      <w:rFonts w:hint="default" w:ascii="Times New Roman" w:hAnsi="Times New Roman" w:eastAsia="宋体" w:cs="Times New Roman"/>
                      <w:color w:val="auto"/>
                      <w:sz w:val="21"/>
                      <w:szCs w:val="21"/>
                      <w:highlight w:val="none"/>
                      <w:lang w:val="en-US" w:eastAsia="zh-CN"/>
                    </w:rPr>
                    <w:t>&lt;</w:t>
                  </w:r>
                  <w:r>
                    <w:rPr>
                      <w:rFonts w:hint="default" w:ascii="Times New Roman" w:hAnsi="Times New Roman" w:cs="Times New Roman"/>
                      <w:color w:val="auto"/>
                      <w:sz w:val="21"/>
                      <w:szCs w:val="21"/>
                      <w:highlight w:val="none"/>
                      <w:lang w:val="en-US" w:eastAsia="zh-CN"/>
                    </w:rPr>
                    <w:t>1</w:t>
                  </w:r>
                </w:p>
              </w:tc>
              <w:tc>
                <w:tcPr>
                  <w:tcW w:w="587" w:type="pct"/>
                  <w:tcBorders>
                    <w:tl2br w:val="nil"/>
                    <w:tr2bl w:val="nil"/>
                  </w:tcBorders>
                  <w:noWrap w:val="0"/>
                  <w:vAlign w:val="center"/>
                </w:tcPr>
                <w:p w14:paraId="20B6853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否</w:t>
                  </w:r>
                </w:p>
              </w:tc>
            </w:tr>
            <w:tr w14:paraId="30BBF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23" w:type="pct"/>
                  <w:tcBorders>
                    <w:tl2br w:val="nil"/>
                    <w:tr2bl w:val="nil"/>
                  </w:tcBorders>
                  <w:noWrap w:val="0"/>
                  <w:vAlign w:val="center"/>
                </w:tcPr>
                <w:p w14:paraId="7430928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生态</w:t>
                  </w:r>
                </w:p>
              </w:tc>
              <w:tc>
                <w:tcPr>
                  <w:tcW w:w="3245" w:type="pct"/>
                  <w:tcBorders>
                    <w:tl2br w:val="nil"/>
                    <w:tr2bl w:val="nil"/>
                  </w:tcBorders>
                  <w:noWrap w:val="0"/>
                  <w:vAlign w:val="center"/>
                </w:tcPr>
                <w:p w14:paraId="2821B37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取水口下游500米范围内有重要水生生物的自然产卵场、索饵场、越冬场和洄游通道的新增河道取水的污染类建设项目</w:t>
                  </w:r>
                </w:p>
              </w:tc>
              <w:tc>
                <w:tcPr>
                  <w:tcW w:w="543" w:type="pct"/>
                  <w:tcBorders>
                    <w:tl2br w:val="nil"/>
                    <w:tr2bl w:val="nil"/>
                  </w:tcBorders>
                  <w:noWrap w:val="0"/>
                  <w:vAlign w:val="center"/>
                </w:tcPr>
                <w:p w14:paraId="3BE9503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不涉及</w:t>
                  </w:r>
                </w:p>
              </w:tc>
              <w:tc>
                <w:tcPr>
                  <w:tcW w:w="587" w:type="pct"/>
                  <w:tcBorders>
                    <w:tl2br w:val="nil"/>
                    <w:tr2bl w:val="nil"/>
                  </w:tcBorders>
                  <w:noWrap w:val="0"/>
                  <w:vAlign w:val="center"/>
                </w:tcPr>
                <w:p w14:paraId="23256A3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否</w:t>
                  </w:r>
                </w:p>
              </w:tc>
            </w:tr>
            <w:tr w14:paraId="5D8A5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23" w:type="pct"/>
                  <w:tcBorders>
                    <w:tl2br w:val="nil"/>
                    <w:tr2bl w:val="nil"/>
                  </w:tcBorders>
                  <w:noWrap w:val="0"/>
                  <w:vAlign w:val="center"/>
                </w:tcPr>
                <w:p w14:paraId="29DA95A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海洋</w:t>
                  </w:r>
                </w:p>
              </w:tc>
              <w:tc>
                <w:tcPr>
                  <w:tcW w:w="3245" w:type="pct"/>
                  <w:tcBorders>
                    <w:tl2br w:val="nil"/>
                    <w:tr2bl w:val="nil"/>
                  </w:tcBorders>
                  <w:noWrap w:val="0"/>
                  <w:vAlign w:val="center"/>
                </w:tcPr>
                <w:p w14:paraId="085D19D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直接向海排放污染物的海洋工程建设项目</w:t>
                  </w:r>
                </w:p>
              </w:tc>
              <w:tc>
                <w:tcPr>
                  <w:tcW w:w="543" w:type="pct"/>
                  <w:tcBorders>
                    <w:tl2br w:val="nil"/>
                    <w:tr2bl w:val="nil"/>
                  </w:tcBorders>
                  <w:noWrap w:val="0"/>
                  <w:vAlign w:val="center"/>
                </w:tcPr>
                <w:p w14:paraId="29D9E70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不属于</w:t>
                  </w:r>
                </w:p>
              </w:tc>
              <w:tc>
                <w:tcPr>
                  <w:tcW w:w="587" w:type="pct"/>
                  <w:tcBorders>
                    <w:tl2br w:val="nil"/>
                    <w:tr2bl w:val="nil"/>
                  </w:tcBorders>
                  <w:noWrap w:val="0"/>
                  <w:vAlign w:val="center"/>
                </w:tcPr>
                <w:p w14:paraId="282DB33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否</w:t>
                  </w:r>
                </w:p>
              </w:tc>
            </w:tr>
          </w:tbl>
          <w:p w14:paraId="42A1E616">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1、废气中有毒有害污染物指纳入《有毒有害大气污染物名录》的污染物（不包括无排放标准的污染物）（包括二氯甲烷、甲醛、三氯甲烷、三氯乙烯、四氯乙烯、乙醛、镉及其化合物、铬及其化合物、汞及其化合物、铅及其化合物、砷及其化合物）。2、环境空气保护目标指自然保护区、风景名胜区、居住区、文化区和农村地区中人群较集中的区域。3、临界量及其计算方法可参考《建设项目环境风险评价技术导则》（HJ169）附录B、附录C。</w:t>
            </w:r>
          </w:p>
          <w:p w14:paraId="19BFD54C">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color w:val="auto"/>
                <w:highlight w:val="none"/>
                <w:lang w:val="en-US" w:eastAsia="zh-CN"/>
              </w:rPr>
            </w:pPr>
            <w:r>
              <w:rPr>
                <w:rFonts w:hint="eastAsia"/>
                <w:color w:val="auto"/>
                <w:highlight w:val="none"/>
                <w:lang w:val="en-US" w:eastAsia="zh-CN"/>
              </w:rPr>
              <w:t>综上分析可知，本项目无须设置专项评价。</w:t>
            </w:r>
          </w:p>
        </w:tc>
      </w:tr>
      <w:tr w14:paraId="4044F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86" w:type="dxa"/>
            <w:noWrap w:val="0"/>
            <w:vAlign w:val="center"/>
          </w:tcPr>
          <w:p w14:paraId="13996392">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kern w:val="0"/>
                <w:highlight w:val="none"/>
              </w:rPr>
            </w:pPr>
            <w:r>
              <w:rPr>
                <w:rFonts w:hint="default"/>
                <w:b/>
                <w:bCs/>
                <w:color w:val="auto"/>
                <w:highlight w:val="none"/>
              </w:rPr>
              <w:t>规划情况</w:t>
            </w:r>
          </w:p>
        </w:tc>
        <w:tc>
          <w:tcPr>
            <w:tcW w:w="8944" w:type="dxa"/>
            <w:gridSpan w:val="4"/>
            <w:noWrap w:val="0"/>
            <w:vAlign w:val="center"/>
          </w:tcPr>
          <w:p w14:paraId="7C30EC7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123"/>
              <w:textAlignment w:val="auto"/>
              <w:rPr>
                <w:rFonts w:hint="default"/>
              </w:rPr>
            </w:pPr>
            <w:r>
              <w:rPr>
                <w:rFonts w:hint="default" w:ascii="宋体" w:hAnsi="宋体" w:eastAsia="宋体" w:cs="宋体"/>
                <w:b/>
                <w:color w:val="000000"/>
                <w:spacing w:val="-3"/>
                <w:sz w:val="24"/>
                <w:szCs w:val="24"/>
              </w:rPr>
              <w:t>规划名称：</w:t>
            </w:r>
            <w:r>
              <w:rPr>
                <w:rFonts w:hint="default" w:ascii="宋体" w:hAnsi="宋体" w:eastAsia="宋体" w:cs="宋体"/>
                <w:color w:val="000000"/>
                <w:spacing w:val="-3"/>
                <w:sz w:val="24"/>
                <w:szCs w:val="24"/>
              </w:rPr>
              <w:t>《安徽五河经济开发区总体发展规划</w:t>
            </w:r>
            <w:r>
              <w:rPr>
                <w:rFonts w:hint="default" w:ascii="宋体" w:hAnsi="宋体" w:eastAsia="宋体" w:cs="宋体"/>
                <w:color w:val="000000"/>
                <w:spacing w:val="-2"/>
                <w:sz w:val="24"/>
                <w:szCs w:val="24"/>
              </w:rPr>
              <w:t>（</w:t>
            </w:r>
            <w:r>
              <w:rPr>
                <w:rFonts w:hint="default" w:ascii="Times New Roman" w:hAnsi="Times New Roman" w:eastAsia="Times New Roman" w:cs="Times New Roman"/>
                <w:color w:val="000000"/>
                <w:spacing w:val="-1"/>
                <w:sz w:val="24"/>
                <w:szCs w:val="24"/>
              </w:rPr>
              <w:t>2012-2030</w:t>
            </w:r>
            <w:r>
              <w:rPr>
                <w:rFonts w:hint="default" w:ascii="宋体" w:hAnsi="宋体" w:eastAsia="宋体" w:cs="宋体"/>
                <w:color w:val="000000"/>
                <w:spacing w:val="-7"/>
                <w:sz w:val="24"/>
                <w:szCs w:val="24"/>
              </w:rPr>
              <w:t>年</w:t>
            </w:r>
            <w:r>
              <w:rPr>
                <w:rFonts w:hint="default" w:ascii="宋体" w:hAnsi="宋体" w:eastAsia="宋体" w:cs="宋体"/>
                <w:color w:val="000000"/>
                <w:spacing w:val="-3"/>
                <w:sz w:val="24"/>
                <w:szCs w:val="24"/>
              </w:rPr>
              <w:t>）（修编）环境</w:t>
            </w:r>
            <w:r>
              <w:rPr>
                <w:rFonts w:hint="default" w:ascii="宋体" w:hAnsi="宋体" w:eastAsia="宋体" w:cs="宋体"/>
                <w:color w:val="000000"/>
                <w:spacing w:val="-2"/>
                <w:sz w:val="24"/>
                <w:szCs w:val="24"/>
              </w:rPr>
              <w:t>影响报告书</w:t>
            </w:r>
            <w:r>
              <w:rPr>
                <w:rFonts w:hint="default" w:ascii="宋体" w:hAnsi="宋体" w:eastAsia="宋体" w:cs="宋体"/>
                <w:color w:val="000000"/>
                <w:spacing w:val="-1"/>
                <w:sz w:val="24"/>
                <w:szCs w:val="24"/>
              </w:rPr>
              <w:t>》；</w:t>
            </w:r>
          </w:p>
          <w:p w14:paraId="54729701">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default" w:ascii="宋体" w:hAnsi="宋体" w:eastAsia="宋体" w:cs="宋体"/>
                <w:color w:val="000000"/>
                <w:sz w:val="24"/>
                <w:szCs w:val="24"/>
              </w:rPr>
            </w:pPr>
            <w:r>
              <w:rPr>
                <w:rFonts w:hint="default" w:ascii="宋体" w:hAnsi="宋体" w:eastAsia="宋体" w:cs="宋体"/>
                <w:b/>
                <w:color w:val="000000"/>
                <w:spacing w:val="-1"/>
                <w:sz w:val="24"/>
                <w:szCs w:val="24"/>
              </w:rPr>
              <w:t>规划审批机关：</w:t>
            </w:r>
            <w:r>
              <w:rPr>
                <w:rFonts w:hint="default" w:ascii="宋体" w:hAnsi="宋体" w:eastAsia="宋体" w:cs="宋体"/>
                <w:color w:val="000000"/>
                <w:spacing w:val="-1"/>
                <w:sz w:val="24"/>
                <w:szCs w:val="24"/>
              </w:rPr>
              <w:t>安徽省</w:t>
            </w:r>
            <w:r>
              <w:rPr>
                <w:rFonts w:hint="default" w:ascii="宋体" w:hAnsi="宋体" w:eastAsia="宋体" w:cs="宋体"/>
                <w:color w:val="000000"/>
                <w:sz w:val="24"/>
                <w:szCs w:val="24"/>
              </w:rPr>
              <w:t>人民政府</w:t>
            </w:r>
          </w:p>
          <w:p w14:paraId="521D7485">
            <w:pPr>
              <w:pStyle w:val="1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eastAsia" w:ascii="Times New Roman" w:hAnsi="Times New Roman" w:eastAsia="宋体" w:cs="宋体"/>
                <w:color w:val="auto"/>
                <w:highlight w:val="none"/>
                <w:lang w:val="en-US" w:eastAsia="zh-CN"/>
              </w:rPr>
            </w:pPr>
            <w:r>
              <w:rPr>
                <w:rFonts w:hint="default" w:ascii="宋体" w:hAnsi="宋体" w:eastAsia="宋体" w:cs="宋体"/>
                <w:b/>
                <w:color w:val="000000"/>
                <w:spacing w:val="-2"/>
                <w:sz w:val="24"/>
                <w:szCs w:val="24"/>
              </w:rPr>
              <w:t>审批</w:t>
            </w:r>
            <w:r>
              <w:rPr>
                <w:rFonts w:hint="eastAsia" w:ascii="宋体" w:hAnsi="宋体" w:eastAsia="宋体" w:cs="宋体"/>
                <w:b/>
                <w:color w:val="000000"/>
                <w:spacing w:val="-2"/>
                <w:sz w:val="24"/>
                <w:szCs w:val="24"/>
                <w:lang w:val="en-US" w:eastAsia="zh-CN"/>
              </w:rPr>
              <w:t>文</w:t>
            </w:r>
            <w:r>
              <w:rPr>
                <w:rFonts w:hint="default" w:ascii="宋体" w:hAnsi="宋体" w:eastAsia="宋体" w:cs="宋体"/>
                <w:b/>
                <w:color w:val="000000"/>
                <w:spacing w:val="-2"/>
                <w:sz w:val="24"/>
                <w:szCs w:val="24"/>
              </w:rPr>
              <w:t>号</w:t>
            </w:r>
            <w:r>
              <w:rPr>
                <w:rFonts w:hint="default" w:ascii="宋体" w:hAnsi="宋体" w:eastAsia="宋体" w:cs="宋体"/>
                <w:b/>
                <w:color w:val="000000"/>
                <w:sz w:val="24"/>
                <w:szCs w:val="24"/>
              </w:rPr>
              <w:t>：</w:t>
            </w:r>
            <w:r>
              <w:rPr>
                <w:rFonts w:hint="default" w:ascii="宋体" w:hAnsi="宋体" w:eastAsia="宋体" w:cs="宋体"/>
                <w:color w:val="000000"/>
                <w:spacing w:val="-2"/>
                <w:sz w:val="24"/>
                <w:szCs w:val="24"/>
              </w:rPr>
              <w:t>皖政秘</w:t>
            </w:r>
            <w:r>
              <w:rPr>
                <w:rFonts w:hint="eastAsia" w:eastAsia="宋体" w:cs="Times New Roman"/>
                <w:color w:val="000000"/>
                <w:spacing w:val="-1"/>
                <w:sz w:val="24"/>
                <w:szCs w:val="24"/>
                <w:lang w:eastAsia="zh-CN"/>
              </w:rPr>
              <w:t>〔2020〕</w:t>
            </w:r>
            <w:r>
              <w:rPr>
                <w:rFonts w:hint="default" w:ascii="Times New Roman" w:hAnsi="Times New Roman" w:eastAsia="Times New Roman" w:cs="Times New Roman"/>
                <w:color w:val="000000"/>
                <w:spacing w:val="-1"/>
                <w:sz w:val="24"/>
                <w:szCs w:val="24"/>
              </w:rPr>
              <w:t>249</w:t>
            </w:r>
            <w:r>
              <w:rPr>
                <w:rFonts w:hint="default" w:ascii="宋体" w:hAnsi="宋体" w:eastAsia="宋体" w:cs="宋体"/>
                <w:color w:val="000000"/>
                <w:sz w:val="24"/>
                <w:szCs w:val="24"/>
              </w:rPr>
              <w:t>号文</w:t>
            </w:r>
          </w:p>
        </w:tc>
      </w:tr>
      <w:tr w14:paraId="18385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918" w:hRule="atLeast"/>
          <w:jc w:val="center"/>
        </w:trPr>
        <w:tc>
          <w:tcPr>
            <w:tcW w:w="686" w:type="dxa"/>
            <w:noWrap w:val="0"/>
            <w:vAlign w:val="center"/>
          </w:tcPr>
          <w:p w14:paraId="2746D249">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color w:val="auto"/>
                <w:highlight w:val="none"/>
              </w:rPr>
            </w:pPr>
            <w:r>
              <w:rPr>
                <w:rFonts w:hint="default"/>
                <w:b/>
                <w:bCs/>
                <w:color w:val="auto"/>
                <w:highlight w:val="none"/>
              </w:rPr>
              <w:t>规划环境影响评价情况</w:t>
            </w:r>
          </w:p>
        </w:tc>
        <w:tc>
          <w:tcPr>
            <w:tcW w:w="8944" w:type="dxa"/>
            <w:gridSpan w:val="4"/>
            <w:noWrap w:val="0"/>
            <w:vAlign w:val="center"/>
          </w:tcPr>
          <w:p w14:paraId="212DF8FC">
            <w:pPr>
              <w:keepNext w:val="0"/>
              <w:keepLines w:val="0"/>
              <w:suppressLineNumbers w:val="0"/>
              <w:autoSpaceDE w:val="0"/>
              <w:autoSpaceDN w:val="0"/>
              <w:spacing w:before="0" w:beforeAutospacing="0" w:after="0" w:afterAutospacing="0" w:line="355" w:lineRule="auto"/>
              <w:ind w:left="0" w:right="123"/>
              <w:rPr>
                <w:rFonts w:hint="default" w:ascii="Times New Roman" w:hAnsi="Times New Roman" w:eastAsia="宋体" w:cs="Times New Roman"/>
                <w:b w:val="0"/>
                <w:bCs/>
                <w:color w:val="000000"/>
                <w:spacing w:val="-3"/>
                <w:sz w:val="24"/>
                <w:szCs w:val="24"/>
              </w:rPr>
            </w:pPr>
            <w:r>
              <w:rPr>
                <w:rFonts w:hint="default" w:ascii="宋体" w:hAnsi="宋体" w:eastAsia="宋体" w:cs="宋体"/>
                <w:b/>
                <w:bCs w:val="0"/>
                <w:color w:val="000000"/>
                <w:spacing w:val="-3"/>
                <w:sz w:val="24"/>
                <w:szCs w:val="24"/>
              </w:rPr>
              <w:t>规划环</w:t>
            </w:r>
            <w:r>
              <w:rPr>
                <w:rFonts w:hint="default" w:ascii="Times New Roman" w:hAnsi="Times New Roman" w:eastAsia="宋体" w:cs="Times New Roman"/>
                <w:b/>
                <w:bCs w:val="0"/>
                <w:color w:val="000000"/>
                <w:spacing w:val="-3"/>
                <w:sz w:val="24"/>
                <w:szCs w:val="24"/>
              </w:rPr>
              <w:t>评文件</w:t>
            </w:r>
            <w:r>
              <w:rPr>
                <w:rFonts w:hint="default" w:ascii="Times New Roman" w:hAnsi="Times New Roman" w:cs="Times New Roman"/>
                <w:b/>
                <w:bCs w:val="0"/>
                <w:color w:val="000000"/>
                <w:spacing w:val="-3"/>
                <w:sz w:val="24"/>
                <w:szCs w:val="24"/>
                <w:lang w:eastAsia="zh-CN"/>
              </w:rPr>
              <w:t>：</w:t>
            </w:r>
            <w:r>
              <w:rPr>
                <w:rFonts w:hint="default" w:ascii="Times New Roman" w:hAnsi="Times New Roman" w:eastAsia="宋体" w:cs="Times New Roman"/>
                <w:b w:val="0"/>
                <w:bCs/>
                <w:color w:val="000000"/>
                <w:spacing w:val="-3"/>
                <w:sz w:val="24"/>
                <w:szCs w:val="24"/>
              </w:rPr>
              <w:t>《安徽五河经济开发区总体发展规划</w:t>
            </w:r>
            <w:r>
              <w:rPr>
                <w:rFonts w:hint="default" w:ascii="Times New Roman" w:hAnsi="Times New Roman" w:cs="Times New Roman"/>
                <w:b w:val="0"/>
                <w:bCs/>
                <w:color w:val="000000"/>
                <w:spacing w:val="-3"/>
                <w:sz w:val="24"/>
                <w:szCs w:val="24"/>
                <w:lang w:eastAsia="zh-CN"/>
              </w:rPr>
              <w:t>（</w:t>
            </w:r>
            <w:r>
              <w:rPr>
                <w:rFonts w:hint="default" w:ascii="Times New Roman" w:hAnsi="Times New Roman" w:eastAsia="宋体" w:cs="Times New Roman"/>
                <w:b w:val="0"/>
                <w:bCs/>
                <w:color w:val="000000"/>
                <w:spacing w:val="-3"/>
                <w:sz w:val="24"/>
                <w:szCs w:val="24"/>
              </w:rPr>
              <w:t>2012-2030年</w:t>
            </w:r>
            <w:r>
              <w:rPr>
                <w:rFonts w:hint="default" w:ascii="Times New Roman" w:hAnsi="Times New Roman" w:cs="Times New Roman"/>
                <w:b w:val="0"/>
                <w:bCs/>
                <w:color w:val="000000"/>
                <w:spacing w:val="-3"/>
                <w:sz w:val="24"/>
                <w:szCs w:val="24"/>
                <w:lang w:eastAsia="zh-CN"/>
              </w:rPr>
              <w:t>）（</w:t>
            </w:r>
            <w:r>
              <w:rPr>
                <w:rFonts w:hint="default" w:ascii="Times New Roman" w:hAnsi="Times New Roman" w:eastAsia="宋体" w:cs="Times New Roman"/>
                <w:b w:val="0"/>
                <w:bCs/>
                <w:color w:val="000000"/>
                <w:spacing w:val="-3"/>
                <w:sz w:val="24"/>
                <w:szCs w:val="24"/>
              </w:rPr>
              <w:t>修编</w:t>
            </w:r>
            <w:r>
              <w:rPr>
                <w:rFonts w:hint="default" w:ascii="Times New Roman" w:hAnsi="Times New Roman" w:cs="Times New Roman"/>
                <w:b w:val="0"/>
                <w:bCs/>
                <w:color w:val="000000"/>
                <w:spacing w:val="-3"/>
                <w:sz w:val="24"/>
                <w:szCs w:val="24"/>
                <w:lang w:eastAsia="zh-CN"/>
              </w:rPr>
              <w:t>）</w:t>
            </w:r>
            <w:r>
              <w:rPr>
                <w:rFonts w:hint="default" w:ascii="Times New Roman" w:hAnsi="Times New Roman" w:eastAsia="宋体" w:cs="Times New Roman"/>
                <w:b w:val="0"/>
                <w:bCs/>
                <w:color w:val="000000"/>
                <w:spacing w:val="-3"/>
                <w:sz w:val="24"/>
                <w:szCs w:val="24"/>
              </w:rPr>
              <w:t>环境影响报告书》</w:t>
            </w:r>
          </w:p>
          <w:p w14:paraId="73054F45">
            <w:pPr>
              <w:keepNext w:val="0"/>
              <w:keepLines w:val="0"/>
              <w:suppressLineNumbers w:val="0"/>
              <w:autoSpaceDE w:val="0"/>
              <w:autoSpaceDN w:val="0"/>
              <w:spacing w:before="0" w:beforeAutospacing="0" w:after="0" w:afterAutospacing="0" w:line="355" w:lineRule="auto"/>
              <w:ind w:left="0" w:right="123"/>
              <w:rPr>
                <w:rFonts w:hint="default" w:ascii="Times New Roman" w:hAnsi="Times New Roman" w:eastAsia="宋体" w:cs="Times New Roman"/>
                <w:b w:val="0"/>
                <w:bCs/>
                <w:color w:val="000000"/>
                <w:spacing w:val="-3"/>
                <w:sz w:val="24"/>
                <w:szCs w:val="24"/>
              </w:rPr>
            </w:pPr>
            <w:r>
              <w:rPr>
                <w:rFonts w:hint="default" w:ascii="Times New Roman" w:hAnsi="Times New Roman" w:eastAsia="宋体" w:cs="Times New Roman"/>
                <w:b/>
                <w:bCs w:val="0"/>
                <w:color w:val="000000"/>
                <w:spacing w:val="-3"/>
                <w:sz w:val="24"/>
                <w:szCs w:val="24"/>
              </w:rPr>
              <w:t>审批机关</w:t>
            </w:r>
            <w:r>
              <w:rPr>
                <w:rFonts w:hint="default" w:ascii="Times New Roman" w:hAnsi="Times New Roman" w:cs="Times New Roman"/>
                <w:b/>
                <w:bCs w:val="0"/>
                <w:color w:val="000000"/>
                <w:spacing w:val="-3"/>
                <w:sz w:val="24"/>
                <w:szCs w:val="24"/>
                <w:lang w:eastAsia="zh-CN"/>
              </w:rPr>
              <w:t>：</w:t>
            </w:r>
            <w:r>
              <w:rPr>
                <w:rFonts w:hint="default" w:ascii="Times New Roman" w:hAnsi="Times New Roman" w:eastAsia="宋体" w:cs="Times New Roman"/>
                <w:b w:val="0"/>
                <w:bCs/>
                <w:color w:val="000000"/>
                <w:spacing w:val="-3"/>
                <w:sz w:val="24"/>
                <w:szCs w:val="24"/>
              </w:rPr>
              <w:t>安徽省生态环境厅</w:t>
            </w:r>
          </w:p>
          <w:p w14:paraId="76BC2AD8">
            <w:pPr>
              <w:keepNext w:val="0"/>
              <w:keepLines w:val="0"/>
              <w:suppressLineNumbers w:val="0"/>
              <w:autoSpaceDE w:val="0"/>
              <w:autoSpaceDN w:val="0"/>
              <w:spacing w:before="0" w:beforeAutospacing="0" w:after="0" w:afterAutospacing="0" w:line="355" w:lineRule="auto"/>
              <w:ind w:left="0" w:right="123"/>
              <w:rPr>
                <w:rFonts w:hint="default" w:ascii="Times New Roman" w:hAnsi="Times New Roman" w:eastAsia="宋体" w:cs="Times New Roman"/>
                <w:b w:val="0"/>
                <w:bCs/>
                <w:color w:val="000000"/>
                <w:spacing w:val="-3"/>
                <w:sz w:val="24"/>
                <w:szCs w:val="24"/>
              </w:rPr>
            </w:pPr>
            <w:r>
              <w:rPr>
                <w:rFonts w:hint="default" w:ascii="Times New Roman" w:hAnsi="Times New Roman" w:eastAsia="宋体" w:cs="Times New Roman"/>
                <w:b/>
                <w:bCs w:val="0"/>
                <w:color w:val="000000"/>
                <w:spacing w:val="-3"/>
                <w:sz w:val="24"/>
                <w:szCs w:val="24"/>
              </w:rPr>
              <w:t>规划环评审批文件名称</w:t>
            </w:r>
            <w:r>
              <w:rPr>
                <w:rFonts w:hint="default" w:ascii="Times New Roman" w:hAnsi="Times New Roman" w:cs="Times New Roman"/>
                <w:b/>
                <w:bCs w:val="0"/>
                <w:color w:val="000000"/>
                <w:spacing w:val="-3"/>
                <w:sz w:val="24"/>
                <w:szCs w:val="24"/>
                <w:lang w:eastAsia="zh-CN"/>
              </w:rPr>
              <w:t>：</w:t>
            </w:r>
            <w:r>
              <w:rPr>
                <w:rFonts w:hint="default" w:ascii="Times New Roman" w:hAnsi="Times New Roman" w:eastAsia="宋体" w:cs="Times New Roman"/>
                <w:b w:val="0"/>
                <w:bCs/>
                <w:color w:val="000000"/>
                <w:spacing w:val="-3"/>
                <w:sz w:val="24"/>
                <w:szCs w:val="24"/>
              </w:rPr>
              <w:t>《安徽省生态环境厅关于印发&lt;安徽五河经济开发区总体发展规划</w:t>
            </w:r>
            <w:r>
              <w:rPr>
                <w:rFonts w:hint="default" w:ascii="Times New Roman" w:hAnsi="Times New Roman" w:cs="Times New Roman"/>
                <w:b w:val="0"/>
                <w:bCs/>
                <w:color w:val="000000"/>
                <w:spacing w:val="-3"/>
                <w:sz w:val="24"/>
                <w:szCs w:val="24"/>
                <w:lang w:eastAsia="zh-CN"/>
              </w:rPr>
              <w:t>（</w:t>
            </w:r>
            <w:r>
              <w:rPr>
                <w:rFonts w:hint="default" w:ascii="Times New Roman" w:hAnsi="Times New Roman" w:eastAsia="宋体" w:cs="Times New Roman"/>
                <w:b w:val="0"/>
                <w:bCs/>
                <w:color w:val="000000"/>
                <w:spacing w:val="-3"/>
                <w:sz w:val="24"/>
                <w:szCs w:val="24"/>
              </w:rPr>
              <w:t>2012-2030年</w:t>
            </w:r>
            <w:r>
              <w:rPr>
                <w:rFonts w:hint="default" w:ascii="Times New Roman" w:hAnsi="Times New Roman" w:cs="Times New Roman"/>
                <w:b w:val="0"/>
                <w:bCs/>
                <w:color w:val="000000"/>
                <w:spacing w:val="-3"/>
                <w:sz w:val="24"/>
                <w:szCs w:val="24"/>
                <w:lang w:eastAsia="zh-CN"/>
              </w:rPr>
              <w:t>）（</w:t>
            </w:r>
            <w:r>
              <w:rPr>
                <w:rFonts w:hint="default" w:ascii="Times New Roman" w:hAnsi="Times New Roman" w:eastAsia="宋体" w:cs="Times New Roman"/>
                <w:b w:val="0"/>
                <w:bCs/>
                <w:color w:val="000000"/>
                <w:spacing w:val="-3"/>
                <w:sz w:val="24"/>
                <w:szCs w:val="24"/>
              </w:rPr>
              <w:t>修编</w:t>
            </w:r>
            <w:r>
              <w:rPr>
                <w:rFonts w:hint="default" w:ascii="Times New Roman" w:hAnsi="Times New Roman" w:cs="Times New Roman"/>
                <w:b w:val="0"/>
                <w:bCs/>
                <w:color w:val="000000"/>
                <w:spacing w:val="-3"/>
                <w:sz w:val="24"/>
                <w:szCs w:val="24"/>
                <w:lang w:eastAsia="zh-CN"/>
              </w:rPr>
              <w:t>）</w:t>
            </w:r>
            <w:r>
              <w:rPr>
                <w:rFonts w:hint="default" w:ascii="Times New Roman" w:hAnsi="Times New Roman" w:eastAsia="宋体" w:cs="Times New Roman"/>
                <w:b w:val="0"/>
                <w:bCs/>
                <w:color w:val="000000"/>
                <w:spacing w:val="-3"/>
                <w:sz w:val="24"/>
                <w:szCs w:val="24"/>
              </w:rPr>
              <w:t>环境影响报告书审查意见&gt;的函》</w:t>
            </w:r>
          </w:p>
          <w:p w14:paraId="6651E254">
            <w:pPr>
              <w:keepNext w:val="0"/>
              <w:keepLines w:val="0"/>
              <w:suppressLineNumbers w:val="0"/>
              <w:autoSpaceDE w:val="0"/>
              <w:autoSpaceDN w:val="0"/>
              <w:spacing w:before="0" w:beforeAutospacing="0" w:after="0" w:afterAutospacing="0" w:line="355" w:lineRule="auto"/>
              <w:ind w:left="0" w:right="123"/>
              <w:rPr>
                <w:rFonts w:hint="default" w:eastAsia="宋体"/>
                <w:color w:val="auto"/>
                <w:highlight w:val="none"/>
                <w:lang w:val="en-US" w:eastAsia="zh-CN"/>
              </w:rPr>
            </w:pPr>
            <w:r>
              <w:rPr>
                <w:rFonts w:hint="default" w:ascii="Times New Roman" w:hAnsi="Times New Roman" w:eastAsia="宋体" w:cs="Times New Roman"/>
                <w:b/>
                <w:bCs w:val="0"/>
                <w:color w:val="000000"/>
                <w:spacing w:val="-3"/>
                <w:sz w:val="24"/>
                <w:szCs w:val="24"/>
              </w:rPr>
              <w:t>规划环评审批文号</w:t>
            </w:r>
            <w:r>
              <w:rPr>
                <w:rFonts w:hint="default" w:ascii="Times New Roman" w:hAnsi="Times New Roman" w:cs="Times New Roman"/>
                <w:b/>
                <w:bCs w:val="0"/>
                <w:color w:val="000000"/>
                <w:spacing w:val="-3"/>
                <w:sz w:val="24"/>
                <w:szCs w:val="24"/>
                <w:lang w:eastAsia="zh-CN"/>
              </w:rPr>
              <w:t>：</w:t>
            </w:r>
            <w:r>
              <w:rPr>
                <w:rFonts w:hint="default" w:ascii="Times New Roman" w:hAnsi="Times New Roman" w:eastAsia="宋体" w:cs="Times New Roman"/>
                <w:b w:val="0"/>
                <w:bCs/>
                <w:color w:val="000000"/>
                <w:spacing w:val="-3"/>
                <w:sz w:val="24"/>
                <w:szCs w:val="24"/>
              </w:rPr>
              <w:t>皖环函</w:t>
            </w:r>
            <w:r>
              <w:rPr>
                <w:rFonts w:hint="default" w:ascii="Times New Roman" w:hAnsi="Times New Roman" w:cs="Times New Roman"/>
                <w:b w:val="0"/>
                <w:bCs/>
                <w:color w:val="000000"/>
                <w:spacing w:val="-3"/>
                <w:sz w:val="24"/>
                <w:szCs w:val="24"/>
                <w:lang w:eastAsia="zh-CN"/>
              </w:rPr>
              <w:t>〔2020〕501号</w:t>
            </w:r>
          </w:p>
        </w:tc>
      </w:tr>
      <w:tr w14:paraId="3729B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22" w:hRule="atLeast"/>
          <w:jc w:val="center"/>
        </w:trPr>
        <w:tc>
          <w:tcPr>
            <w:tcW w:w="686" w:type="dxa"/>
            <w:noWrap w:val="0"/>
            <w:vAlign w:val="center"/>
          </w:tcPr>
          <w:p w14:paraId="7B91E517">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color w:val="auto"/>
                <w:highlight w:val="none"/>
              </w:rPr>
            </w:pPr>
            <w:r>
              <w:rPr>
                <w:rFonts w:hint="default"/>
                <w:b/>
                <w:bCs/>
                <w:color w:val="auto"/>
                <w:highlight w:val="none"/>
              </w:rPr>
              <w:t>规划及规划环境影响评价符合性分析</w:t>
            </w:r>
          </w:p>
        </w:tc>
        <w:tc>
          <w:tcPr>
            <w:tcW w:w="8944" w:type="dxa"/>
            <w:gridSpan w:val="4"/>
            <w:noWrap w:val="0"/>
            <w:vAlign w:val="center"/>
          </w:tcPr>
          <w:p w14:paraId="2CAAA428">
            <w:pPr>
              <w:pStyle w:val="56"/>
              <w:keepNext w:val="0"/>
              <w:keepLines w:val="0"/>
              <w:suppressLineNumbers w:val="0"/>
              <w:spacing w:before="119" w:beforeAutospacing="0" w:after="0" w:afterAutospacing="0" w:line="219" w:lineRule="auto"/>
              <w:ind w:left="612" w:right="0"/>
              <w:rPr>
                <w:rFonts w:hint="default"/>
                <w:b/>
                <w:bCs/>
              </w:rPr>
            </w:pPr>
            <w:r>
              <w:rPr>
                <w:rFonts w:hint="default" w:ascii="Times New Roman" w:hAnsi="Times New Roman" w:eastAsia="Times New Roman" w:cs="Times New Roman"/>
                <w:b/>
                <w:bCs/>
                <w:spacing w:val="-7"/>
              </w:rPr>
              <w:t>1</w:t>
            </w:r>
            <w:r>
              <w:rPr>
                <w:rFonts w:hint="default"/>
                <w:b/>
                <w:bCs/>
                <w:spacing w:val="-7"/>
              </w:rPr>
              <w:t>、规划符合性分析</w:t>
            </w:r>
          </w:p>
          <w:p w14:paraId="78991FFD">
            <w:pPr>
              <w:pStyle w:val="56"/>
              <w:keepNext w:val="0"/>
              <w:keepLines w:val="0"/>
              <w:suppressLineNumbers w:val="0"/>
              <w:spacing w:before="182" w:beforeAutospacing="0" w:after="0" w:afterAutospacing="0" w:line="360" w:lineRule="auto"/>
              <w:ind w:left="113" w:right="46" w:firstLine="483"/>
              <w:rPr>
                <w:rFonts w:hint="default"/>
              </w:rPr>
            </w:pPr>
            <w:r>
              <w:rPr>
                <w:rFonts w:hint="default"/>
                <w:spacing w:val="-2"/>
              </w:rPr>
              <w:t>五河经济开发区划分为两个区块，区块一：东起徐明高速，西至头安</w:t>
            </w:r>
            <w:r>
              <w:rPr>
                <w:rFonts w:hint="default"/>
                <w:spacing w:val="-3"/>
              </w:rPr>
              <w:t>路，南起南</w:t>
            </w:r>
            <w:r>
              <w:rPr>
                <w:rFonts w:hint="default"/>
                <w:spacing w:val="-8"/>
              </w:rPr>
              <w:t>环线，北至龙潭湖大沟，面积为</w:t>
            </w:r>
            <w:r>
              <w:rPr>
                <w:rFonts w:hint="default" w:ascii="Times New Roman" w:hAnsi="Times New Roman" w:eastAsia="Times New Roman" w:cs="Times New Roman"/>
                <w:spacing w:val="-8"/>
              </w:rPr>
              <w:t>445.15</w:t>
            </w:r>
            <w:r>
              <w:rPr>
                <w:rFonts w:hint="default"/>
                <w:spacing w:val="-8"/>
              </w:rPr>
              <w:t>公顷。区块二：东起青年南路，西至徐明高</w:t>
            </w:r>
            <w:r>
              <w:rPr>
                <w:rFonts w:hint="default"/>
                <w:spacing w:val="-9"/>
              </w:rPr>
              <w:t>速，</w:t>
            </w:r>
            <w:r>
              <w:rPr>
                <w:rFonts w:hint="default"/>
                <w:spacing w:val="-1"/>
              </w:rPr>
              <w:t>南起南环线，北至惠明路</w:t>
            </w:r>
            <w:r>
              <w:rPr>
                <w:rFonts w:hint="eastAsia"/>
                <w:spacing w:val="-1"/>
                <w:lang w:eastAsia="zh-CN"/>
              </w:rPr>
              <w:t>，</w:t>
            </w:r>
            <w:r>
              <w:rPr>
                <w:rFonts w:hint="default"/>
                <w:spacing w:val="-1"/>
              </w:rPr>
              <w:t>面积为</w:t>
            </w:r>
            <w:r>
              <w:rPr>
                <w:rFonts w:hint="default" w:ascii="Times New Roman" w:hAnsi="Times New Roman" w:eastAsia="Times New Roman" w:cs="Times New Roman"/>
                <w:spacing w:val="-1"/>
              </w:rPr>
              <w:t>796.21</w:t>
            </w:r>
            <w:r>
              <w:rPr>
                <w:rFonts w:hint="default"/>
                <w:spacing w:val="-1"/>
              </w:rPr>
              <w:t>公顷。本项目位于</w:t>
            </w:r>
            <w:r>
              <w:rPr>
                <w:rFonts w:hint="eastAsia"/>
                <w:spacing w:val="-1"/>
                <w:lang w:eastAsia="zh-CN"/>
              </w:rPr>
              <w:t>安徽省蚌埠市五河县开发区彩虹大道与兴潼路交口西80米</w:t>
            </w:r>
            <w:r>
              <w:rPr>
                <w:rFonts w:hint="default"/>
                <w:spacing w:val="2"/>
              </w:rPr>
              <w:t>，位于区块二，属于规划的工业</w:t>
            </w:r>
            <w:r>
              <w:rPr>
                <w:rFonts w:hint="default"/>
                <w:spacing w:val="1"/>
              </w:rPr>
              <w:t>用地。</w:t>
            </w:r>
            <w:r>
              <w:rPr>
                <w:rFonts w:hint="default"/>
              </w:rPr>
              <w:t>本项目位于安徽五河经济开发区，根据《安徽五</w:t>
            </w:r>
            <w:r>
              <w:rPr>
                <w:rFonts w:hint="default"/>
                <w:spacing w:val="-1"/>
              </w:rPr>
              <w:t>河经济开发区总体发展规划（</w:t>
            </w:r>
            <w:r>
              <w:rPr>
                <w:rFonts w:hint="default" w:ascii="Times New Roman" w:hAnsi="Times New Roman" w:eastAsia="Times New Roman" w:cs="Times New Roman"/>
                <w:spacing w:val="-1"/>
              </w:rPr>
              <w:t>2012-2030</w:t>
            </w:r>
            <w:r>
              <w:rPr>
                <w:rFonts w:hint="default"/>
                <w:spacing w:val="-1"/>
              </w:rPr>
              <w:t>年</w:t>
            </w:r>
            <w:r>
              <w:rPr>
                <w:rFonts w:hint="default"/>
                <w:spacing w:val="-36"/>
              </w:rPr>
              <w:t>）（</w:t>
            </w:r>
            <w:r>
              <w:rPr>
                <w:rFonts w:hint="default"/>
                <w:spacing w:val="-1"/>
              </w:rPr>
              <w:t>修编）环境影响报告书》以及《安徽省生态环境厅关</w:t>
            </w:r>
            <w:r>
              <w:rPr>
                <w:rFonts w:hint="default"/>
                <w:spacing w:val="-2"/>
              </w:rPr>
              <w:t>于印发</w:t>
            </w:r>
            <w:r>
              <w:rPr>
                <w:rFonts w:hint="default" w:ascii="Times New Roman" w:hAnsi="Times New Roman" w:eastAsia="Times New Roman" w:cs="Times New Roman"/>
                <w:spacing w:val="-2"/>
              </w:rPr>
              <w:t>&lt;</w:t>
            </w:r>
            <w:r>
              <w:rPr>
                <w:rFonts w:hint="default"/>
                <w:spacing w:val="-2"/>
              </w:rPr>
              <w:t>安徽</w:t>
            </w:r>
            <w:r>
              <w:rPr>
                <w:rFonts w:hint="default"/>
                <w:spacing w:val="-3"/>
              </w:rPr>
              <w:t>五河经济开发区总体发展规划（</w:t>
            </w:r>
            <w:r>
              <w:rPr>
                <w:rFonts w:hint="default" w:ascii="Times New Roman" w:hAnsi="Times New Roman" w:eastAsia="Times New Roman" w:cs="Times New Roman"/>
                <w:spacing w:val="-3"/>
              </w:rPr>
              <w:t>2012-2030</w:t>
            </w:r>
            <w:r>
              <w:rPr>
                <w:rFonts w:hint="default"/>
                <w:spacing w:val="-4"/>
              </w:rPr>
              <w:t>年</w:t>
            </w:r>
            <w:r>
              <w:rPr>
                <w:rFonts w:hint="default"/>
                <w:spacing w:val="-62"/>
                <w:w w:val="90"/>
              </w:rPr>
              <w:t>）（</w:t>
            </w:r>
            <w:r>
              <w:rPr>
                <w:rFonts w:hint="default"/>
                <w:spacing w:val="-4"/>
              </w:rPr>
              <w:t>修编）环境影响报告书审查意见</w:t>
            </w:r>
            <w:r>
              <w:rPr>
                <w:rFonts w:hint="default" w:ascii="Times New Roman" w:hAnsi="Times New Roman" w:eastAsia="Times New Roman" w:cs="Times New Roman"/>
                <w:spacing w:val="-4"/>
              </w:rPr>
              <w:t>&gt;</w:t>
            </w:r>
            <w:r>
              <w:rPr>
                <w:rFonts w:hint="default"/>
                <w:spacing w:val="-4"/>
              </w:rPr>
              <w:t>的</w:t>
            </w:r>
            <w:r>
              <w:rPr>
                <w:rFonts w:hint="default"/>
                <w:spacing w:val="-1"/>
              </w:rPr>
              <w:t>函》皖环</w:t>
            </w:r>
            <w:r>
              <w:rPr>
                <w:rFonts w:hint="default" w:ascii="Times New Roman" w:hAnsi="Times New Roman" w:cs="Times New Roman"/>
                <w:spacing w:val="-1"/>
              </w:rPr>
              <w:t>函</w:t>
            </w:r>
            <w:r>
              <w:rPr>
                <w:rFonts w:hint="default" w:ascii="Times New Roman" w:hAnsi="Times New Roman" w:cs="Times New Roman"/>
                <w:spacing w:val="-1"/>
                <w:lang w:eastAsia="zh-CN"/>
              </w:rPr>
              <w:t>〔2020〕501号</w:t>
            </w:r>
            <w:r>
              <w:rPr>
                <w:rFonts w:hint="default" w:ascii="Times New Roman" w:hAnsi="Times New Roman" w:cs="Times New Roman"/>
                <w:spacing w:val="-1"/>
              </w:rPr>
              <w:t>批复，五河经济开发区主导产业：纺织服装、机械制造、</w:t>
            </w:r>
            <w:r>
              <w:rPr>
                <w:rFonts w:hint="default" w:ascii="Times New Roman" w:hAnsi="Times New Roman" w:cs="Times New Roman"/>
                <w:spacing w:val="-2"/>
              </w:rPr>
              <w:t>农产品加工业。</w:t>
            </w:r>
          </w:p>
          <w:p w14:paraId="465810FF">
            <w:pPr>
              <w:pStyle w:val="56"/>
              <w:keepNext w:val="0"/>
              <w:keepLines w:val="0"/>
              <w:pageBreakBefore w:val="0"/>
              <w:suppressLineNumbers w:val="0"/>
              <w:wordWrap/>
              <w:overflowPunct/>
              <w:topLinePunct w:val="0"/>
              <w:bidi w:val="0"/>
              <w:spacing w:before="0" w:beforeAutospacing="0" w:after="0" w:afterAutospacing="0" w:line="360" w:lineRule="auto"/>
              <w:ind w:left="112" w:right="8" w:firstLine="480"/>
              <w:jc w:val="both"/>
              <w:rPr>
                <w:rFonts w:hint="default"/>
              </w:rPr>
            </w:pPr>
            <w:r>
              <w:rPr>
                <w:rFonts w:hint="default"/>
                <w:spacing w:val="-1"/>
              </w:rPr>
              <w:t>产业准入负面清单</w:t>
            </w:r>
            <w:r>
              <w:rPr>
                <w:rFonts w:hint="default"/>
                <w:spacing w:val="-27"/>
              </w:rPr>
              <w:t>：（</w:t>
            </w:r>
            <w:r>
              <w:rPr>
                <w:rFonts w:hint="default" w:ascii="Times New Roman" w:hAnsi="Times New Roman" w:eastAsia="Times New Roman" w:cs="Times New Roman"/>
                <w:spacing w:val="-1"/>
              </w:rPr>
              <w:t>1</w:t>
            </w:r>
            <w:r>
              <w:rPr>
                <w:rFonts w:hint="default"/>
                <w:spacing w:val="-1"/>
              </w:rPr>
              <w:t>）除必须实施的防洪护岸、河道治理、供水、航</w:t>
            </w:r>
            <w:r>
              <w:rPr>
                <w:rFonts w:hint="default"/>
                <w:spacing w:val="-2"/>
              </w:rPr>
              <w:t>道整治、港口码头及集疏运通道、道路及跨江桥隧、公共管理、生态环境治理、国家重要基础设施等事关公共安全和公众利益建设项目，以及淮河岸线规划确定的城市建设区内非</w:t>
            </w:r>
            <w:r>
              <w:rPr>
                <w:rFonts w:hint="default"/>
              </w:rPr>
              <w:t>工业项目外，严禁淮河干流岸线一公里范围内新建工业项目。</w:t>
            </w:r>
            <w:r>
              <w:rPr>
                <w:rFonts w:hint="default"/>
                <w:spacing w:val="-1"/>
              </w:rPr>
              <w:t>（</w:t>
            </w:r>
            <w:r>
              <w:rPr>
                <w:rFonts w:hint="default" w:ascii="Times New Roman" w:hAnsi="Times New Roman" w:eastAsia="Times New Roman" w:cs="Times New Roman"/>
                <w:spacing w:val="-1"/>
              </w:rPr>
              <w:t>2</w:t>
            </w:r>
            <w:r>
              <w:rPr>
                <w:rFonts w:hint="default"/>
                <w:spacing w:val="-1"/>
              </w:rPr>
              <w:t>）严格控制非主导</w:t>
            </w:r>
            <w:r>
              <w:rPr>
                <w:rFonts w:hint="default"/>
              </w:rPr>
              <w:t>产业类项目入区。（</w:t>
            </w:r>
            <w:r>
              <w:rPr>
                <w:rFonts w:hint="default" w:ascii="Times New Roman" w:hAnsi="Times New Roman" w:eastAsia="Times New Roman" w:cs="Times New Roman"/>
              </w:rPr>
              <w:t>3</w:t>
            </w:r>
            <w:r>
              <w:rPr>
                <w:rFonts w:hint="default"/>
              </w:rPr>
              <w:t>）禁止引入酸、碱、肥料、农药以及化</w:t>
            </w:r>
            <w:r>
              <w:rPr>
                <w:rFonts w:hint="default"/>
                <w:spacing w:val="-1"/>
              </w:rPr>
              <w:t>学合成制药等污染严重</w:t>
            </w:r>
            <w:r>
              <w:rPr>
                <w:rFonts w:hint="default"/>
              </w:rPr>
              <w:t>的化工项目。（</w:t>
            </w:r>
            <w:r>
              <w:rPr>
                <w:rFonts w:hint="default" w:ascii="Times New Roman" w:hAnsi="Times New Roman" w:eastAsia="Times New Roman" w:cs="Times New Roman"/>
              </w:rPr>
              <w:t>4</w:t>
            </w:r>
            <w:r>
              <w:rPr>
                <w:rFonts w:hint="default"/>
              </w:rPr>
              <w:t>）禁止引入包括钢铁、有色金属原矿冶炼、</w:t>
            </w:r>
            <w:r>
              <w:rPr>
                <w:rFonts w:hint="default"/>
                <w:spacing w:val="-1"/>
              </w:rPr>
              <w:t>石化、焦化、水泥、原</w:t>
            </w:r>
            <w:r>
              <w:rPr>
                <w:rFonts w:hint="default"/>
              </w:rPr>
              <w:t>浆造纸、制革、平板玻璃和非金属矿原矿加工等项目。（</w:t>
            </w:r>
            <w:r>
              <w:rPr>
                <w:rFonts w:hint="default" w:ascii="Times New Roman" w:hAnsi="Times New Roman" w:eastAsia="Times New Roman" w:cs="Times New Roman"/>
              </w:rPr>
              <w:t>5</w:t>
            </w:r>
            <w:r>
              <w:rPr>
                <w:rFonts w:hint="default"/>
              </w:rPr>
              <w:t>）</w:t>
            </w:r>
            <w:r>
              <w:rPr>
                <w:rFonts w:hint="default"/>
                <w:spacing w:val="-1"/>
              </w:rPr>
              <w:t>禁止引入涉及电镀生产</w:t>
            </w:r>
            <w:r>
              <w:rPr>
                <w:rFonts w:hint="default"/>
              </w:rPr>
              <w:t>工艺的机械制造项目。（</w:t>
            </w:r>
            <w:r>
              <w:rPr>
                <w:rFonts w:hint="default" w:ascii="Times New Roman" w:hAnsi="Times New Roman" w:eastAsia="Times New Roman" w:cs="Times New Roman"/>
              </w:rPr>
              <w:t>6</w:t>
            </w:r>
            <w:r>
              <w:rPr>
                <w:rFonts w:hint="default"/>
              </w:rPr>
              <w:t>）引入印染行业应仅用于配套开发</w:t>
            </w:r>
            <w:r>
              <w:rPr>
                <w:rFonts w:hint="default"/>
                <w:spacing w:val="-1"/>
              </w:rPr>
              <w:t>区内纺织服装项目，并</w:t>
            </w:r>
            <w:r>
              <w:rPr>
                <w:rFonts w:hint="default"/>
                <w:spacing w:val="-8"/>
              </w:rPr>
              <w:t>严格控制规模，需符合国家产业政策、印染行</w:t>
            </w:r>
            <w:r>
              <w:rPr>
                <w:rFonts w:hint="default"/>
                <w:spacing w:val="-9"/>
              </w:rPr>
              <w:t>业规范条件，实行污染物减量替代。（</w:t>
            </w:r>
            <w:r>
              <w:rPr>
                <w:rFonts w:hint="default" w:ascii="Times New Roman" w:hAnsi="Times New Roman" w:eastAsia="Times New Roman" w:cs="Times New Roman"/>
                <w:spacing w:val="-9"/>
              </w:rPr>
              <w:t>7</w:t>
            </w:r>
            <w:r>
              <w:rPr>
                <w:rFonts w:hint="default"/>
                <w:spacing w:val="-9"/>
              </w:rPr>
              <w:t>）</w:t>
            </w:r>
            <w:r>
              <w:rPr>
                <w:rFonts w:hint="default"/>
              </w:rPr>
              <w:t>严格控制高污染高能耗、工艺技术门槛低、产品附加值低的项</w:t>
            </w:r>
            <w:r>
              <w:rPr>
                <w:rFonts w:hint="default"/>
                <w:spacing w:val="-1"/>
              </w:rPr>
              <w:t>目引入。（</w:t>
            </w:r>
            <w:r>
              <w:rPr>
                <w:rFonts w:hint="default" w:ascii="Times New Roman" w:hAnsi="Times New Roman" w:eastAsia="Times New Roman" w:cs="Times New Roman"/>
                <w:spacing w:val="-1"/>
              </w:rPr>
              <w:t>8</w:t>
            </w:r>
            <w:r>
              <w:rPr>
                <w:rFonts w:hint="default"/>
                <w:spacing w:val="-1"/>
              </w:rPr>
              <w:t>）为主导</w:t>
            </w:r>
            <w:r>
              <w:rPr>
                <w:rFonts w:hint="default"/>
                <w:spacing w:val="-2"/>
              </w:rPr>
              <w:t>产业及配套的上下游及延伸产业链项目的，其生产工艺、设备、污染治理技术等应严</w:t>
            </w:r>
            <w:r>
              <w:rPr>
                <w:rFonts w:hint="default"/>
                <w:spacing w:val="-1"/>
              </w:rPr>
              <w:t>格符合国</w:t>
            </w:r>
            <w:r>
              <w:rPr>
                <w:rFonts w:hint="eastAsia"/>
                <w:spacing w:val="-1"/>
                <w:lang w:eastAsia="zh-CN"/>
              </w:rPr>
              <w:t>家和</w:t>
            </w:r>
            <w:r>
              <w:rPr>
                <w:rFonts w:hint="default"/>
                <w:spacing w:val="-1"/>
              </w:rPr>
              <w:t>地方现行环保相关要求。</w:t>
            </w:r>
          </w:p>
          <w:p w14:paraId="489E0E4A">
            <w:pPr>
              <w:pStyle w:val="56"/>
              <w:keepNext w:val="0"/>
              <w:keepLines w:val="0"/>
              <w:pageBreakBefore w:val="0"/>
              <w:suppressLineNumbers w:val="0"/>
              <w:wordWrap/>
              <w:overflowPunct/>
              <w:topLinePunct w:val="0"/>
              <w:bidi w:val="0"/>
              <w:spacing w:before="1" w:beforeAutospacing="0" w:after="0" w:afterAutospacing="0" w:line="360" w:lineRule="auto"/>
              <w:ind w:left="594" w:right="0"/>
              <w:rPr>
                <w:rFonts w:hint="default"/>
              </w:rPr>
            </w:pPr>
            <w:r>
              <w:rPr>
                <w:rFonts w:hint="default"/>
                <w:spacing w:val="-1"/>
              </w:rPr>
              <w:t>本项目属于化纤织造加工，属于纺织业，为开发区主导行业。</w:t>
            </w:r>
          </w:p>
          <w:p w14:paraId="26427456">
            <w:pPr>
              <w:pStyle w:val="56"/>
              <w:keepNext w:val="0"/>
              <w:keepLines w:val="0"/>
              <w:pageBreakBefore w:val="0"/>
              <w:suppressLineNumbers w:val="0"/>
              <w:wordWrap/>
              <w:overflowPunct/>
              <w:topLinePunct w:val="0"/>
              <w:bidi w:val="0"/>
              <w:spacing w:before="184" w:beforeAutospacing="0" w:after="0" w:afterAutospacing="0" w:line="360" w:lineRule="auto"/>
              <w:ind w:left="589" w:right="0"/>
              <w:rPr>
                <w:rFonts w:hint="default"/>
                <w:b/>
                <w:bCs/>
              </w:rPr>
            </w:pPr>
            <w:r>
              <w:rPr>
                <w:rFonts w:hint="default" w:ascii="Times New Roman" w:hAnsi="Times New Roman" w:eastAsia="Times New Roman" w:cs="Times New Roman"/>
                <w:b/>
                <w:bCs/>
                <w:spacing w:val="-3"/>
              </w:rPr>
              <w:t>2</w:t>
            </w:r>
            <w:r>
              <w:rPr>
                <w:rFonts w:hint="default"/>
                <w:b/>
                <w:bCs/>
                <w:spacing w:val="-3"/>
              </w:rPr>
              <w:t>、规划环境影响评价符合性</w:t>
            </w:r>
          </w:p>
          <w:p w14:paraId="4A81045F">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jc w:val="center"/>
              <w:textAlignment w:val="baseline"/>
              <w:rPr>
                <w:rFonts w:hint="eastAsia" w:ascii="Times New Roman" w:hAnsi="Times New Roman"/>
                <w:b w:val="0"/>
                <w:sz w:val="20"/>
                <w:szCs w:val="20"/>
                <w:lang w:val="en-US" w:eastAsia="zh-CN"/>
              </w:rPr>
            </w:pPr>
            <w:r>
              <w:rPr>
                <w:rFonts w:hint="default"/>
                <w:b/>
                <w:bCs/>
                <w:spacing w:val="-2"/>
              </w:rPr>
              <w:t>表</w:t>
            </w:r>
            <w:r>
              <w:rPr>
                <w:rFonts w:hint="default" w:ascii="Times New Roman" w:hAnsi="Times New Roman" w:eastAsia="Times New Roman" w:cs="Times New Roman"/>
                <w:b/>
                <w:bCs/>
                <w:spacing w:val="-2"/>
              </w:rPr>
              <w:t>1-2</w:t>
            </w:r>
            <w:r>
              <w:rPr>
                <w:rFonts w:hint="default"/>
                <w:b/>
                <w:bCs/>
                <w:spacing w:val="-2"/>
              </w:rPr>
              <w:t>本项目与区域规划环评审查意见</w:t>
            </w:r>
            <w:r>
              <w:rPr>
                <w:rFonts w:hint="eastAsia"/>
                <w:b/>
                <w:bCs/>
                <w:spacing w:val="-2"/>
                <w:lang w:eastAsia="zh-CN"/>
              </w:rPr>
              <w:t>（</w:t>
            </w:r>
            <w:r>
              <w:rPr>
                <w:rFonts w:hint="default"/>
                <w:b/>
                <w:bCs/>
                <w:spacing w:val="-2"/>
              </w:rPr>
              <w:t>皖环函</w:t>
            </w:r>
            <w:r>
              <w:rPr>
                <w:rFonts w:hint="default" w:ascii="Times New Roman" w:hAnsi="Times New Roman" w:eastAsia="Times New Roman" w:cs="Times New Roman"/>
                <w:b/>
                <w:bCs/>
                <w:spacing w:val="-2"/>
              </w:rPr>
              <w:t>12</w:t>
            </w:r>
            <w:r>
              <w:rPr>
                <w:rFonts w:hint="default" w:ascii="Times New Roman" w:hAnsi="Times New Roman" w:eastAsia="Times New Roman" w:cs="Times New Roman"/>
                <w:b/>
                <w:bCs/>
                <w:spacing w:val="-3"/>
              </w:rPr>
              <w:t>0201501</w:t>
            </w:r>
            <w:r>
              <w:rPr>
                <w:rFonts w:hint="default"/>
                <w:b/>
                <w:bCs/>
                <w:spacing w:val="-3"/>
              </w:rPr>
              <w:t>号</w:t>
            </w:r>
            <w:r>
              <w:rPr>
                <w:rFonts w:hint="eastAsia"/>
                <w:b/>
                <w:bCs/>
                <w:spacing w:val="-3"/>
                <w:lang w:eastAsia="zh-CN"/>
              </w:rPr>
              <w:t>）</w:t>
            </w:r>
            <w:r>
              <w:rPr>
                <w:rFonts w:hint="default"/>
                <w:b/>
                <w:bCs/>
                <w:spacing w:val="-3"/>
              </w:rPr>
              <w:t>相符性分析一览表</w:t>
            </w:r>
          </w:p>
          <w:tbl>
            <w:tblPr>
              <w:tblStyle w:val="40"/>
              <w:tblW w:w="90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9"/>
              <w:gridCol w:w="4526"/>
              <w:gridCol w:w="3335"/>
              <w:gridCol w:w="537"/>
            </w:tblGrid>
            <w:tr w14:paraId="32588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639" w:type="dxa"/>
                  <w:tcBorders>
                    <w:top w:val="single" w:color="000000" w:sz="12" w:space="0"/>
                    <w:left w:val="nil"/>
                    <w:bottom w:val="single" w:color="auto" w:sz="4" w:space="0"/>
                    <w:right w:val="single" w:color="auto" w:sz="4" w:space="0"/>
                    <w:tl2br w:val="nil"/>
                  </w:tcBorders>
                  <w:shd w:val="clear" w:color="auto" w:fill="FFFFFF"/>
                  <w:vAlign w:val="center"/>
                </w:tcPr>
                <w:p w14:paraId="098F9178">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leftChars="0" w:right="0"/>
                    <w:jc w:val="center"/>
                    <w:textAlignment w:val="baseline"/>
                    <w:rPr>
                      <w:rFonts w:hint="eastAsia" w:ascii="Times New Roman" w:hAnsi="Times New Roman" w:eastAsia="宋体"/>
                      <w:b w:val="0"/>
                      <w:sz w:val="20"/>
                      <w:szCs w:val="20"/>
                      <w:lang w:val="en-US" w:eastAsia="zh-CN"/>
                    </w:rPr>
                  </w:pPr>
                  <w:r>
                    <w:rPr>
                      <w:rFonts w:hint="eastAsia" w:ascii="Times New Roman" w:hAnsi="Times New Roman"/>
                      <w:b w:val="0"/>
                      <w:sz w:val="20"/>
                      <w:szCs w:val="20"/>
                      <w:lang w:val="en-US" w:eastAsia="zh-CN"/>
                    </w:rPr>
                    <w:t>序号</w:t>
                  </w:r>
                </w:p>
              </w:tc>
              <w:tc>
                <w:tcPr>
                  <w:tcW w:w="4526" w:type="dxa"/>
                  <w:tcBorders>
                    <w:top w:val="single" w:color="000000" w:sz="12" w:space="0"/>
                    <w:left w:val="single" w:color="auto" w:sz="4" w:space="0"/>
                    <w:bottom w:val="single" w:color="auto" w:sz="4" w:space="0"/>
                    <w:right w:val="single" w:color="auto" w:sz="4" w:space="0"/>
                  </w:tcBorders>
                  <w:shd w:val="clear" w:color="auto" w:fill="FFFFFF"/>
                  <w:vAlign w:val="center"/>
                </w:tcPr>
                <w:p w14:paraId="41B5DB73">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leftChars="0" w:right="0"/>
                    <w:jc w:val="center"/>
                    <w:textAlignment w:val="baseline"/>
                    <w:rPr>
                      <w:rFonts w:hint="default" w:ascii="Times New Roman" w:hAnsi="Times New Roman" w:eastAsia="宋体"/>
                      <w:b w:val="0"/>
                      <w:bCs/>
                      <w:spacing w:val="3"/>
                      <w:sz w:val="20"/>
                      <w:szCs w:val="20"/>
                    </w:rPr>
                  </w:pPr>
                  <w:r>
                    <w:rPr>
                      <w:rFonts w:hint="default" w:ascii="Times New Roman" w:hAnsi="Times New Roman" w:eastAsia="宋体"/>
                      <w:b w:val="0"/>
                      <w:bCs/>
                      <w:spacing w:val="3"/>
                      <w:sz w:val="20"/>
                      <w:szCs w:val="20"/>
                    </w:rPr>
                    <w:t>审查意见</w:t>
                  </w:r>
                </w:p>
              </w:tc>
              <w:tc>
                <w:tcPr>
                  <w:tcW w:w="3335" w:type="dxa"/>
                  <w:tcBorders>
                    <w:top w:val="single" w:color="000000" w:sz="12" w:space="0"/>
                    <w:left w:val="single" w:color="auto" w:sz="4" w:space="0"/>
                    <w:bottom w:val="single" w:color="auto" w:sz="4" w:space="0"/>
                    <w:right w:val="single" w:color="auto" w:sz="4" w:space="0"/>
                  </w:tcBorders>
                  <w:shd w:val="clear" w:color="auto" w:fill="FFFFFF"/>
                  <w:vAlign w:val="center"/>
                </w:tcPr>
                <w:p w14:paraId="10DD20B9">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7" w:lineRule="auto"/>
                    <w:ind w:left="0" w:leftChars="0" w:right="0"/>
                    <w:jc w:val="center"/>
                    <w:textAlignment w:val="baseline"/>
                    <w:rPr>
                      <w:rFonts w:hint="default" w:ascii="Times New Roman" w:hAnsi="Times New Roman" w:eastAsia="宋体"/>
                      <w:b w:val="0"/>
                      <w:sz w:val="20"/>
                      <w:szCs w:val="20"/>
                    </w:rPr>
                  </w:pPr>
                  <w:r>
                    <w:rPr>
                      <w:rFonts w:hint="default" w:ascii="Times New Roman" w:hAnsi="Times New Roman" w:eastAsia="宋体"/>
                      <w:b w:val="0"/>
                      <w:bCs/>
                      <w:spacing w:val="6"/>
                      <w:sz w:val="20"/>
                      <w:szCs w:val="20"/>
                    </w:rPr>
                    <w:t>本项目情况</w:t>
                  </w:r>
                </w:p>
              </w:tc>
              <w:tc>
                <w:tcPr>
                  <w:tcW w:w="537" w:type="dxa"/>
                  <w:tcBorders>
                    <w:top w:val="single" w:color="000000" w:sz="12" w:space="0"/>
                    <w:left w:val="single" w:color="auto" w:sz="4" w:space="0"/>
                    <w:bottom w:val="single" w:color="auto" w:sz="4" w:space="0"/>
                    <w:right w:val="nil"/>
                  </w:tcBorders>
                  <w:shd w:val="clear" w:color="auto" w:fill="FFFFFF"/>
                  <w:textDirection w:val="tbRlV"/>
                  <w:vAlign w:val="center"/>
                </w:tcPr>
                <w:p w14:paraId="626D111B">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15" w:lineRule="auto"/>
                    <w:ind w:left="0" w:right="0"/>
                    <w:jc w:val="center"/>
                    <w:textAlignment w:val="baseline"/>
                    <w:rPr>
                      <w:rFonts w:hint="default" w:ascii="Times New Roman" w:hAnsi="Times New Roman" w:eastAsia="宋体"/>
                      <w:b w:val="0"/>
                      <w:sz w:val="20"/>
                      <w:szCs w:val="20"/>
                    </w:rPr>
                  </w:pPr>
                  <w:r>
                    <w:rPr>
                      <w:rFonts w:hint="default" w:ascii="Times New Roman" w:hAnsi="Times New Roman" w:eastAsia="宋体"/>
                      <w:b w:val="0"/>
                      <w:bCs/>
                      <w:spacing w:val="6"/>
                      <w:sz w:val="20"/>
                      <w:szCs w:val="20"/>
                    </w:rPr>
                    <w:t>符合性</w:t>
                  </w:r>
                </w:p>
              </w:tc>
            </w:tr>
            <w:tr w14:paraId="33C66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4" w:hRule="atLeast"/>
              </w:trPr>
              <w:tc>
                <w:tcPr>
                  <w:tcW w:w="639" w:type="dxa"/>
                  <w:tcBorders>
                    <w:top w:val="single" w:color="auto" w:sz="4" w:space="0"/>
                    <w:left w:val="nil"/>
                    <w:bottom w:val="single" w:color="auto" w:sz="4" w:space="0"/>
                    <w:right w:val="single" w:color="auto" w:sz="4" w:space="0"/>
                  </w:tcBorders>
                  <w:shd w:val="clear" w:color="auto" w:fill="FFFFFF"/>
                  <w:vAlign w:val="center"/>
                </w:tcPr>
                <w:p w14:paraId="17CD5AB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5" w:lineRule="auto"/>
                    <w:ind w:left="0" w:right="0"/>
                    <w:jc w:val="center"/>
                    <w:textAlignment w:val="baseline"/>
                    <w:rPr>
                      <w:rFonts w:hint="default" w:ascii="Times New Roman" w:hAnsi="Times New Roman" w:eastAsia="宋体" w:cs="Times New Roman"/>
                      <w:b w:val="0"/>
                      <w:sz w:val="20"/>
                      <w:szCs w:val="20"/>
                    </w:rPr>
                  </w:pPr>
                  <w:r>
                    <w:rPr>
                      <w:rFonts w:hint="default" w:ascii="Times New Roman" w:hAnsi="Times New Roman" w:eastAsia="宋体" w:cs="Times New Roman"/>
                      <w:b w:val="0"/>
                      <w:sz w:val="20"/>
                      <w:szCs w:val="20"/>
                    </w:rPr>
                    <w:t>1</w:t>
                  </w:r>
                </w:p>
              </w:tc>
              <w:tc>
                <w:tcPr>
                  <w:tcW w:w="4526" w:type="dxa"/>
                  <w:tcBorders>
                    <w:top w:val="single" w:color="auto" w:sz="4" w:space="0"/>
                    <w:left w:val="single" w:color="auto" w:sz="4" w:space="0"/>
                    <w:bottom w:val="single" w:color="auto" w:sz="4" w:space="0"/>
                    <w:right w:val="single" w:color="auto" w:sz="4" w:space="0"/>
                  </w:tcBorders>
                  <w:shd w:val="clear" w:color="auto" w:fill="FFFFFF"/>
                  <w:vAlign w:val="center"/>
                </w:tcPr>
                <w:p w14:paraId="3C6B7E21">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6" w:lineRule="auto"/>
                    <w:ind w:left="0" w:right="0" w:firstLine="420"/>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4"/>
                      <w:sz w:val="20"/>
                      <w:szCs w:val="20"/>
                    </w:rPr>
                    <w:t>加强《规划》引领，坚持绿色协调发展。开发区位于淮河干流沿岸，应坚持生态优先、高效集约发展《规划》应与《淮河流域水污染防治暂</w:t>
                  </w:r>
                  <w:r>
                    <w:rPr>
                      <w:rFonts w:hint="default" w:ascii="Times New Roman" w:hAnsi="Times New Roman" w:eastAsia="宋体"/>
                      <w:b w:val="0"/>
                      <w:spacing w:val="-5"/>
                      <w:sz w:val="20"/>
                      <w:szCs w:val="20"/>
                    </w:rPr>
                    <w:t>行条例》《安徽省淮河流域水污染防治条例》《安</w:t>
                  </w:r>
                  <w:r>
                    <w:rPr>
                      <w:rFonts w:hint="default" w:ascii="Times New Roman" w:hAnsi="Times New Roman" w:eastAsia="宋体"/>
                      <w:b w:val="0"/>
                      <w:spacing w:val="4"/>
                      <w:sz w:val="20"/>
                      <w:szCs w:val="20"/>
                    </w:rPr>
                    <w:t>徽省饮用水水源环境保护条例》等相符合，统筹与五河县国土空间规划的衔接。加强《规划》与</w:t>
                  </w:r>
                  <w:r>
                    <w:rPr>
                      <w:rFonts w:hint="default" w:ascii="Times New Roman" w:hAnsi="Times New Roman" w:eastAsia="宋体"/>
                      <w:b w:val="0"/>
                      <w:spacing w:val="15"/>
                      <w:sz w:val="20"/>
                      <w:szCs w:val="20"/>
                    </w:rPr>
                    <w:t>《安徽省关于全面打造水清岸绿产业优美丽长</w:t>
                  </w:r>
                  <w:r>
                    <w:rPr>
                      <w:rFonts w:hint="default" w:ascii="Times New Roman" w:hAnsi="Times New Roman" w:eastAsia="宋体"/>
                      <w:b w:val="0"/>
                      <w:spacing w:val="11"/>
                      <w:sz w:val="20"/>
                      <w:szCs w:val="20"/>
                    </w:rPr>
                    <w:t>江</w:t>
                  </w:r>
                  <w:r>
                    <w:rPr>
                      <w:rFonts w:hint="eastAsia" w:ascii="Times New Roman" w:hAnsi="Times New Roman"/>
                      <w:b w:val="0"/>
                      <w:spacing w:val="11"/>
                      <w:sz w:val="20"/>
                      <w:szCs w:val="20"/>
                      <w:lang w:eastAsia="zh-CN"/>
                    </w:rPr>
                    <w:t>（</w:t>
                  </w:r>
                  <w:r>
                    <w:rPr>
                      <w:rFonts w:hint="default" w:ascii="Times New Roman" w:hAnsi="Times New Roman" w:eastAsia="宋体"/>
                      <w:b w:val="0"/>
                      <w:spacing w:val="11"/>
                      <w:sz w:val="20"/>
                      <w:szCs w:val="20"/>
                    </w:rPr>
                    <w:t>安徽经济带的实施意见》、安徽省污染防治</w:t>
                  </w:r>
                  <w:r>
                    <w:rPr>
                      <w:rFonts w:hint="default" w:ascii="Times New Roman" w:hAnsi="Times New Roman" w:eastAsia="宋体"/>
                      <w:b w:val="0"/>
                      <w:spacing w:val="-3"/>
                      <w:sz w:val="20"/>
                      <w:szCs w:val="20"/>
                    </w:rPr>
                    <w:t>攻坚战行动方案、省市“三线一单”的协调衔接。</w:t>
                  </w:r>
                  <w:r>
                    <w:rPr>
                      <w:rFonts w:hint="default" w:ascii="Times New Roman" w:hAnsi="Times New Roman" w:eastAsia="宋体"/>
                      <w:b w:val="0"/>
                      <w:spacing w:val="15"/>
                      <w:sz w:val="20"/>
                      <w:szCs w:val="20"/>
                    </w:rPr>
                    <w:t>按照省政府对开发区的批复要求和最新生态环</w:t>
                  </w:r>
                  <w:r>
                    <w:rPr>
                      <w:rFonts w:hint="default" w:ascii="Times New Roman" w:hAnsi="Times New Roman" w:eastAsia="宋体"/>
                      <w:b w:val="0"/>
                      <w:spacing w:val="4"/>
                      <w:sz w:val="20"/>
                      <w:szCs w:val="20"/>
                    </w:rPr>
                    <w:t>境管理要求，着力推进开发区产业转型升级和结构优化。对现有不符合开发区发展定位、国土空</w:t>
                  </w:r>
                  <w:r>
                    <w:rPr>
                      <w:rFonts w:hint="default" w:ascii="Times New Roman" w:hAnsi="Times New Roman" w:eastAsia="宋体"/>
                      <w:b w:val="0"/>
                      <w:spacing w:val="15"/>
                      <w:sz w:val="20"/>
                      <w:szCs w:val="20"/>
                    </w:rPr>
                    <w:t>间规划和生态环境保护要求的企业应逐步升级</w:t>
                  </w:r>
                  <w:r>
                    <w:rPr>
                      <w:rFonts w:hint="default" w:ascii="Times New Roman" w:hAnsi="Times New Roman" w:eastAsia="宋体"/>
                      <w:b w:val="0"/>
                      <w:spacing w:val="4"/>
                      <w:sz w:val="20"/>
                      <w:szCs w:val="20"/>
                    </w:rPr>
                    <w:t>改造或搬迁、淘汰，确保产业发展与区域生态环</w:t>
                  </w:r>
                  <w:r>
                    <w:rPr>
                      <w:rFonts w:hint="default" w:ascii="Times New Roman" w:hAnsi="Times New Roman" w:eastAsia="宋体"/>
                      <w:b w:val="0"/>
                      <w:spacing w:val="8"/>
                      <w:sz w:val="20"/>
                      <w:szCs w:val="20"/>
                    </w:rPr>
                    <w:t>境保护、人居环境质量保障相协调。</w:t>
                  </w:r>
                </w:p>
              </w:tc>
              <w:tc>
                <w:tcPr>
                  <w:tcW w:w="3335" w:type="dxa"/>
                  <w:tcBorders>
                    <w:top w:val="single" w:color="auto" w:sz="4" w:space="0"/>
                    <w:left w:val="single" w:color="auto" w:sz="4" w:space="0"/>
                    <w:bottom w:val="single" w:color="auto" w:sz="4" w:space="0"/>
                    <w:right w:val="single" w:color="auto" w:sz="4" w:space="0"/>
                  </w:tcBorders>
                  <w:shd w:val="clear" w:color="auto" w:fill="FFFFFF"/>
                  <w:vAlign w:val="center"/>
                </w:tcPr>
                <w:p w14:paraId="7E7F1E97">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6" w:lineRule="auto"/>
                    <w:ind w:left="0" w:right="0" w:firstLine="419"/>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18"/>
                      <w:sz w:val="20"/>
                      <w:szCs w:val="20"/>
                    </w:rPr>
                    <w:t>本项目主要从事化纤织造加</w:t>
                  </w:r>
                  <w:r>
                    <w:rPr>
                      <w:rFonts w:hint="default" w:ascii="Times New Roman" w:hAnsi="Times New Roman" w:eastAsia="宋体"/>
                      <w:b w:val="0"/>
                      <w:spacing w:val="2"/>
                      <w:sz w:val="20"/>
                      <w:szCs w:val="20"/>
                    </w:rPr>
                    <w:t>工</w:t>
                  </w:r>
                  <w:r>
                    <w:rPr>
                      <w:rFonts w:hint="eastAsia" w:ascii="Times New Roman" w:hAnsi="Times New Roman"/>
                      <w:b w:val="0"/>
                      <w:spacing w:val="2"/>
                      <w:sz w:val="20"/>
                      <w:szCs w:val="20"/>
                      <w:lang w:eastAsia="zh-CN"/>
                    </w:rPr>
                    <w:t>（</w:t>
                  </w:r>
                  <w:r>
                    <w:rPr>
                      <w:rFonts w:hint="default" w:ascii="Times New Roman" w:hAnsi="Times New Roman" w:eastAsia="宋体" w:cs="Times New Roman"/>
                      <w:b w:val="0"/>
                      <w:spacing w:val="2"/>
                      <w:sz w:val="20"/>
                      <w:szCs w:val="20"/>
                    </w:rPr>
                    <w:t>C1751</w:t>
                  </w:r>
                  <w:r>
                    <w:rPr>
                      <w:rFonts w:hint="eastAsia" w:ascii="Times New Roman" w:hAnsi="Times New Roman" w:cs="Times New Roman"/>
                      <w:b w:val="0"/>
                      <w:spacing w:val="2"/>
                      <w:sz w:val="20"/>
                      <w:szCs w:val="20"/>
                      <w:lang w:eastAsia="zh-CN"/>
                    </w:rPr>
                    <w:t>）</w:t>
                  </w:r>
                  <w:r>
                    <w:rPr>
                      <w:rFonts w:hint="default" w:ascii="Times New Roman" w:hAnsi="Times New Roman" w:eastAsia="宋体"/>
                      <w:b w:val="0"/>
                      <w:spacing w:val="2"/>
                      <w:sz w:val="20"/>
                      <w:szCs w:val="20"/>
                    </w:rPr>
                    <w:t>，属于园区主导产业，不</w:t>
                  </w:r>
                  <w:r>
                    <w:rPr>
                      <w:rFonts w:hint="default" w:ascii="Times New Roman" w:hAnsi="Times New Roman" w:eastAsia="宋体"/>
                      <w:b w:val="0"/>
                      <w:spacing w:val="22"/>
                      <w:sz w:val="20"/>
                      <w:szCs w:val="20"/>
                    </w:rPr>
                    <w:t>属于五河经济开发区产业准入指</w:t>
                  </w:r>
                  <w:r>
                    <w:rPr>
                      <w:rFonts w:hint="default" w:ascii="Times New Roman" w:hAnsi="Times New Roman" w:eastAsia="宋体"/>
                      <w:b w:val="0"/>
                      <w:spacing w:val="7"/>
                      <w:sz w:val="20"/>
                      <w:szCs w:val="20"/>
                    </w:rPr>
                    <w:t>导清单中的限制类及禁止类项目，符合开发区的发展定位。</w:t>
                  </w:r>
                </w:p>
              </w:tc>
              <w:tc>
                <w:tcPr>
                  <w:tcW w:w="537" w:type="dxa"/>
                  <w:tcBorders>
                    <w:top w:val="single" w:color="auto" w:sz="4" w:space="0"/>
                    <w:left w:val="single" w:color="auto" w:sz="4" w:space="0"/>
                    <w:bottom w:val="single" w:color="auto" w:sz="4" w:space="0"/>
                    <w:right w:val="nil"/>
                  </w:tcBorders>
                  <w:shd w:val="clear" w:color="auto" w:fill="FFFFFF"/>
                  <w:textDirection w:val="tbRlV"/>
                  <w:vAlign w:val="center"/>
                </w:tcPr>
                <w:p w14:paraId="4A3E80A6">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15" w:lineRule="auto"/>
                    <w:ind w:left="0" w:right="0"/>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8"/>
                      <w:sz w:val="20"/>
                      <w:szCs w:val="20"/>
                    </w:rPr>
                    <w:t>符合</w:t>
                  </w:r>
                </w:p>
              </w:tc>
            </w:tr>
            <w:tr w14:paraId="10491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1" w:hRule="atLeast"/>
              </w:trPr>
              <w:tc>
                <w:tcPr>
                  <w:tcW w:w="639" w:type="dxa"/>
                  <w:tcBorders>
                    <w:top w:val="single" w:color="auto" w:sz="4" w:space="0"/>
                    <w:left w:val="nil"/>
                    <w:bottom w:val="single" w:color="auto" w:sz="4" w:space="0"/>
                    <w:right w:val="single" w:color="auto" w:sz="4" w:space="0"/>
                  </w:tcBorders>
                  <w:shd w:val="clear" w:color="auto" w:fill="FFFFFF"/>
                  <w:vAlign w:val="center"/>
                </w:tcPr>
                <w:p w14:paraId="2CAC97F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5" w:lineRule="auto"/>
                    <w:ind w:left="0" w:right="0"/>
                    <w:jc w:val="center"/>
                    <w:textAlignment w:val="baseline"/>
                    <w:rPr>
                      <w:rFonts w:hint="default" w:ascii="Times New Roman" w:hAnsi="Times New Roman" w:eastAsia="宋体" w:cs="Times New Roman"/>
                      <w:b w:val="0"/>
                      <w:sz w:val="20"/>
                      <w:szCs w:val="20"/>
                    </w:rPr>
                  </w:pPr>
                  <w:r>
                    <w:rPr>
                      <w:rFonts w:hint="default" w:ascii="Times New Roman" w:hAnsi="Times New Roman" w:eastAsia="宋体" w:cs="Times New Roman"/>
                      <w:b w:val="0"/>
                      <w:sz w:val="20"/>
                      <w:szCs w:val="20"/>
                    </w:rPr>
                    <w:t>2</w:t>
                  </w:r>
                </w:p>
              </w:tc>
              <w:tc>
                <w:tcPr>
                  <w:tcW w:w="4526" w:type="dxa"/>
                  <w:tcBorders>
                    <w:top w:val="single" w:color="auto" w:sz="4" w:space="0"/>
                    <w:left w:val="single" w:color="auto" w:sz="4" w:space="0"/>
                    <w:bottom w:val="single" w:color="auto" w:sz="4" w:space="0"/>
                    <w:right w:val="single" w:color="auto" w:sz="4" w:space="0"/>
                  </w:tcBorders>
                  <w:shd w:val="clear" w:color="auto" w:fill="FFFFFF"/>
                  <w:vAlign w:val="center"/>
                </w:tcPr>
                <w:p w14:paraId="4EC228F9">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84" w:lineRule="auto"/>
                    <w:ind w:left="0" w:right="0" w:firstLine="420"/>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4"/>
                      <w:sz w:val="20"/>
                      <w:szCs w:val="20"/>
                    </w:rPr>
                    <w:t>严守环境质量底线，落实区域环境质量管控措施。根据国家和我省大气、水、土壤、固体污</w:t>
                  </w:r>
                  <w:r>
                    <w:rPr>
                      <w:rFonts w:hint="default" w:ascii="Times New Roman" w:hAnsi="Times New Roman" w:eastAsia="宋体"/>
                      <w:b w:val="0"/>
                      <w:spacing w:val="15"/>
                      <w:sz w:val="20"/>
                      <w:szCs w:val="20"/>
                    </w:rPr>
                    <w:t>染防治相关要求，结合开发区现有生态环境问</w:t>
                  </w:r>
                  <w:r>
                    <w:rPr>
                      <w:rFonts w:hint="default" w:ascii="Times New Roman" w:hAnsi="Times New Roman" w:eastAsia="宋体"/>
                      <w:b w:val="0"/>
                      <w:spacing w:val="4"/>
                      <w:sz w:val="20"/>
                      <w:szCs w:val="20"/>
                    </w:rPr>
                    <w:t>题，制定污染防控方案、污染物总量管控要求和现有环境问题整改方案。切实保障区域项目达标排放，区域环境质量持续优化，下游跨境断面水质稳定，区域环境问题得到妥善解决。优化产业布局，加强生态空间保护。结合开发区产业定位合理规划不同功能区的环境保护空间。加强开发区内临近淮河干流、怀洪新河以及下游五河县城南水厂饮用水水源保护区等生态空间保护，严禁不符合管控要求的各类开发建设活动。做好开发</w:t>
                  </w:r>
                  <w:r>
                    <w:rPr>
                      <w:rFonts w:hint="default" w:ascii="Times New Roman" w:hAnsi="Times New Roman" w:eastAsia="宋体"/>
                      <w:b w:val="0"/>
                      <w:spacing w:val="7"/>
                      <w:sz w:val="20"/>
                      <w:szCs w:val="20"/>
                    </w:rPr>
                    <w:t>区建设生产，生活服务空间之间的隔离和管控。</w:t>
                  </w:r>
                  <w:r>
                    <w:rPr>
                      <w:rFonts w:hint="default" w:ascii="Times New Roman" w:hAnsi="Times New Roman" w:eastAsia="宋体"/>
                      <w:b w:val="0"/>
                      <w:spacing w:val="8"/>
                      <w:sz w:val="20"/>
                      <w:szCs w:val="20"/>
                    </w:rPr>
                    <w:t>实现产业发展与区域生态环境保护相协调。</w:t>
                  </w:r>
                </w:p>
              </w:tc>
              <w:tc>
                <w:tcPr>
                  <w:tcW w:w="3335" w:type="dxa"/>
                  <w:tcBorders>
                    <w:top w:val="single" w:color="auto" w:sz="4" w:space="0"/>
                    <w:left w:val="single" w:color="auto" w:sz="4" w:space="0"/>
                    <w:bottom w:val="single" w:color="auto" w:sz="4" w:space="0"/>
                    <w:right w:val="single" w:color="auto" w:sz="4" w:space="0"/>
                  </w:tcBorders>
                  <w:shd w:val="clear" w:color="auto" w:fill="FFFFFF"/>
                  <w:vAlign w:val="center"/>
                </w:tcPr>
                <w:p w14:paraId="3E0555DD">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89" w:lineRule="auto"/>
                    <w:ind w:left="0" w:right="0" w:firstLine="424"/>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6"/>
                      <w:sz w:val="20"/>
                      <w:szCs w:val="20"/>
                    </w:rPr>
                    <w:t>项目废气、废水等均通过相应</w:t>
                  </w:r>
                  <w:r>
                    <w:rPr>
                      <w:rFonts w:hint="default" w:ascii="Times New Roman" w:hAnsi="Times New Roman" w:eastAsia="宋体"/>
                      <w:b w:val="0"/>
                      <w:spacing w:val="3"/>
                      <w:sz w:val="20"/>
                      <w:szCs w:val="20"/>
                    </w:rPr>
                    <w:t>措施，达标排</w:t>
                  </w:r>
                  <w:r>
                    <w:rPr>
                      <w:rFonts w:hint="default" w:ascii="Times New Roman" w:hAnsi="Times New Roman" w:eastAsia="宋体"/>
                      <w:b w:val="0"/>
                      <w:spacing w:val="6"/>
                      <w:sz w:val="20"/>
                      <w:szCs w:val="20"/>
                    </w:rPr>
                    <w:t>放</w:t>
                  </w:r>
                  <w:r>
                    <w:rPr>
                      <w:rFonts w:hint="eastAsia" w:ascii="Times New Roman" w:hAnsi="Times New Roman" w:eastAsia="宋体"/>
                      <w:b w:val="0"/>
                      <w:spacing w:val="6"/>
                      <w:sz w:val="20"/>
                      <w:szCs w:val="20"/>
                      <w:lang w:eastAsia="zh-CN"/>
                    </w:rPr>
                    <w:t>：</w:t>
                  </w:r>
                  <w:r>
                    <w:rPr>
                      <w:rFonts w:hint="default" w:ascii="Times New Roman" w:hAnsi="Times New Roman" w:eastAsia="宋体"/>
                      <w:b w:val="0"/>
                      <w:spacing w:val="6"/>
                      <w:sz w:val="20"/>
                      <w:szCs w:val="20"/>
                    </w:rPr>
                    <w:t>项目位于</w:t>
                  </w:r>
                  <w:r>
                    <w:rPr>
                      <w:rFonts w:hint="eastAsia" w:ascii="Times New Roman" w:hAnsi="Times New Roman" w:eastAsia="宋体"/>
                      <w:b w:val="0"/>
                      <w:spacing w:val="6"/>
                      <w:sz w:val="20"/>
                      <w:szCs w:val="20"/>
                      <w:lang w:val="en-US" w:eastAsia="zh-CN"/>
                    </w:rPr>
                    <w:t>综合配套组团</w:t>
                  </w:r>
                  <w:r>
                    <w:rPr>
                      <w:rFonts w:hint="default" w:ascii="Times New Roman" w:hAnsi="Times New Roman" w:eastAsia="宋体"/>
                      <w:b w:val="0"/>
                      <w:spacing w:val="6"/>
                      <w:sz w:val="20"/>
                      <w:szCs w:val="20"/>
                    </w:rPr>
                    <w:t>，符合安徽五河经济开发区的规划。</w:t>
                  </w:r>
                </w:p>
              </w:tc>
              <w:tc>
                <w:tcPr>
                  <w:tcW w:w="537" w:type="dxa"/>
                  <w:tcBorders>
                    <w:top w:val="single" w:color="auto" w:sz="4" w:space="0"/>
                    <w:left w:val="single" w:color="auto" w:sz="4" w:space="0"/>
                    <w:bottom w:val="single" w:color="auto" w:sz="4" w:space="0"/>
                    <w:right w:val="nil"/>
                  </w:tcBorders>
                  <w:shd w:val="clear" w:color="auto" w:fill="FFFFFF"/>
                  <w:textDirection w:val="tbRlV"/>
                  <w:vAlign w:val="center"/>
                </w:tcPr>
                <w:p w14:paraId="39052E90">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15" w:lineRule="auto"/>
                    <w:ind w:left="0" w:right="0"/>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8"/>
                      <w:sz w:val="20"/>
                      <w:szCs w:val="20"/>
                    </w:rPr>
                    <w:t>符合</w:t>
                  </w:r>
                </w:p>
              </w:tc>
            </w:tr>
            <w:tr w14:paraId="07FA3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6" w:hRule="atLeast"/>
              </w:trPr>
              <w:tc>
                <w:tcPr>
                  <w:tcW w:w="639" w:type="dxa"/>
                  <w:tcBorders>
                    <w:top w:val="single" w:color="auto" w:sz="4" w:space="0"/>
                    <w:left w:val="nil"/>
                    <w:bottom w:val="single" w:color="auto" w:sz="4" w:space="0"/>
                    <w:right w:val="single" w:color="auto" w:sz="4" w:space="0"/>
                  </w:tcBorders>
                  <w:shd w:val="clear" w:color="auto" w:fill="FFFFFF"/>
                  <w:vAlign w:val="center"/>
                </w:tcPr>
                <w:p w14:paraId="7BE2822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5" w:lineRule="auto"/>
                    <w:ind w:left="0" w:right="0"/>
                    <w:jc w:val="center"/>
                    <w:textAlignment w:val="baseline"/>
                    <w:rPr>
                      <w:rFonts w:hint="default" w:ascii="Times New Roman" w:hAnsi="Times New Roman" w:eastAsia="宋体" w:cs="Times New Roman"/>
                      <w:b w:val="0"/>
                      <w:sz w:val="20"/>
                      <w:szCs w:val="20"/>
                    </w:rPr>
                  </w:pPr>
                  <w:r>
                    <w:rPr>
                      <w:rFonts w:hint="default" w:ascii="Times New Roman" w:hAnsi="Times New Roman" w:eastAsia="宋体" w:cs="Times New Roman"/>
                      <w:b w:val="0"/>
                      <w:sz w:val="20"/>
                      <w:szCs w:val="20"/>
                    </w:rPr>
                    <w:t>3</w:t>
                  </w:r>
                </w:p>
              </w:tc>
              <w:tc>
                <w:tcPr>
                  <w:tcW w:w="4526" w:type="dxa"/>
                  <w:tcBorders>
                    <w:top w:val="single" w:color="auto" w:sz="4" w:space="0"/>
                    <w:left w:val="single" w:color="auto" w:sz="4" w:space="0"/>
                    <w:bottom w:val="single" w:color="auto" w:sz="4" w:space="0"/>
                    <w:right w:val="single" w:color="auto" w:sz="4" w:space="0"/>
                  </w:tcBorders>
                  <w:shd w:val="clear" w:color="auto" w:fill="FFFFFF"/>
                  <w:vAlign w:val="center"/>
                </w:tcPr>
                <w:p w14:paraId="754D4375">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7" w:lineRule="auto"/>
                    <w:ind w:left="0" w:right="0"/>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15"/>
                      <w:sz w:val="20"/>
                      <w:szCs w:val="20"/>
                    </w:rPr>
                    <w:t>完善环保基础设施建设，强化环境污染防</w:t>
                  </w:r>
                  <w:r>
                    <w:rPr>
                      <w:rFonts w:hint="default" w:ascii="Times New Roman" w:hAnsi="Times New Roman" w:eastAsia="宋体"/>
                      <w:b w:val="0"/>
                      <w:spacing w:val="7"/>
                      <w:sz w:val="20"/>
                      <w:szCs w:val="20"/>
                    </w:rPr>
                    <w:t>控。加快</w:t>
                  </w:r>
                  <w:r>
                    <w:rPr>
                      <w:rFonts w:hint="eastAsia" w:ascii="Times New Roman" w:hAnsi="Times New Roman"/>
                      <w:b w:val="0"/>
                      <w:spacing w:val="7"/>
                      <w:sz w:val="20"/>
                      <w:szCs w:val="20"/>
                      <w:lang w:eastAsia="zh-CN"/>
                    </w:rPr>
                    <w:t>五河县经济开发区污水处理厂</w:t>
                  </w:r>
                  <w:r>
                    <w:rPr>
                      <w:rFonts w:hint="default" w:ascii="Times New Roman" w:hAnsi="Times New Roman" w:eastAsia="宋体"/>
                      <w:b w:val="0"/>
                      <w:spacing w:val="7"/>
                      <w:sz w:val="20"/>
                      <w:szCs w:val="20"/>
                    </w:rPr>
                    <w:t>和污水管网建设，</w:t>
                  </w:r>
                  <w:r>
                    <w:rPr>
                      <w:rFonts w:hint="default" w:ascii="Times New Roman" w:hAnsi="Times New Roman" w:eastAsia="宋体"/>
                      <w:b w:val="0"/>
                      <w:spacing w:val="4"/>
                      <w:sz w:val="20"/>
                      <w:szCs w:val="20"/>
                    </w:rPr>
                    <w:t>统筹</w:t>
                  </w:r>
                  <w:r>
                    <w:rPr>
                      <w:rFonts w:hint="eastAsia" w:ascii="Times New Roman" w:hAnsi="Times New Roman"/>
                      <w:b w:val="0"/>
                      <w:spacing w:val="4"/>
                      <w:sz w:val="20"/>
                      <w:szCs w:val="20"/>
                      <w:lang w:eastAsia="zh-CN"/>
                    </w:rPr>
                    <w:t>五河县经济开发区污水处理厂</w:t>
                  </w:r>
                  <w:r>
                    <w:rPr>
                      <w:rFonts w:hint="default" w:ascii="Times New Roman" w:hAnsi="Times New Roman" w:eastAsia="宋体"/>
                      <w:b w:val="0"/>
                      <w:spacing w:val="4"/>
                      <w:sz w:val="20"/>
                      <w:szCs w:val="20"/>
                    </w:rPr>
                    <w:t>中水回用工程建设，提</w:t>
                  </w:r>
                  <w:r>
                    <w:rPr>
                      <w:rFonts w:hint="default" w:ascii="Times New Roman" w:hAnsi="Times New Roman" w:eastAsia="宋体"/>
                      <w:b w:val="0"/>
                      <w:spacing w:val="-5"/>
                      <w:sz w:val="20"/>
                      <w:szCs w:val="20"/>
                    </w:rPr>
                    <w:t>升中水回用水平。结合区域供水、排水和供气</w:t>
                  </w:r>
                  <w:r>
                    <w:rPr>
                      <w:rFonts w:hint="eastAsia" w:ascii="Times New Roman" w:hAnsi="Times New Roman"/>
                      <w:b w:val="0"/>
                      <w:spacing w:val="-5"/>
                      <w:sz w:val="20"/>
                      <w:szCs w:val="20"/>
                      <w:lang w:eastAsia="zh-CN"/>
                    </w:rPr>
                    <w:t>（</w:t>
                  </w:r>
                  <w:r>
                    <w:rPr>
                      <w:rFonts w:hint="default" w:ascii="Times New Roman" w:hAnsi="Times New Roman" w:eastAsia="宋体"/>
                      <w:b w:val="0"/>
                      <w:spacing w:val="-5"/>
                      <w:sz w:val="20"/>
                      <w:szCs w:val="20"/>
                    </w:rPr>
                    <w:t>供</w:t>
                  </w:r>
                  <w:r>
                    <w:rPr>
                      <w:rFonts w:hint="default" w:ascii="Times New Roman" w:hAnsi="Times New Roman" w:eastAsia="宋体"/>
                      <w:b w:val="0"/>
                      <w:spacing w:val="11"/>
                      <w:sz w:val="20"/>
                      <w:szCs w:val="20"/>
                    </w:rPr>
                    <w:t>热</w:t>
                  </w:r>
                  <w:r>
                    <w:rPr>
                      <w:rFonts w:hint="eastAsia" w:ascii="Times New Roman" w:hAnsi="Times New Roman"/>
                      <w:b w:val="0"/>
                      <w:spacing w:val="-5"/>
                      <w:sz w:val="20"/>
                      <w:szCs w:val="20"/>
                      <w:lang w:eastAsia="zh-CN"/>
                    </w:rPr>
                    <w:t>）</w:t>
                  </w:r>
                  <w:r>
                    <w:rPr>
                      <w:rFonts w:hint="default" w:ascii="Times New Roman" w:hAnsi="Times New Roman" w:eastAsia="宋体"/>
                      <w:b w:val="0"/>
                      <w:spacing w:val="11"/>
                      <w:sz w:val="20"/>
                      <w:szCs w:val="20"/>
                    </w:rPr>
                    <w:t>等规划，合理确定开发规模。结合区域环境</w:t>
                  </w:r>
                  <w:r>
                    <w:rPr>
                      <w:rFonts w:hint="default" w:ascii="Times New Roman" w:hAnsi="Times New Roman" w:eastAsia="宋体"/>
                      <w:b w:val="0"/>
                      <w:spacing w:val="4"/>
                      <w:sz w:val="20"/>
                      <w:szCs w:val="20"/>
                    </w:rPr>
                    <w:t>质量现状，细化污染防治基础设施建设要求。尽</w:t>
                  </w:r>
                  <w:r>
                    <w:rPr>
                      <w:rFonts w:hint="default" w:ascii="Times New Roman" w:hAnsi="Times New Roman" w:eastAsia="宋体"/>
                      <w:b w:val="0"/>
                      <w:spacing w:val="7"/>
                      <w:sz w:val="20"/>
                      <w:szCs w:val="20"/>
                    </w:rPr>
                    <w:t>快完成开发区重点行业大气污染治理升级改造、</w:t>
                  </w:r>
                  <w:r>
                    <w:rPr>
                      <w:rFonts w:hint="default" w:ascii="Times New Roman" w:hAnsi="Times New Roman" w:eastAsia="宋体"/>
                      <w:b w:val="0"/>
                      <w:spacing w:val="4"/>
                      <w:sz w:val="20"/>
                      <w:szCs w:val="20"/>
                    </w:rPr>
                    <w:t>锅炉及工业炉窑整治行动，限期完成工业企业地</w:t>
                  </w:r>
                  <w:r>
                    <w:rPr>
                      <w:rFonts w:hint="default" w:ascii="Times New Roman" w:hAnsi="Times New Roman" w:eastAsia="宋体"/>
                      <w:b w:val="0"/>
                      <w:spacing w:val="7"/>
                      <w:sz w:val="20"/>
                      <w:szCs w:val="20"/>
                    </w:rPr>
                    <w:t>下水禁采整改。</w:t>
                  </w:r>
                </w:p>
              </w:tc>
              <w:tc>
                <w:tcPr>
                  <w:tcW w:w="3335" w:type="dxa"/>
                  <w:tcBorders>
                    <w:top w:val="single" w:color="auto" w:sz="4" w:space="0"/>
                    <w:left w:val="single" w:color="auto" w:sz="4" w:space="0"/>
                    <w:bottom w:val="single" w:color="auto" w:sz="4" w:space="0"/>
                    <w:right w:val="single" w:color="auto" w:sz="4" w:space="0"/>
                  </w:tcBorders>
                  <w:shd w:val="clear" w:color="auto" w:fill="FFFFFF"/>
                  <w:vAlign w:val="center"/>
                </w:tcPr>
                <w:p w14:paraId="518224DC">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52" w:lineRule="auto"/>
                    <w:ind w:left="0" w:right="0" w:firstLine="415"/>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6"/>
                      <w:sz w:val="20"/>
                      <w:szCs w:val="20"/>
                    </w:rPr>
                    <w:t>本项目不涉及锅炉及工业炉窑的使用。</w:t>
                  </w:r>
                  <w:r>
                    <w:rPr>
                      <w:rFonts w:hint="eastAsia" w:ascii="Times New Roman" w:hAnsi="Times New Roman" w:eastAsia="宋体"/>
                      <w:b w:val="0"/>
                      <w:spacing w:val="6"/>
                      <w:sz w:val="20"/>
                      <w:szCs w:val="20"/>
                    </w:rPr>
                    <w:t>运营期项目生活污水经化粪池收集后经市政污水管网进入</w:t>
                  </w:r>
                  <w:r>
                    <w:rPr>
                      <w:rFonts w:hint="eastAsia" w:ascii="Times New Roman" w:hAnsi="Times New Roman" w:eastAsia="宋体"/>
                      <w:b w:val="0"/>
                      <w:spacing w:val="6"/>
                      <w:sz w:val="20"/>
                      <w:szCs w:val="20"/>
                      <w:lang w:eastAsia="zh-CN"/>
                    </w:rPr>
                    <w:t>五河县经济开发区污水处理厂</w:t>
                  </w:r>
                  <w:r>
                    <w:rPr>
                      <w:rFonts w:hint="eastAsia" w:ascii="Times New Roman" w:hAnsi="Times New Roman" w:eastAsia="宋体"/>
                      <w:b w:val="0"/>
                      <w:spacing w:val="6"/>
                      <w:sz w:val="20"/>
                      <w:szCs w:val="20"/>
                    </w:rPr>
                    <w:t>进行处理最终排入淮河，</w:t>
                  </w:r>
                  <w:r>
                    <w:rPr>
                      <w:rFonts w:hint="eastAsia" w:ascii="Times New Roman" w:hAnsi="Times New Roman" w:eastAsia="宋体"/>
                      <w:b w:val="0"/>
                      <w:spacing w:val="6"/>
                      <w:sz w:val="20"/>
                      <w:szCs w:val="20"/>
                      <w:lang w:val="en-US" w:eastAsia="zh-CN"/>
                    </w:rPr>
                    <w:t>生产废水经</w:t>
                  </w:r>
                  <w:r>
                    <w:rPr>
                      <w:rFonts w:hint="default" w:ascii="Times New Roman" w:hAnsi="Times New Roman" w:eastAsia="宋体"/>
                      <w:b w:val="0"/>
                      <w:spacing w:val="6"/>
                      <w:sz w:val="20"/>
                      <w:szCs w:val="20"/>
                      <w:lang w:val="en-US" w:eastAsia="en-US"/>
                    </w:rPr>
                    <w:t>“</w:t>
                  </w:r>
                  <w:r>
                    <w:rPr>
                      <w:rFonts w:hint="eastAsia" w:ascii="Times New Roman" w:hAnsi="Times New Roman"/>
                      <w:b w:val="0"/>
                      <w:spacing w:val="6"/>
                      <w:sz w:val="20"/>
                      <w:szCs w:val="20"/>
                      <w:lang w:val="en-US" w:eastAsia="zh-CN"/>
                    </w:rPr>
                    <w:t>隔油+气浮+好氧生化+二级沉淀+过滤</w:t>
                  </w:r>
                  <w:r>
                    <w:rPr>
                      <w:rFonts w:hint="default" w:ascii="Times New Roman" w:hAnsi="Times New Roman" w:eastAsia="宋体"/>
                      <w:b w:val="0"/>
                      <w:spacing w:val="6"/>
                      <w:sz w:val="20"/>
                      <w:szCs w:val="20"/>
                      <w:lang w:val="en-US" w:eastAsia="en-US"/>
                    </w:rPr>
                    <w:t>”</w:t>
                  </w:r>
                  <w:r>
                    <w:rPr>
                      <w:rFonts w:hint="eastAsia" w:ascii="Times New Roman" w:hAnsi="Times New Roman" w:eastAsia="宋体"/>
                      <w:b w:val="0"/>
                      <w:spacing w:val="6"/>
                      <w:sz w:val="20"/>
                      <w:szCs w:val="20"/>
                      <w:lang w:val="en-US" w:eastAsia="zh-CN"/>
                    </w:rPr>
                    <w:t>处理设施处理后</w:t>
                  </w:r>
                  <w:r>
                    <w:rPr>
                      <w:rFonts w:hint="eastAsia" w:ascii="Times New Roman" w:hAnsi="Times New Roman"/>
                      <w:b w:val="0"/>
                      <w:spacing w:val="6"/>
                      <w:sz w:val="20"/>
                      <w:szCs w:val="20"/>
                      <w:lang w:val="en-US" w:eastAsia="zh-CN"/>
                    </w:rPr>
                    <w:t>95%</w:t>
                  </w:r>
                  <w:r>
                    <w:rPr>
                      <w:rFonts w:hint="eastAsia" w:ascii="Times New Roman" w:hAnsi="Times New Roman" w:eastAsia="宋体"/>
                      <w:b w:val="0"/>
                      <w:spacing w:val="6"/>
                      <w:sz w:val="20"/>
                      <w:szCs w:val="20"/>
                      <w:lang w:val="en-US" w:eastAsia="zh-CN"/>
                    </w:rPr>
                    <w:t>回用于织造用水，</w:t>
                  </w:r>
                  <w:r>
                    <w:rPr>
                      <w:rFonts w:hint="eastAsia" w:ascii="Times New Roman" w:hAnsi="Times New Roman"/>
                      <w:b w:val="0"/>
                      <w:spacing w:val="6"/>
                      <w:sz w:val="20"/>
                      <w:szCs w:val="20"/>
                      <w:lang w:val="en-US" w:eastAsia="zh-CN"/>
                    </w:rPr>
                    <w:t>5%</w:t>
                  </w:r>
                  <w:r>
                    <w:rPr>
                      <w:rFonts w:hint="eastAsia" w:ascii="Times New Roman" w:hAnsi="Times New Roman" w:eastAsia="宋体"/>
                      <w:b w:val="0"/>
                      <w:spacing w:val="6"/>
                      <w:sz w:val="20"/>
                      <w:szCs w:val="20"/>
                      <w:lang w:val="en-US" w:eastAsia="zh-CN"/>
                    </w:rPr>
                    <w:t>排入市政管网进入五河县经济开发区污水处理厂处理。</w:t>
                  </w:r>
                  <w:r>
                    <w:rPr>
                      <w:rFonts w:hint="eastAsia" w:ascii="Times New Roman" w:hAnsi="Times New Roman" w:eastAsia="宋体"/>
                      <w:b w:val="0"/>
                      <w:spacing w:val="6"/>
                      <w:sz w:val="20"/>
                      <w:szCs w:val="20"/>
                    </w:rPr>
                    <w:t>可满足区域水环境质量底线要求。</w:t>
                  </w:r>
                </w:p>
              </w:tc>
              <w:tc>
                <w:tcPr>
                  <w:tcW w:w="537" w:type="dxa"/>
                  <w:tcBorders>
                    <w:top w:val="single" w:color="auto" w:sz="4" w:space="0"/>
                    <w:left w:val="single" w:color="auto" w:sz="4" w:space="0"/>
                    <w:bottom w:val="single" w:color="auto" w:sz="4" w:space="0"/>
                    <w:right w:val="nil"/>
                  </w:tcBorders>
                  <w:shd w:val="clear" w:color="auto" w:fill="FFFFFF"/>
                  <w:textDirection w:val="tbRlV"/>
                  <w:vAlign w:val="center"/>
                </w:tcPr>
                <w:p w14:paraId="1D5B0A51">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15" w:lineRule="auto"/>
                    <w:ind w:left="0" w:right="0"/>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8"/>
                      <w:sz w:val="20"/>
                      <w:szCs w:val="20"/>
                    </w:rPr>
                    <w:t>符合</w:t>
                  </w:r>
                </w:p>
              </w:tc>
            </w:tr>
            <w:tr w14:paraId="45F29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639" w:type="dxa"/>
                  <w:tcBorders>
                    <w:top w:val="single" w:color="auto" w:sz="4" w:space="0"/>
                    <w:left w:val="nil"/>
                    <w:bottom w:val="single" w:color="auto" w:sz="4" w:space="0"/>
                    <w:right w:val="single" w:color="auto" w:sz="4" w:space="0"/>
                  </w:tcBorders>
                  <w:shd w:val="clear" w:color="auto" w:fill="FFFFFF"/>
                  <w:vAlign w:val="center"/>
                </w:tcPr>
                <w:p w14:paraId="00CC30E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5" w:lineRule="auto"/>
                    <w:ind w:left="0" w:right="0"/>
                    <w:jc w:val="center"/>
                    <w:textAlignment w:val="baseline"/>
                    <w:rPr>
                      <w:rFonts w:hint="default" w:ascii="Times New Roman" w:hAnsi="Times New Roman" w:eastAsia="宋体" w:cs="Times New Roman"/>
                      <w:b w:val="0"/>
                      <w:sz w:val="20"/>
                      <w:szCs w:val="20"/>
                    </w:rPr>
                  </w:pPr>
                  <w:r>
                    <w:rPr>
                      <w:rFonts w:hint="default" w:ascii="Times New Roman" w:hAnsi="Times New Roman" w:eastAsia="宋体" w:cs="Times New Roman"/>
                      <w:b w:val="0"/>
                      <w:spacing w:val="1"/>
                      <w:sz w:val="20"/>
                      <w:szCs w:val="20"/>
                    </w:rPr>
                    <w:t>4</w:t>
                  </w:r>
                </w:p>
              </w:tc>
              <w:tc>
                <w:tcPr>
                  <w:tcW w:w="4526" w:type="dxa"/>
                  <w:tcBorders>
                    <w:top w:val="single" w:color="auto" w:sz="4" w:space="0"/>
                    <w:left w:val="single" w:color="auto" w:sz="4" w:space="0"/>
                    <w:bottom w:val="single" w:color="auto" w:sz="4" w:space="0"/>
                    <w:right w:val="single" w:color="auto" w:sz="4" w:space="0"/>
                  </w:tcBorders>
                  <w:shd w:val="clear" w:color="auto" w:fill="FFFFFF"/>
                  <w:vAlign w:val="center"/>
                </w:tcPr>
                <w:p w14:paraId="2F1CF53E">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7" w:lineRule="auto"/>
                    <w:ind w:left="0" w:right="0" w:firstLine="421"/>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7"/>
                      <w:sz w:val="20"/>
                      <w:szCs w:val="20"/>
                    </w:rPr>
                    <w:t>细化生态环境准入清单，推动高质量发展。</w:t>
                  </w:r>
                  <w:r>
                    <w:rPr>
                      <w:rFonts w:hint="default" w:ascii="Times New Roman" w:hAnsi="Times New Roman" w:eastAsia="宋体"/>
                      <w:b w:val="0"/>
                      <w:spacing w:val="4"/>
                      <w:sz w:val="20"/>
                      <w:szCs w:val="20"/>
                    </w:rPr>
                    <w:t>根据国家和区域发展战略，结合区域生态环境质量等，严格开发区产业的生态环境准入。印染项</w:t>
                  </w:r>
                  <w:r>
                    <w:rPr>
                      <w:rFonts w:hint="default" w:ascii="Times New Roman" w:hAnsi="Times New Roman" w:eastAsia="宋体"/>
                      <w:b w:val="0"/>
                      <w:spacing w:val="15"/>
                      <w:sz w:val="20"/>
                      <w:szCs w:val="20"/>
                    </w:rPr>
                    <w:t>目进驻要满足区域水资源承载力和水环境质量</w:t>
                  </w:r>
                  <w:r>
                    <w:rPr>
                      <w:rFonts w:hint="default" w:ascii="Times New Roman" w:hAnsi="Times New Roman" w:eastAsia="宋体"/>
                      <w:b w:val="0"/>
                      <w:spacing w:val="4"/>
                      <w:sz w:val="20"/>
                      <w:szCs w:val="20"/>
                    </w:rPr>
                    <w:t>管控要求，单独设立片区，远离各类保护区和农</w:t>
                  </w:r>
                  <w:r>
                    <w:rPr>
                      <w:rFonts w:hint="default" w:ascii="Times New Roman" w:hAnsi="Times New Roman" w:eastAsia="宋体"/>
                      <w:b w:val="0"/>
                      <w:spacing w:val="11"/>
                      <w:sz w:val="20"/>
                      <w:szCs w:val="20"/>
                    </w:rPr>
                    <w:t>产品加工区，仅用于配套开发区内纺织项目</w:t>
                  </w:r>
                  <w:r>
                    <w:rPr>
                      <w:rFonts w:hint="eastAsia" w:ascii="Times New Roman" w:hAnsi="Times New Roman"/>
                      <w:b w:val="0"/>
                      <w:spacing w:val="11"/>
                      <w:sz w:val="20"/>
                      <w:szCs w:val="20"/>
                      <w:lang w:eastAsia="zh-CN"/>
                    </w:rPr>
                    <w:t>：</w:t>
                  </w:r>
                  <w:r>
                    <w:rPr>
                      <w:rFonts w:hint="default" w:ascii="Times New Roman" w:hAnsi="Times New Roman" w:eastAsia="宋体"/>
                      <w:b w:val="0"/>
                      <w:spacing w:val="11"/>
                      <w:sz w:val="20"/>
                      <w:szCs w:val="20"/>
                    </w:rPr>
                    <w:t>限</w:t>
                  </w:r>
                  <w:r>
                    <w:rPr>
                      <w:rFonts w:hint="default" w:ascii="Times New Roman" w:hAnsi="Times New Roman" w:eastAsia="宋体"/>
                      <w:b w:val="0"/>
                      <w:spacing w:val="15"/>
                      <w:sz w:val="20"/>
                      <w:szCs w:val="20"/>
                    </w:rPr>
                    <w:t>制与主导产业不相关且污染物排放量大的项目</w:t>
                  </w:r>
                  <w:r>
                    <w:rPr>
                      <w:rFonts w:hint="default" w:ascii="Times New Roman" w:hAnsi="Times New Roman" w:eastAsia="宋体"/>
                      <w:b w:val="0"/>
                      <w:spacing w:val="9"/>
                      <w:sz w:val="20"/>
                      <w:szCs w:val="20"/>
                    </w:rPr>
                    <w:t>入区，明确入区企业的行业准入要求</w:t>
                  </w:r>
                </w:p>
              </w:tc>
              <w:tc>
                <w:tcPr>
                  <w:tcW w:w="3335" w:type="dxa"/>
                  <w:tcBorders>
                    <w:top w:val="single" w:color="auto" w:sz="4" w:space="0"/>
                    <w:left w:val="single" w:color="auto" w:sz="4" w:space="0"/>
                    <w:bottom w:val="single" w:color="auto" w:sz="4" w:space="0"/>
                    <w:right w:val="single" w:color="auto" w:sz="4" w:space="0"/>
                  </w:tcBorders>
                  <w:shd w:val="clear" w:color="auto" w:fill="FFFFFF"/>
                  <w:vAlign w:val="center"/>
                </w:tcPr>
                <w:p w14:paraId="21478697">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51" w:lineRule="auto"/>
                    <w:ind w:left="0" w:right="0" w:firstLine="420"/>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18"/>
                      <w:sz w:val="20"/>
                      <w:szCs w:val="20"/>
                    </w:rPr>
                    <w:t>本项目主要从事化纤织造加</w:t>
                  </w:r>
                  <w:r>
                    <w:rPr>
                      <w:rFonts w:hint="default" w:ascii="Times New Roman" w:hAnsi="Times New Roman" w:eastAsia="宋体"/>
                      <w:b w:val="0"/>
                      <w:spacing w:val="2"/>
                      <w:sz w:val="20"/>
                      <w:szCs w:val="20"/>
                    </w:rPr>
                    <w:t>工</w:t>
                  </w:r>
                  <w:r>
                    <w:rPr>
                      <w:rFonts w:hint="eastAsia" w:ascii="Times New Roman" w:hAnsi="Times New Roman"/>
                      <w:b w:val="0"/>
                      <w:spacing w:val="2"/>
                      <w:sz w:val="20"/>
                      <w:szCs w:val="20"/>
                      <w:lang w:eastAsia="zh-CN"/>
                    </w:rPr>
                    <w:t>（</w:t>
                  </w:r>
                  <w:r>
                    <w:rPr>
                      <w:rFonts w:hint="default" w:ascii="Times New Roman" w:hAnsi="Times New Roman" w:eastAsia="宋体" w:cs="Times New Roman"/>
                      <w:b w:val="0"/>
                      <w:spacing w:val="2"/>
                      <w:sz w:val="20"/>
                      <w:szCs w:val="20"/>
                    </w:rPr>
                    <w:t>C1751</w:t>
                  </w:r>
                  <w:r>
                    <w:rPr>
                      <w:rFonts w:hint="eastAsia" w:ascii="Times New Roman" w:hAnsi="Times New Roman" w:cs="Times New Roman"/>
                      <w:b w:val="0"/>
                      <w:spacing w:val="2"/>
                      <w:sz w:val="20"/>
                      <w:szCs w:val="20"/>
                      <w:lang w:eastAsia="zh-CN"/>
                    </w:rPr>
                    <w:t>）</w:t>
                  </w:r>
                  <w:r>
                    <w:rPr>
                      <w:rFonts w:hint="default" w:ascii="Times New Roman" w:hAnsi="Times New Roman" w:eastAsia="宋体"/>
                      <w:b w:val="0"/>
                      <w:spacing w:val="2"/>
                      <w:sz w:val="20"/>
                      <w:szCs w:val="20"/>
                    </w:rPr>
                    <w:t>，不属于五河经济开发区</w:t>
                  </w:r>
                  <w:r>
                    <w:rPr>
                      <w:rFonts w:hint="default" w:ascii="Times New Roman" w:hAnsi="Times New Roman" w:eastAsia="宋体"/>
                      <w:b w:val="0"/>
                      <w:spacing w:val="22"/>
                      <w:sz w:val="20"/>
                      <w:szCs w:val="20"/>
                    </w:rPr>
                    <w:t>产业准入指导清单中的限制类及</w:t>
                  </w:r>
                  <w:r>
                    <w:rPr>
                      <w:rFonts w:hint="default" w:ascii="Times New Roman" w:hAnsi="Times New Roman" w:eastAsia="宋体"/>
                      <w:b w:val="0"/>
                      <w:spacing w:val="7"/>
                      <w:sz w:val="20"/>
                      <w:szCs w:val="20"/>
                    </w:rPr>
                    <w:t>禁止类项目，符合开发区的发展定</w:t>
                  </w:r>
                  <w:r>
                    <w:rPr>
                      <w:rFonts w:hint="default" w:ascii="Times New Roman" w:hAnsi="Times New Roman" w:eastAsia="宋体"/>
                      <w:b w:val="0"/>
                      <w:sz w:val="20"/>
                      <w:szCs w:val="20"/>
                    </w:rPr>
                    <w:t>位</w:t>
                  </w:r>
                </w:p>
              </w:tc>
              <w:tc>
                <w:tcPr>
                  <w:tcW w:w="537" w:type="dxa"/>
                  <w:tcBorders>
                    <w:top w:val="single" w:color="auto" w:sz="4" w:space="0"/>
                    <w:left w:val="single" w:color="auto" w:sz="4" w:space="0"/>
                    <w:bottom w:val="single" w:color="auto" w:sz="4" w:space="0"/>
                    <w:right w:val="nil"/>
                  </w:tcBorders>
                  <w:shd w:val="clear" w:color="auto" w:fill="FFFFFF"/>
                  <w:textDirection w:val="tbRlV"/>
                  <w:vAlign w:val="center"/>
                </w:tcPr>
                <w:p w14:paraId="6BA9EB01">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15" w:lineRule="auto"/>
                    <w:ind w:left="0" w:right="0"/>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8"/>
                      <w:sz w:val="20"/>
                      <w:szCs w:val="20"/>
                    </w:rPr>
                    <w:t>符合</w:t>
                  </w:r>
                </w:p>
              </w:tc>
            </w:tr>
            <w:tr w14:paraId="18295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39" w:type="dxa"/>
                  <w:tcBorders>
                    <w:top w:val="single" w:color="auto" w:sz="4" w:space="0"/>
                    <w:left w:val="nil"/>
                    <w:bottom w:val="single" w:color="auto" w:sz="4" w:space="0"/>
                    <w:right w:val="single" w:color="auto" w:sz="4" w:space="0"/>
                  </w:tcBorders>
                  <w:shd w:val="clear" w:color="auto" w:fill="FFFFFF"/>
                  <w:vAlign w:val="center"/>
                </w:tcPr>
                <w:p w14:paraId="2FD5A39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right="0"/>
                    <w:jc w:val="center"/>
                    <w:textAlignment w:val="baseline"/>
                    <w:rPr>
                      <w:rFonts w:hint="default" w:ascii="Times New Roman" w:hAnsi="Times New Roman" w:eastAsia="宋体" w:cs="Times New Roman"/>
                      <w:b w:val="0"/>
                      <w:sz w:val="20"/>
                      <w:szCs w:val="20"/>
                    </w:rPr>
                  </w:pPr>
                  <w:r>
                    <w:rPr>
                      <w:rFonts w:hint="default" w:ascii="Times New Roman" w:hAnsi="Times New Roman" w:eastAsia="宋体" w:cs="Times New Roman"/>
                      <w:b w:val="0"/>
                      <w:sz w:val="20"/>
                      <w:szCs w:val="20"/>
                    </w:rPr>
                    <w:t>5</w:t>
                  </w:r>
                </w:p>
              </w:tc>
              <w:tc>
                <w:tcPr>
                  <w:tcW w:w="4526" w:type="dxa"/>
                  <w:tcBorders>
                    <w:top w:val="single" w:color="auto" w:sz="4" w:space="0"/>
                    <w:left w:val="single" w:color="auto" w:sz="4" w:space="0"/>
                    <w:bottom w:val="single" w:color="auto" w:sz="4" w:space="0"/>
                    <w:right w:val="single" w:color="auto" w:sz="4" w:space="0"/>
                  </w:tcBorders>
                  <w:shd w:val="clear" w:color="auto" w:fill="FFFFFF"/>
                  <w:vAlign w:val="center"/>
                </w:tcPr>
                <w:p w14:paraId="0C0D0F6C">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52" w:lineRule="auto"/>
                    <w:ind w:left="0" w:right="0" w:firstLine="422"/>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15"/>
                      <w:sz w:val="20"/>
                      <w:szCs w:val="20"/>
                    </w:rPr>
                    <w:t>完善环境监测体系，加强生态环境风险防</w:t>
                  </w:r>
                  <w:r>
                    <w:rPr>
                      <w:rFonts w:hint="default" w:ascii="Times New Roman" w:hAnsi="Times New Roman" w:eastAsia="宋体"/>
                      <w:b w:val="0"/>
                      <w:spacing w:val="4"/>
                      <w:sz w:val="20"/>
                      <w:szCs w:val="20"/>
                    </w:rPr>
                    <w:t>控。统筹考虑区内污染物排放、水环境保护、环</w:t>
                  </w:r>
                  <w:r>
                    <w:rPr>
                      <w:rFonts w:hint="default" w:ascii="Times New Roman" w:hAnsi="Times New Roman" w:eastAsia="宋体"/>
                      <w:b w:val="0"/>
                      <w:spacing w:val="15"/>
                      <w:sz w:val="20"/>
                      <w:szCs w:val="20"/>
                    </w:rPr>
                    <w:t>境风险防范环境管理和下游五河县城南水厂饮</w:t>
                  </w:r>
                  <w:r>
                    <w:rPr>
                      <w:rFonts w:hint="default" w:ascii="Times New Roman" w:hAnsi="Times New Roman" w:eastAsia="宋体"/>
                      <w:b w:val="0"/>
                      <w:spacing w:val="4"/>
                      <w:sz w:val="20"/>
                      <w:szCs w:val="20"/>
                    </w:rPr>
                    <w:t>用水水源保护区等，健全区域风险防范体系和生态安全保障体系，加强开发区内重要环境风险源</w:t>
                  </w:r>
                  <w:r>
                    <w:rPr>
                      <w:rFonts w:hint="default" w:ascii="Times New Roman" w:hAnsi="Times New Roman" w:eastAsia="宋体"/>
                      <w:b w:val="0"/>
                      <w:spacing w:val="9"/>
                      <w:sz w:val="20"/>
                      <w:szCs w:val="20"/>
                    </w:rPr>
                    <w:t>的管控，完善环境风险防范应急措施</w:t>
                  </w:r>
                </w:p>
              </w:tc>
              <w:tc>
                <w:tcPr>
                  <w:tcW w:w="3335" w:type="dxa"/>
                  <w:tcBorders>
                    <w:top w:val="single" w:color="auto" w:sz="4" w:space="0"/>
                    <w:left w:val="single" w:color="auto" w:sz="4" w:space="0"/>
                    <w:bottom w:val="single" w:color="auto" w:sz="4" w:space="0"/>
                    <w:right w:val="single" w:color="auto" w:sz="4" w:space="0"/>
                  </w:tcBorders>
                  <w:shd w:val="clear" w:color="auto" w:fill="FFFFFF"/>
                  <w:vAlign w:val="center"/>
                </w:tcPr>
                <w:p w14:paraId="0EBAFA96">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421"/>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24"/>
                      <w:sz w:val="20"/>
                      <w:szCs w:val="20"/>
                    </w:rPr>
                    <w:t>本次评价要求建设单位按照</w:t>
                  </w:r>
                  <w:r>
                    <w:rPr>
                      <w:rFonts w:hint="default" w:ascii="Times New Roman" w:hAnsi="Times New Roman" w:eastAsia="宋体"/>
                      <w:b w:val="0"/>
                      <w:spacing w:val="7"/>
                      <w:sz w:val="20"/>
                      <w:szCs w:val="20"/>
                    </w:rPr>
                    <w:t>排污许可要求开展监测；落实分区防渗措施；生产车间按规范配置灭</w:t>
                  </w:r>
                  <w:r>
                    <w:rPr>
                      <w:rFonts w:hint="default" w:ascii="Times New Roman" w:hAnsi="Times New Roman" w:eastAsia="宋体"/>
                      <w:b w:val="0"/>
                      <w:spacing w:val="18"/>
                      <w:sz w:val="20"/>
                      <w:szCs w:val="20"/>
                    </w:rPr>
                    <w:t>火器材和消防装备；制定巡查制</w:t>
                  </w:r>
                  <w:r>
                    <w:rPr>
                      <w:rFonts w:hint="default" w:ascii="Times New Roman" w:hAnsi="Times New Roman" w:eastAsia="宋体"/>
                      <w:b w:val="0"/>
                      <w:spacing w:val="7"/>
                      <w:sz w:val="20"/>
                      <w:szCs w:val="20"/>
                    </w:rPr>
                    <w:t>度，对有泄漏现象和迹象的部位及</w:t>
                  </w:r>
                  <w:r>
                    <w:rPr>
                      <w:rFonts w:hint="default" w:ascii="Times New Roman" w:hAnsi="Times New Roman" w:eastAsia="宋体"/>
                      <w:b w:val="0"/>
                      <w:spacing w:val="6"/>
                      <w:sz w:val="20"/>
                      <w:szCs w:val="20"/>
                    </w:rPr>
                    <w:t>时采取处理措施；加强火源管理，</w:t>
                  </w:r>
                  <w:r>
                    <w:rPr>
                      <w:rFonts w:hint="default" w:ascii="Times New Roman" w:hAnsi="Times New Roman" w:eastAsia="宋体"/>
                      <w:b w:val="0"/>
                      <w:spacing w:val="22"/>
                      <w:sz w:val="20"/>
                      <w:szCs w:val="20"/>
                    </w:rPr>
                    <w:t>杜绝各种火种，严禁闲杂人员入</w:t>
                  </w:r>
                  <w:r>
                    <w:rPr>
                      <w:rFonts w:hint="default" w:ascii="Times New Roman" w:hAnsi="Times New Roman" w:eastAsia="宋体"/>
                      <w:b w:val="0"/>
                      <w:spacing w:val="7"/>
                      <w:sz w:val="20"/>
                      <w:szCs w:val="20"/>
                    </w:rPr>
                    <w:t>内；工作人员要熟练掌握操作技术和防火安全管理规定；废气、废水</w:t>
                  </w:r>
                  <w:r>
                    <w:rPr>
                      <w:rFonts w:hint="default" w:ascii="Times New Roman" w:hAnsi="Times New Roman" w:eastAsia="宋体"/>
                      <w:b w:val="0"/>
                      <w:spacing w:val="22"/>
                      <w:sz w:val="20"/>
                      <w:szCs w:val="20"/>
                    </w:rPr>
                    <w:t>处理设施每日巡检，进行例行监</w:t>
                  </w:r>
                  <w:r>
                    <w:rPr>
                      <w:rFonts w:hint="default" w:ascii="Times New Roman" w:hAnsi="Times New Roman" w:eastAsia="宋体"/>
                      <w:b w:val="0"/>
                      <w:sz w:val="20"/>
                      <w:szCs w:val="20"/>
                    </w:rPr>
                    <w:t>测。</w:t>
                  </w:r>
                </w:p>
              </w:tc>
              <w:tc>
                <w:tcPr>
                  <w:tcW w:w="537" w:type="dxa"/>
                  <w:tcBorders>
                    <w:top w:val="single" w:color="auto" w:sz="4" w:space="0"/>
                    <w:left w:val="single" w:color="auto" w:sz="4" w:space="0"/>
                    <w:bottom w:val="single" w:color="auto" w:sz="4" w:space="0"/>
                    <w:right w:val="nil"/>
                  </w:tcBorders>
                  <w:shd w:val="clear" w:color="auto" w:fill="FFFFFF"/>
                  <w:textDirection w:val="tbRlV"/>
                  <w:vAlign w:val="center"/>
                </w:tcPr>
                <w:p w14:paraId="041E9E0C">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15" w:lineRule="auto"/>
                    <w:ind w:left="0" w:right="0"/>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8"/>
                      <w:sz w:val="20"/>
                      <w:szCs w:val="20"/>
                    </w:rPr>
                    <w:t>符合</w:t>
                  </w:r>
                </w:p>
              </w:tc>
            </w:tr>
            <w:tr w14:paraId="5265E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 w:hRule="atLeast"/>
              </w:trPr>
              <w:tc>
                <w:tcPr>
                  <w:tcW w:w="639" w:type="dxa"/>
                  <w:tcBorders>
                    <w:top w:val="single" w:color="auto" w:sz="4" w:space="0"/>
                    <w:left w:val="nil"/>
                    <w:bottom w:val="single" w:color="000000" w:sz="12" w:space="0"/>
                    <w:right w:val="single" w:color="auto" w:sz="4" w:space="0"/>
                  </w:tcBorders>
                  <w:shd w:val="clear" w:color="auto" w:fill="FFFFFF"/>
                  <w:vAlign w:val="center"/>
                </w:tcPr>
                <w:p w14:paraId="493FC53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5" w:lineRule="auto"/>
                    <w:ind w:left="0" w:right="0"/>
                    <w:jc w:val="center"/>
                    <w:textAlignment w:val="baseline"/>
                    <w:rPr>
                      <w:rFonts w:hint="default" w:ascii="Times New Roman" w:hAnsi="Times New Roman" w:eastAsia="宋体" w:cs="Times New Roman"/>
                      <w:b w:val="0"/>
                      <w:sz w:val="20"/>
                      <w:szCs w:val="20"/>
                    </w:rPr>
                  </w:pPr>
                  <w:r>
                    <w:rPr>
                      <w:rFonts w:hint="default" w:ascii="Times New Roman" w:hAnsi="Times New Roman" w:eastAsia="宋体" w:cs="Times New Roman"/>
                      <w:b w:val="0"/>
                      <w:sz w:val="20"/>
                      <w:szCs w:val="20"/>
                    </w:rPr>
                    <w:t>6</w:t>
                  </w:r>
                </w:p>
              </w:tc>
              <w:tc>
                <w:tcPr>
                  <w:tcW w:w="4526" w:type="dxa"/>
                  <w:tcBorders>
                    <w:top w:val="single" w:color="auto" w:sz="4" w:space="0"/>
                    <w:left w:val="single" w:color="auto" w:sz="4" w:space="0"/>
                    <w:bottom w:val="single" w:color="000000" w:sz="12" w:space="0"/>
                    <w:right w:val="single" w:color="auto" w:sz="4" w:space="0"/>
                  </w:tcBorders>
                  <w:shd w:val="clear" w:color="auto" w:fill="FFFFFF"/>
                  <w:vAlign w:val="center"/>
                </w:tcPr>
                <w:p w14:paraId="2898FD44">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6" w:lineRule="auto"/>
                    <w:ind w:left="0" w:right="0" w:firstLine="420"/>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15"/>
                      <w:sz w:val="20"/>
                      <w:szCs w:val="20"/>
                    </w:rPr>
                    <w:t>加强日常环境监管，落实区域环境管理要</w:t>
                  </w:r>
                  <w:r>
                    <w:rPr>
                      <w:rFonts w:hint="default" w:ascii="Times New Roman" w:hAnsi="Times New Roman" w:eastAsia="宋体"/>
                      <w:b w:val="0"/>
                      <w:spacing w:val="4"/>
                      <w:sz w:val="20"/>
                      <w:szCs w:val="20"/>
                    </w:rPr>
                    <w:t>求。严格落实环境管理要求，强化开发区环境管理队伍建设，严格落实环境影响评价和排污许可制度，督促现有入园企业及时完成环境保护竣工</w:t>
                  </w:r>
                  <w:r>
                    <w:rPr>
                      <w:rFonts w:hint="default" w:ascii="Times New Roman" w:hAnsi="Times New Roman" w:eastAsia="宋体"/>
                      <w:b w:val="0"/>
                      <w:spacing w:val="9"/>
                      <w:sz w:val="20"/>
                      <w:szCs w:val="20"/>
                    </w:rPr>
                    <w:t>验收。适时开展环境</w:t>
                  </w:r>
                  <w:r>
                    <w:rPr>
                      <w:rFonts w:hint="eastAsia" w:ascii="Times New Roman" w:hAnsi="Times New Roman"/>
                      <w:b w:val="0"/>
                      <w:spacing w:val="9"/>
                      <w:sz w:val="20"/>
                      <w:szCs w:val="20"/>
                      <w:lang w:eastAsia="zh-CN"/>
                    </w:rPr>
                    <w:t>影</w:t>
                  </w:r>
                  <w:r>
                    <w:rPr>
                      <w:rFonts w:hint="default" w:ascii="Times New Roman" w:hAnsi="Times New Roman" w:eastAsia="宋体"/>
                      <w:b w:val="0"/>
                      <w:spacing w:val="9"/>
                      <w:sz w:val="20"/>
                      <w:szCs w:val="20"/>
                    </w:rPr>
                    <w:t>响跟踪评价</w:t>
                  </w:r>
                </w:p>
              </w:tc>
              <w:tc>
                <w:tcPr>
                  <w:tcW w:w="3335" w:type="dxa"/>
                  <w:tcBorders>
                    <w:top w:val="single" w:color="auto" w:sz="4" w:space="0"/>
                    <w:left w:val="single" w:color="auto" w:sz="4" w:space="0"/>
                    <w:bottom w:val="single" w:color="000000" w:sz="12" w:space="0"/>
                    <w:right w:val="single" w:color="auto" w:sz="4" w:space="0"/>
                  </w:tcBorders>
                  <w:shd w:val="clear" w:color="auto" w:fill="FFFFFF"/>
                  <w:vAlign w:val="center"/>
                </w:tcPr>
                <w:p w14:paraId="1AD2EC54">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52" w:lineRule="auto"/>
                    <w:ind w:left="0" w:right="0" w:firstLine="423"/>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6"/>
                      <w:sz w:val="20"/>
                      <w:szCs w:val="20"/>
                    </w:rPr>
                    <w:t>企业严格落实环境管理要求，</w:t>
                  </w:r>
                  <w:r>
                    <w:rPr>
                      <w:rFonts w:hint="default" w:ascii="Times New Roman" w:hAnsi="Times New Roman" w:eastAsia="宋体"/>
                      <w:b w:val="0"/>
                      <w:spacing w:val="22"/>
                      <w:sz w:val="20"/>
                      <w:szCs w:val="20"/>
                    </w:rPr>
                    <w:t>环评要求企业及时进行排污许可</w:t>
                  </w:r>
                  <w:r>
                    <w:rPr>
                      <w:rFonts w:hint="default" w:ascii="Times New Roman" w:hAnsi="Times New Roman" w:eastAsia="宋体"/>
                      <w:b w:val="0"/>
                      <w:spacing w:val="9"/>
                      <w:sz w:val="20"/>
                      <w:szCs w:val="20"/>
                    </w:rPr>
                    <w:t>申报，正式投产前进行环保验收</w:t>
                  </w:r>
                </w:p>
              </w:tc>
              <w:tc>
                <w:tcPr>
                  <w:tcW w:w="537" w:type="dxa"/>
                  <w:tcBorders>
                    <w:top w:val="single" w:color="auto" w:sz="4" w:space="0"/>
                    <w:left w:val="single" w:color="auto" w:sz="4" w:space="0"/>
                    <w:bottom w:val="single" w:color="000000" w:sz="12" w:space="0"/>
                    <w:right w:val="nil"/>
                  </w:tcBorders>
                  <w:shd w:val="clear" w:color="auto" w:fill="FFFFFF"/>
                  <w:textDirection w:val="tbRlV"/>
                  <w:vAlign w:val="center"/>
                </w:tcPr>
                <w:p w14:paraId="77603FC0">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15" w:lineRule="auto"/>
                    <w:ind w:left="0" w:right="0"/>
                    <w:jc w:val="center"/>
                    <w:textAlignment w:val="baseline"/>
                    <w:rPr>
                      <w:rFonts w:hint="default" w:ascii="Times New Roman" w:hAnsi="Times New Roman" w:eastAsia="宋体"/>
                      <w:b w:val="0"/>
                      <w:sz w:val="20"/>
                      <w:szCs w:val="20"/>
                    </w:rPr>
                  </w:pPr>
                  <w:r>
                    <w:rPr>
                      <w:rFonts w:hint="default" w:ascii="Times New Roman" w:hAnsi="Times New Roman" w:eastAsia="宋体"/>
                      <w:b w:val="0"/>
                      <w:spacing w:val="8"/>
                      <w:sz w:val="20"/>
                      <w:szCs w:val="20"/>
                    </w:rPr>
                    <w:t>符合</w:t>
                  </w:r>
                </w:p>
              </w:tc>
            </w:tr>
          </w:tbl>
          <w:p w14:paraId="2901246C">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480" w:firstLineChars="200"/>
              <w:jc w:val="left"/>
              <w:textAlignment w:val="auto"/>
              <w:rPr>
                <w:rFonts w:hint="default"/>
                <w:color w:val="auto"/>
                <w:highlight w:val="none"/>
                <w:lang w:val="en-US" w:eastAsia="zh-CN"/>
              </w:rPr>
            </w:pPr>
          </w:p>
        </w:tc>
      </w:tr>
      <w:tr w14:paraId="2B14A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066" w:hRule="atLeast"/>
          <w:jc w:val="center"/>
        </w:trPr>
        <w:tc>
          <w:tcPr>
            <w:tcW w:w="686" w:type="dxa"/>
            <w:noWrap w:val="0"/>
            <w:vAlign w:val="center"/>
          </w:tcPr>
          <w:p w14:paraId="3942A1D7">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jc w:val="center"/>
              <w:textAlignment w:val="auto"/>
              <w:rPr>
                <w:rFonts w:hint="default"/>
                <w:b/>
                <w:bCs/>
                <w:color w:val="auto"/>
                <w:highlight w:val="none"/>
              </w:rPr>
            </w:pPr>
            <w:r>
              <w:rPr>
                <w:rFonts w:hint="default"/>
                <w:b/>
                <w:bCs/>
                <w:color w:val="auto"/>
                <w:highlight w:val="none"/>
              </w:rPr>
              <w:t>其他符合性分析</w:t>
            </w:r>
          </w:p>
        </w:tc>
        <w:tc>
          <w:tcPr>
            <w:tcW w:w="8944" w:type="dxa"/>
            <w:gridSpan w:val="4"/>
            <w:noWrap w:val="0"/>
            <w:vAlign w:val="center"/>
          </w:tcPr>
          <w:p w14:paraId="659CCF19">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highlight w:val="none"/>
              </w:rPr>
            </w:pPr>
            <w:r>
              <w:rPr>
                <w:rFonts w:hint="eastAsia"/>
                <w:color w:val="auto"/>
                <w:highlight w:val="none"/>
              </w:rPr>
              <w:t>1、选址合理性分析</w:t>
            </w:r>
          </w:p>
          <w:p w14:paraId="3A04713C">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eastAsia="宋体" w:cs="宋体"/>
                <w:color w:val="auto"/>
                <w:highlight w:val="none"/>
                <w:lang w:eastAsia="zh-CN"/>
              </w:rPr>
            </w:pPr>
            <w:r>
              <w:rPr>
                <w:rFonts w:hint="eastAsia"/>
                <w:color w:val="auto"/>
                <w:highlight w:val="none"/>
                <w:lang w:eastAsia="zh-CN"/>
              </w:rPr>
              <w:t>本项目</w:t>
            </w:r>
            <w:r>
              <w:rPr>
                <w:rFonts w:hint="eastAsia"/>
                <w:color w:val="auto"/>
                <w:highlight w:val="none"/>
              </w:rPr>
              <w:t>位于</w:t>
            </w:r>
            <w:r>
              <w:rPr>
                <w:rFonts w:hint="eastAsia"/>
                <w:color w:val="auto"/>
                <w:highlight w:val="none"/>
                <w:lang w:eastAsia="zh-CN"/>
              </w:rPr>
              <w:t>安徽省蚌埠市五河县开发区彩虹大道与兴潼路交口西80米</w:t>
            </w:r>
            <w:r>
              <w:rPr>
                <w:rFonts w:hint="eastAsia"/>
                <w:color w:val="auto"/>
                <w:highlight w:val="none"/>
                <w:shd w:val="clear"/>
                <w:lang w:val="en-US" w:eastAsia="zh-CN"/>
              </w:rPr>
              <w:t>，土地性质</w:t>
            </w:r>
            <w:r>
              <w:rPr>
                <w:rFonts w:hint="eastAsia"/>
                <w:color w:val="auto"/>
                <w:highlight w:val="none"/>
                <w:shd w:val="clear"/>
              </w:rPr>
              <w:t>为工业用地，厂址地理位置优越，交通便利，评价范围内无自然保护区、风景</w:t>
            </w:r>
            <w:r>
              <w:rPr>
                <w:rFonts w:hint="eastAsia"/>
                <w:color w:val="auto"/>
                <w:highlight w:val="none"/>
              </w:rPr>
              <w:t>名胜区、其他著名旅游景点和文物古迹等需要特殊保护的环境敏感对</w:t>
            </w:r>
            <w:r>
              <w:rPr>
                <w:rFonts w:hint="eastAsia" w:ascii="Times New Roman" w:hAnsi="Times New Roman" w:eastAsia="宋体" w:cs="宋体"/>
                <w:color w:val="auto"/>
                <w:highlight w:val="none"/>
                <w:lang w:eastAsia="zh-CN"/>
              </w:rPr>
              <w:t>象，厂界所在</w:t>
            </w:r>
            <w:r>
              <w:rPr>
                <w:rFonts w:hint="eastAsia" w:cs="宋体"/>
                <w:color w:val="auto"/>
                <w:highlight w:val="none"/>
                <w:lang w:val="en-US" w:eastAsia="zh-CN"/>
              </w:rPr>
              <w:t>地块</w:t>
            </w:r>
            <w:r>
              <w:rPr>
                <w:rFonts w:hint="eastAsia" w:ascii="Times New Roman" w:hAnsi="Times New Roman" w:eastAsia="宋体" w:cs="宋体"/>
                <w:color w:val="auto"/>
                <w:highlight w:val="none"/>
                <w:lang w:eastAsia="zh-CN"/>
              </w:rPr>
              <w:t>未曾从事过“有色金属冶炼、石油加工、化工、焦化、电镀、制革以及从事过危险废物贮存、利用、处置活动”</w:t>
            </w:r>
            <w:r>
              <w:rPr>
                <w:rFonts w:hint="eastAsia" w:cs="宋体"/>
                <w:color w:val="auto"/>
                <w:highlight w:val="none"/>
                <w:lang w:val="en-US" w:eastAsia="zh-CN"/>
              </w:rPr>
              <w:t>的</w:t>
            </w:r>
            <w:r>
              <w:rPr>
                <w:rFonts w:hint="eastAsia" w:ascii="Times New Roman" w:hAnsi="Times New Roman" w:eastAsia="宋体" w:cs="宋体"/>
                <w:color w:val="auto"/>
                <w:highlight w:val="none"/>
                <w:lang w:eastAsia="zh-CN"/>
              </w:rPr>
              <w:t>行业。从环境保护角度而言，项目选址合适、可行。</w:t>
            </w:r>
          </w:p>
          <w:p w14:paraId="134DFE9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left"/>
              <w:textAlignment w:val="auto"/>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2、与周边环境相容性分析</w:t>
            </w:r>
          </w:p>
          <w:p w14:paraId="39DCE006">
            <w:pPr>
              <w:keepNext w:val="0"/>
              <w:keepLines w:val="0"/>
              <w:pageBreakBefore w:val="0"/>
              <w:suppressLineNumbers w:val="0"/>
              <w:kinsoku/>
              <w:wordWrap/>
              <w:overflowPunct/>
              <w:autoSpaceDE/>
              <w:autoSpaceDN/>
              <w:bidi w:val="0"/>
              <w:spacing w:before="0" w:beforeAutospacing="0" w:after="0" w:afterAutospacing="0" w:line="360" w:lineRule="auto"/>
              <w:ind w:left="0" w:right="0" w:firstLine="484" w:firstLineChars="202"/>
              <w:textAlignment w:val="auto"/>
              <w:rPr>
                <w:rFonts w:hint="default" w:cs="Times New Roman"/>
                <w:color w:val="auto"/>
                <w:spacing w:val="0"/>
                <w:w w:val="100"/>
                <w:kern w:val="2"/>
                <w:position w:val="0"/>
                <w:sz w:val="24"/>
                <w:szCs w:val="24"/>
                <w:highlight w:val="none"/>
                <w:u w:val="none"/>
                <w:shd w:val="clear" w:color="auto" w:fill="auto"/>
                <w:lang w:val="en-US" w:eastAsia="zh-CN" w:bidi="zh-TW"/>
              </w:rPr>
            </w:pPr>
            <w:r>
              <w:rPr>
                <w:rFonts w:hint="eastAsia"/>
                <w:color w:val="auto"/>
                <w:highlight w:val="none"/>
                <w:lang w:val="en-US" w:eastAsia="zh-CN"/>
              </w:rPr>
              <w:t>本项目</w:t>
            </w:r>
            <w:r>
              <w:rPr>
                <w:rFonts w:hint="eastAsia"/>
                <w:color w:val="auto"/>
                <w:highlight w:val="none"/>
              </w:rPr>
              <w:t>位于</w:t>
            </w:r>
            <w:r>
              <w:rPr>
                <w:rFonts w:hint="eastAsia" w:cs="Times New Roman"/>
                <w:color w:val="auto"/>
                <w:highlight w:val="none"/>
                <w:lang w:eastAsia="zh-CN"/>
              </w:rPr>
              <w:t>安徽省蚌埠市五河县开发区彩虹大道与兴潼路交口西80米，</w:t>
            </w:r>
            <w:r>
              <w:rPr>
                <w:rFonts w:hint="eastAsia" w:cs="Times New Roman"/>
                <w:color w:val="auto"/>
                <w:spacing w:val="0"/>
                <w:w w:val="100"/>
                <w:kern w:val="2"/>
                <w:position w:val="0"/>
                <w:sz w:val="24"/>
                <w:szCs w:val="24"/>
                <w:highlight w:val="none"/>
                <w:u w:val="none"/>
                <w:shd w:val="clear" w:color="auto" w:fill="auto"/>
                <w:lang w:val="en-US" w:eastAsia="zh-CN" w:bidi="zh-TW"/>
              </w:rPr>
              <w:t>项目北</w:t>
            </w:r>
            <w:r>
              <w:rPr>
                <w:rFonts w:hint="default" w:ascii="Times New Roman" w:hAnsi="Times New Roman" w:eastAsia="宋体" w:cs="Times New Roman"/>
                <w:color w:val="auto"/>
                <w:spacing w:val="0"/>
                <w:w w:val="100"/>
                <w:kern w:val="2"/>
                <w:position w:val="0"/>
                <w:sz w:val="24"/>
                <w:szCs w:val="24"/>
                <w:highlight w:val="none"/>
                <w:u w:val="none"/>
                <w:shd w:val="clear" w:color="auto" w:fill="auto"/>
                <w:lang w:val="en-US" w:eastAsia="zh-CN" w:bidi="zh-TW"/>
              </w:rPr>
              <w:t>侧为</w:t>
            </w:r>
            <w:r>
              <w:rPr>
                <w:rFonts w:hint="eastAsia"/>
                <w:color w:val="auto"/>
                <w:highlight w:val="none"/>
                <w:lang w:val="en-US" w:eastAsia="zh-CN"/>
              </w:rPr>
              <w:t>新敬业彩钢</w:t>
            </w:r>
            <w:r>
              <w:rPr>
                <w:rFonts w:hint="eastAsia" w:cs="Times New Roman"/>
                <w:color w:val="auto"/>
                <w:spacing w:val="0"/>
                <w:w w:val="100"/>
                <w:kern w:val="2"/>
                <w:position w:val="0"/>
                <w:sz w:val="24"/>
                <w:szCs w:val="24"/>
                <w:highlight w:val="none"/>
                <w:u w:val="none"/>
                <w:shd w:val="clear" w:color="auto" w:fill="auto"/>
                <w:lang w:val="en-US" w:eastAsia="zh-CN" w:bidi="zh-TW"/>
              </w:rPr>
              <w:t>，西</w:t>
            </w:r>
            <w:r>
              <w:rPr>
                <w:rFonts w:hint="eastAsia" w:ascii="Times New Roman" w:hAnsi="Times New Roman" w:eastAsia="宋体" w:cs="Times New Roman"/>
                <w:color w:val="auto"/>
                <w:spacing w:val="0"/>
                <w:w w:val="100"/>
                <w:kern w:val="2"/>
                <w:position w:val="0"/>
                <w:sz w:val="24"/>
                <w:szCs w:val="24"/>
                <w:highlight w:val="none"/>
                <w:u w:val="none"/>
                <w:shd w:val="clear" w:color="auto" w:fill="auto"/>
                <w:lang w:val="en-US" w:eastAsia="zh-CN" w:bidi="zh-TW"/>
              </w:rPr>
              <w:t>侧</w:t>
            </w:r>
            <w:r>
              <w:rPr>
                <w:rFonts w:hint="eastAsia" w:cs="Times New Roman"/>
                <w:color w:val="auto"/>
                <w:spacing w:val="0"/>
                <w:w w:val="100"/>
                <w:kern w:val="2"/>
                <w:position w:val="0"/>
                <w:sz w:val="24"/>
                <w:szCs w:val="24"/>
                <w:highlight w:val="none"/>
                <w:u w:val="none"/>
                <w:shd w:val="clear" w:color="auto" w:fill="auto"/>
                <w:lang w:val="en-US" w:eastAsia="zh-CN" w:bidi="zh-TW"/>
              </w:rPr>
              <w:t>为安徽百荣纺织科技有限公司</w:t>
            </w:r>
            <w:r>
              <w:rPr>
                <w:rFonts w:hint="default" w:ascii="Times New Roman" w:hAnsi="Times New Roman" w:eastAsia="宋体" w:cs="Times New Roman"/>
                <w:color w:val="auto"/>
                <w:spacing w:val="0"/>
                <w:w w:val="100"/>
                <w:kern w:val="2"/>
                <w:position w:val="0"/>
                <w:sz w:val="24"/>
                <w:szCs w:val="24"/>
                <w:highlight w:val="none"/>
                <w:u w:val="none"/>
                <w:shd w:val="clear" w:color="auto" w:fill="auto"/>
                <w:lang w:val="en-US" w:eastAsia="zh-CN" w:bidi="zh-TW"/>
              </w:rPr>
              <w:t>，</w:t>
            </w:r>
            <w:r>
              <w:rPr>
                <w:rFonts w:hint="eastAsia" w:cs="Times New Roman"/>
                <w:color w:val="auto"/>
                <w:spacing w:val="0"/>
                <w:w w:val="100"/>
                <w:kern w:val="2"/>
                <w:position w:val="0"/>
                <w:sz w:val="24"/>
                <w:szCs w:val="24"/>
                <w:highlight w:val="none"/>
                <w:u w:val="none"/>
                <w:shd w:val="clear" w:color="auto" w:fill="auto"/>
                <w:lang w:val="en-US" w:eastAsia="zh-CN" w:bidi="zh-TW"/>
              </w:rPr>
              <w:t>东</w:t>
            </w:r>
            <w:r>
              <w:rPr>
                <w:rFonts w:hint="eastAsia" w:ascii="Times New Roman" w:hAnsi="Times New Roman" w:eastAsia="宋体" w:cs="Times New Roman"/>
                <w:color w:val="auto"/>
                <w:spacing w:val="0"/>
                <w:w w:val="100"/>
                <w:kern w:val="2"/>
                <w:position w:val="0"/>
                <w:sz w:val="24"/>
                <w:szCs w:val="24"/>
                <w:highlight w:val="none"/>
                <w:u w:val="none"/>
                <w:shd w:val="clear" w:color="auto" w:fill="auto"/>
                <w:lang w:val="en-US" w:eastAsia="zh-CN" w:bidi="zh-TW"/>
              </w:rPr>
              <w:t>侧</w:t>
            </w:r>
            <w:r>
              <w:rPr>
                <w:rFonts w:hint="eastAsia" w:cs="Times New Roman"/>
                <w:color w:val="auto"/>
                <w:spacing w:val="0"/>
                <w:w w:val="100"/>
                <w:kern w:val="2"/>
                <w:position w:val="0"/>
                <w:sz w:val="24"/>
                <w:szCs w:val="24"/>
                <w:highlight w:val="none"/>
                <w:u w:val="none"/>
                <w:shd w:val="clear" w:color="auto" w:fill="auto"/>
                <w:lang w:val="en-US" w:eastAsia="zh-CN" w:bidi="zh-TW"/>
              </w:rPr>
              <w:t>为安徽奥达面业有限公司和蚌埠市金傻子农副产品加工有限公司，南侧为安徽华夏精密科技有限公司（详情见附图2）</w:t>
            </w:r>
            <w:r>
              <w:rPr>
                <w:rFonts w:hint="default" w:ascii="Times New Roman" w:hAnsi="Times New Roman" w:eastAsia="宋体" w:cs="Times New Roman"/>
                <w:color w:val="auto"/>
                <w:spacing w:val="0"/>
                <w:w w:val="100"/>
                <w:kern w:val="2"/>
                <w:position w:val="0"/>
                <w:sz w:val="24"/>
                <w:szCs w:val="24"/>
                <w:highlight w:val="none"/>
                <w:u w:val="none"/>
                <w:shd w:val="clear" w:color="auto" w:fill="auto"/>
                <w:lang w:val="en-US" w:eastAsia="zh-CN" w:bidi="zh-TW"/>
              </w:rPr>
              <w:t>。</w:t>
            </w:r>
            <w:r>
              <w:rPr>
                <w:rFonts w:hint="eastAsia" w:cs="Times New Roman"/>
                <w:color w:val="auto"/>
                <w:spacing w:val="0"/>
                <w:w w:val="100"/>
                <w:kern w:val="2"/>
                <w:position w:val="0"/>
                <w:sz w:val="24"/>
                <w:szCs w:val="24"/>
                <w:highlight w:val="none"/>
                <w:u w:val="none"/>
                <w:shd w:val="clear" w:color="auto" w:fill="auto"/>
                <w:lang w:val="en-US" w:eastAsia="zh-CN" w:bidi="zh-TW"/>
              </w:rPr>
              <w:t>本项目</w:t>
            </w:r>
            <w:r>
              <w:rPr>
                <w:rFonts w:hint="default" w:ascii="Times New Roman" w:hAnsi="Times New Roman" w:eastAsia="宋体" w:cs="Times New Roman"/>
                <w:color w:val="auto"/>
                <w:spacing w:val="0"/>
                <w:w w:val="100"/>
                <w:kern w:val="2"/>
                <w:position w:val="0"/>
                <w:sz w:val="24"/>
                <w:szCs w:val="24"/>
                <w:highlight w:val="none"/>
                <w:u w:val="none"/>
                <w:shd w:val="clear" w:color="auto" w:fill="auto"/>
                <w:lang w:val="en-US" w:eastAsia="zh-CN" w:bidi="zh-TW"/>
              </w:rPr>
              <w:t>不涉及国家和地方规定的风景名胜区、生态功能保护区、自然保护区、文化遗产保护区、饮用水源保护区、基本农田保护区等区域，外环境制约因素小</w:t>
            </w:r>
            <w:r>
              <w:rPr>
                <w:rFonts w:hint="eastAsia" w:cs="Times New Roman"/>
                <w:color w:val="auto"/>
                <w:spacing w:val="0"/>
                <w:w w:val="100"/>
                <w:kern w:val="2"/>
                <w:position w:val="0"/>
                <w:sz w:val="24"/>
                <w:szCs w:val="24"/>
                <w:highlight w:val="none"/>
                <w:u w:val="none"/>
                <w:shd w:val="clear" w:color="auto" w:fill="auto"/>
                <w:lang w:val="en-US" w:eastAsia="zh-CN" w:bidi="zh-TW"/>
              </w:rPr>
              <w:t>。生产废水经</w:t>
            </w:r>
            <w:r>
              <w:rPr>
                <w:rFonts w:hint="default" w:cs="Times New Roman"/>
                <w:color w:val="auto"/>
                <w:spacing w:val="0"/>
                <w:w w:val="100"/>
                <w:kern w:val="2"/>
                <w:position w:val="0"/>
                <w:sz w:val="24"/>
                <w:szCs w:val="24"/>
                <w:highlight w:val="none"/>
                <w:u w:val="none"/>
                <w:shd w:val="clear" w:color="auto" w:fill="auto"/>
                <w:lang w:val="en-US" w:eastAsia="en-US" w:bidi="zh-TW"/>
              </w:rPr>
              <w:t>“</w:t>
            </w:r>
            <w:r>
              <w:rPr>
                <w:rFonts w:hint="eastAsia" w:cs="Times New Roman"/>
                <w:color w:val="auto"/>
                <w:spacing w:val="0"/>
                <w:w w:val="100"/>
                <w:kern w:val="2"/>
                <w:position w:val="0"/>
                <w:sz w:val="24"/>
                <w:szCs w:val="24"/>
                <w:highlight w:val="none"/>
                <w:u w:val="none"/>
                <w:shd w:val="clear" w:color="auto" w:fill="auto"/>
                <w:lang w:val="en-US" w:eastAsia="zh-CN" w:bidi="zh-TW"/>
              </w:rPr>
              <w:t>隔油+气浮+好氧生化+二级沉淀+过滤</w:t>
            </w:r>
            <w:r>
              <w:rPr>
                <w:rFonts w:hint="default" w:cs="Times New Roman"/>
                <w:color w:val="auto"/>
                <w:spacing w:val="0"/>
                <w:w w:val="100"/>
                <w:kern w:val="2"/>
                <w:position w:val="0"/>
                <w:sz w:val="24"/>
                <w:szCs w:val="24"/>
                <w:highlight w:val="none"/>
                <w:u w:val="none"/>
                <w:shd w:val="clear" w:color="auto" w:fill="auto"/>
                <w:lang w:val="en-US" w:eastAsia="en-US" w:bidi="zh-TW"/>
              </w:rPr>
              <w:t>”</w:t>
            </w:r>
            <w:r>
              <w:rPr>
                <w:rFonts w:hint="eastAsia" w:cs="Times New Roman"/>
                <w:color w:val="auto"/>
                <w:spacing w:val="0"/>
                <w:w w:val="100"/>
                <w:kern w:val="2"/>
                <w:position w:val="0"/>
                <w:sz w:val="24"/>
                <w:szCs w:val="24"/>
                <w:highlight w:val="none"/>
                <w:u w:val="none"/>
                <w:shd w:val="clear" w:color="auto" w:fill="auto"/>
                <w:lang w:val="en-US" w:eastAsia="zh-CN" w:bidi="zh-TW"/>
              </w:rPr>
              <w:t>处理设施处理后95%回用于织造用水，5%排入市政管网进入五河县经济开发区污水处理厂处理。距离最近敏感点为东南侧441m范围内的五河致远实验学校。加弹产生的有机</w:t>
            </w:r>
            <w:r>
              <w:rPr>
                <w:rFonts w:hint="default" w:cs="Times New Roman"/>
                <w:color w:val="auto"/>
                <w:spacing w:val="0"/>
                <w:w w:val="100"/>
                <w:kern w:val="2"/>
                <w:position w:val="0"/>
                <w:sz w:val="24"/>
                <w:szCs w:val="24"/>
                <w:highlight w:val="none"/>
                <w:u w:val="none"/>
                <w:shd w:val="clear" w:color="auto" w:fill="auto"/>
                <w:lang w:val="en-US" w:eastAsia="zh-CN" w:bidi="zh-TW"/>
              </w:rPr>
              <w:t>废气</w:t>
            </w:r>
            <w:r>
              <w:rPr>
                <w:rFonts w:hint="eastAsia" w:cs="Times New Roman"/>
                <w:color w:val="auto"/>
                <w:spacing w:val="0"/>
                <w:w w:val="100"/>
                <w:kern w:val="2"/>
                <w:position w:val="0"/>
                <w:sz w:val="24"/>
                <w:szCs w:val="24"/>
                <w:highlight w:val="none"/>
                <w:u w:val="none"/>
                <w:shd w:val="clear" w:color="auto" w:fill="auto"/>
                <w:lang w:val="en-US" w:eastAsia="zh-CN" w:bidi="zh-TW"/>
              </w:rPr>
              <w:t>集气管收集后通过活性炭吸附脱附+催化燃烧处理后，由一根15m高排气筒（DA001）排放。对周围企业影响较小。</w:t>
            </w:r>
          </w:p>
          <w:p w14:paraId="78424360">
            <w:pPr>
              <w:keepNext w:val="0"/>
              <w:keepLines w:val="0"/>
              <w:pageBreakBefore w:val="0"/>
              <w:suppressLineNumbers w:val="0"/>
              <w:kinsoku/>
              <w:wordWrap/>
              <w:overflowPunct/>
              <w:autoSpaceDE/>
              <w:autoSpaceDN/>
              <w:bidi w:val="0"/>
              <w:spacing w:before="0" w:beforeAutospacing="0" w:after="0" w:afterAutospacing="0" w:line="360" w:lineRule="auto"/>
              <w:ind w:left="0" w:right="0" w:firstLine="484" w:firstLineChars="202"/>
              <w:textAlignment w:val="auto"/>
              <w:rPr>
                <w:rFonts w:hint="eastAsia" w:ascii="Times New Roman" w:hAnsi="Times New Roman" w:eastAsia="宋体" w:cs="Times New Roman"/>
                <w:color w:val="auto"/>
                <w:spacing w:val="0"/>
                <w:w w:val="100"/>
                <w:kern w:val="2"/>
                <w:position w:val="0"/>
                <w:sz w:val="24"/>
                <w:szCs w:val="24"/>
                <w:highlight w:val="none"/>
                <w:u w:val="none"/>
                <w:shd w:val="clear" w:color="auto" w:fill="auto"/>
                <w:lang w:val="en-US" w:eastAsia="zh-CN" w:bidi="zh-TW"/>
              </w:rPr>
            </w:pPr>
            <w:r>
              <w:rPr>
                <w:rFonts w:hint="eastAsia" w:ascii="Times New Roman" w:hAnsi="Times New Roman" w:eastAsia="宋体" w:cs="Times New Roman"/>
                <w:color w:val="auto"/>
                <w:spacing w:val="0"/>
                <w:w w:val="100"/>
                <w:kern w:val="2"/>
                <w:position w:val="0"/>
                <w:sz w:val="24"/>
                <w:szCs w:val="24"/>
                <w:highlight w:val="none"/>
                <w:u w:val="none"/>
                <w:shd w:val="clear" w:color="auto" w:fill="auto"/>
                <w:lang w:val="en-US" w:eastAsia="zh-CN" w:bidi="zh-TW"/>
              </w:rPr>
              <w:t>因此，</w:t>
            </w:r>
            <w:r>
              <w:rPr>
                <w:rFonts w:hint="eastAsia" w:cs="Times New Roman"/>
                <w:color w:val="auto"/>
                <w:spacing w:val="0"/>
                <w:w w:val="100"/>
                <w:kern w:val="2"/>
                <w:position w:val="0"/>
                <w:sz w:val="24"/>
                <w:szCs w:val="24"/>
                <w:highlight w:val="none"/>
                <w:u w:val="none"/>
                <w:shd w:val="clear" w:color="auto" w:fill="auto"/>
                <w:lang w:val="en-US" w:eastAsia="zh-CN" w:bidi="zh-TW"/>
              </w:rPr>
              <w:t>本项目</w:t>
            </w:r>
            <w:r>
              <w:rPr>
                <w:rFonts w:hint="eastAsia" w:ascii="Times New Roman" w:hAnsi="Times New Roman" w:eastAsia="宋体" w:cs="Times New Roman"/>
                <w:color w:val="auto"/>
                <w:spacing w:val="0"/>
                <w:w w:val="100"/>
                <w:kern w:val="2"/>
                <w:position w:val="0"/>
                <w:sz w:val="24"/>
                <w:szCs w:val="24"/>
                <w:highlight w:val="none"/>
                <w:u w:val="none"/>
                <w:shd w:val="clear" w:color="auto" w:fill="auto"/>
                <w:lang w:val="en-US" w:eastAsia="zh-CN" w:bidi="zh-TW"/>
              </w:rPr>
              <w:t>的选址与周边环境是相容的。</w:t>
            </w:r>
          </w:p>
          <w:p w14:paraId="03BDC124">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产业政策符</w:t>
            </w:r>
            <w:r>
              <w:rPr>
                <w:rFonts w:hint="eastAsia"/>
                <w:color w:val="auto"/>
                <w:highlight w:val="none"/>
                <w:lang w:val="en-US" w:eastAsia="zh-CN"/>
              </w:rPr>
              <w:t>合</w:t>
            </w:r>
            <w:r>
              <w:rPr>
                <w:rFonts w:hint="eastAsia"/>
                <w:color w:val="auto"/>
                <w:highlight w:val="none"/>
              </w:rPr>
              <w:t>性分析</w:t>
            </w:r>
          </w:p>
          <w:p w14:paraId="20C84213">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textAlignment w:val="auto"/>
              <w:rPr>
                <w:rFonts w:hint="eastAsia" w:eastAsia="宋体"/>
                <w:color w:val="auto"/>
                <w:highlight w:val="none"/>
                <w:lang w:eastAsia="zh-CN"/>
              </w:rPr>
            </w:pPr>
            <w:r>
              <w:rPr>
                <w:rFonts w:hint="default"/>
                <w:spacing w:val="-8"/>
              </w:rPr>
              <w:t>本项目为</w:t>
            </w:r>
            <w:r>
              <w:rPr>
                <w:rFonts w:hint="default" w:ascii="Times New Roman" w:hAnsi="Times New Roman" w:eastAsia="Times New Roman" w:cs="Times New Roman"/>
                <w:spacing w:val="-8"/>
              </w:rPr>
              <w:t>C1751</w:t>
            </w:r>
            <w:r>
              <w:rPr>
                <w:rFonts w:hint="default"/>
                <w:spacing w:val="-8"/>
              </w:rPr>
              <w:t>化纤织造加工，</w:t>
            </w:r>
            <w:r>
              <w:rPr>
                <w:rFonts w:hint="eastAsia"/>
                <w:color w:val="auto"/>
                <w:highlight w:val="none"/>
              </w:rPr>
              <w:t>对照《产业结构调整指导目录（20</w:t>
            </w:r>
            <w:r>
              <w:rPr>
                <w:rFonts w:hint="eastAsia"/>
                <w:color w:val="auto"/>
                <w:highlight w:val="none"/>
                <w:lang w:val="en-US" w:eastAsia="zh-CN"/>
              </w:rPr>
              <w:t>24</w:t>
            </w:r>
            <w:r>
              <w:rPr>
                <w:rFonts w:hint="eastAsia"/>
                <w:color w:val="auto"/>
                <w:highlight w:val="none"/>
              </w:rPr>
              <w:t>年本）》（国家发展改革委令第7号），</w:t>
            </w:r>
            <w:r>
              <w:rPr>
                <w:rFonts w:hint="eastAsia" w:cs="Times New Roman"/>
                <w:color w:val="auto"/>
                <w:lang w:val="en-US" w:eastAsia="zh-CN"/>
              </w:rPr>
              <w:t>新建项目</w:t>
            </w:r>
            <w:r>
              <w:rPr>
                <w:rFonts w:hint="default" w:ascii="Times New Roman" w:hAnsi="Times New Roman" w:cs="Times New Roman"/>
                <w:color w:val="auto"/>
                <w:lang w:val="en-US" w:eastAsia="zh-CN"/>
              </w:rPr>
              <w:t>不属于</w:t>
            </w:r>
            <w:r>
              <w:rPr>
                <w:rFonts w:hint="eastAsia" w:cs="Times New Roman"/>
                <w:color w:val="auto"/>
                <w:lang w:val="en-US" w:eastAsia="zh-CN"/>
              </w:rPr>
              <w:t>“</w:t>
            </w:r>
            <w:r>
              <w:rPr>
                <w:rFonts w:hint="default" w:ascii="Times New Roman" w:hAnsi="Times New Roman" w:cs="Times New Roman"/>
                <w:color w:val="auto"/>
                <w:lang w:val="en-US" w:eastAsia="zh-CN"/>
              </w:rPr>
              <w:t>鼓励类</w:t>
            </w:r>
            <w:r>
              <w:rPr>
                <w:rFonts w:hint="eastAsia" w:cs="Times New Roman"/>
                <w:color w:val="auto"/>
                <w:lang w:val="en-US" w:eastAsia="zh-CN"/>
              </w:rPr>
              <w:t>”</w:t>
            </w:r>
            <w:r>
              <w:rPr>
                <w:rFonts w:hint="default" w:ascii="Times New Roman" w:hAnsi="Times New Roman" w:cs="Times New Roman"/>
                <w:color w:val="auto"/>
                <w:lang w:val="en-US" w:eastAsia="zh-CN"/>
              </w:rPr>
              <w:t>、</w:t>
            </w:r>
            <w:r>
              <w:rPr>
                <w:rFonts w:hint="eastAsia" w:cs="Times New Roman"/>
                <w:color w:val="auto"/>
                <w:lang w:val="en-US" w:eastAsia="zh-CN"/>
              </w:rPr>
              <w:t>“</w:t>
            </w:r>
            <w:r>
              <w:rPr>
                <w:rFonts w:hint="default" w:ascii="Times New Roman" w:hAnsi="Times New Roman" w:cs="Times New Roman"/>
                <w:color w:val="auto"/>
                <w:lang w:val="en-US" w:eastAsia="zh-CN"/>
              </w:rPr>
              <w:t>限制类</w:t>
            </w:r>
            <w:r>
              <w:rPr>
                <w:rFonts w:hint="eastAsia" w:cs="Times New Roman"/>
                <w:color w:val="auto"/>
                <w:lang w:val="en-US" w:eastAsia="zh-CN"/>
              </w:rPr>
              <w:t>”</w:t>
            </w:r>
            <w:r>
              <w:rPr>
                <w:rFonts w:hint="default" w:ascii="Times New Roman" w:hAnsi="Times New Roman" w:cs="Times New Roman"/>
                <w:color w:val="auto"/>
                <w:lang w:val="en-US" w:eastAsia="zh-CN"/>
              </w:rPr>
              <w:t>和</w:t>
            </w:r>
            <w:r>
              <w:rPr>
                <w:rFonts w:hint="eastAsia" w:cs="Times New Roman"/>
                <w:color w:val="auto"/>
                <w:lang w:val="en-US" w:eastAsia="zh-CN"/>
              </w:rPr>
              <w:t>“</w:t>
            </w:r>
            <w:r>
              <w:rPr>
                <w:rFonts w:hint="default" w:ascii="Times New Roman" w:hAnsi="Times New Roman" w:cs="Times New Roman"/>
                <w:color w:val="auto"/>
                <w:lang w:val="en-US" w:eastAsia="zh-CN"/>
              </w:rPr>
              <w:t>淘汰类</w:t>
            </w:r>
            <w:r>
              <w:rPr>
                <w:rFonts w:hint="eastAsia" w:cs="Times New Roman"/>
                <w:color w:val="auto"/>
                <w:lang w:val="en-US" w:eastAsia="zh-CN"/>
              </w:rPr>
              <w:t>”</w:t>
            </w:r>
            <w:r>
              <w:rPr>
                <w:rFonts w:hint="default" w:ascii="Times New Roman" w:hAnsi="Times New Roman" w:cs="Times New Roman"/>
                <w:color w:val="auto"/>
                <w:lang w:val="en-US" w:eastAsia="zh-CN"/>
              </w:rPr>
              <w:t>项目，视为允许类</w:t>
            </w:r>
            <w:r>
              <w:rPr>
                <w:rFonts w:hint="default"/>
                <w:spacing w:val="-1"/>
              </w:rPr>
              <w:t>。</w:t>
            </w:r>
          </w:p>
          <w:p w14:paraId="17855202">
            <w:pPr>
              <w:pStyle w:val="42"/>
              <w:keepNext w:val="0"/>
              <w:keepLines w:val="0"/>
              <w:pageBreakBefore w:val="0"/>
              <w:suppressLineNumbers w:val="0"/>
              <w:kinsoku/>
              <w:wordWrap/>
              <w:overflowPunct/>
              <w:autoSpaceDE/>
              <w:autoSpaceDN/>
              <w:bidi w:val="0"/>
              <w:adjustRightInd w:val="0"/>
              <w:snapToGrid w:val="0"/>
              <w:spacing w:before="0" w:beforeAutospacing="0" w:after="0" w:afterAutospacing="0"/>
              <w:ind w:left="0" w:right="0"/>
              <w:textAlignment w:val="auto"/>
              <w:rPr>
                <w:rFonts w:hint="eastAsia"/>
                <w:color w:val="auto"/>
                <w:highlight w:val="none"/>
              </w:rPr>
            </w:pPr>
            <w:r>
              <w:rPr>
                <w:rFonts w:hint="eastAsia"/>
                <w:color w:val="auto"/>
                <w:highlight w:val="none"/>
              </w:rPr>
              <w:t>对照工信部《高耗能落后机电设备（产品）淘汰目录》第一批、第二批、第三批和第四批，本项目所用机电设备</w:t>
            </w:r>
            <w:r>
              <w:rPr>
                <w:rFonts w:hint="eastAsia"/>
                <w:color w:val="auto"/>
                <w:highlight w:val="none"/>
                <w:lang w:val="en-US" w:eastAsia="zh-CN"/>
              </w:rPr>
              <w:t>主要生产设备织造机为290型、加弹机为新型v1000型,</w:t>
            </w:r>
            <w:r>
              <w:rPr>
                <w:rFonts w:hint="eastAsia"/>
                <w:color w:val="auto"/>
                <w:highlight w:val="none"/>
              </w:rPr>
              <w:t>不属于其中的淘汰落后设备；所用设备也不属于《产业结构调整指导目录》中淘汰类落后工艺设备。</w:t>
            </w:r>
          </w:p>
          <w:p w14:paraId="7C08C24C">
            <w:pPr>
              <w:pStyle w:val="42"/>
              <w:keepNext w:val="0"/>
              <w:keepLines w:val="0"/>
              <w:pageBreakBefore w:val="0"/>
              <w:suppressLineNumbers w:val="0"/>
              <w:kinsoku/>
              <w:wordWrap/>
              <w:overflowPunct/>
              <w:autoSpaceDE/>
              <w:autoSpaceDN/>
              <w:bidi w:val="0"/>
              <w:adjustRightInd w:val="0"/>
              <w:snapToGrid w:val="0"/>
              <w:spacing w:before="0" w:beforeAutospacing="0" w:after="0" w:afterAutospacing="0"/>
              <w:ind w:left="0" w:right="0"/>
              <w:textAlignment w:val="auto"/>
              <w:rPr>
                <w:rFonts w:hint="eastAsia"/>
                <w:color w:val="auto"/>
                <w:highlight w:val="none"/>
              </w:rPr>
            </w:pPr>
            <w:r>
              <w:rPr>
                <w:rFonts w:hint="eastAsia"/>
                <w:color w:val="auto"/>
                <w:highlight w:val="none"/>
                <w:lang w:val="en-US" w:eastAsia="zh-CN"/>
              </w:rPr>
              <w:t>2025年9月2日，五河县</w:t>
            </w:r>
            <w:r>
              <w:rPr>
                <w:rFonts w:hint="eastAsia"/>
                <w:color w:val="auto"/>
                <w:highlight w:val="none"/>
              </w:rPr>
              <w:t>发展和改革委员会</w:t>
            </w:r>
            <w:r>
              <w:rPr>
                <w:rFonts w:hint="eastAsia"/>
                <w:color w:val="auto"/>
                <w:highlight w:val="none"/>
                <w:lang w:val="en-US" w:eastAsia="zh-CN"/>
              </w:rPr>
              <w:t>同意企业新建项目</w:t>
            </w:r>
            <w:r>
              <w:rPr>
                <w:rFonts w:hint="eastAsia"/>
                <w:color w:val="auto"/>
                <w:highlight w:val="none"/>
              </w:rPr>
              <w:t>备案项目代码为</w:t>
            </w:r>
            <w:r>
              <w:rPr>
                <w:rFonts w:hint="eastAsia"/>
                <w:color w:val="auto"/>
                <w:highlight w:val="none"/>
                <w:lang w:eastAsia="zh-CN"/>
              </w:rPr>
              <w:t>2509-340322-04-05-976515</w:t>
            </w:r>
            <w:r>
              <w:rPr>
                <w:rFonts w:hint="eastAsia"/>
                <w:color w:val="auto"/>
                <w:highlight w:val="none"/>
              </w:rPr>
              <w:t>。</w:t>
            </w:r>
            <w:r>
              <w:rPr>
                <w:rFonts w:hint="eastAsia"/>
                <w:color w:val="auto"/>
                <w:highlight w:val="none"/>
                <w:lang w:val="en-US" w:eastAsia="zh-CN"/>
              </w:rPr>
              <w:t>故</w:t>
            </w:r>
            <w:r>
              <w:rPr>
                <w:rFonts w:hint="eastAsia"/>
                <w:color w:val="auto"/>
                <w:highlight w:val="none"/>
              </w:rPr>
              <w:t>项目符合地方产业政策。</w:t>
            </w:r>
          </w:p>
          <w:p w14:paraId="2DD5DB7D">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highlight w:val="none"/>
              </w:rPr>
            </w:pPr>
            <w:r>
              <w:rPr>
                <w:rFonts w:hint="eastAsia"/>
                <w:color w:val="auto"/>
                <w:highlight w:val="none"/>
              </w:rPr>
              <w:t>综上分析，</w:t>
            </w:r>
            <w:r>
              <w:rPr>
                <w:rFonts w:hint="eastAsia"/>
                <w:color w:val="auto"/>
                <w:highlight w:val="none"/>
                <w:lang w:val="en-US" w:eastAsia="zh-CN"/>
              </w:rPr>
              <w:t>本项目</w:t>
            </w:r>
            <w:r>
              <w:rPr>
                <w:rFonts w:hint="eastAsia"/>
                <w:color w:val="auto"/>
                <w:highlight w:val="none"/>
              </w:rPr>
              <w:t>符合国家</w:t>
            </w:r>
            <w:r>
              <w:rPr>
                <w:rFonts w:hint="eastAsia"/>
                <w:color w:val="auto"/>
                <w:highlight w:val="none"/>
                <w:lang w:val="en-US" w:eastAsia="zh-CN"/>
              </w:rPr>
              <w:t>和地方</w:t>
            </w:r>
            <w:r>
              <w:rPr>
                <w:rFonts w:hint="eastAsia"/>
                <w:color w:val="auto"/>
                <w:highlight w:val="none"/>
              </w:rPr>
              <w:t>现行产业政策。</w:t>
            </w:r>
          </w:p>
          <w:p w14:paraId="23AA087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rPr>
                <w:rFonts w:hint="eastAsia" w:ascii="Times New Roman" w:hAnsi="Times New Roman" w:eastAsia="宋体" w:cs="宋体"/>
                <w:b/>
                <w:bCs/>
                <w:color w:val="auto"/>
                <w:kern w:val="2"/>
                <w:sz w:val="24"/>
                <w:szCs w:val="24"/>
                <w:highlight w:val="none"/>
                <w:lang w:val="en-US" w:eastAsia="zh-CN" w:bidi="ar-SA"/>
              </w:rPr>
            </w:pPr>
            <w:r>
              <w:rPr>
                <w:rFonts w:hint="eastAsia"/>
                <w:b/>
                <w:bCs/>
                <w:color w:val="auto"/>
                <w:highlight w:val="none"/>
                <w:lang w:val="en-US" w:eastAsia="zh-CN"/>
              </w:rPr>
              <w:t>4、</w:t>
            </w:r>
            <w:r>
              <w:rPr>
                <w:rFonts w:hint="eastAsia" w:ascii="Times New Roman" w:hAnsi="Times New Roman" w:eastAsia="宋体" w:cs="宋体"/>
                <w:b/>
                <w:bCs/>
                <w:color w:val="auto"/>
                <w:kern w:val="2"/>
                <w:sz w:val="24"/>
                <w:szCs w:val="24"/>
                <w:highlight w:val="none"/>
                <w:lang w:val="en-US" w:eastAsia="zh-CN" w:bidi="ar-SA"/>
              </w:rPr>
              <w:t>与</w:t>
            </w:r>
            <w:r>
              <w:rPr>
                <w:rFonts w:hint="eastAsia" w:cs="宋体"/>
                <w:b/>
                <w:bCs/>
                <w:color w:val="auto"/>
                <w:kern w:val="2"/>
                <w:sz w:val="24"/>
                <w:szCs w:val="24"/>
                <w:highlight w:val="none"/>
                <w:lang w:val="en-US" w:eastAsia="zh-CN" w:bidi="ar-SA"/>
              </w:rPr>
              <w:t>“</w:t>
            </w:r>
            <w:r>
              <w:rPr>
                <w:rFonts w:hint="eastAsia" w:ascii="Times New Roman" w:hAnsi="Times New Roman" w:eastAsia="宋体" w:cs="宋体"/>
                <w:b/>
                <w:bCs/>
                <w:color w:val="auto"/>
                <w:kern w:val="2"/>
                <w:sz w:val="24"/>
                <w:szCs w:val="24"/>
                <w:highlight w:val="none"/>
                <w:lang w:val="en-US" w:eastAsia="zh-CN" w:bidi="ar-SA"/>
              </w:rPr>
              <w:t>三区三线</w:t>
            </w:r>
            <w:r>
              <w:rPr>
                <w:rFonts w:hint="eastAsia" w:cs="宋体"/>
                <w:b/>
                <w:bCs/>
                <w:color w:val="auto"/>
                <w:kern w:val="2"/>
                <w:sz w:val="24"/>
                <w:szCs w:val="24"/>
                <w:highlight w:val="none"/>
                <w:lang w:val="en-US" w:eastAsia="zh-CN" w:bidi="ar-SA"/>
              </w:rPr>
              <w:t>”</w:t>
            </w:r>
            <w:r>
              <w:rPr>
                <w:rFonts w:hint="eastAsia" w:ascii="Times New Roman" w:hAnsi="Times New Roman" w:eastAsia="宋体" w:cs="宋体"/>
                <w:b/>
                <w:bCs/>
                <w:color w:val="auto"/>
                <w:kern w:val="2"/>
                <w:sz w:val="24"/>
                <w:szCs w:val="24"/>
                <w:highlight w:val="none"/>
                <w:lang w:val="en-US" w:eastAsia="zh-CN" w:bidi="ar-SA"/>
              </w:rPr>
              <w:t>相符性分析</w:t>
            </w:r>
          </w:p>
          <w:p w14:paraId="2824DA8C">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根据《自然资源部关于在全国开展</w:t>
            </w:r>
            <w:r>
              <w:rPr>
                <w:rFonts w:hint="eastAsia" w:cs="宋体"/>
                <w:color w:val="auto"/>
                <w:kern w:val="0"/>
                <w:sz w:val="24"/>
                <w:szCs w:val="24"/>
                <w:highlight w:val="none"/>
                <w:lang w:val="en-US" w:eastAsia="zh-CN" w:bidi="ar"/>
              </w:rPr>
              <w:t>“</w:t>
            </w:r>
            <w:r>
              <w:rPr>
                <w:rFonts w:hint="eastAsia" w:ascii="Times New Roman" w:hAnsi="Times New Roman" w:eastAsia="宋体" w:cs="宋体"/>
                <w:color w:val="auto"/>
                <w:kern w:val="0"/>
                <w:sz w:val="24"/>
                <w:szCs w:val="24"/>
                <w:highlight w:val="none"/>
                <w:lang w:val="en-US" w:eastAsia="zh-CN" w:bidi="ar"/>
              </w:rPr>
              <w:t>三区三线</w:t>
            </w:r>
            <w:r>
              <w:rPr>
                <w:rFonts w:hint="eastAsia" w:cs="宋体"/>
                <w:color w:val="auto"/>
                <w:kern w:val="0"/>
                <w:sz w:val="24"/>
                <w:szCs w:val="24"/>
                <w:highlight w:val="none"/>
                <w:lang w:val="en-US" w:eastAsia="zh-CN" w:bidi="ar"/>
              </w:rPr>
              <w:t>”</w:t>
            </w:r>
            <w:r>
              <w:rPr>
                <w:rFonts w:hint="eastAsia" w:ascii="Times New Roman" w:hAnsi="Times New Roman" w:eastAsia="宋体" w:cs="宋体"/>
                <w:color w:val="auto"/>
                <w:kern w:val="0"/>
                <w:sz w:val="24"/>
                <w:szCs w:val="24"/>
                <w:highlight w:val="none"/>
                <w:lang w:val="en-US" w:eastAsia="zh-CN" w:bidi="ar"/>
              </w:rPr>
              <w:t>划定工作的函》（自然资函〔</w:t>
            </w:r>
            <w:r>
              <w:rPr>
                <w:rFonts w:hint="default" w:ascii="Times New Roman" w:hAnsi="Times New Roman" w:eastAsia="宋体" w:cs="宋体"/>
                <w:color w:val="auto"/>
                <w:kern w:val="0"/>
                <w:sz w:val="24"/>
                <w:szCs w:val="24"/>
                <w:highlight w:val="none"/>
                <w:lang w:val="en-US" w:eastAsia="zh-CN" w:bidi="ar"/>
              </w:rPr>
              <w:t>2022</w:t>
            </w:r>
            <w:r>
              <w:rPr>
                <w:rFonts w:hint="eastAsia" w:ascii="Times New Roman" w:hAnsi="Times New Roman" w:eastAsia="宋体" w:cs="宋体"/>
                <w:color w:val="auto"/>
                <w:kern w:val="0"/>
                <w:sz w:val="24"/>
                <w:szCs w:val="24"/>
                <w:highlight w:val="none"/>
                <w:lang w:val="en-US" w:eastAsia="zh-CN" w:bidi="ar"/>
              </w:rPr>
              <w:t>〕</w:t>
            </w:r>
            <w:r>
              <w:rPr>
                <w:rFonts w:hint="default" w:ascii="Times New Roman" w:hAnsi="Times New Roman" w:eastAsia="宋体" w:cs="宋体"/>
                <w:color w:val="auto"/>
                <w:kern w:val="0"/>
                <w:sz w:val="24"/>
                <w:szCs w:val="24"/>
                <w:highlight w:val="none"/>
                <w:lang w:val="en-US" w:eastAsia="zh-CN" w:bidi="ar"/>
              </w:rPr>
              <w:t>47</w:t>
            </w:r>
            <w:r>
              <w:rPr>
                <w:rFonts w:hint="eastAsia" w:ascii="Times New Roman" w:hAnsi="Times New Roman" w:eastAsia="宋体" w:cs="宋体"/>
                <w:color w:val="auto"/>
                <w:kern w:val="0"/>
                <w:sz w:val="24"/>
                <w:szCs w:val="24"/>
                <w:highlight w:val="none"/>
                <w:lang w:val="en-US" w:eastAsia="zh-CN" w:bidi="ar"/>
              </w:rPr>
              <w:t>号），三区是指城镇空间、农业空间、生态空间三种类型的国土空间。其中，城镇空间是指以承载城镇经济、社会、政治、文化、生态等要素为主的功能空间；农业空间是指以农业生产、农村生活为主的功能空间；生态空间是指以提供生态系统服务或生态产品为主的功能空间。三线分别对应在城镇空间、农业空间、生态空间划定的城镇开发边界、永久基本农田、生态保护红线三条控制线。其中，生态保护红线是指在生态空间范围内具有特殊重要生态功能，必须强制性严格保护的陆域、水域、海域等区域。永久基本农田是指按照一定时期人口和经济社会发展对农产品的需求，依据国土空间规划确定的不能擅自占用或改变用途的耕地。</w:t>
            </w:r>
          </w:p>
          <w:p w14:paraId="02C29FF8">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Times New Roman" w:hAnsi="Times New Roman" w:eastAsia="宋体" w:cs="宋体"/>
                <w:color w:val="auto"/>
                <w:kern w:val="0"/>
                <w:sz w:val="24"/>
                <w:szCs w:val="24"/>
                <w:highlight w:val="none"/>
                <w:lang w:val="en-US" w:eastAsia="zh-CN" w:bidi="ar"/>
              </w:rPr>
            </w:pPr>
            <w:r>
              <w:rPr>
                <w:rFonts w:hint="default"/>
                <w:color w:val="auto"/>
                <w:sz w:val="24"/>
                <w:highlight w:val="none"/>
              </w:rPr>
              <mc:AlternateContent>
                <mc:Choice Requires="wps">
                  <w:drawing>
                    <wp:anchor distT="0" distB="0" distL="114300" distR="114300" simplePos="0" relativeHeight="251687936" behindDoc="0" locked="0" layoutInCell="1" allowOverlap="1">
                      <wp:simplePos x="0" y="0"/>
                      <wp:positionH relativeFrom="column">
                        <wp:posOffset>1089660</wp:posOffset>
                      </wp:positionH>
                      <wp:positionV relativeFrom="paragraph">
                        <wp:posOffset>1267460</wp:posOffset>
                      </wp:positionV>
                      <wp:extent cx="76200" cy="76200"/>
                      <wp:effectExtent l="0" t="0" r="0" b="0"/>
                      <wp:wrapNone/>
                      <wp:docPr id="74" name="椭圆 74"/>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5.8pt;margin-top:99.8pt;height:6pt;width:6pt;z-index:251687936;v-text-anchor:middle;mso-width-relative:page;mso-height-relative:page;" fillcolor="#FF0000" filled="t" stroked="f" coordsize="21600,21600" o:gfxdata="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xoB02AAAAAsBAAAPAAAAAAAAAAEAIAAAACIAAABkcnMvZG93bnJldi54bWxQSwECFAAUAAAACACH&#10;TuJAGznDoV0CAAC2BAAADgAAAAAAAAABACAAAAAnAQAAZHJzL2Uyb0RvYy54bWxQSwUGAAAAAAYA&#10;BgBZAQAA9gUAAAAA&#10;">
                      <v:fill on="t" focussize="0,0"/>
                      <v:stroke on="f" weight="2pt"/>
                      <v:imagedata o:title=""/>
                      <o:lock v:ext="edit" aspectratio="f"/>
                    </v:shape>
                  </w:pict>
                </mc:Fallback>
              </mc:AlternateContent>
            </w:r>
            <w:r>
              <w:rPr>
                <w:rFonts w:hint="default"/>
              </w:rPr>
              <w:drawing>
                <wp:anchor distT="0" distB="0" distL="114300" distR="114300" simplePos="0" relativeHeight="251686912" behindDoc="0" locked="0" layoutInCell="1" allowOverlap="1">
                  <wp:simplePos x="0" y="0"/>
                  <wp:positionH relativeFrom="column">
                    <wp:posOffset>150495</wp:posOffset>
                  </wp:positionH>
                  <wp:positionV relativeFrom="paragraph">
                    <wp:posOffset>432435</wp:posOffset>
                  </wp:positionV>
                  <wp:extent cx="1640840" cy="1512570"/>
                  <wp:effectExtent l="0" t="0" r="16510" b="11430"/>
                  <wp:wrapNone/>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9"/>
                          <a:stretch>
                            <a:fillRect/>
                          </a:stretch>
                        </pic:blipFill>
                        <pic:spPr>
                          <a:xfrm>
                            <a:off x="0" y="0"/>
                            <a:ext cx="1640840" cy="1512570"/>
                          </a:xfrm>
                          <a:prstGeom prst="rect">
                            <a:avLst/>
                          </a:prstGeom>
                          <a:noFill/>
                          <a:ln>
                            <a:noFill/>
                          </a:ln>
                        </pic:spPr>
                      </pic:pic>
                    </a:graphicData>
                  </a:graphic>
                </wp:anchor>
              </w:drawing>
            </w:r>
            <w:r>
              <w:rPr>
                <w:rFonts w:hint="default"/>
                <w:color w:val="auto"/>
                <w:sz w:val="24"/>
                <w:highlight w:val="none"/>
              </w:rPr>
              <mc:AlternateContent>
                <mc:Choice Requires="wps">
                  <w:drawing>
                    <wp:anchor distT="0" distB="0" distL="114300" distR="114300" simplePos="0" relativeHeight="251682816" behindDoc="0" locked="0" layoutInCell="1" allowOverlap="1">
                      <wp:simplePos x="0" y="0"/>
                      <wp:positionH relativeFrom="column">
                        <wp:posOffset>140335</wp:posOffset>
                      </wp:positionH>
                      <wp:positionV relativeFrom="paragraph">
                        <wp:posOffset>433070</wp:posOffset>
                      </wp:positionV>
                      <wp:extent cx="1650365" cy="1527810"/>
                      <wp:effectExtent l="6350" t="6350" r="19685" b="8890"/>
                      <wp:wrapNone/>
                      <wp:docPr id="72" name="矩形 72"/>
                      <wp:cNvGraphicFramePr/>
                      <a:graphic xmlns:a="http://schemas.openxmlformats.org/drawingml/2006/main">
                        <a:graphicData uri="http://schemas.microsoft.com/office/word/2010/wordprocessingShape">
                          <wps:wsp>
                            <wps:cNvSpPr/>
                            <wps:spPr>
                              <a:xfrm>
                                <a:off x="3630295" y="4167505"/>
                                <a:ext cx="1292225" cy="137350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5pt;margin-top:34.1pt;height:120.3pt;width:129.95pt;z-index:251682816;v-text-anchor:middle;mso-width-relative:page;mso-height-relative:page;" filled="f" stroked="t" coordsize="21600,21600" o:gfxdata="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P8SoZ1QAAAAkBAAAPAAAAAAAAAAEAIAAAACIAAABkcnMvZG93bnJl&#10;di54bWxQSwECFAAUAAAACACHTuJAS2graHICAADRBAAADgAAAAAAAAABACAAAAAkAQAAZHJzL2Uy&#10;b0RvYy54bWxQSwUGAAAAAAYABgBZAQAACAYAAAAA&#10;">
                      <v:fill on="f" focussize="0,0"/>
                      <v:stroke weight="1pt" color="#FF0000" joinstyle="round"/>
                      <v:imagedata o:title=""/>
                      <o:lock v:ext="edit" aspectratio="f"/>
                    </v:rect>
                  </w:pict>
                </mc:Fallback>
              </mc:AlternateContent>
            </w:r>
            <w:r>
              <w:rPr>
                <w:rFonts w:hint="default"/>
                <w:color w:val="auto"/>
                <w:sz w:val="24"/>
                <w:highlight w:val="none"/>
              </w:rPr>
              <mc:AlternateContent>
                <mc:Choice Requires="wps">
                  <w:drawing>
                    <wp:anchor distT="0" distB="0" distL="114300" distR="114300" simplePos="0" relativeHeight="251681792" behindDoc="0" locked="0" layoutInCell="1" allowOverlap="1">
                      <wp:simplePos x="0" y="0"/>
                      <wp:positionH relativeFrom="column">
                        <wp:posOffset>3684270</wp:posOffset>
                      </wp:positionH>
                      <wp:positionV relativeFrom="paragraph">
                        <wp:posOffset>2009775</wp:posOffset>
                      </wp:positionV>
                      <wp:extent cx="223520" cy="222885"/>
                      <wp:effectExtent l="4445" t="4445" r="19685" b="20320"/>
                      <wp:wrapNone/>
                      <wp:docPr id="65" name="矩形 65"/>
                      <wp:cNvGraphicFramePr/>
                      <a:graphic xmlns:a="http://schemas.openxmlformats.org/drawingml/2006/main">
                        <a:graphicData uri="http://schemas.microsoft.com/office/word/2010/wordprocessingShape">
                          <wps:wsp>
                            <wps:cNvSpPr/>
                            <wps:spPr>
                              <a:xfrm>
                                <a:off x="2522855" y="4594225"/>
                                <a:ext cx="360045" cy="371475"/>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1pt;margin-top:158.25pt;height:17.55pt;width:17.6pt;z-index:251681792;v-text-anchor:middle;mso-width-relative:page;mso-height-relative:page;" filled="f" stroked="t" coordsize="21600,21600" o:gfxdata="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zzGBn2QAAAAsBAAAPAAAAAAAAAAEAIAAAACIAAABkcnMvZG93&#10;bnJldi54bWxQSwECFAAUAAAACACHTuJAEUUx2HECAADOBAAADgAAAAAAAAABACAAAAAoAQAAZHJz&#10;L2Uyb0RvYy54bWxQSwUGAAAAAAYABgBZAQAACwYAAAAA&#10;">
                      <v:fill on="f" focussize="0,0"/>
                      <v:stroke color="#FF0000" joinstyle="round"/>
                      <v:imagedata o:title=""/>
                      <o:lock v:ext="edit" aspectratio="f"/>
                    </v:rect>
                  </w:pict>
                </mc:Fallback>
              </mc:AlternateContent>
            </w:r>
            <w:r>
              <w:rPr>
                <w:rFonts w:hint="default"/>
                <w:color w:val="auto"/>
                <w:sz w:val="24"/>
              </w:rPr>
              <mc:AlternateContent>
                <mc:Choice Requires="wps">
                  <w:drawing>
                    <wp:anchor distT="0" distB="0" distL="114300" distR="114300" simplePos="0" relativeHeight="251685888" behindDoc="0" locked="0" layoutInCell="1" allowOverlap="1">
                      <wp:simplePos x="0" y="0"/>
                      <wp:positionH relativeFrom="column">
                        <wp:posOffset>1790065</wp:posOffset>
                      </wp:positionH>
                      <wp:positionV relativeFrom="paragraph">
                        <wp:posOffset>1966595</wp:posOffset>
                      </wp:positionV>
                      <wp:extent cx="2125345" cy="278130"/>
                      <wp:effectExtent l="635" t="4445" r="7620" b="22225"/>
                      <wp:wrapNone/>
                      <wp:docPr id="70" name="直接连接符 70"/>
                      <wp:cNvGraphicFramePr/>
                      <a:graphic xmlns:a="http://schemas.openxmlformats.org/drawingml/2006/main">
                        <a:graphicData uri="http://schemas.microsoft.com/office/word/2010/wordprocessingShape">
                          <wps:wsp>
                            <wps:cNvCnPr/>
                            <wps:spPr>
                              <a:xfrm>
                                <a:off x="0" y="0"/>
                                <a:ext cx="2125345" cy="278130"/>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0.95pt;margin-top:154.85pt;height:21.9pt;width:167.35pt;z-index:251685888;mso-width-relative:page;mso-height-relative:page;" filled="f" stroked="t" coordsize="21600,21600" o:gfxdata="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hHsg7ZAAAACwEAAA8AAAAAAAAAAQAgAAAAIgAAAGRycy9kb3du&#10;cmV2LnhtbFBLAQIUABQAAAAIAIdO4kASAZgQ/gEAAOsDAAAOAAAAAAAAAAEAIAAAACgBAABkcnMv&#10;ZTJvRG9jLnhtbFBLBQYAAAAABgAGAFkBAACYBQAAAAA=&#10;">
                      <v:fill on="f" focussize="0,0"/>
                      <v:stroke color="#FF0000" joinstyle="round"/>
                      <v:imagedata o:title=""/>
                      <o:lock v:ext="edit" aspectratio="f"/>
                    </v:line>
                  </w:pict>
                </mc:Fallback>
              </mc:AlternateContent>
            </w:r>
            <w:r>
              <w:rPr>
                <w:rFonts w:hint="default"/>
                <w:color w:val="auto"/>
                <w:sz w:val="24"/>
              </w:rPr>
              <mc:AlternateContent>
                <mc:Choice Requires="wps">
                  <w:drawing>
                    <wp:anchor distT="0" distB="0" distL="114300" distR="114300" simplePos="0" relativeHeight="251684864" behindDoc="0" locked="0" layoutInCell="1" allowOverlap="1">
                      <wp:simplePos x="0" y="0"/>
                      <wp:positionH relativeFrom="column">
                        <wp:posOffset>133985</wp:posOffset>
                      </wp:positionH>
                      <wp:positionV relativeFrom="paragraph">
                        <wp:posOffset>1974215</wp:posOffset>
                      </wp:positionV>
                      <wp:extent cx="3554095" cy="270510"/>
                      <wp:effectExtent l="635" t="4445" r="7620" b="10795"/>
                      <wp:wrapNone/>
                      <wp:docPr id="67" name="直接连接符 67"/>
                      <wp:cNvGraphicFramePr/>
                      <a:graphic xmlns:a="http://schemas.openxmlformats.org/drawingml/2006/main">
                        <a:graphicData uri="http://schemas.microsoft.com/office/word/2010/wordprocessingShape">
                          <wps:wsp>
                            <wps:cNvCnPr/>
                            <wps:spPr>
                              <a:xfrm>
                                <a:off x="0" y="0"/>
                                <a:ext cx="3554095" cy="270510"/>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5pt;margin-top:155.45pt;height:21.3pt;width:279.85pt;z-index:251684864;mso-width-relative:page;mso-height-relative:page;" filled="f" stroked="t" coordsize="21600,21600" o:gfxdata="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DSfb/YAAAACgEAAA8AAAAAAAAAAQAgAAAAIgAAAGRycy9kb3du&#10;cmV2LnhtbFBLAQIUABQAAAAIAIdO4kD1Ct+I/wEAAOsDAAAOAAAAAAAAAAEAIAAAACcBAABkcnMv&#10;ZTJvRG9jLnhtbFBLBQYAAAAABgAGAFkBAACYBQAAAAA=&#10;">
                      <v:fill on="f" focussize="0,0"/>
                      <v:stroke color="#FF0000" joinstyle="round"/>
                      <v:imagedata o:title=""/>
                      <o:lock v:ext="edit" aspectratio="f"/>
                    </v:line>
                  </w:pict>
                </mc:Fallback>
              </mc:AlternateContent>
            </w:r>
            <w:r>
              <w:rPr>
                <w:rFonts w:hint="default"/>
                <w:color w:val="auto"/>
                <w:sz w:val="24"/>
              </w:rPr>
              <mc:AlternateContent>
                <mc:Choice Requires="wps">
                  <w:drawing>
                    <wp:anchor distT="0" distB="0" distL="114300" distR="114300" simplePos="0" relativeHeight="251683840" behindDoc="0" locked="0" layoutInCell="1" allowOverlap="1">
                      <wp:simplePos x="0" y="0"/>
                      <wp:positionH relativeFrom="column">
                        <wp:posOffset>1790065</wp:posOffset>
                      </wp:positionH>
                      <wp:positionV relativeFrom="paragraph">
                        <wp:posOffset>452755</wp:posOffset>
                      </wp:positionV>
                      <wp:extent cx="2125345" cy="1549400"/>
                      <wp:effectExtent l="2540" t="3810" r="5715" b="8890"/>
                      <wp:wrapNone/>
                      <wp:docPr id="71" name="直接连接符 71"/>
                      <wp:cNvGraphicFramePr/>
                      <a:graphic xmlns:a="http://schemas.openxmlformats.org/drawingml/2006/main">
                        <a:graphicData uri="http://schemas.microsoft.com/office/word/2010/wordprocessingShape">
                          <wps:wsp>
                            <wps:cNvCnPr/>
                            <wps:spPr>
                              <a:xfrm flipH="1" flipV="1">
                                <a:off x="0" y="0"/>
                                <a:ext cx="2125345" cy="1549400"/>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140.95pt;margin-top:35.65pt;height:122pt;width:167.35pt;z-index:251683840;mso-width-relative:page;mso-height-relative:page;" filled="f" stroked="t" coordsize="21600,21600" o:gfxdata="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dHBQXbAAAACgEAAA8AAAAAAAAAAQAg&#10;AAAAIgAAAGRycy9kb3ducmV2LnhtbFBLAQIUABQAAAAIAIdO4kBlniA9CwIAAAAEAAAOAAAAAAAA&#10;AAEAIAAAACoBAABkcnMvZTJvRG9jLnhtbFBLBQYAAAAABgAGAFkBAACnBQAAAAA=&#10;">
                      <v:fill on="f" focussize="0,0"/>
                      <v:stroke color="#FF0000" joinstyle="round"/>
                      <v:imagedata o:title=""/>
                      <o:lock v:ext="edit" aspectratio="f"/>
                    </v:line>
                  </w:pict>
                </mc:Fallback>
              </mc:AlternateContent>
            </w:r>
            <w:r>
              <w:rPr>
                <w:rFonts w:hint="eastAsia" w:ascii="Times New Roman" w:hAnsi="Times New Roman" w:eastAsia="宋体" w:cs="宋体"/>
                <w:color w:val="auto"/>
                <w:kern w:val="0"/>
                <w:sz w:val="24"/>
                <w:szCs w:val="24"/>
                <w:highlight w:val="none"/>
                <w:lang w:val="en-US" w:eastAsia="zh-CN" w:bidi="ar"/>
              </w:rPr>
              <w:drawing>
                <wp:inline distT="0" distB="0" distL="114300" distR="114300">
                  <wp:extent cx="5661660" cy="4001135"/>
                  <wp:effectExtent l="0" t="0" r="15240" b="18415"/>
                  <wp:docPr id="69" name="图片 14" descr="三区三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descr="三区三线"/>
                          <pic:cNvPicPr>
                            <a:picLocks noChangeAspect="1"/>
                          </pic:cNvPicPr>
                        </pic:nvPicPr>
                        <pic:blipFill>
                          <a:blip r:embed="rId10"/>
                          <a:stretch>
                            <a:fillRect/>
                          </a:stretch>
                        </pic:blipFill>
                        <pic:spPr>
                          <a:xfrm>
                            <a:off x="0" y="0"/>
                            <a:ext cx="5661660" cy="4001135"/>
                          </a:xfrm>
                          <a:prstGeom prst="rect">
                            <a:avLst/>
                          </a:prstGeom>
                          <a:noFill/>
                          <a:ln>
                            <a:noFill/>
                          </a:ln>
                        </pic:spPr>
                      </pic:pic>
                    </a:graphicData>
                  </a:graphic>
                </wp:inline>
              </w:drawing>
            </w:r>
          </w:p>
          <w:p w14:paraId="2F5B0AC8">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eastAsia="宋体"/>
                <w:color w:val="auto"/>
                <w:highlight w:val="none"/>
                <w:lang w:val="en-US" w:eastAsia="zh-CN"/>
              </w:rPr>
            </w:pPr>
            <w:r>
              <w:rPr>
                <w:rFonts w:hint="eastAsia"/>
                <w:color w:val="auto"/>
                <w:highlight w:val="none"/>
                <w:lang w:val="en-US" w:eastAsia="zh-CN"/>
              </w:rPr>
              <w:t>图1-1项目与蚌埠“三区三线”规划图</w:t>
            </w:r>
          </w:p>
          <w:p w14:paraId="2F1D47B1">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本项目位于</w:t>
            </w:r>
            <w:r>
              <w:rPr>
                <w:rFonts w:hint="eastAsia"/>
                <w:color w:val="auto"/>
                <w:sz w:val="24"/>
                <w:szCs w:val="24"/>
                <w:highlight w:val="none"/>
                <w:lang w:eastAsia="zh-CN"/>
              </w:rPr>
              <w:t>安徽省蚌埠市五河县开发区彩虹大道与兴潼路交口西80米</w:t>
            </w:r>
            <w:r>
              <w:rPr>
                <w:rFonts w:hint="eastAsia"/>
                <w:color w:val="auto"/>
                <w:sz w:val="24"/>
                <w:szCs w:val="24"/>
                <w:highlight w:val="none"/>
                <w:lang w:val="en-US" w:eastAsia="zh-CN"/>
              </w:rPr>
              <w:t>的</w:t>
            </w:r>
            <w:r>
              <w:rPr>
                <w:rFonts w:hint="eastAsia"/>
                <w:color w:val="auto"/>
                <w:sz w:val="24"/>
                <w:szCs w:val="24"/>
                <w:highlight w:val="none"/>
                <w:lang w:eastAsia="zh-CN"/>
              </w:rPr>
              <w:t>安徽清鑫纺织有限公司</w:t>
            </w:r>
            <w:r>
              <w:rPr>
                <w:rFonts w:hint="eastAsia" w:cs="宋体"/>
                <w:color w:val="auto"/>
                <w:kern w:val="0"/>
                <w:sz w:val="24"/>
                <w:szCs w:val="24"/>
                <w:highlight w:val="none"/>
                <w:lang w:val="en-US" w:eastAsia="zh-CN" w:bidi="ar"/>
              </w:rPr>
              <w:t>，</w:t>
            </w:r>
            <w:r>
              <w:rPr>
                <w:rFonts w:hint="eastAsia" w:ascii="Times New Roman" w:hAnsi="Times New Roman" w:eastAsia="宋体" w:cs="宋体"/>
                <w:color w:val="auto"/>
                <w:kern w:val="0"/>
                <w:sz w:val="24"/>
                <w:szCs w:val="24"/>
                <w:highlight w:val="none"/>
                <w:lang w:val="en-US" w:eastAsia="zh-CN" w:bidi="ar"/>
              </w:rPr>
              <w:t>位于城镇开发边界范围内，且不占用永久基本农田，不涉及生态保护红线</w:t>
            </w:r>
            <w:r>
              <w:rPr>
                <w:rFonts w:hint="eastAsia" w:cs="宋体"/>
                <w:color w:val="auto"/>
                <w:kern w:val="0"/>
                <w:sz w:val="24"/>
                <w:szCs w:val="24"/>
                <w:highlight w:val="none"/>
                <w:lang w:val="en-US" w:eastAsia="zh-CN" w:bidi="ar"/>
              </w:rPr>
              <w:t>，故本项目符合蚌埠市“三区三线”要求。</w:t>
            </w:r>
          </w:p>
          <w:p w14:paraId="3F3FD335">
            <w:pPr>
              <w:pStyle w:val="15"/>
              <w:keepNext w:val="0"/>
              <w:keepLines w:val="0"/>
              <w:suppressLineNumbers w:val="0"/>
              <w:spacing w:before="0" w:beforeAutospacing="0" w:after="0" w:afterAutospacing="0" w:line="360" w:lineRule="auto"/>
              <w:ind w:left="0" w:right="0" w:firstLine="482" w:firstLineChars="200"/>
              <w:rPr>
                <w:rFonts w:hint="eastAsia"/>
                <w:color w:val="auto"/>
                <w:highlight w:val="none"/>
              </w:rPr>
            </w:pPr>
            <w:r>
              <w:rPr>
                <w:rFonts w:hint="eastAsia" w:cs="宋体"/>
                <w:b/>
                <w:color w:val="auto"/>
                <w:kern w:val="2"/>
                <w:sz w:val="24"/>
                <w:szCs w:val="24"/>
                <w:highlight w:val="none"/>
                <w:lang w:val="en-US" w:eastAsia="zh-CN" w:bidi="ar-SA"/>
              </w:rPr>
              <w:t>5</w:t>
            </w:r>
            <w:r>
              <w:rPr>
                <w:rFonts w:hint="eastAsia" w:ascii="Times New Roman" w:hAnsi="Times New Roman" w:eastAsia="宋体" w:cs="宋体"/>
                <w:b/>
                <w:color w:val="auto"/>
                <w:kern w:val="2"/>
                <w:sz w:val="24"/>
                <w:szCs w:val="24"/>
                <w:highlight w:val="none"/>
                <w:lang w:val="en-US" w:eastAsia="zh-CN" w:bidi="ar-SA"/>
              </w:rPr>
              <w:t>、与生态环境分区管控相符性分析</w:t>
            </w:r>
          </w:p>
          <w:p w14:paraId="3F985DA7">
            <w:pPr>
              <w:pStyle w:val="44"/>
              <w:keepNext w:val="0"/>
              <w:keepLines w:val="0"/>
              <w:suppressLineNumbers w:val="0"/>
              <w:spacing w:before="0" w:beforeAutospacing="0" w:after="0" w:afterAutospacing="0" w:line="360" w:lineRule="auto"/>
              <w:ind w:left="0" w:right="0" w:firstLine="480"/>
              <w:rPr>
                <w:rFonts w:hint="default"/>
                <w:b w:val="0"/>
                <w:color w:val="auto"/>
                <w:highlight w:val="none"/>
              </w:rPr>
            </w:pPr>
            <w:r>
              <w:rPr>
                <w:rFonts w:hint="eastAsia"/>
                <w:b w:val="0"/>
                <w:color w:val="auto"/>
                <w:highlight w:val="none"/>
              </w:rPr>
              <w:t>（1）项目与蚌埠市生态环境分区管控成果动态更新情况说明相符性分析</w:t>
            </w:r>
          </w:p>
          <w:p w14:paraId="68AE1235">
            <w:pPr>
              <w:pStyle w:val="46"/>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表1-4与蚌埠市生态环境分区管控成果动态更新情况说明相符性分析</w:t>
            </w:r>
          </w:p>
          <w:tbl>
            <w:tblPr>
              <w:tblStyle w:val="26"/>
              <w:tblW w:w="87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63"/>
              <w:gridCol w:w="4592"/>
              <w:gridCol w:w="2551"/>
              <w:gridCol w:w="794"/>
            </w:tblGrid>
            <w:tr w14:paraId="28ACD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63" w:type="dxa"/>
                  <w:shd w:val="clear" w:color="auto" w:fill="auto"/>
                  <w:vAlign w:val="center"/>
                </w:tcPr>
                <w:p w14:paraId="7A1B9E7D">
                  <w:pPr>
                    <w:pStyle w:val="4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类别</w:t>
                  </w:r>
                </w:p>
              </w:tc>
              <w:tc>
                <w:tcPr>
                  <w:tcW w:w="4592" w:type="dxa"/>
                  <w:shd w:val="clear" w:color="auto" w:fill="auto"/>
                  <w:vAlign w:val="center"/>
                </w:tcPr>
                <w:p w14:paraId="06B34374">
                  <w:pPr>
                    <w:pStyle w:val="4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蚌埠市</w:t>
                  </w:r>
                  <w:r>
                    <w:rPr>
                      <w:rFonts w:hint="eastAsia"/>
                      <w:color w:val="auto"/>
                      <w:highlight w:val="none"/>
                    </w:rPr>
                    <w:t>“</w:t>
                  </w:r>
                  <w:r>
                    <w:rPr>
                      <w:rFonts w:hint="default"/>
                      <w:color w:val="auto"/>
                      <w:highlight w:val="none"/>
                    </w:rPr>
                    <w:t>三线一单</w:t>
                  </w:r>
                  <w:r>
                    <w:rPr>
                      <w:rFonts w:hint="eastAsia"/>
                      <w:color w:val="auto"/>
                      <w:highlight w:val="none"/>
                    </w:rPr>
                    <w:t>”</w:t>
                  </w:r>
                  <w:r>
                    <w:rPr>
                      <w:rFonts w:hint="default"/>
                      <w:color w:val="auto"/>
                      <w:highlight w:val="none"/>
                    </w:rPr>
                    <w:t>要求</w:t>
                  </w:r>
                </w:p>
              </w:tc>
              <w:tc>
                <w:tcPr>
                  <w:tcW w:w="2551" w:type="dxa"/>
                  <w:shd w:val="clear" w:color="auto" w:fill="auto"/>
                  <w:vAlign w:val="center"/>
                </w:tcPr>
                <w:p w14:paraId="1A58FCCC">
                  <w:pPr>
                    <w:pStyle w:val="4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项目情况</w:t>
                  </w:r>
                </w:p>
              </w:tc>
              <w:tc>
                <w:tcPr>
                  <w:tcW w:w="794" w:type="dxa"/>
                  <w:shd w:val="clear" w:color="auto" w:fill="auto"/>
                  <w:vAlign w:val="center"/>
                </w:tcPr>
                <w:p w14:paraId="66CE0B0E">
                  <w:pPr>
                    <w:pStyle w:val="4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相符性</w:t>
                  </w:r>
                </w:p>
              </w:tc>
            </w:tr>
            <w:tr w14:paraId="76653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24" w:hRule="atLeast"/>
                <w:jc w:val="center"/>
              </w:trPr>
              <w:tc>
                <w:tcPr>
                  <w:tcW w:w="763" w:type="dxa"/>
                  <w:shd w:val="clear" w:color="auto" w:fill="auto"/>
                  <w:vAlign w:val="center"/>
                </w:tcPr>
                <w:p w14:paraId="128DC6C9">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default"/>
                      <w:b w:val="0"/>
                      <w:color w:val="auto"/>
                      <w:szCs w:val="21"/>
                      <w:highlight w:val="none"/>
                    </w:rPr>
                    <w:t>生态保护红线</w:t>
                  </w:r>
                </w:p>
              </w:tc>
              <w:tc>
                <w:tcPr>
                  <w:tcW w:w="4592" w:type="dxa"/>
                  <w:shd w:val="clear" w:color="auto" w:fill="auto"/>
                  <w:vAlign w:val="center"/>
                </w:tcPr>
                <w:p w14:paraId="57500EF6">
                  <w:pPr>
                    <w:pStyle w:val="38"/>
                    <w:keepNext w:val="0"/>
                    <w:keepLines w:val="0"/>
                    <w:widowControl/>
                    <w:suppressLineNumbers w:val="0"/>
                    <w:topLinePunct w:val="0"/>
                    <w:spacing w:before="0" w:beforeAutospacing="0" w:after="0" w:afterAutospacing="0"/>
                    <w:ind w:left="0" w:right="0" w:firstLine="420" w:firstLineChars="200"/>
                    <w:jc w:val="both"/>
                    <w:rPr>
                      <w:rFonts w:hint="default"/>
                      <w:b w:val="0"/>
                      <w:color w:val="auto"/>
                      <w:szCs w:val="21"/>
                      <w:highlight w:val="none"/>
                    </w:rPr>
                  </w:pPr>
                  <w:r>
                    <w:rPr>
                      <w:rFonts w:hint="eastAsia"/>
                      <w:b w:val="0"/>
                      <w:color w:val="auto"/>
                      <w:szCs w:val="21"/>
                      <w:highlight w:val="none"/>
                    </w:rPr>
                    <w:t>依据中共中央办公厅、国务院办公厅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蚌埠市生态保护红线总面积为242.67km</w:t>
                  </w:r>
                  <w:r>
                    <w:rPr>
                      <w:rFonts w:hint="eastAsia"/>
                      <w:b w:val="0"/>
                      <w:color w:val="auto"/>
                      <w:szCs w:val="21"/>
                      <w:highlight w:val="none"/>
                      <w:vertAlign w:val="superscript"/>
                    </w:rPr>
                    <w:t>2</w:t>
                  </w:r>
                  <w:r>
                    <w:rPr>
                      <w:rFonts w:hint="eastAsia"/>
                      <w:b w:val="0"/>
                      <w:color w:val="auto"/>
                      <w:szCs w:val="21"/>
                      <w:highlight w:val="none"/>
                    </w:rPr>
                    <w:t>，占全市国土总面积的4.08%。</w:t>
                  </w:r>
                </w:p>
              </w:tc>
              <w:tc>
                <w:tcPr>
                  <w:tcW w:w="2551" w:type="dxa"/>
                  <w:shd w:val="clear" w:color="auto" w:fill="auto"/>
                  <w:vAlign w:val="center"/>
                </w:tcPr>
                <w:p w14:paraId="2F953D96">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default"/>
                      <w:b w:val="0"/>
                      <w:color w:val="auto"/>
                      <w:szCs w:val="21"/>
                      <w:highlight w:val="none"/>
                    </w:rPr>
                    <w:t>项目位于</w:t>
                  </w:r>
                  <w:r>
                    <w:rPr>
                      <w:rFonts w:hint="eastAsia"/>
                      <w:b w:val="0"/>
                      <w:color w:val="auto"/>
                      <w:szCs w:val="21"/>
                      <w:highlight w:val="none"/>
                      <w:lang w:eastAsia="zh-CN"/>
                    </w:rPr>
                    <w:t>安徽省蚌埠市五河县开发区彩虹大道与兴潼路交口西80米</w:t>
                  </w:r>
                  <w:r>
                    <w:rPr>
                      <w:rFonts w:hint="default"/>
                      <w:b w:val="0"/>
                      <w:color w:val="auto"/>
                      <w:szCs w:val="21"/>
                      <w:highlight w:val="none"/>
                      <w:lang w:eastAsia="zh-CN"/>
                    </w:rPr>
                    <w:t>，</w:t>
                  </w:r>
                  <w:r>
                    <w:rPr>
                      <w:rFonts w:hint="eastAsia"/>
                      <w:b w:val="0"/>
                      <w:color w:val="auto"/>
                      <w:szCs w:val="21"/>
                      <w:highlight w:val="none"/>
                      <w:lang w:eastAsia="zh-CN"/>
                    </w:rPr>
                    <w:t>属于五河经济开发区工业用地范围内，</w:t>
                  </w:r>
                  <w:r>
                    <w:rPr>
                      <w:rFonts w:hint="default"/>
                      <w:b w:val="0"/>
                      <w:color w:val="auto"/>
                      <w:szCs w:val="21"/>
                      <w:highlight w:val="none"/>
                      <w:lang w:eastAsia="zh-CN"/>
                    </w:rPr>
                    <w:t>周边无</w:t>
                  </w:r>
                  <w:r>
                    <w:rPr>
                      <w:rFonts w:hint="eastAsia"/>
                      <w:b w:val="0"/>
                      <w:color w:val="auto"/>
                      <w:szCs w:val="21"/>
                      <w:highlight w:val="none"/>
                      <w:lang w:eastAsia="zh-CN"/>
                    </w:rPr>
                    <w:t>居民、</w:t>
                  </w:r>
                  <w:r>
                    <w:rPr>
                      <w:rFonts w:hint="default"/>
                      <w:b w:val="0"/>
                      <w:color w:val="auto"/>
                      <w:szCs w:val="21"/>
                      <w:highlight w:val="none"/>
                    </w:rPr>
                    <w:t>自然保护区等</w:t>
                  </w:r>
                  <w:r>
                    <w:rPr>
                      <w:rFonts w:hint="eastAsia"/>
                      <w:b w:val="0"/>
                      <w:color w:val="auto"/>
                      <w:szCs w:val="21"/>
                      <w:highlight w:val="none"/>
                      <w:lang w:eastAsia="zh-CN"/>
                    </w:rPr>
                    <w:t>环境保护</w:t>
                  </w:r>
                  <w:r>
                    <w:rPr>
                      <w:rFonts w:hint="default"/>
                      <w:b w:val="0"/>
                      <w:color w:val="auto"/>
                      <w:szCs w:val="21"/>
                      <w:highlight w:val="none"/>
                    </w:rPr>
                    <w:t>目标</w:t>
                  </w:r>
                  <w:r>
                    <w:rPr>
                      <w:rFonts w:hint="eastAsia"/>
                      <w:b w:val="0"/>
                      <w:color w:val="auto"/>
                      <w:szCs w:val="21"/>
                      <w:highlight w:val="none"/>
                    </w:rPr>
                    <w:t>，</w:t>
                  </w:r>
                  <w:r>
                    <w:rPr>
                      <w:rFonts w:hint="default"/>
                      <w:b w:val="0"/>
                      <w:color w:val="auto"/>
                      <w:szCs w:val="21"/>
                      <w:highlight w:val="none"/>
                    </w:rPr>
                    <w:t>不在蚌埠市生态保护红线范围内。</w:t>
                  </w:r>
                </w:p>
              </w:tc>
              <w:tc>
                <w:tcPr>
                  <w:tcW w:w="794" w:type="dxa"/>
                  <w:shd w:val="clear" w:color="auto" w:fill="auto"/>
                  <w:vAlign w:val="center"/>
                </w:tcPr>
                <w:p w14:paraId="60C73987">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eastAsia"/>
                      <w:b w:val="0"/>
                      <w:color w:val="auto"/>
                      <w:szCs w:val="21"/>
                      <w:highlight w:val="none"/>
                    </w:rPr>
                    <w:t>符合</w:t>
                  </w:r>
                </w:p>
              </w:tc>
            </w:tr>
            <w:tr w14:paraId="3C91E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91" w:hRule="atLeast"/>
                <w:jc w:val="center"/>
              </w:trPr>
              <w:tc>
                <w:tcPr>
                  <w:tcW w:w="763" w:type="dxa"/>
                  <w:vMerge w:val="restart"/>
                  <w:shd w:val="clear" w:color="auto" w:fill="auto"/>
                  <w:vAlign w:val="center"/>
                </w:tcPr>
                <w:p w14:paraId="4C1C90D9">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default"/>
                      <w:b w:val="0"/>
                      <w:color w:val="auto"/>
                      <w:szCs w:val="21"/>
                      <w:highlight w:val="none"/>
                    </w:rPr>
                    <w:t>环境质量底线</w:t>
                  </w:r>
                </w:p>
              </w:tc>
              <w:tc>
                <w:tcPr>
                  <w:tcW w:w="4592" w:type="dxa"/>
                  <w:shd w:val="clear" w:color="auto" w:fill="auto"/>
                  <w:vAlign w:val="center"/>
                </w:tcPr>
                <w:p w14:paraId="5BB36ADE">
                  <w:pPr>
                    <w:pStyle w:val="38"/>
                    <w:keepNext w:val="0"/>
                    <w:keepLines w:val="0"/>
                    <w:suppressLineNumbers w:val="0"/>
                    <w:spacing w:before="0" w:beforeAutospacing="0" w:after="0" w:afterAutospacing="0"/>
                    <w:ind w:left="0" w:right="0" w:firstLine="420" w:firstLineChars="200"/>
                    <w:jc w:val="both"/>
                    <w:rPr>
                      <w:rFonts w:hint="default"/>
                      <w:b w:val="0"/>
                      <w:color w:val="auto"/>
                      <w:szCs w:val="21"/>
                      <w:highlight w:val="none"/>
                    </w:rPr>
                  </w:pPr>
                  <w:r>
                    <w:rPr>
                      <w:rFonts w:hint="default"/>
                      <w:b w:val="0"/>
                      <w:color w:val="auto"/>
                      <w:szCs w:val="21"/>
                      <w:highlight w:val="none"/>
                    </w:rPr>
                    <w:t>1、水环境质量底线</w:t>
                  </w:r>
                </w:p>
                <w:p w14:paraId="77968BF3">
                  <w:pPr>
                    <w:pStyle w:val="38"/>
                    <w:keepNext w:val="0"/>
                    <w:keepLines w:val="0"/>
                    <w:suppressLineNumbers w:val="0"/>
                    <w:spacing w:before="0" w:beforeAutospacing="0" w:after="0" w:afterAutospacing="0"/>
                    <w:ind w:left="0" w:right="0" w:firstLine="420" w:firstLineChars="200"/>
                    <w:jc w:val="both"/>
                    <w:rPr>
                      <w:rFonts w:hint="default"/>
                      <w:b w:val="0"/>
                      <w:color w:val="auto"/>
                      <w:szCs w:val="21"/>
                      <w:highlight w:val="none"/>
                    </w:rPr>
                  </w:pPr>
                  <w:r>
                    <w:rPr>
                      <w:rFonts w:hint="default"/>
                      <w:b w:val="0"/>
                      <w:color w:val="auto"/>
                      <w:szCs w:val="21"/>
                      <w:highlight w:val="none"/>
                    </w:rPr>
                    <w:t>2025年地表水质量底线目标值根据《安徽省生态环境厅关于下达</w:t>
                  </w:r>
                  <w:r>
                    <w:rPr>
                      <w:rFonts w:hint="eastAsia"/>
                      <w:b w:val="0"/>
                      <w:color w:val="auto"/>
                      <w:szCs w:val="21"/>
                      <w:highlight w:val="none"/>
                    </w:rPr>
                    <w:t>“</w:t>
                  </w:r>
                  <w:r>
                    <w:rPr>
                      <w:rFonts w:hint="default"/>
                      <w:b w:val="0"/>
                      <w:color w:val="auto"/>
                      <w:szCs w:val="21"/>
                      <w:highlight w:val="none"/>
                    </w:rPr>
                    <w:t>十四五</w:t>
                  </w:r>
                  <w:r>
                    <w:rPr>
                      <w:rFonts w:hint="eastAsia"/>
                      <w:b w:val="0"/>
                      <w:color w:val="auto"/>
                      <w:szCs w:val="21"/>
                      <w:highlight w:val="none"/>
                    </w:rPr>
                    <w:t>”</w:t>
                  </w:r>
                  <w:r>
                    <w:rPr>
                      <w:rFonts w:hint="default"/>
                      <w:b w:val="0"/>
                      <w:color w:val="auto"/>
                      <w:szCs w:val="21"/>
                      <w:highlight w:val="none"/>
                    </w:rPr>
                    <w:t>国控断面水质目标及达标年限的通知》（皖环发</w:t>
                  </w:r>
                  <w:r>
                    <w:rPr>
                      <w:rFonts w:hint="eastAsia"/>
                      <w:b w:val="0"/>
                      <w:color w:val="auto"/>
                      <w:szCs w:val="21"/>
                      <w:highlight w:val="none"/>
                    </w:rPr>
                    <w:t>〔</w:t>
                  </w:r>
                  <w:r>
                    <w:rPr>
                      <w:rFonts w:hint="default"/>
                      <w:b w:val="0"/>
                      <w:color w:val="auto"/>
                      <w:szCs w:val="21"/>
                      <w:highlight w:val="none"/>
                    </w:rPr>
                    <w:t>2022</w:t>
                  </w:r>
                  <w:r>
                    <w:rPr>
                      <w:rFonts w:hint="eastAsia"/>
                      <w:b w:val="0"/>
                      <w:color w:val="auto"/>
                      <w:szCs w:val="21"/>
                      <w:highlight w:val="none"/>
                    </w:rPr>
                    <w:t>〕</w:t>
                  </w:r>
                  <w:r>
                    <w:rPr>
                      <w:rFonts w:hint="default"/>
                      <w:b w:val="0"/>
                      <w:color w:val="auto"/>
                      <w:szCs w:val="21"/>
                      <w:highlight w:val="none"/>
                    </w:rPr>
                    <w:t>18号）进行更新，变化情况为国考断面蚌埠固镇2025年目标值由Ⅳ更改为Ⅲ；2035年质量底线目标为暂定，最终以</w:t>
                  </w:r>
                  <w:r>
                    <w:rPr>
                      <w:rFonts w:hint="eastAsia"/>
                      <w:b w:val="0"/>
                      <w:color w:val="auto"/>
                      <w:szCs w:val="21"/>
                      <w:highlight w:val="none"/>
                    </w:rPr>
                    <w:t>“</w:t>
                  </w:r>
                  <w:r>
                    <w:rPr>
                      <w:rFonts w:hint="default"/>
                      <w:b w:val="0"/>
                      <w:color w:val="auto"/>
                      <w:szCs w:val="21"/>
                      <w:highlight w:val="none"/>
                    </w:rPr>
                    <w:t>十六五</w:t>
                  </w:r>
                  <w:r>
                    <w:rPr>
                      <w:rFonts w:hint="eastAsia"/>
                      <w:b w:val="0"/>
                      <w:color w:val="auto"/>
                      <w:szCs w:val="21"/>
                      <w:highlight w:val="none"/>
                    </w:rPr>
                    <w:t>”</w:t>
                  </w:r>
                  <w:r>
                    <w:rPr>
                      <w:rFonts w:hint="default"/>
                      <w:b w:val="0"/>
                      <w:color w:val="auto"/>
                      <w:szCs w:val="21"/>
                      <w:highlight w:val="none"/>
                    </w:rPr>
                    <w:t>生态环境保护规划确定的目标为准。</w:t>
                  </w:r>
                </w:p>
              </w:tc>
              <w:tc>
                <w:tcPr>
                  <w:tcW w:w="2551" w:type="dxa"/>
                  <w:shd w:val="clear" w:color="auto" w:fill="auto"/>
                  <w:vAlign w:val="center"/>
                </w:tcPr>
                <w:p w14:paraId="05EC25B5">
                  <w:pPr>
                    <w:pStyle w:val="49"/>
                    <w:keepNext w:val="0"/>
                    <w:keepLines w:val="0"/>
                    <w:suppressLineNumbers w:val="0"/>
                    <w:overflowPunct/>
                    <w:topLinePunct/>
                    <w:spacing w:beforeAutospacing="0" w:afterAutospacing="0"/>
                    <w:ind w:left="0" w:right="0"/>
                    <w:textAlignment w:val="auto"/>
                    <w:rPr>
                      <w:rFonts w:hint="default" w:ascii="Times New Roman" w:hAnsi="Times New Roman" w:eastAsia="宋体"/>
                      <w:b w:val="0"/>
                      <w:color w:val="auto"/>
                      <w:kern w:val="2"/>
                      <w:szCs w:val="21"/>
                      <w:highlight w:val="none"/>
                    </w:rPr>
                  </w:pPr>
                  <w:r>
                    <w:rPr>
                      <w:rFonts w:hint="eastAsia" w:ascii="Times New Roman" w:hAnsi="Times New Roman" w:eastAsia="宋体"/>
                      <w:b w:val="0"/>
                      <w:color w:val="auto"/>
                      <w:kern w:val="2"/>
                      <w:szCs w:val="21"/>
                      <w:highlight w:val="none"/>
                    </w:rPr>
                    <w:t>根据《2024年蚌埠市生态环境质量概况》可知，</w:t>
                  </w:r>
                  <w:r>
                    <w:rPr>
                      <w:rFonts w:hint="default" w:ascii="Times New Roman" w:hAnsi="Times New Roman" w:eastAsia="宋体"/>
                      <w:b w:val="0"/>
                      <w:color w:val="auto"/>
                      <w:kern w:val="2"/>
                      <w:szCs w:val="21"/>
                      <w:highlight w:val="none"/>
                    </w:rPr>
                    <w:t>淮河水质满足《地表水环境质量标准》（GB3838-2002）中Ⅲ类标准。</w:t>
                  </w:r>
                  <w:r>
                    <w:rPr>
                      <w:rFonts w:hint="eastAsia" w:ascii="Times New Roman" w:hAnsi="Times New Roman" w:eastAsia="宋体"/>
                      <w:b w:val="0"/>
                      <w:color w:val="auto"/>
                      <w:kern w:val="2"/>
                      <w:szCs w:val="21"/>
                      <w:highlight w:val="none"/>
                    </w:rPr>
                    <w:t>运营期项目生活污水经化粪池收集后经市政污水管网进入</w:t>
                  </w:r>
                  <w:r>
                    <w:rPr>
                      <w:rFonts w:hint="eastAsia" w:ascii="Times New Roman" w:hAnsi="Times New Roman" w:eastAsia="宋体"/>
                      <w:b w:val="0"/>
                      <w:color w:val="auto"/>
                      <w:kern w:val="2"/>
                      <w:szCs w:val="21"/>
                      <w:highlight w:val="none"/>
                      <w:lang w:eastAsia="zh-CN"/>
                    </w:rPr>
                    <w:t>五河县经济开发区污水处理厂</w:t>
                  </w:r>
                  <w:r>
                    <w:rPr>
                      <w:rFonts w:hint="eastAsia" w:ascii="Times New Roman" w:hAnsi="Times New Roman" w:eastAsia="宋体"/>
                      <w:b w:val="0"/>
                      <w:color w:val="auto"/>
                      <w:kern w:val="2"/>
                      <w:szCs w:val="21"/>
                      <w:highlight w:val="none"/>
                    </w:rPr>
                    <w:t>进行处理最终排入淮河，</w:t>
                  </w:r>
                  <w:r>
                    <w:rPr>
                      <w:rFonts w:hint="eastAsia" w:ascii="Times New Roman" w:hAnsi="Times New Roman" w:eastAsia="宋体"/>
                      <w:b w:val="0"/>
                      <w:color w:val="auto"/>
                      <w:kern w:val="2"/>
                      <w:szCs w:val="21"/>
                      <w:highlight w:val="none"/>
                      <w:lang w:val="en-US" w:eastAsia="zh-CN"/>
                    </w:rPr>
                    <w:t>生产废水经“隔油+气浮+好氧生化+二级沉淀+过滤”处理设施处理后95%回用于织造用水，5%排入市政管网进入五河县经济开发区污水处理厂处理。</w:t>
                  </w:r>
                  <w:r>
                    <w:rPr>
                      <w:rFonts w:hint="eastAsia" w:ascii="Times New Roman" w:hAnsi="Times New Roman" w:eastAsia="宋体"/>
                      <w:b w:val="0"/>
                      <w:color w:val="auto"/>
                      <w:kern w:val="2"/>
                      <w:szCs w:val="21"/>
                      <w:highlight w:val="none"/>
                    </w:rPr>
                    <w:t>可满足区域水环境质量底线要求。</w:t>
                  </w:r>
                </w:p>
              </w:tc>
              <w:tc>
                <w:tcPr>
                  <w:tcW w:w="794" w:type="dxa"/>
                  <w:shd w:val="clear" w:color="auto" w:fill="auto"/>
                  <w:vAlign w:val="center"/>
                </w:tcPr>
                <w:p w14:paraId="63BFF7B6">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eastAsia"/>
                      <w:b w:val="0"/>
                      <w:color w:val="auto"/>
                      <w:szCs w:val="21"/>
                      <w:highlight w:val="none"/>
                    </w:rPr>
                    <w:t>符合</w:t>
                  </w:r>
                </w:p>
              </w:tc>
            </w:tr>
            <w:tr w14:paraId="4BD98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85" w:hRule="atLeast"/>
                <w:jc w:val="center"/>
              </w:trPr>
              <w:tc>
                <w:tcPr>
                  <w:tcW w:w="763" w:type="dxa"/>
                  <w:vMerge w:val="continue"/>
                  <w:shd w:val="clear" w:color="auto" w:fill="auto"/>
                  <w:vAlign w:val="center"/>
                </w:tcPr>
                <w:p w14:paraId="19C86EE0">
                  <w:pPr>
                    <w:pStyle w:val="38"/>
                    <w:keepNext w:val="0"/>
                    <w:keepLines w:val="0"/>
                    <w:suppressLineNumbers w:val="0"/>
                    <w:spacing w:before="0" w:beforeAutospacing="0" w:after="0" w:afterAutospacing="0"/>
                    <w:ind w:left="0" w:right="0"/>
                    <w:rPr>
                      <w:rFonts w:hint="default"/>
                      <w:b w:val="0"/>
                      <w:color w:val="auto"/>
                      <w:szCs w:val="21"/>
                      <w:highlight w:val="none"/>
                    </w:rPr>
                  </w:pPr>
                </w:p>
              </w:tc>
              <w:tc>
                <w:tcPr>
                  <w:tcW w:w="4592" w:type="dxa"/>
                  <w:shd w:val="clear" w:color="auto" w:fill="auto"/>
                  <w:vAlign w:val="center"/>
                </w:tcPr>
                <w:p w14:paraId="7BF7D7B4">
                  <w:pPr>
                    <w:pStyle w:val="38"/>
                    <w:keepNext w:val="0"/>
                    <w:keepLines w:val="0"/>
                    <w:suppressLineNumbers w:val="0"/>
                    <w:spacing w:before="0" w:beforeAutospacing="0" w:after="0" w:afterAutospacing="0"/>
                    <w:ind w:left="0" w:right="0" w:firstLine="420" w:firstLineChars="200"/>
                    <w:jc w:val="both"/>
                    <w:rPr>
                      <w:rFonts w:hint="default"/>
                      <w:b w:val="0"/>
                      <w:color w:val="auto"/>
                      <w:szCs w:val="21"/>
                      <w:highlight w:val="none"/>
                    </w:rPr>
                  </w:pPr>
                  <w:r>
                    <w:rPr>
                      <w:rFonts w:hint="default"/>
                      <w:b w:val="0"/>
                      <w:color w:val="auto"/>
                      <w:szCs w:val="21"/>
                      <w:highlight w:val="none"/>
                    </w:rPr>
                    <w:t>2、大气环境质量底线</w:t>
                  </w:r>
                </w:p>
                <w:p w14:paraId="5A39A8A6">
                  <w:pPr>
                    <w:pStyle w:val="38"/>
                    <w:keepNext w:val="0"/>
                    <w:keepLines w:val="0"/>
                    <w:suppressLineNumbers w:val="0"/>
                    <w:spacing w:before="0" w:beforeAutospacing="0" w:after="0" w:afterAutospacing="0"/>
                    <w:ind w:left="0" w:right="0" w:firstLine="420" w:firstLineChars="200"/>
                    <w:jc w:val="both"/>
                    <w:rPr>
                      <w:rFonts w:hint="default"/>
                      <w:b w:val="0"/>
                      <w:color w:val="auto"/>
                      <w:szCs w:val="21"/>
                      <w:highlight w:val="none"/>
                    </w:rPr>
                  </w:pPr>
                  <w:r>
                    <w:rPr>
                      <w:rFonts w:hint="eastAsia"/>
                      <w:b w:val="0"/>
                      <w:color w:val="auto"/>
                      <w:szCs w:val="21"/>
                      <w:highlight w:val="none"/>
                    </w:rPr>
                    <w:t>根据《蚌埠市生态环境局关于印发&lt;蚌埠市“十四五”大气污染防治规划&gt;的通知》（2022年12月12日）：2025年，环境空气质量持续改善，蚌埠市PM2.5年均浓度控制在37微克/立方米。参考《蚌埠市大气污染防治联席会议办公室关于下达各县区2023年度空气质量改善目标的通知》（蚌大气办〔2023〕38号），对2025年各区县目标值进行调整，为暂定值，最终以2025年下达各区县环境空气质量目标为准；到2035年，蚌埠市PM2.5平均浓度目标暂定为&lt;35微克/立方米。最终以“十六五”生态环境保护规划确定的目标为准。</w:t>
                  </w:r>
                </w:p>
              </w:tc>
              <w:tc>
                <w:tcPr>
                  <w:tcW w:w="2551" w:type="dxa"/>
                  <w:shd w:val="clear" w:color="auto" w:fill="auto"/>
                  <w:vAlign w:val="center"/>
                </w:tcPr>
                <w:p w14:paraId="7B725ED2">
                  <w:pPr>
                    <w:keepNext w:val="0"/>
                    <w:keepLines w:val="0"/>
                    <w:widowControl/>
                    <w:suppressLineNumbers w:val="0"/>
                    <w:spacing w:before="0" w:beforeAutospacing="0" w:after="0" w:afterAutospacing="0"/>
                    <w:ind w:left="0" w:right="0"/>
                    <w:jc w:val="left"/>
                    <w:rPr>
                      <w:rFonts w:hint="default"/>
                      <w:color w:val="auto"/>
                      <w:sz w:val="21"/>
                      <w:szCs w:val="21"/>
                      <w:highlight w:val="none"/>
                    </w:rPr>
                  </w:pPr>
                  <w:r>
                    <w:rPr>
                      <w:rFonts w:hint="default"/>
                      <w:spacing w:val="10"/>
                      <w:sz w:val="20"/>
                      <w:szCs w:val="20"/>
                    </w:rPr>
                    <w:t>项目所在地现状大气环境</w:t>
                  </w:r>
                  <w:r>
                    <w:rPr>
                      <w:rFonts w:hint="default"/>
                      <w:color w:val="auto"/>
                      <w:sz w:val="21"/>
                      <w:szCs w:val="21"/>
                      <w:highlight w:val="none"/>
                    </w:rPr>
                    <w:t>满足《环境空气质量标准》（GB3095-2012）中二级标准要求。</w:t>
                  </w:r>
                  <w:r>
                    <w:rPr>
                      <w:rFonts w:hint="eastAsia" w:ascii="宋体" w:hAnsi="宋体" w:cs="宋体"/>
                      <w:color w:val="auto"/>
                      <w:kern w:val="0"/>
                      <w:sz w:val="21"/>
                      <w:szCs w:val="21"/>
                      <w:highlight w:val="none"/>
                      <w:lang w:bidi="ar-SA"/>
                    </w:rPr>
                    <w:t>运营期废气采取相应的污染防治措施，做到达标排放。严格执行污染物排放总量控制制度</w:t>
                  </w:r>
                </w:p>
              </w:tc>
              <w:tc>
                <w:tcPr>
                  <w:tcW w:w="794" w:type="dxa"/>
                  <w:shd w:val="clear" w:color="auto" w:fill="auto"/>
                  <w:vAlign w:val="center"/>
                </w:tcPr>
                <w:p w14:paraId="73EB690C">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eastAsia"/>
                      <w:b w:val="0"/>
                      <w:color w:val="auto"/>
                      <w:szCs w:val="21"/>
                      <w:highlight w:val="none"/>
                    </w:rPr>
                    <w:t>符合</w:t>
                  </w:r>
                </w:p>
              </w:tc>
            </w:tr>
            <w:tr w14:paraId="34ADF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1" w:hRule="atLeast"/>
                <w:jc w:val="center"/>
              </w:trPr>
              <w:tc>
                <w:tcPr>
                  <w:tcW w:w="763" w:type="dxa"/>
                  <w:vMerge w:val="continue"/>
                  <w:shd w:val="clear" w:color="auto" w:fill="auto"/>
                  <w:vAlign w:val="center"/>
                </w:tcPr>
                <w:p w14:paraId="2AC151B7">
                  <w:pPr>
                    <w:pStyle w:val="38"/>
                    <w:keepNext w:val="0"/>
                    <w:keepLines w:val="0"/>
                    <w:suppressLineNumbers w:val="0"/>
                    <w:spacing w:before="0" w:beforeAutospacing="0" w:after="0" w:afterAutospacing="0"/>
                    <w:ind w:left="0" w:right="0"/>
                    <w:rPr>
                      <w:rFonts w:hint="default"/>
                      <w:b w:val="0"/>
                      <w:color w:val="auto"/>
                      <w:szCs w:val="21"/>
                      <w:highlight w:val="none"/>
                    </w:rPr>
                  </w:pPr>
                </w:p>
              </w:tc>
              <w:tc>
                <w:tcPr>
                  <w:tcW w:w="4592" w:type="dxa"/>
                  <w:shd w:val="clear" w:color="auto" w:fill="auto"/>
                  <w:vAlign w:val="center"/>
                </w:tcPr>
                <w:p w14:paraId="357D60CB">
                  <w:pPr>
                    <w:pStyle w:val="38"/>
                    <w:keepNext w:val="0"/>
                    <w:keepLines w:val="0"/>
                    <w:suppressLineNumbers w:val="0"/>
                    <w:spacing w:before="0" w:beforeAutospacing="0" w:after="0" w:afterAutospacing="0"/>
                    <w:ind w:left="0" w:right="0" w:firstLine="420" w:firstLineChars="200"/>
                    <w:jc w:val="both"/>
                    <w:rPr>
                      <w:rFonts w:hint="default"/>
                      <w:b w:val="0"/>
                      <w:color w:val="auto"/>
                      <w:szCs w:val="21"/>
                      <w:highlight w:val="none"/>
                    </w:rPr>
                  </w:pPr>
                  <w:r>
                    <w:rPr>
                      <w:rFonts w:hint="eastAsia"/>
                      <w:b w:val="0"/>
                      <w:color w:val="auto"/>
                      <w:szCs w:val="21"/>
                      <w:highlight w:val="none"/>
                    </w:rPr>
                    <w:t>3、土壤环境风险防控底线</w:t>
                  </w:r>
                </w:p>
                <w:p w14:paraId="632A5C75">
                  <w:pPr>
                    <w:pStyle w:val="38"/>
                    <w:keepNext w:val="0"/>
                    <w:keepLines w:val="0"/>
                    <w:suppressLineNumbers w:val="0"/>
                    <w:spacing w:before="0" w:beforeAutospacing="0" w:after="0" w:afterAutospacing="0"/>
                    <w:ind w:left="0" w:right="0" w:firstLine="420" w:firstLineChars="200"/>
                    <w:jc w:val="both"/>
                    <w:rPr>
                      <w:rFonts w:hint="default"/>
                      <w:b w:val="0"/>
                      <w:color w:val="auto"/>
                      <w:szCs w:val="21"/>
                      <w:highlight w:val="none"/>
                    </w:rPr>
                  </w:pPr>
                  <w:r>
                    <w:rPr>
                      <w:rFonts w:hint="eastAsia"/>
                      <w:b w:val="0"/>
                      <w:color w:val="auto"/>
                      <w:szCs w:val="21"/>
                      <w:highlight w:val="none"/>
                    </w:rPr>
                    <w:t>根据《蚌埠市土壤污染防治规划（2021-2025年）》，到2025年，全市土壤和地下水环境质量总体保持稳定，局部地区稳中向好，受污染耕地和污染地块安全利用水平得到巩固提升，进一步保障老百姓“吃得放心、住得安心”；农业面源污染得到初步管控，农村生态环境基础设施建设加快推进，生产生活方式绿色转型取得显著成效，农村生态环境明显改善，打造生态宜居的美丽乡村，为老百姓留住山清水秀、鸟语花香的田园风光。根据规划指标，到2025年，受污染耕地安全利用率达到95%左右，重点建设用地安全利用率得到有效保障。</w:t>
                  </w:r>
                </w:p>
              </w:tc>
              <w:tc>
                <w:tcPr>
                  <w:tcW w:w="2551" w:type="dxa"/>
                  <w:shd w:val="clear" w:color="auto" w:fill="auto"/>
                  <w:vAlign w:val="center"/>
                </w:tcPr>
                <w:p w14:paraId="3225452C">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default"/>
                      <w:b w:val="0"/>
                      <w:color w:val="auto"/>
                      <w:szCs w:val="21"/>
                      <w:highlight w:val="none"/>
                    </w:rPr>
                    <w:t>项目位于</w:t>
                  </w:r>
                  <w:r>
                    <w:rPr>
                      <w:rFonts w:hint="eastAsia"/>
                      <w:b w:val="0"/>
                      <w:color w:val="auto"/>
                      <w:szCs w:val="21"/>
                      <w:highlight w:val="none"/>
                      <w:lang w:eastAsia="zh-CN"/>
                    </w:rPr>
                    <w:t>安徽省蚌埠市五河县开发区彩虹大道与兴潼路交口西80米</w:t>
                  </w:r>
                  <w:r>
                    <w:rPr>
                      <w:rFonts w:hint="eastAsia"/>
                      <w:b w:val="0"/>
                      <w:color w:val="auto"/>
                      <w:szCs w:val="21"/>
                      <w:highlight w:val="none"/>
                    </w:rPr>
                    <w:t>，</w:t>
                  </w:r>
                  <w:r>
                    <w:rPr>
                      <w:rFonts w:hint="eastAsia"/>
                      <w:b w:val="0"/>
                      <w:color w:val="auto"/>
                      <w:szCs w:val="21"/>
                      <w:highlight w:val="none"/>
                      <w:lang w:eastAsia="zh-CN"/>
                    </w:rPr>
                    <w:t>属于五河经济开发区工业用地范围内，</w:t>
                  </w:r>
                  <w:r>
                    <w:rPr>
                      <w:rFonts w:hint="default"/>
                      <w:b w:val="0"/>
                      <w:color w:val="auto"/>
                      <w:szCs w:val="21"/>
                      <w:highlight w:val="none"/>
                    </w:rPr>
                    <w:t>周边无</w:t>
                  </w:r>
                  <w:r>
                    <w:rPr>
                      <w:rFonts w:hint="eastAsia"/>
                      <w:b w:val="0"/>
                      <w:color w:val="auto"/>
                      <w:szCs w:val="21"/>
                      <w:highlight w:val="none"/>
                      <w:lang w:eastAsia="zh-CN"/>
                    </w:rPr>
                    <w:t>居民、</w:t>
                  </w:r>
                  <w:r>
                    <w:rPr>
                      <w:rFonts w:hint="default"/>
                      <w:b w:val="0"/>
                      <w:color w:val="auto"/>
                      <w:szCs w:val="21"/>
                      <w:highlight w:val="none"/>
                    </w:rPr>
                    <w:t>自然保护区等</w:t>
                  </w:r>
                  <w:r>
                    <w:rPr>
                      <w:rFonts w:hint="eastAsia"/>
                      <w:b w:val="0"/>
                      <w:color w:val="auto"/>
                      <w:szCs w:val="21"/>
                      <w:highlight w:val="none"/>
                      <w:lang w:eastAsia="zh-CN"/>
                    </w:rPr>
                    <w:t>环境保护</w:t>
                  </w:r>
                  <w:r>
                    <w:rPr>
                      <w:rFonts w:hint="default"/>
                      <w:b w:val="0"/>
                      <w:color w:val="auto"/>
                      <w:szCs w:val="21"/>
                      <w:highlight w:val="none"/>
                    </w:rPr>
                    <w:t>目标</w:t>
                  </w:r>
                  <w:r>
                    <w:rPr>
                      <w:rFonts w:hint="eastAsia"/>
                      <w:b w:val="0"/>
                      <w:color w:val="auto"/>
                      <w:szCs w:val="21"/>
                      <w:highlight w:val="none"/>
                    </w:rPr>
                    <w:t>，</w:t>
                  </w:r>
                  <w:r>
                    <w:rPr>
                      <w:rFonts w:hint="default"/>
                      <w:b w:val="0"/>
                      <w:color w:val="auto"/>
                      <w:szCs w:val="21"/>
                      <w:highlight w:val="none"/>
                    </w:rPr>
                    <w:t>在落实各项风险防控措施的基础上，土壤环境风险较小。</w:t>
                  </w:r>
                </w:p>
              </w:tc>
              <w:tc>
                <w:tcPr>
                  <w:tcW w:w="794" w:type="dxa"/>
                  <w:shd w:val="clear" w:color="auto" w:fill="auto"/>
                  <w:vAlign w:val="center"/>
                </w:tcPr>
                <w:p w14:paraId="3F2B3BD7">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eastAsia"/>
                      <w:b w:val="0"/>
                      <w:color w:val="auto"/>
                      <w:szCs w:val="21"/>
                      <w:highlight w:val="none"/>
                    </w:rPr>
                    <w:t>符合</w:t>
                  </w:r>
                </w:p>
              </w:tc>
            </w:tr>
            <w:tr w14:paraId="21D17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87" w:hRule="atLeast"/>
                <w:jc w:val="center"/>
              </w:trPr>
              <w:tc>
                <w:tcPr>
                  <w:tcW w:w="763" w:type="dxa"/>
                  <w:vMerge w:val="restart"/>
                  <w:shd w:val="clear" w:color="auto" w:fill="auto"/>
                  <w:vAlign w:val="center"/>
                </w:tcPr>
                <w:p w14:paraId="07A2C9EA">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default"/>
                      <w:b w:val="0"/>
                      <w:color w:val="auto"/>
                      <w:szCs w:val="21"/>
                      <w:highlight w:val="none"/>
                    </w:rPr>
                    <w:t>资源利用上线</w:t>
                  </w:r>
                </w:p>
              </w:tc>
              <w:tc>
                <w:tcPr>
                  <w:tcW w:w="4592" w:type="dxa"/>
                  <w:shd w:val="clear" w:color="auto" w:fill="auto"/>
                  <w:vAlign w:val="center"/>
                </w:tcPr>
                <w:p w14:paraId="582D0D7D">
                  <w:pPr>
                    <w:pStyle w:val="38"/>
                    <w:keepNext w:val="0"/>
                    <w:keepLines w:val="0"/>
                    <w:suppressLineNumbers w:val="0"/>
                    <w:spacing w:before="0" w:beforeAutospacing="0" w:after="0" w:afterAutospacing="0"/>
                    <w:ind w:left="0" w:right="0" w:firstLine="420" w:firstLineChars="200"/>
                    <w:jc w:val="both"/>
                    <w:rPr>
                      <w:rFonts w:hint="default"/>
                      <w:b w:val="0"/>
                      <w:color w:val="auto"/>
                      <w:szCs w:val="21"/>
                      <w:highlight w:val="none"/>
                    </w:rPr>
                  </w:pPr>
                  <w:r>
                    <w:rPr>
                      <w:rFonts w:hint="default"/>
                      <w:b w:val="0"/>
                      <w:color w:val="auto"/>
                      <w:szCs w:val="21"/>
                      <w:highlight w:val="none"/>
                    </w:rPr>
                    <w:t>1、煤炭资源利用</w:t>
                  </w:r>
                  <w:r>
                    <w:rPr>
                      <w:rFonts w:hint="eastAsia"/>
                      <w:b w:val="0"/>
                      <w:color w:val="auto"/>
                      <w:szCs w:val="21"/>
                      <w:highlight w:val="none"/>
                    </w:rPr>
                    <w:t>上线</w:t>
                  </w:r>
                </w:p>
                <w:p w14:paraId="0D198176">
                  <w:pPr>
                    <w:pStyle w:val="38"/>
                    <w:keepNext w:val="0"/>
                    <w:keepLines w:val="0"/>
                    <w:suppressLineNumbers w:val="0"/>
                    <w:topLinePunct w:val="0"/>
                    <w:spacing w:before="0" w:beforeAutospacing="0" w:after="0" w:afterAutospacing="0"/>
                    <w:ind w:left="0" w:right="0" w:firstLine="420" w:firstLineChars="200"/>
                    <w:jc w:val="both"/>
                    <w:rPr>
                      <w:rFonts w:hint="default"/>
                      <w:b w:val="0"/>
                      <w:color w:val="auto"/>
                      <w:szCs w:val="21"/>
                      <w:highlight w:val="none"/>
                    </w:rPr>
                  </w:pPr>
                  <w:r>
                    <w:rPr>
                      <w:rFonts w:hint="eastAsia"/>
                      <w:b w:val="0"/>
                      <w:color w:val="auto"/>
                      <w:kern w:val="0"/>
                      <w:szCs w:val="21"/>
                      <w:highlight w:val="none"/>
                    </w:rPr>
                    <w:t>“</w:t>
                  </w:r>
                  <w:r>
                    <w:rPr>
                      <w:rFonts w:hint="default"/>
                      <w:b w:val="0"/>
                      <w:color w:val="auto"/>
                      <w:kern w:val="0"/>
                      <w:szCs w:val="21"/>
                      <w:highlight w:val="none"/>
                    </w:rPr>
                    <w:t>十四五</w:t>
                  </w:r>
                  <w:r>
                    <w:rPr>
                      <w:rFonts w:hint="eastAsia"/>
                      <w:b w:val="0"/>
                      <w:color w:val="auto"/>
                      <w:kern w:val="0"/>
                      <w:szCs w:val="21"/>
                      <w:highlight w:val="none"/>
                    </w:rPr>
                    <w:t>”</w:t>
                  </w:r>
                  <w:r>
                    <w:rPr>
                      <w:rFonts w:hint="default"/>
                      <w:b w:val="0"/>
                      <w:color w:val="auto"/>
                      <w:kern w:val="0"/>
                      <w:szCs w:val="21"/>
                      <w:highlight w:val="none"/>
                    </w:rPr>
                    <w:t>期间，全市能源发展坚持以满足国民经济发展为中心，进一步完善能源供应保障能力，提升能源利用效率，推进能源基础设施建设，控制单位GDP能耗和碳排放强度，着力构建清洁低碳、安全高效的能源体系。到</w:t>
                  </w:r>
                  <w:r>
                    <w:rPr>
                      <w:rFonts w:hint="eastAsia"/>
                      <w:b w:val="0"/>
                      <w:color w:val="auto"/>
                      <w:kern w:val="0"/>
                      <w:szCs w:val="21"/>
                      <w:highlight w:val="none"/>
                    </w:rPr>
                    <w:t>“</w:t>
                  </w:r>
                  <w:r>
                    <w:rPr>
                      <w:rFonts w:hint="default"/>
                      <w:b w:val="0"/>
                      <w:color w:val="auto"/>
                      <w:kern w:val="0"/>
                      <w:szCs w:val="21"/>
                      <w:highlight w:val="none"/>
                    </w:rPr>
                    <w:t>十四五</w:t>
                  </w:r>
                  <w:r>
                    <w:rPr>
                      <w:rFonts w:hint="eastAsia"/>
                      <w:b w:val="0"/>
                      <w:color w:val="auto"/>
                      <w:kern w:val="0"/>
                      <w:szCs w:val="21"/>
                      <w:highlight w:val="none"/>
                    </w:rPr>
                    <w:t>”</w:t>
                  </w:r>
                  <w:r>
                    <w:rPr>
                      <w:rFonts w:hint="default"/>
                      <w:b w:val="0"/>
                      <w:color w:val="auto"/>
                      <w:kern w:val="0"/>
                      <w:szCs w:val="21"/>
                      <w:highlight w:val="none"/>
                    </w:rPr>
                    <w:t>末，全市能源消费总量完成省下达指标。</w:t>
                  </w:r>
                </w:p>
              </w:tc>
              <w:tc>
                <w:tcPr>
                  <w:tcW w:w="2551" w:type="dxa"/>
                  <w:shd w:val="clear" w:color="auto" w:fill="auto"/>
                  <w:vAlign w:val="center"/>
                </w:tcPr>
                <w:p w14:paraId="62CC8C50">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default"/>
                      <w:b w:val="0"/>
                      <w:color w:val="auto"/>
                      <w:szCs w:val="21"/>
                      <w:highlight w:val="none"/>
                    </w:rPr>
                    <w:t>项目生产过程中不使用煤炭。</w:t>
                  </w:r>
                </w:p>
              </w:tc>
              <w:tc>
                <w:tcPr>
                  <w:tcW w:w="794" w:type="dxa"/>
                  <w:shd w:val="clear" w:color="auto" w:fill="auto"/>
                  <w:vAlign w:val="center"/>
                </w:tcPr>
                <w:p w14:paraId="3DD892A3">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eastAsia"/>
                      <w:b w:val="0"/>
                      <w:color w:val="auto"/>
                      <w:szCs w:val="21"/>
                      <w:highlight w:val="none"/>
                    </w:rPr>
                    <w:t>符合</w:t>
                  </w:r>
                </w:p>
              </w:tc>
            </w:tr>
            <w:tr w14:paraId="56457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35" w:hRule="atLeast"/>
                <w:jc w:val="center"/>
              </w:trPr>
              <w:tc>
                <w:tcPr>
                  <w:tcW w:w="763" w:type="dxa"/>
                  <w:vMerge w:val="continue"/>
                  <w:shd w:val="clear" w:color="auto" w:fill="auto"/>
                  <w:vAlign w:val="center"/>
                </w:tcPr>
                <w:p w14:paraId="6AEC8BAC">
                  <w:pPr>
                    <w:pStyle w:val="38"/>
                    <w:keepNext w:val="0"/>
                    <w:keepLines w:val="0"/>
                    <w:suppressLineNumbers w:val="0"/>
                    <w:spacing w:before="0" w:beforeAutospacing="0" w:after="0" w:afterAutospacing="0"/>
                    <w:ind w:left="0" w:right="0"/>
                    <w:rPr>
                      <w:rFonts w:hint="default"/>
                      <w:b w:val="0"/>
                      <w:color w:val="auto"/>
                      <w:szCs w:val="21"/>
                      <w:highlight w:val="none"/>
                    </w:rPr>
                  </w:pPr>
                </w:p>
              </w:tc>
              <w:tc>
                <w:tcPr>
                  <w:tcW w:w="4592" w:type="dxa"/>
                  <w:shd w:val="clear" w:color="auto" w:fill="auto"/>
                  <w:vAlign w:val="center"/>
                </w:tcPr>
                <w:p w14:paraId="017721D9">
                  <w:pPr>
                    <w:pStyle w:val="38"/>
                    <w:keepNext w:val="0"/>
                    <w:keepLines w:val="0"/>
                    <w:suppressLineNumbers w:val="0"/>
                    <w:spacing w:before="0" w:beforeAutospacing="0" w:after="0" w:afterAutospacing="0"/>
                    <w:ind w:left="0" w:right="0" w:firstLine="420" w:firstLineChars="200"/>
                    <w:jc w:val="both"/>
                    <w:rPr>
                      <w:rFonts w:hint="default"/>
                      <w:b w:val="0"/>
                      <w:color w:val="auto"/>
                      <w:szCs w:val="21"/>
                      <w:highlight w:val="none"/>
                    </w:rPr>
                  </w:pPr>
                  <w:r>
                    <w:rPr>
                      <w:rFonts w:hint="default"/>
                      <w:b w:val="0"/>
                      <w:color w:val="auto"/>
                      <w:szCs w:val="21"/>
                      <w:highlight w:val="none"/>
                    </w:rPr>
                    <w:t>2、水资源利用上线</w:t>
                  </w:r>
                </w:p>
                <w:p w14:paraId="66FCA12B">
                  <w:pPr>
                    <w:pStyle w:val="38"/>
                    <w:keepNext w:val="0"/>
                    <w:keepLines w:val="0"/>
                    <w:widowControl/>
                    <w:suppressLineNumbers w:val="0"/>
                    <w:topLinePunct w:val="0"/>
                    <w:spacing w:before="0" w:beforeAutospacing="0" w:after="0" w:afterAutospacing="0"/>
                    <w:ind w:left="0" w:right="0" w:firstLine="420" w:firstLineChars="200"/>
                    <w:jc w:val="both"/>
                    <w:rPr>
                      <w:rFonts w:hint="default"/>
                      <w:b w:val="0"/>
                      <w:color w:val="auto"/>
                      <w:szCs w:val="21"/>
                      <w:highlight w:val="none"/>
                    </w:rPr>
                  </w:pPr>
                  <w:r>
                    <w:rPr>
                      <w:rFonts w:hint="default"/>
                      <w:b w:val="0"/>
                      <w:color w:val="auto"/>
                      <w:kern w:val="0"/>
                      <w:szCs w:val="21"/>
                      <w:highlight w:val="none"/>
                    </w:rPr>
                    <w:t>依据《蚌埠市水利局关于落实</w:t>
                  </w:r>
                  <w:r>
                    <w:rPr>
                      <w:rFonts w:hint="eastAsia"/>
                      <w:b w:val="0"/>
                      <w:color w:val="auto"/>
                      <w:kern w:val="0"/>
                      <w:szCs w:val="21"/>
                      <w:highlight w:val="none"/>
                    </w:rPr>
                    <w:t>“</w:t>
                  </w:r>
                  <w:r>
                    <w:rPr>
                      <w:rFonts w:hint="default"/>
                      <w:b w:val="0"/>
                      <w:color w:val="auto"/>
                      <w:kern w:val="0"/>
                      <w:szCs w:val="21"/>
                      <w:highlight w:val="none"/>
                    </w:rPr>
                    <w:t>十四五</w:t>
                  </w:r>
                  <w:r>
                    <w:rPr>
                      <w:rFonts w:hint="eastAsia"/>
                      <w:b w:val="0"/>
                      <w:color w:val="auto"/>
                      <w:kern w:val="0"/>
                      <w:szCs w:val="21"/>
                      <w:highlight w:val="none"/>
                    </w:rPr>
                    <w:t>”</w:t>
                  </w:r>
                  <w:r>
                    <w:rPr>
                      <w:rFonts w:hint="default"/>
                      <w:b w:val="0"/>
                      <w:color w:val="auto"/>
                      <w:kern w:val="0"/>
                      <w:szCs w:val="21"/>
                      <w:highlight w:val="none"/>
                    </w:rPr>
                    <w:t>用水总量和强度双控目标的通知》（蚌水资源函〔2022〕7号）文件要求，至2025年蚌埠市用水总量控制在16.31亿m³；2025年万元国内生产总值用水量比2020年下降20%、万元工业增加值用水量比2020年下降19%、农田灌溉水有效利用系数达到0.61。</w:t>
                  </w:r>
                </w:p>
              </w:tc>
              <w:tc>
                <w:tcPr>
                  <w:tcW w:w="2551" w:type="dxa"/>
                  <w:shd w:val="clear" w:color="auto" w:fill="auto"/>
                  <w:vAlign w:val="center"/>
                </w:tcPr>
                <w:p w14:paraId="4C5DAD0E">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eastAsia"/>
                      <w:b w:val="0"/>
                      <w:color w:val="auto"/>
                      <w:kern w:val="0"/>
                      <w:szCs w:val="21"/>
                      <w:highlight w:val="none"/>
                    </w:rPr>
                    <w:t>本项目年</w:t>
                  </w:r>
                  <w:r>
                    <w:rPr>
                      <w:rFonts w:hint="default"/>
                      <w:b w:val="0"/>
                      <w:color w:val="auto"/>
                      <w:kern w:val="0"/>
                      <w:szCs w:val="21"/>
                      <w:highlight w:val="none"/>
                    </w:rPr>
                    <w:t>用水量为</w:t>
                  </w:r>
                  <w:r>
                    <w:rPr>
                      <w:rFonts w:hint="eastAsia"/>
                      <w:b w:val="0"/>
                      <w:color w:val="auto"/>
                      <w:kern w:val="0"/>
                      <w:szCs w:val="21"/>
                      <w:highlight w:val="none"/>
                      <w:lang w:eastAsia="zh-CN"/>
                    </w:rPr>
                    <w:t>145761</w:t>
                  </w:r>
                  <w:r>
                    <w:rPr>
                      <w:rFonts w:hint="default"/>
                      <w:b w:val="0"/>
                      <w:color w:val="auto"/>
                      <w:kern w:val="0"/>
                      <w:szCs w:val="21"/>
                      <w:highlight w:val="none"/>
                    </w:rPr>
                    <w:t>t/a</w:t>
                  </w:r>
                  <w:r>
                    <w:rPr>
                      <w:rFonts w:hint="eastAsia"/>
                      <w:b w:val="0"/>
                      <w:color w:val="auto"/>
                      <w:kern w:val="0"/>
                      <w:szCs w:val="21"/>
                      <w:highlight w:val="none"/>
                    </w:rPr>
                    <w:t>，引自当地供水管网</w:t>
                  </w:r>
                  <w:r>
                    <w:rPr>
                      <w:rFonts w:hint="default"/>
                      <w:b w:val="0"/>
                      <w:color w:val="auto"/>
                      <w:kern w:val="0"/>
                      <w:szCs w:val="21"/>
                      <w:highlight w:val="none"/>
                    </w:rPr>
                    <w:t>。</w:t>
                  </w:r>
                </w:p>
              </w:tc>
              <w:tc>
                <w:tcPr>
                  <w:tcW w:w="794" w:type="dxa"/>
                  <w:shd w:val="clear" w:color="auto" w:fill="auto"/>
                  <w:vAlign w:val="center"/>
                </w:tcPr>
                <w:p w14:paraId="13EBB7C4">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eastAsia"/>
                      <w:b w:val="0"/>
                      <w:color w:val="auto"/>
                      <w:szCs w:val="21"/>
                      <w:highlight w:val="none"/>
                    </w:rPr>
                    <w:t>符合</w:t>
                  </w:r>
                </w:p>
              </w:tc>
            </w:tr>
            <w:tr w14:paraId="092FF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28" w:hRule="atLeast"/>
                <w:jc w:val="center"/>
              </w:trPr>
              <w:tc>
                <w:tcPr>
                  <w:tcW w:w="763" w:type="dxa"/>
                  <w:vMerge w:val="continue"/>
                  <w:shd w:val="clear" w:color="auto" w:fill="auto"/>
                  <w:vAlign w:val="center"/>
                </w:tcPr>
                <w:p w14:paraId="3C8A2C90">
                  <w:pPr>
                    <w:pStyle w:val="38"/>
                    <w:keepNext w:val="0"/>
                    <w:keepLines w:val="0"/>
                    <w:suppressLineNumbers w:val="0"/>
                    <w:spacing w:before="0" w:beforeAutospacing="0" w:after="0" w:afterAutospacing="0"/>
                    <w:ind w:left="0" w:right="0"/>
                    <w:rPr>
                      <w:rFonts w:hint="default"/>
                      <w:b w:val="0"/>
                      <w:color w:val="auto"/>
                      <w:szCs w:val="21"/>
                      <w:highlight w:val="none"/>
                    </w:rPr>
                  </w:pPr>
                </w:p>
              </w:tc>
              <w:tc>
                <w:tcPr>
                  <w:tcW w:w="4592" w:type="dxa"/>
                  <w:shd w:val="clear" w:color="auto" w:fill="auto"/>
                  <w:vAlign w:val="center"/>
                </w:tcPr>
                <w:p w14:paraId="7D6B5999">
                  <w:pPr>
                    <w:pStyle w:val="38"/>
                    <w:keepNext w:val="0"/>
                    <w:keepLines w:val="0"/>
                    <w:suppressLineNumbers w:val="0"/>
                    <w:spacing w:before="0" w:beforeAutospacing="0" w:after="0" w:afterAutospacing="0"/>
                    <w:ind w:left="0" w:right="0" w:firstLine="420" w:firstLineChars="200"/>
                    <w:jc w:val="both"/>
                    <w:rPr>
                      <w:rFonts w:hint="default"/>
                      <w:b w:val="0"/>
                      <w:color w:val="auto"/>
                      <w:szCs w:val="21"/>
                      <w:highlight w:val="none"/>
                    </w:rPr>
                  </w:pPr>
                  <w:r>
                    <w:rPr>
                      <w:rFonts w:hint="default"/>
                      <w:b w:val="0"/>
                      <w:color w:val="auto"/>
                      <w:szCs w:val="21"/>
                      <w:highlight w:val="none"/>
                    </w:rPr>
                    <w:t>3、土地资源利用</w:t>
                  </w:r>
                  <w:r>
                    <w:rPr>
                      <w:rFonts w:hint="eastAsia"/>
                      <w:b w:val="0"/>
                      <w:color w:val="auto"/>
                      <w:szCs w:val="21"/>
                      <w:highlight w:val="none"/>
                    </w:rPr>
                    <w:t>上线</w:t>
                  </w:r>
                </w:p>
                <w:p w14:paraId="74FB2E98">
                  <w:pPr>
                    <w:pStyle w:val="38"/>
                    <w:keepNext w:val="0"/>
                    <w:keepLines w:val="0"/>
                    <w:suppressLineNumbers w:val="0"/>
                    <w:spacing w:before="0" w:beforeAutospacing="0" w:after="0" w:afterAutospacing="0"/>
                    <w:ind w:left="0" w:right="0" w:firstLine="420" w:firstLineChars="200"/>
                    <w:jc w:val="both"/>
                    <w:rPr>
                      <w:rFonts w:hint="default"/>
                      <w:b w:val="0"/>
                      <w:color w:val="auto"/>
                      <w:szCs w:val="21"/>
                      <w:highlight w:val="none"/>
                    </w:rPr>
                  </w:pPr>
                  <w:r>
                    <w:rPr>
                      <w:rFonts w:hint="default"/>
                      <w:b w:val="0"/>
                      <w:color w:val="auto"/>
                      <w:kern w:val="0"/>
                      <w:szCs w:val="21"/>
                      <w:highlight w:val="none"/>
                    </w:rPr>
                    <w:t>根据《蚌埠市国土空间总体规划（2021-2035年）》（送审稿），至2035年，耕地保有量不低于3721.09平方千米，永久基本农田不少于3247.44平方千米；至2035年，生态保护红线面积不少于242.66平方千米，自然保护地占国土面积不低于4.67%</w:t>
                  </w:r>
                  <w:r>
                    <w:rPr>
                      <w:rFonts w:hint="eastAsia"/>
                      <w:b w:val="0"/>
                      <w:color w:val="auto"/>
                      <w:kern w:val="0"/>
                      <w:szCs w:val="21"/>
                      <w:highlight w:val="none"/>
                    </w:rPr>
                    <w:t>，</w:t>
                  </w:r>
                  <w:r>
                    <w:rPr>
                      <w:rFonts w:hint="default"/>
                      <w:b w:val="0"/>
                      <w:color w:val="auto"/>
                      <w:kern w:val="0"/>
                      <w:szCs w:val="21"/>
                      <w:highlight w:val="none"/>
                    </w:rPr>
                    <w:t>森林覆盖率不低于22.1%</w:t>
                  </w:r>
                  <w:r>
                    <w:rPr>
                      <w:rFonts w:hint="eastAsia"/>
                      <w:b w:val="0"/>
                      <w:color w:val="auto"/>
                      <w:kern w:val="0"/>
                      <w:szCs w:val="21"/>
                      <w:highlight w:val="none"/>
                    </w:rPr>
                    <w:t>，</w:t>
                  </w:r>
                  <w:r>
                    <w:rPr>
                      <w:rFonts w:hint="default"/>
                      <w:b w:val="0"/>
                      <w:color w:val="auto"/>
                      <w:kern w:val="0"/>
                      <w:szCs w:val="21"/>
                      <w:highlight w:val="none"/>
                    </w:rPr>
                    <w:t>水域空间保有量不低于382.02平方千米；至2035年，新增建设用地规模控制在97.14平方千米以内，新增城镇建设用地规模控制在123.53平方千米以内，单位GDP使用建设用地面积下降50%以上，人均城镇建设用地控制在119.5平方米以内，十五分钟社区生活圈建设更加完善。</w:t>
                  </w:r>
                </w:p>
              </w:tc>
              <w:tc>
                <w:tcPr>
                  <w:tcW w:w="2551" w:type="dxa"/>
                  <w:shd w:val="clear" w:color="auto" w:fill="auto"/>
                  <w:vAlign w:val="center"/>
                </w:tcPr>
                <w:p w14:paraId="794619B3">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default"/>
                      <w:b w:val="0"/>
                      <w:color w:val="auto"/>
                      <w:szCs w:val="21"/>
                      <w:highlight w:val="none"/>
                    </w:rPr>
                    <w:t>项目</w:t>
                  </w:r>
                  <w:r>
                    <w:rPr>
                      <w:rFonts w:hint="eastAsia"/>
                      <w:b w:val="0"/>
                      <w:color w:val="auto"/>
                      <w:szCs w:val="21"/>
                      <w:highlight w:val="none"/>
                    </w:rPr>
                    <w:t>位于</w:t>
                  </w:r>
                  <w:r>
                    <w:rPr>
                      <w:rFonts w:hint="eastAsia"/>
                      <w:b w:val="0"/>
                      <w:color w:val="auto"/>
                      <w:szCs w:val="21"/>
                      <w:highlight w:val="none"/>
                      <w:lang w:eastAsia="zh-CN"/>
                    </w:rPr>
                    <w:t>安徽省蚌埠市五河县开发区彩虹大道与兴潼路交口西80米</w:t>
                  </w:r>
                  <w:r>
                    <w:rPr>
                      <w:rFonts w:hint="eastAsia"/>
                      <w:b w:val="0"/>
                      <w:color w:val="auto"/>
                      <w:szCs w:val="21"/>
                      <w:highlight w:val="none"/>
                    </w:rPr>
                    <w:t>，</w:t>
                  </w:r>
                  <w:r>
                    <w:rPr>
                      <w:rFonts w:hint="eastAsia"/>
                      <w:b w:val="0"/>
                      <w:color w:val="auto"/>
                      <w:szCs w:val="21"/>
                      <w:highlight w:val="none"/>
                      <w:lang w:eastAsia="zh-CN"/>
                    </w:rPr>
                    <w:t>属于五河经济开发区工业用地范围内，</w:t>
                  </w:r>
                  <w:r>
                    <w:rPr>
                      <w:rFonts w:hint="default"/>
                      <w:b w:val="0"/>
                      <w:color w:val="auto"/>
                      <w:szCs w:val="21"/>
                      <w:highlight w:val="none"/>
                    </w:rPr>
                    <w:t>周边无</w:t>
                  </w:r>
                  <w:r>
                    <w:rPr>
                      <w:rFonts w:hint="eastAsia"/>
                      <w:b w:val="0"/>
                      <w:color w:val="auto"/>
                      <w:szCs w:val="21"/>
                      <w:highlight w:val="none"/>
                      <w:lang w:eastAsia="zh-CN"/>
                    </w:rPr>
                    <w:t>居民、</w:t>
                  </w:r>
                  <w:r>
                    <w:rPr>
                      <w:rFonts w:hint="default"/>
                      <w:b w:val="0"/>
                      <w:color w:val="auto"/>
                      <w:szCs w:val="21"/>
                      <w:highlight w:val="none"/>
                    </w:rPr>
                    <w:t>自然保护区等</w:t>
                  </w:r>
                  <w:r>
                    <w:rPr>
                      <w:rFonts w:hint="eastAsia"/>
                      <w:b w:val="0"/>
                      <w:color w:val="auto"/>
                      <w:szCs w:val="21"/>
                      <w:highlight w:val="none"/>
                      <w:lang w:eastAsia="zh-CN"/>
                    </w:rPr>
                    <w:t>环境保护</w:t>
                  </w:r>
                  <w:r>
                    <w:rPr>
                      <w:rFonts w:hint="default"/>
                      <w:b w:val="0"/>
                      <w:color w:val="auto"/>
                      <w:szCs w:val="21"/>
                      <w:highlight w:val="none"/>
                    </w:rPr>
                    <w:t>目标。</w:t>
                  </w:r>
                </w:p>
              </w:tc>
              <w:tc>
                <w:tcPr>
                  <w:tcW w:w="794" w:type="dxa"/>
                  <w:shd w:val="clear" w:color="auto" w:fill="auto"/>
                  <w:vAlign w:val="center"/>
                </w:tcPr>
                <w:p w14:paraId="5EDAAC4A">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eastAsia"/>
                      <w:b w:val="0"/>
                      <w:color w:val="auto"/>
                      <w:szCs w:val="21"/>
                      <w:highlight w:val="none"/>
                    </w:rPr>
                    <w:t>符合</w:t>
                  </w:r>
                </w:p>
              </w:tc>
            </w:tr>
            <w:tr w14:paraId="157D0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046" w:hRule="atLeast"/>
                <w:jc w:val="center"/>
              </w:trPr>
              <w:tc>
                <w:tcPr>
                  <w:tcW w:w="763" w:type="dxa"/>
                  <w:shd w:val="clear" w:color="auto" w:fill="auto"/>
                  <w:vAlign w:val="center"/>
                </w:tcPr>
                <w:p w14:paraId="18971F1C">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default"/>
                      <w:b w:val="0"/>
                      <w:color w:val="auto"/>
                      <w:szCs w:val="21"/>
                      <w:highlight w:val="none"/>
                    </w:rPr>
                    <w:t>生态环境准入清单</w:t>
                  </w:r>
                </w:p>
              </w:tc>
              <w:tc>
                <w:tcPr>
                  <w:tcW w:w="4592" w:type="dxa"/>
                  <w:shd w:val="clear" w:color="auto" w:fill="auto"/>
                  <w:vAlign w:val="center"/>
                </w:tcPr>
                <w:p w14:paraId="56E8ECF9">
                  <w:pPr>
                    <w:pStyle w:val="38"/>
                    <w:keepNext w:val="0"/>
                    <w:keepLines w:val="0"/>
                    <w:suppressLineNumbers w:val="0"/>
                    <w:spacing w:before="0" w:beforeAutospacing="0" w:after="0" w:afterAutospacing="0"/>
                    <w:ind w:left="0" w:right="0" w:firstLine="420" w:firstLineChars="200"/>
                    <w:jc w:val="both"/>
                    <w:rPr>
                      <w:rFonts w:hint="default"/>
                      <w:b w:val="0"/>
                      <w:color w:val="auto"/>
                      <w:szCs w:val="21"/>
                      <w:highlight w:val="none"/>
                    </w:rPr>
                  </w:pPr>
                  <w:r>
                    <w:rPr>
                      <w:rFonts w:hint="eastAsia"/>
                      <w:b w:val="0"/>
                      <w:color w:val="auto"/>
                      <w:szCs w:val="21"/>
                      <w:highlight w:val="none"/>
                    </w:rPr>
                    <w:t>根据《生态环境准入清单编制要点（试行）》和《安徽省市级生态环境准入清单编制技术规程》的规定，结合安徽省和蚌埠市实际，构建“省+区域+市+开发区”的4层清单模板（表1</w:t>
                  </w:r>
                  <w:r>
                    <w:rPr>
                      <w:rFonts w:hint="eastAsia"/>
                      <w:b w:val="0"/>
                      <w:color w:val="auto"/>
                      <w:szCs w:val="21"/>
                      <w:highlight w:val="none"/>
                      <w:lang w:eastAsia="zh-CN"/>
                    </w:rPr>
                    <w:t>～</w:t>
                  </w:r>
                  <w:r>
                    <w:rPr>
                      <w:rFonts w:hint="eastAsia"/>
                      <w:b w:val="0"/>
                      <w:color w:val="auto"/>
                      <w:szCs w:val="21"/>
                      <w:highlight w:val="none"/>
                    </w:rPr>
                    <w:t>表4），梳理相应层次上的管控要求和编制依据，设立相应的简化词条名称，便于在管控单元清单（表5）中直接引用。</w:t>
                  </w:r>
                </w:p>
                <w:p w14:paraId="15884EB7">
                  <w:pPr>
                    <w:pStyle w:val="38"/>
                    <w:keepNext w:val="0"/>
                    <w:keepLines w:val="0"/>
                    <w:suppressLineNumbers w:val="0"/>
                    <w:spacing w:before="0" w:beforeAutospacing="0" w:after="0" w:afterAutospacing="0"/>
                    <w:ind w:left="0" w:right="0" w:firstLine="420" w:firstLineChars="200"/>
                    <w:jc w:val="both"/>
                    <w:rPr>
                      <w:rFonts w:hint="default"/>
                      <w:b w:val="0"/>
                      <w:color w:val="auto"/>
                      <w:szCs w:val="21"/>
                      <w:highlight w:val="none"/>
                    </w:rPr>
                  </w:pPr>
                  <w:r>
                    <w:rPr>
                      <w:rFonts w:hint="eastAsia"/>
                      <w:b w:val="0"/>
                      <w:color w:val="auto"/>
                      <w:szCs w:val="21"/>
                      <w:highlight w:val="none"/>
                    </w:rPr>
                    <w:t>“省+区域+市+开发区”的4层清单模板分优先保护、重点管控、一般管控3大类，从空间布局约束、污染物排放管控、环境风险防控和资源利用效率4个维度来构建。其中优先保护类针对生态空间及大气、水等环境要素的优先保护区编制，主要强调空间布局约束，以禁止和限制开发为主；重点管控类针对大气、水、土壤、资源能源等要素的重点管控区编制，主要从空间布局约束、污染物排放管控、环境风险防控和资源利用效率要求等方面提出要求；一般管控类根据内部地块属性，提出相应管理要求。</w:t>
                  </w:r>
                </w:p>
              </w:tc>
              <w:tc>
                <w:tcPr>
                  <w:tcW w:w="2551" w:type="dxa"/>
                  <w:shd w:val="clear" w:color="auto" w:fill="auto"/>
                  <w:vAlign w:val="center"/>
                </w:tcPr>
                <w:p w14:paraId="0C892C3F">
                  <w:pPr>
                    <w:pStyle w:val="38"/>
                    <w:keepNext w:val="0"/>
                    <w:keepLines w:val="0"/>
                    <w:suppressLineNumbers w:val="0"/>
                    <w:spacing w:before="0" w:beforeAutospacing="0" w:after="0" w:afterAutospacing="0"/>
                    <w:ind w:left="0" w:right="0"/>
                    <w:rPr>
                      <w:rFonts w:hint="default"/>
                      <w:color w:val="auto"/>
                      <w:szCs w:val="21"/>
                      <w:highlight w:val="none"/>
                    </w:rPr>
                  </w:pPr>
                  <w:r>
                    <w:rPr>
                      <w:rFonts w:hint="eastAsia"/>
                      <w:b w:val="0"/>
                      <w:color w:val="auto"/>
                      <w:szCs w:val="21"/>
                      <w:highlight w:val="none"/>
                    </w:rPr>
                    <w:t>本项目为</w:t>
                  </w:r>
                  <w:r>
                    <w:rPr>
                      <w:rFonts w:hint="eastAsia"/>
                      <w:b w:val="0"/>
                      <w:color w:val="auto"/>
                      <w:szCs w:val="21"/>
                      <w:highlight w:val="none"/>
                      <w:lang w:eastAsia="zh-CN"/>
                    </w:rPr>
                    <w:t>C1751化纤织造加工</w:t>
                  </w:r>
                  <w:r>
                    <w:rPr>
                      <w:rFonts w:hint="eastAsia"/>
                      <w:b w:val="0"/>
                      <w:color w:val="auto"/>
                      <w:szCs w:val="21"/>
                      <w:highlight w:val="none"/>
                    </w:rPr>
                    <w:t>，不属</w:t>
                  </w:r>
                  <w:r>
                    <w:rPr>
                      <w:rFonts w:hint="default"/>
                      <w:b w:val="0"/>
                      <w:color w:val="auto"/>
                      <w:szCs w:val="21"/>
                      <w:highlight w:val="none"/>
                    </w:rPr>
                    <w:t>于禁止类项目和限制类项目</w:t>
                  </w:r>
                  <w:r>
                    <w:rPr>
                      <w:rFonts w:hint="eastAsia"/>
                      <w:b w:val="0"/>
                      <w:color w:val="auto"/>
                      <w:szCs w:val="21"/>
                      <w:highlight w:val="none"/>
                    </w:rPr>
                    <w:t>，满足生态环境准入清单要求。</w:t>
                  </w:r>
                </w:p>
              </w:tc>
              <w:tc>
                <w:tcPr>
                  <w:tcW w:w="794" w:type="dxa"/>
                  <w:shd w:val="clear" w:color="auto" w:fill="auto"/>
                  <w:vAlign w:val="center"/>
                </w:tcPr>
                <w:p w14:paraId="75D15AE1">
                  <w:pPr>
                    <w:pStyle w:val="38"/>
                    <w:keepNext w:val="0"/>
                    <w:keepLines w:val="0"/>
                    <w:suppressLineNumbers w:val="0"/>
                    <w:spacing w:before="0" w:beforeAutospacing="0" w:after="0" w:afterAutospacing="0"/>
                    <w:ind w:left="0" w:right="0"/>
                    <w:rPr>
                      <w:rFonts w:hint="default"/>
                      <w:b w:val="0"/>
                      <w:color w:val="auto"/>
                      <w:szCs w:val="21"/>
                      <w:highlight w:val="none"/>
                    </w:rPr>
                  </w:pPr>
                  <w:r>
                    <w:rPr>
                      <w:rFonts w:hint="eastAsia"/>
                      <w:b w:val="0"/>
                      <w:color w:val="auto"/>
                      <w:szCs w:val="21"/>
                      <w:highlight w:val="none"/>
                    </w:rPr>
                    <w:t>符合</w:t>
                  </w:r>
                </w:p>
              </w:tc>
            </w:tr>
          </w:tbl>
          <w:p w14:paraId="248BE3A8">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leftChars="0" w:right="0"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（2）</w:t>
            </w:r>
            <w:r>
              <w:rPr>
                <w:rFonts w:hint="eastAsia"/>
                <w:b/>
                <w:bCs/>
                <w:color w:val="auto"/>
                <w:highlight w:val="none"/>
                <w:lang w:val="en-US" w:eastAsia="zh-CN"/>
              </w:rPr>
              <w:t>项目与蚌埠市生态环境分区管控成果相符性分析</w:t>
            </w:r>
          </w:p>
          <w:p w14:paraId="31D92761">
            <w:pPr>
              <w:pStyle w:val="42"/>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项目与</w:t>
            </w:r>
            <w:r>
              <w:rPr>
                <w:rFonts w:hint="default"/>
                <w:color w:val="auto"/>
                <w:highlight w:val="none"/>
                <w:lang w:val="en-US" w:eastAsia="zh-CN"/>
              </w:rPr>
              <w:t>蚌埠市</w:t>
            </w:r>
            <w:r>
              <w:rPr>
                <w:rFonts w:hint="eastAsia"/>
                <w:color w:val="auto"/>
                <w:highlight w:val="none"/>
                <w:lang w:val="en-US" w:eastAsia="zh-CN"/>
              </w:rPr>
              <w:t>“</w:t>
            </w:r>
            <w:r>
              <w:rPr>
                <w:rFonts w:hint="default"/>
                <w:color w:val="auto"/>
                <w:highlight w:val="none"/>
                <w:lang w:val="en-US" w:eastAsia="zh-CN"/>
              </w:rPr>
              <w:t>三线一单</w:t>
            </w:r>
            <w:r>
              <w:rPr>
                <w:rFonts w:hint="eastAsia"/>
                <w:color w:val="auto"/>
                <w:highlight w:val="none"/>
                <w:lang w:val="en-US" w:eastAsia="zh-CN"/>
              </w:rPr>
              <w:t>”</w:t>
            </w:r>
            <w:r>
              <w:rPr>
                <w:rFonts w:hint="default"/>
                <w:color w:val="auto"/>
                <w:highlight w:val="none"/>
                <w:lang w:val="en-US" w:eastAsia="zh-CN"/>
              </w:rPr>
              <w:t>成果相符性分析</w:t>
            </w:r>
            <w:r>
              <w:rPr>
                <w:rFonts w:hint="eastAsia"/>
                <w:color w:val="auto"/>
                <w:highlight w:val="none"/>
                <w:lang w:val="en-US" w:eastAsia="zh-CN"/>
              </w:rPr>
              <w:t>见下表</w:t>
            </w:r>
            <w:r>
              <w:rPr>
                <w:rFonts w:hint="eastAsia"/>
                <w:color w:val="auto"/>
                <w:highlight w:val="none"/>
              </w:rPr>
              <w:t>。</w:t>
            </w:r>
          </w:p>
          <w:p w14:paraId="014146E9">
            <w:pPr>
              <w:pStyle w:val="3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val="en-US" w:eastAsia="zh-CN"/>
              </w:rPr>
            </w:pPr>
            <w:r>
              <w:rPr>
                <w:rFonts w:hint="default"/>
                <w:color w:val="auto"/>
                <w:highlight w:val="none"/>
                <w:lang w:val="en-US" w:eastAsia="zh-CN"/>
              </w:rPr>
              <w:t>表1-</w:t>
            </w:r>
            <w:r>
              <w:rPr>
                <w:rFonts w:hint="eastAsia"/>
                <w:color w:val="auto"/>
                <w:highlight w:val="none"/>
                <w:lang w:val="en-US" w:eastAsia="zh-CN"/>
              </w:rPr>
              <w:t>5</w:t>
            </w:r>
            <w:r>
              <w:rPr>
                <w:rFonts w:hint="default"/>
                <w:color w:val="auto"/>
                <w:highlight w:val="none"/>
                <w:lang w:val="en-US" w:eastAsia="zh-CN"/>
              </w:rPr>
              <w:t>与蚌埠市生态环境分区管控成果相符性分析</w:t>
            </w:r>
          </w:p>
          <w:tbl>
            <w:tblPr>
              <w:tblStyle w:val="26"/>
              <w:tblW w:w="86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23"/>
              <w:gridCol w:w="5727"/>
              <w:gridCol w:w="1531"/>
              <w:gridCol w:w="794"/>
            </w:tblGrid>
            <w:tr w14:paraId="4DDCD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9" w:type="pct"/>
                  <w:tcBorders>
                    <w:tl2br w:val="nil"/>
                    <w:tr2bl w:val="nil"/>
                  </w:tcBorders>
                  <w:noWrap w:val="0"/>
                  <w:vAlign w:val="center"/>
                </w:tcPr>
                <w:p w14:paraId="00C38BE2">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名称</w:t>
                  </w:r>
                </w:p>
              </w:tc>
              <w:tc>
                <w:tcPr>
                  <w:tcW w:w="3300" w:type="pct"/>
                  <w:tcBorders>
                    <w:tl2br w:val="nil"/>
                    <w:tr2bl w:val="nil"/>
                  </w:tcBorders>
                  <w:noWrap w:val="0"/>
                  <w:vAlign w:val="center"/>
                </w:tcPr>
                <w:p w14:paraId="107A2A24">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管控要求内容</w:t>
                  </w:r>
                </w:p>
              </w:tc>
              <w:tc>
                <w:tcPr>
                  <w:tcW w:w="882" w:type="pct"/>
                  <w:tcBorders>
                    <w:tl2br w:val="nil"/>
                    <w:tr2bl w:val="nil"/>
                  </w:tcBorders>
                  <w:noWrap w:val="0"/>
                  <w:vAlign w:val="center"/>
                </w:tcPr>
                <w:p w14:paraId="5D44CBEB">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项目</w:t>
                  </w:r>
                  <w:r>
                    <w:rPr>
                      <w:rFonts w:hint="eastAsia" w:ascii="Times New Roman" w:hAnsi="Times New Roman" w:eastAsia="宋体" w:cs="Times New Roman"/>
                      <w:b/>
                      <w:bCs/>
                      <w:color w:val="auto"/>
                      <w:kern w:val="2"/>
                      <w:sz w:val="21"/>
                      <w:szCs w:val="21"/>
                      <w:highlight w:val="none"/>
                      <w:lang w:val="en-US" w:eastAsia="zh-CN" w:bidi="ar-SA"/>
                    </w:rPr>
                    <w:t>情况</w:t>
                  </w:r>
                </w:p>
              </w:tc>
              <w:tc>
                <w:tcPr>
                  <w:tcW w:w="457" w:type="pct"/>
                  <w:tcBorders>
                    <w:tl2br w:val="nil"/>
                    <w:tr2bl w:val="nil"/>
                  </w:tcBorders>
                  <w:noWrap w:val="0"/>
                  <w:vAlign w:val="center"/>
                </w:tcPr>
                <w:p w14:paraId="71483306">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相符性</w:t>
                  </w:r>
                </w:p>
              </w:tc>
            </w:tr>
            <w:tr w14:paraId="1FBA6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9" w:type="pct"/>
                  <w:vMerge w:val="restart"/>
                  <w:tcBorders>
                    <w:tl2br w:val="nil"/>
                    <w:tr2bl w:val="nil"/>
                  </w:tcBorders>
                  <w:noWrap w:val="0"/>
                  <w:vAlign w:val="center"/>
                </w:tcPr>
                <w:p w14:paraId="628F64F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生态分区管控要求</w:t>
                  </w:r>
                </w:p>
              </w:tc>
              <w:tc>
                <w:tcPr>
                  <w:tcW w:w="3300" w:type="pct"/>
                  <w:tcBorders>
                    <w:tl2br w:val="nil"/>
                    <w:tr2bl w:val="nil"/>
                  </w:tcBorders>
                  <w:noWrap w:val="0"/>
                  <w:vAlign w:val="center"/>
                </w:tcPr>
                <w:p w14:paraId="5576CE3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生态保护红线管控要求：依据中共中央办公厅、国务院办公厅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依据中共中央办公厅、国务院办公厅印发的《关于在国土空间规划中统筹划定落实三条控制线的指导意见》，生态保护红线内，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对生态保护红线内的国家公园、自然保护区、风景名胜区、森林公园、地质公园、世界自然遗产、湿地公园、饮用水水源保护区、天然林、生态公益林等各类保护地的管理，按照法律、法规和规章等要求执行。根据自然资源部</w:t>
                  </w:r>
                  <w:r>
                    <w:rPr>
                      <w:rFonts w:hint="eastAsia"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生态环境部</w:t>
                  </w:r>
                  <w:r>
                    <w:rPr>
                      <w:rFonts w:hint="eastAsia"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国家林业和草原局《关于加强生态保护红线管理的通知（试行）》（自然资发〔2022〕142号）要求，（一）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二）加强有限人为活动管理。上述生态保护红线管控范围内有限人为活动，涉及新增建设用地、用海用岛审批的，在报批农用地转用、土地征收、海域使用权、无居民海岛开发利用时，附省级人民政府出具符合生态保护红线内允许有限人为活动的认定意见；不涉及新增建设用地、用海用岛审批的，按有关规定进行管理，无明确规定的由省级人民政府制定具体监管办法。上述活动涉及自然保护地的，应征求林业和草原主管部门或自然保护地管理机构意见。（三）有序处理历史遗留问题。生态保护红线经国务院批准后，对需逐步有序退出的矿业权等，由省级人民政府按照尊重历史、实事求是的原则，结合实际制定退出计划，明确时序安排、补偿安置、生态修复等要求，确保生态安全和社会稳定。鼓励有条件的地方通过租赁、置换、赎买等方式，对人工商品林实行统一管护，并将重要生态区位的人工商品林按规定逐步转为公益林。零星分布的已有水电、风电、光伏、海洋能设施，按照相关法律法规规定进行管理，严禁扩大现有规模与范围，项目到期后由建设单位负责做好生态修复。</w:t>
                  </w:r>
                </w:p>
              </w:tc>
              <w:tc>
                <w:tcPr>
                  <w:tcW w:w="882" w:type="pct"/>
                  <w:vMerge w:val="restart"/>
                  <w:tcBorders>
                    <w:tl2br w:val="nil"/>
                    <w:tr2bl w:val="nil"/>
                  </w:tcBorders>
                  <w:noWrap w:val="0"/>
                  <w:vAlign w:val="center"/>
                </w:tcPr>
                <w:p w14:paraId="145A1D9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对照</w:t>
                  </w:r>
                  <w:r>
                    <w:rPr>
                      <w:rFonts w:hint="eastAsia" w:ascii="Times New Roman" w:hAnsi="Times New Roman" w:eastAsia="宋体" w:cs="Times New Roman"/>
                      <w:b w:val="0"/>
                      <w:bCs/>
                      <w:color w:val="auto"/>
                      <w:kern w:val="2"/>
                      <w:sz w:val="21"/>
                      <w:szCs w:val="21"/>
                      <w:highlight w:val="none"/>
                      <w:lang w:val="en-US" w:eastAsia="zh-CN" w:bidi="ar-SA"/>
                    </w:rPr>
                    <w:t>蚌埠市</w:t>
                  </w:r>
                  <w:r>
                    <w:rPr>
                      <w:rFonts w:hint="default" w:ascii="Times New Roman" w:hAnsi="Times New Roman" w:eastAsia="宋体" w:cs="Times New Roman"/>
                      <w:b w:val="0"/>
                      <w:bCs/>
                      <w:color w:val="auto"/>
                      <w:kern w:val="2"/>
                      <w:sz w:val="21"/>
                      <w:szCs w:val="21"/>
                      <w:highlight w:val="none"/>
                      <w:lang w:val="en-US" w:eastAsia="zh-CN" w:bidi="ar-SA"/>
                    </w:rPr>
                    <w:t>生态空间图，</w:t>
                  </w:r>
                  <w:r>
                    <w:rPr>
                      <w:rFonts w:hint="eastAsia" w:cs="Times New Roman"/>
                      <w:b w:val="0"/>
                      <w:bCs/>
                      <w:color w:val="auto"/>
                      <w:kern w:val="2"/>
                      <w:sz w:val="21"/>
                      <w:szCs w:val="21"/>
                      <w:highlight w:val="none"/>
                      <w:lang w:val="en-US" w:eastAsia="zh-CN" w:bidi="ar-SA"/>
                    </w:rPr>
                    <w:t>本项目</w:t>
                  </w:r>
                  <w:r>
                    <w:rPr>
                      <w:rFonts w:hint="default" w:ascii="Times New Roman" w:hAnsi="Times New Roman" w:eastAsia="宋体" w:cs="Times New Roman"/>
                      <w:b w:val="0"/>
                      <w:bCs/>
                      <w:color w:val="auto"/>
                      <w:kern w:val="2"/>
                      <w:sz w:val="21"/>
                      <w:szCs w:val="21"/>
                      <w:highlight w:val="none"/>
                      <w:lang w:val="en-US" w:eastAsia="zh-CN" w:bidi="ar-SA"/>
                    </w:rPr>
                    <w:t>不在生态空间管控区内；对照</w:t>
                  </w:r>
                  <w:r>
                    <w:rPr>
                      <w:rFonts w:hint="eastAsia" w:ascii="Times New Roman" w:hAnsi="Times New Roman" w:eastAsia="宋体" w:cs="Times New Roman"/>
                      <w:b w:val="0"/>
                      <w:bCs/>
                      <w:color w:val="auto"/>
                      <w:kern w:val="2"/>
                      <w:sz w:val="21"/>
                      <w:szCs w:val="21"/>
                      <w:highlight w:val="none"/>
                      <w:lang w:val="en-US" w:eastAsia="zh-CN" w:bidi="ar-SA"/>
                    </w:rPr>
                    <w:t>蚌埠</w:t>
                  </w:r>
                  <w:r>
                    <w:rPr>
                      <w:rFonts w:hint="default" w:ascii="Times New Roman" w:hAnsi="Times New Roman" w:eastAsia="宋体" w:cs="Times New Roman"/>
                      <w:b w:val="0"/>
                      <w:bCs/>
                      <w:color w:val="auto"/>
                      <w:kern w:val="2"/>
                      <w:sz w:val="21"/>
                      <w:szCs w:val="21"/>
                      <w:highlight w:val="none"/>
                      <w:lang w:val="en-US" w:eastAsia="zh-CN" w:bidi="ar-SA"/>
                    </w:rPr>
                    <w:t>市生态保护红线图，</w:t>
                  </w:r>
                  <w:r>
                    <w:rPr>
                      <w:rFonts w:hint="eastAsia" w:cs="Times New Roman"/>
                      <w:b w:val="0"/>
                      <w:bCs/>
                      <w:color w:val="auto"/>
                      <w:kern w:val="2"/>
                      <w:sz w:val="21"/>
                      <w:szCs w:val="21"/>
                      <w:highlight w:val="none"/>
                      <w:lang w:val="en-US" w:eastAsia="zh-CN" w:bidi="ar-SA"/>
                    </w:rPr>
                    <w:t>本项目</w:t>
                  </w:r>
                  <w:r>
                    <w:rPr>
                      <w:rFonts w:hint="default" w:ascii="Times New Roman" w:hAnsi="Times New Roman" w:eastAsia="宋体" w:cs="Times New Roman"/>
                      <w:b w:val="0"/>
                      <w:bCs/>
                      <w:color w:val="auto"/>
                      <w:kern w:val="2"/>
                      <w:sz w:val="21"/>
                      <w:szCs w:val="21"/>
                      <w:highlight w:val="none"/>
                      <w:lang w:val="en-US" w:eastAsia="zh-CN" w:bidi="ar-SA"/>
                    </w:rPr>
                    <w:t>不在</w:t>
                  </w:r>
                  <w:r>
                    <w:rPr>
                      <w:rFonts w:hint="eastAsia" w:ascii="Times New Roman" w:hAnsi="Times New Roman" w:eastAsia="宋体" w:cs="Times New Roman"/>
                      <w:b w:val="0"/>
                      <w:bCs/>
                      <w:color w:val="auto"/>
                      <w:kern w:val="2"/>
                      <w:sz w:val="21"/>
                      <w:szCs w:val="21"/>
                      <w:highlight w:val="none"/>
                      <w:lang w:val="en-US" w:eastAsia="zh-CN" w:bidi="ar-SA"/>
                    </w:rPr>
                    <w:t>蚌埠</w:t>
                  </w:r>
                  <w:r>
                    <w:rPr>
                      <w:rFonts w:hint="default" w:ascii="Times New Roman" w:hAnsi="Times New Roman" w:eastAsia="宋体" w:cs="Times New Roman"/>
                      <w:b w:val="0"/>
                      <w:bCs/>
                      <w:color w:val="auto"/>
                      <w:kern w:val="2"/>
                      <w:sz w:val="21"/>
                      <w:szCs w:val="21"/>
                      <w:highlight w:val="none"/>
                      <w:lang w:val="en-US" w:eastAsia="zh-CN" w:bidi="ar-SA"/>
                    </w:rPr>
                    <w:t>市生态保护红线范围内。</w:t>
                  </w:r>
                </w:p>
              </w:tc>
              <w:tc>
                <w:tcPr>
                  <w:tcW w:w="457" w:type="pct"/>
                  <w:vMerge w:val="restart"/>
                  <w:tcBorders>
                    <w:tl2br w:val="nil"/>
                    <w:tr2bl w:val="nil"/>
                  </w:tcBorders>
                  <w:noWrap w:val="0"/>
                  <w:vAlign w:val="center"/>
                </w:tcPr>
                <w:p w14:paraId="737E3913">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符合</w:t>
                  </w:r>
                </w:p>
              </w:tc>
            </w:tr>
            <w:tr w14:paraId="36F59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9" w:type="pct"/>
                  <w:vMerge w:val="continue"/>
                  <w:tcBorders>
                    <w:tl2br w:val="nil"/>
                    <w:tr2bl w:val="nil"/>
                  </w:tcBorders>
                  <w:noWrap w:val="0"/>
                  <w:vAlign w:val="center"/>
                </w:tcPr>
                <w:p w14:paraId="2E9DC11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300" w:type="pct"/>
                  <w:tcBorders>
                    <w:tl2br w:val="nil"/>
                    <w:tr2bl w:val="nil"/>
                  </w:tcBorders>
                  <w:noWrap w:val="0"/>
                  <w:vAlign w:val="center"/>
                </w:tcPr>
                <w:p w14:paraId="02A6C2F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一般生态空间管控要求：对一般生态空间内的国家公园、自然保护区、风景名胜区、森林公园、地质公园、世界自然遗产、湿地公园、饮用水水源保护区、天然林、生态公益林等各类保护地的管理，按照法律、法规和规章等要求执行。</w:t>
                  </w:r>
                </w:p>
              </w:tc>
              <w:tc>
                <w:tcPr>
                  <w:tcW w:w="882" w:type="pct"/>
                  <w:vMerge w:val="continue"/>
                  <w:tcBorders>
                    <w:tl2br w:val="nil"/>
                    <w:tr2bl w:val="nil"/>
                  </w:tcBorders>
                  <w:noWrap w:val="0"/>
                  <w:vAlign w:val="center"/>
                </w:tcPr>
                <w:p w14:paraId="09C4AB0E">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57" w:type="pct"/>
                  <w:vMerge w:val="continue"/>
                  <w:tcBorders>
                    <w:tl2br w:val="nil"/>
                    <w:tr2bl w:val="nil"/>
                  </w:tcBorders>
                  <w:noWrap w:val="0"/>
                  <w:vAlign w:val="center"/>
                </w:tcPr>
                <w:p w14:paraId="276B59BA">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r>
            <w:tr w14:paraId="4FB20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9" w:type="pct"/>
                  <w:vMerge w:val="restart"/>
                  <w:tcBorders>
                    <w:tl2br w:val="nil"/>
                    <w:tr2bl w:val="nil"/>
                  </w:tcBorders>
                  <w:noWrap w:val="0"/>
                  <w:vAlign w:val="center"/>
                </w:tcPr>
                <w:p w14:paraId="78F02F1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环境质量底线及环境分区管控要求</w:t>
                  </w:r>
                </w:p>
              </w:tc>
              <w:tc>
                <w:tcPr>
                  <w:tcW w:w="3300" w:type="pct"/>
                  <w:tcBorders>
                    <w:tl2br w:val="nil"/>
                    <w:tr2bl w:val="nil"/>
                  </w:tcBorders>
                  <w:noWrap w:val="0"/>
                  <w:vAlign w:val="center"/>
                </w:tcPr>
                <w:p w14:paraId="773C030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1、水环境分区管控要求</w:t>
                  </w:r>
                </w:p>
                <w:p w14:paraId="7C07CED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优先保护区：依据《中华人民共和国水污染防治法》《安徽省饮用水水源环境保护条例》等法律法规和规章对饮用水水源保护区实施管控；依据《中华人民共和国湿地保护法》《中华人民共和国自然保护区条例》《国家湿地公园管理办法》《安徽省湿地保护条例》《安徽省湿地公园管理办法（试行）》等法律法规和规章对湿地型自然保护区、湿地公园实施管控；依据《水产种质资源保护区管理暂行办法》对水产种质资源保护区实施管控；各类保护地外围区域按照既有规定进行管控。</w:t>
                  </w:r>
                </w:p>
                <w:p w14:paraId="7AC6584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重点管控区：依据《中华人民共和国水污染防治法》《水污染防治行动计划》《安徽省水污染防治工作方案》及各市水污染防治工作方案对重点管控区实施管控；依据《安徽省淮河流域水污染防治条例》对淮河流域实施管控；依据开发区规划、规划环评及审查意见相关要求对开发区实施管控；落实《</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十四五</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生态环境保护规划》《安徽省</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十四五</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环境保护规划》《安徽省</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十四五</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节能减排实施方案》等要求，新建、改建和</w:t>
                  </w:r>
                  <w:r>
                    <w:rPr>
                      <w:rFonts w:hint="eastAsia" w:cs="Times New Roman"/>
                      <w:b w:val="0"/>
                      <w:bCs/>
                      <w:color w:val="auto"/>
                      <w:kern w:val="2"/>
                      <w:sz w:val="21"/>
                      <w:szCs w:val="21"/>
                      <w:highlight w:val="none"/>
                      <w:lang w:val="en-US" w:eastAsia="zh-CN" w:bidi="ar-SA"/>
                    </w:rPr>
                    <w:t>本项目</w:t>
                  </w:r>
                  <w:r>
                    <w:rPr>
                      <w:rFonts w:hint="default" w:ascii="Times New Roman" w:hAnsi="Times New Roman" w:eastAsia="宋体" w:cs="Times New Roman"/>
                      <w:b w:val="0"/>
                      <w:bCs/>
                      <w:color w:val="auto"/>
                      <w:kern w:val="2"/>
                      <w:sz w:val="21"/>
                      <w:szCs w:val="21"/>
                      <w:highlight w:val="none"/>
                      <w:lang w:val="en-US" w:eastAsia="zh-CN" w:bidi="ar-SA"/>
                    </w:rPr>
                    <w:t>水污染物实施</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等量替代</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w:t>
                  </w:r>
                </w:p>
                <w:p w14:paraId="5A65D7F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一般管控区：依据《中华人民共和国水污染防治法》《水污染防治行动计划》《安徽省水污染防治工作方案》及各市水污染防治工作方案对一般管控区实施管控；依据《安徽省淮河流域水污染防治条例》对淮河流域实施管控。</w:t>
                  </w:r>
                </w:p>
              </w:tc>
              <w:tc>
                <w:tcPr>
                  <w:tcW w:w="882" w:type="pct"/>
                  <w:tcBorders>
                    <w:tl2br w:val="nil"/>
                    <w:tr2bl w:val="nil"/>
                  </w:tcBorders>
                  <w:noWrap w:val="0"/>
                  <w:vAlign w:val="center"/>
                </w:tcPr>
                <w:p w14:paraId="6036EA8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对照蚌埠市水环境分区管控图</w:t>
                  </w:r>
                  <w:r>
                    <w:rPr>
                      <w:rFonts w:hint="default" w:ascii="Times New Roman" w:hAnsi="Times New Roman" w:eastAsia="宋体" w:cs="Times New Roman"/>
                      <w:b w:val="0"/>
                      <w:bCs/>
                      <w:color w:val="auto"/>
                      <w:kern w:val="2"/>
                      <w:sz w:val="21"/>
                      <w:szCs w:val="21"/>
                      <w:highlight w:val="none"/>
                      <w:lang w:val="en-US" w:eastAsia="zh-CN" w:bidi="ar-SA"/>
                    </w:rPr>
                    <w:t>，项目在</w:t>
                  </w:r>
                  <w:r>
                    <w:rPr>
                      <w:rFonts w:hint="eastAsia" w:ascii="Times New Roman" w:hAnsi="Times New Roman" w:eastAsia="宋体" w:cs="Times New Roman"/>
                      <w:b w:val="0"/>
                      <w:bCs/>
                      <w:color w:val="auto"/>
                      <w:kern w:val="2"/>
                      <w:sz w:val="21"/>
                      <w:szCs w:val="21"/>
                      <w:highlight w:val="none"/>
                      <w:lang w:val="en-US" w:eastAsia="zh-CN" w:bidi="ar-SA"/>
                    </w:rPr>
                    <w:t>工业污染重点</w:t>
                  </w:r>
                  <w:r>
                    <w:rPr>
                      <w:rFonts w:hint="default" w:ascii="Times New Roman" w:hAnsi="Times New Roman" w:eastAsia="宋体" w:cs="Times New Roman"/>
                      <w:b w:val="0"/>
                      <w:bCs/>
                      <w:color w:val="auto"/>
                      <w:kern w:val="2"/>
                      <w:sz w:val="21"/>
                      <w:szCs w:val="21"/>
                      <w:highlight w:val="none"/>
                      <w:lang w:val="en-US" w:eastAsia="zh-CN" w:bidi="ar-SA"/>
                    </w:rPr>
                    <w:t>管控区内</w:t>
                  </w:r>
                  <w:r>
                    <w:rPr>
                      <w:rFonts w:hint="eastAsia" w:ascii="Times New Roman" w:hAnsi="Times New Roman" w:eastAsia="宋体" w:cs="Times New Roman"/>
                      <w:b w:val="0"/>
                      <w:bCs/>
                      <w:color w:val="auto"/>
                      <w:kern w:val="2"/>
                      <w:sz w:val="21"/>
                      <w:szCs w:val="21"/>
                      <w:highlight w:val="none"/>
                      <w:lang w:val="en-US" w:eastAsia="zh-CN" w:bidi="ar-SA"/>
                    </w:rPr>
                    <w:t>。生产废水经</w:t>
                  </w:r>
                  <w:r>
                    <w:rPr>
                      <w:rFonts w:hint="eastAsia" w:cs="Times New Roman"/>
                      <w:b w:val="0"/>
                      <w:bCs/>
                      <w:color w:val="auto"/>
                      <w:kern w:val="2"/>
                      <w:sz w:val="21"/>
                      <w:szCs w:val="21"/>
                      <w:highlight w:val="none"/>
                      <w:lang w:val="en-US" w:eastAsia="zh-CN" w:bidi="ar-SA"/>
                    </w:rPr>
                    <w:t>“隔油+气浮+好氧生化+二级沉淀+过滤”</w:t>
                  </w:r>
                  <w:r>
                    <w:rPr>
                      <w:rFonts w:hint="eastAsia" w:ascii="Times New Roman" w:hAnsi="Times New Roman" w:eastAsia="宋体" w:cs="Times New Roman"/>
                      <w:b w:val="0"/>
                      <w:bCs/>
                      <w:color w:val="auto"/>
                      <w:kern w:val="2"/>
                      <w:sz w:val="21"/>
                      <w:szCs w:val="21"/>
                      <w:highlight w:val="none"/>
                      <w:lang w:val="en-US" w:eastAsia="zh-CN" w:bidi="ar-SA"/>
                    </w:rPr>
                    <w:t>处理设施处理后</w:t>
                  </w:r>
                  <w:r>
                    <w:rPr>
                      <w:rFonts w:hint="eastAsia" w:cs="Times New Roman"/>
                      <w:b w:val="0"/>
                      <w:bCs/>
                      <w:color w:val="auto"/>
                      <w:kern w:val="2"/>
                      <w:sz w:val="21"/>
                      <w:szCs w:val="21"/>
                      <w:highlight w:val="none"/>
                      <w:lang w:val="en-US" w:eastAsia="zh-CN" w:bidi="ar-SA"/>
                    </w:rPr>
                    <w:t>95%回用于织造用水。5%排入市政管网进入五河县经济开发区污水处理厂处理</w:t>
                  </w:r>
                  <w:r>
                    <w:rPr>
                      <w:rFonts w:hint="eastAsia"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生活污水经</w:t>
                  </w:r>
                  <w:r>
                    <w:rPr>
                      <w:rFonts w:hint="eastAsia" w:ascii="Times New Roman" w:hAnsi="Times New Roman" w:eastAsia="宋体" w:cs="Times New Roman"/>
                      <w:b w:val="0"/>
                      <w:bCs/>
                      <w:color w:val="auto"/>
                      <w:kern w:val="2"/>
                      <w:sz w:val="21"/>
                      <w:szCs w:val="21"/>
                      <w:highlight w:val="none"/>
                      <w:lang w:val="en-US" w:eastAsia="zh-CN" w:bidi="ar-SA"/>
                    </w:rPr>
                    <w:t>化粪池收集</w:t>
                  </w:r>
                  <w:r>
                    <w:rPr>
                      <w:rFonts w:hint="default" w:ascii="Times New Roman" w:hAnsi="Times New Roman" w:eastAsia="宋体" w:cs="Times New Roman"/>
                      <w:b w:val="0"/>
                      <w:bCs/>
                      <w:color w:val="auto"/>
                      <w:kern w:val="2"/>
                      <w:sz w:val="21"/>
                      <w:szCs w:val="21"/>
                      <w:highlight w:val="none"/>
                      <w:lang w:val="en-US" w:eastAsia="zh-CN" w:bidi="ar-SA"/>
                    </w:rPr>
                    <w:t>后排入市政管网进入</w:t>
                  </w:r>
                  <w:r>
                    <w:rPr>
                      <w:rFonts w:hint="eastAsia" w:cs="Times New Roman"/>
                      <w:b w:val="0"/>
                      <w:bCs/>
                      <w:color w:val="auto"/>
                      <w:kern w:val="2"/>
                      <w:sz w:val="21"/>
                      <w:szCs w:val="21"/>
                      <w:highlight w:val="none"/>
                      <w:lang w:val="en-US" w:eastAsia="zh-CN" w:bidi="ar-SA"/>
                    </w:rPr>
                    <w:t>五河县经济开发区污水处理厂</w:t>
                  </w:r>
                  <w:r>
                    <w:rPr>
                      <w:rFonts w:hint="eastAsia" w:ascii="Times New Roman" w:hAnsi="Times New Roman" w:eastAsia="宋体" w:cs="Times New Roman"/>
                      <w:b w:val="0"/>
                      <w:bCs/>
                      <w:color w:val="auto"/>
                      <w:kern w:val="2"/>
                      <w:sz w:val="21"/>
                      <w:szCs w:val="21"/>
                      <w:highlight w:val="none"/>
                      <w:lang w:val="en-US" w:eastAsia="zh-CN" w:bidi="ar-SA"/>
                    </w:rPr>
                    <w:t>处理。</w:t>
                  </w:r>
                </w:p>
              </w:tc>
              <w:tc>
                <w:tcPr>
                  <w:tcW w:w="457" w:type="pct"/>
                  <w:tcBorders>
                    <w:tl2br w:val="nil"/>
                    <w:tr2bl w:val="nil"/>
                  </w:tcBorders>
                  <w:noWrap w:val="0"/>
                  <w:vAlign w:val="center"/>
                </w:tcPr>
                <w:p w14:paraId="0145F83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符合</w:t>
                  </w:r>
                </w:p>
              </w:tc>
            </w:tr>
            <w:tr w14:paraId="2E593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9" w:type="pct"/>
                  <w:vMerge w:val="continue"/>
                  <w:tcBorders>
                    <w:tl2br w:val="nil"/>
                    <w:tr2bl w:val="nil"/>
                  </w:tcBorders>
                  <w:noWrap w:val="0"/>
                  <w:vAlign w:val="center"/>
                </w:tcPr>
                <w:p w14:paraId="0C3E585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300" w:type="pct"/>
                  <w:tcBorders>
                    <w:tl2br w:val="nil"/>
                    <w:tr2bl w:val="nil"/>
                  </w:tcBorders>
                  <w:noWrap w:val="0"/>
                  <w:vAlign w:val="center"/>
                </w:tcPr>
                <w:p w14:paraId="6E52D4C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2、大气环境分区管控要求</w:t>
                  </w:r>
                </w:p>
                <w:p w14:paraId="020D733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优先保护区：依据《中华人民共和国大气污染防治法》《安徽省大气污染防治条例》等法律法规和规章对优先保护区实施管控；依据《国家森林公园管理条例》《安徽省森林公园管理条例》等法律法规和规章对森林公园实施管控；依据《风景名胜区条例</w:t>
                  </w:r>
                  <w:r>
                    <w:rPr>
                      <w:rFonts w:hint="eastAsia"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蚌埠市龙子湖风景名胜区条例》以及安徽省人民政府办公厅《关于加强风景名胜区规划建设管理工作的意见》等法律法规和规章对各类风景名胜区实施管控；依据《中华人民共和国自然保护区条例》等法律法规和规章对各类自然保护区实施管控。</w:t>
                  </w:r>
                </w:p>
                <w:p w14:paraId="3FCC606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重点管控区：落实《</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十四五</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生态环境保护规划》《安徽省</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十四五</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环境保护规划》《蚌埠市</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十四五</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生态环境保护规划》、中共蚌埠市委蚌埠市人民政府关于印发《深入打好污染防治攻坚战实施方案》的通知等要求，严格落实目标，加强环境监管，促进生态环境质量好转。上年度PM</w:t>
                  </w:r>
                  <w:r>
                    <w:rPr>
                      <w:rFonts w:hint="default" w:ascii="Times New Roman" w:hAnsi="Times New Roman" w:eastAsia="宋体" w:cs="Times New Roman"/>
                      <w:b w:val="0"/>
                      <w:bCs/>
                      <w:color w:val="auto"/>
                      <w:kern w:val="2"/>
                      <w:sz w:val="21"/>
                      <w:szCs w:val="21"/>
                      <w:highlight w:val="none"/>
                      <w:vertAlign w:val="subscript"/>
                      <w:lang w:val="en-US" w:eastAsia="zh-CN" w:bidi="ar-SA"/>
                    </w:rPr>
                    <w:t>2.5</w:t>
                  </w:r>
                  <w:r>
                    <w:rPr>
                      <w:rFonts w:hint="default" w:ascii="Times New Roman" w:hAnsi="Times New Roman" w:eastAsia="宋体" w:cs="Times New Roman"/>
                      <w:b w:val="0"/>
                      <w:bCs/>
                      <w:color w:val="auto"/>
                      <w:kern w:val="2"/>
                      <w:sz w:val="21"/>
                      <w:szCs w:val="21"/>
                      <w:highlight w:val="none"/>
                      <w:lang w:val="en-US" w:eastAsia="zh-CN" w:bidi="ar-SA"/>
                    </w:rPr>
                    <w:t>不达标城市新建、改建和</w:t>
                  </w:r>
                  <w:r>
                    <w:rPr>
                      <w:rFonts w:hint="eastAsia" w:cs="Times New Roman"/>
                      <w:b w:val="0"/>
                      <w:bCs/>
                      <w:color w:val="auto"/>
                      <w:kern w:val="2"/>
                      <w:sz w:val="21"/>
                      <w:szCs w:val="21"/>
                      <w:highlight w:val="none"/>
                      <w:lang w:val="en-US" w:eastAsia="zh-CN" w:bidi="ar-SA"/>
                    </w:rPr>
                    <w:t>本项目</w:t>
                  </w:r>
                  <w:r>
                    <w:rPr>
                      <w:rFonts w:hint="default" w:ascii="Times New Roman" w:hAnsi="Times New Roman" w:eastAsia="宋体" w:cs="Times New Roman"/>
                      <w:b w:val="0"/>
                      <w:bCs/>
                      <w:color w:val="auto"/>
                      <w:kern w:val="2"/>
                      <w:sz w:val="21"/>
                      <w:szCs w:val="21"/>
                      <w:highlight w:val="none"/>
                      <w:lang w:val="en-US" w:eastAsia="zh-CN" w:bidi="ar-SA"/>
                    </w:rPr>
                    <w:t>大气污染物实施</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倍量替代</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，执行特别排放标准的行业实施提标升级改造。</w:t>
                  </w:r>
                </w:p>
                <w:p w14:paraId="0BE29B6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一般管控区：依据《中华人民共和国大气污染防治法》《深入打好污染防治攻坚战实施方案》等要求对一般管控区实施管控。上年度PM</w:t>
                  </w:r>
                  <w:r>
                    <w:rPr>
                      <w:rFonts w:hint="default" w:ascii="Times New Roman" w:hAnsi="Times New Roman" w:eastAsia="宋体" w:cs="Times New Roman"/>
                      <w:b w:val="0"/>
                      <w:bCs/>
                      <w:color w:val="auto"/>
                      <w:kern w:val="2"/>
                      <w:sz w:val="21"/>
                      <w:szCs w:val="21"/>
                      <w:highlight w:val="none"/>
                      <w:vertAlign w:val="subscript"/>
                      <w:lang w:val="en-US" w:eastAsia="zh-CN" w:bidi="ar-SA"/>
                    </w:rPr>
                    <w:t>2.5</w:t>
                  </w:r>
                  <w:r>
                    <w:rPr>
                      <w:rFonts w:hint="default" w:ascii="Times New Roman" w:hAnsi="Times New Roman" w:eastAsia="宋体" w:cs="Times New Roman"/>
                      <w:b w:val="0"/>
                      <w:bCs/>
                      <w:color w:val="auto"/>
                      <w:kern w:val="2"/>
                      <w:sz w:val="21"/>
                      <w:szCs w:val="21"/>
                      <w:highlight w:val="none"/>
                      <w:lang w:val="en-US" w:eastAsia="zh-CN" w:bidi="ar-SA"/>
                    </w:rPr>
                    <w:t>不达标城市新建、改建和</w:t>
                  </w:r>
                  <w:r>
                    <w:rPr>
                      <w:rFonts w:hint="eastAsia" w:cs="Times New Roman"/>
                      <w:b w:val="0"/>
                      <w:bCs/>
                      <w:color w:val="auto"/>
                      <w:kern w:val="2"/>
                      <w:sz w:val="21"/>
                      <w:szCs w:val="21"/>
                      <w:highlight w:val="none"/>
                      <w:lang w:val="en-US" w:eastAsia="zh-CN" w:bidi="ar-SA"/>
                    </w:rPr>
                    <w:t>本项目</w:t>
                  </w:r>
                  <w:r>
                    <w:rPr>
                      <w:rFonts w:hint="default" w:ascii="Times New Roman" w:hAnsi="Times New Roman" w:eastAsia="宋体" w:cs="Times New Roman"/>
                      <w:b w:val="0"/>
                      <w:bCs/>
                      <w:color w:val="auto"/>
                      <w:kern w:val="2"/>
                      <w:sz w:val="21"/>
                      <w:szCs w:val="21"/>
                      <w:highlight w:val="none"/>
                      <w:lang w:val="en-US" w:eastAsia="zh-CN" w:bidi="ar-SA"/>
                    </w:rPr>
                    <w:t>大气污染物实施</w:t>
                  </w:r>
                  <w:r>
                    <w:rPr>
                      <w:rFonts w:hint="eastAsia" w:ascii="宋体" w:hAnsi="宋体" w:cs="宋体"/>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倍量替代</w:t>
                  </w:r>
                  <w:r>
                    <w:rPr>
                      <w:rFonts w:hint="eastAsia" w:ascii="宋体" w:hAnsi="宋体" w:cs="宋体"/>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，执行特别排放标准的行业实施提标升级改造。</w:t>
                  </w:r>
                </w:p>
              </w:tc>
              <w:tc>
                <w:tcPr>
                  <w:tcW w:w="882" w:type="pct"/>
                  <w:tcBorders>
                    <w:tl2br w:val="nil"/>
                    <w:tr2bl w:val="nil"/>
                  </w:tcBorders>
                  <w:noWrap w:val="0"/>
                  <w:vAlign w:val="center"/>
                </w:tcPr>
                <w:p w14:paraId="3036B29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对照蚌埠市大气环境分区管控图，</w:t>
                  </w:r>
                  <w:r>
                    <w:rPr>
                      <w:rFonts w:hint="eastAsia" w:cs="Times New Roman"/>
                      <w:b w:val="0"/>
                      <w:bCs/>
                      <w:color w:val="auto"/>
                      <w:kern w:val="2"/>
                      <w:sz w:val="21"/>
                      <w:szCs w:val="21"/>
                      <w:highlight w:val="none"/>
                      <w:lang w:val="en-US" w:eastAsia="zh-CN" w:bidi="ar-SA"/>
                    </w:rPr>
                    <w:t>本项目</w:t>
                  </w:r>
                  <w:r>
                    <w:rPr>
                      <w:rFonts w:hint="default" w:ascii="Times New Roman" w:hAnsi="Times New Roman" w:eastAsia="宋体" w:cs="Times New Roman"/>
                      <w:b w:val="0"/>
                      <w:bCs/>
                      <w:color w:val="auto"/>
                      <w:kern w:val="2"/>
                      <w:sz w:val="21"/>
                      <w:szCs w:val="21"/>
                      <w:highlight w:val="none"/>
                      <w:lang w:val="en-US" w:eastAsia="zh-CN" w:bidi="ar-SA"/>
                    </w:rPr>
                    <w:t>在受体敏感重点管控区内</w:t>
                  </w:r>
                  <w:r>
                    <w:rPr>
                      <w:rFonts w:hint="eastAsia" w:cs="Times New Roman"/>
                      <w:b w:val="0"/>
                      <w:bCs/>
                      <w:color w:val="auto"/>
                      <w:kern w:val="2"/>
                      <w:sz w:val="21"/>
                      <w:szCs w:val="21"/>
                      <w:highlight w:val="none"/>
                      <w:lang w:val="en-US" w:eastAsia="zh-CN" w:bidi="ar-SA"/>
                    </w:rPr>
                    <w:t>。怀远县</w:t>
                  </w:r>
                  <w:r>
                    <w:rPr>
                      <w:rFonts w:hint="default" w:ascii="Times New Roman" w:hAnsi="Times New Roman" w:eastAsia="宋体" w:cs="Times New Roman"/>
                      <w:b w:val="0"/>
                      <w:bCs/>
                      <w:color w:val="auto"/>
                      <w:kern w:val="2"/>
                      <w:sz w:val="21"/>
                      <w:szCs w:val="21"/>
                      <w:highlight w:val="none"/>
                      <w:lang w:val="en-US" w:eastAsia="zh-CN" w:bidi="ar-SA"/>
                    </w:rPr>
                    <w:t>202</w:t>
                  </w:r>
                  <w:r>
                    <w:rPr>
                      <w:rFonts w:hint="eastAsia" w:cs="Times New Roman"/>
                      <w:b w:val="0"/>
                      <w:bCs/>
                      <w:color w:val="auto"/>
                      <w:kern w:val="2"/>
                      <w:sz w:val="21"/>
                      <w:szCs w:val="21"/>
                      <w:highlight w:val="none"/>
                      <w:lang w:val="en-US" w:eastAsia="zh-CN" w:bidi="ar-SA"/>
                    </w:rPr>
                    <w:t>4</w:t>
                  </w:r>
                  <w:r>
                    <w:rPr>
                      <w:rFonts w:hint="default" w:ascii="Times New Roman" w:hAnsi="Times New Roman" w:eastAsia="宋体" w:cs="Times New Roman"/>
                      <w:b w:val="0"/>
                      <w:bCs/>
                      <w:color w:val="auto"/>
                      <w:kern w:val="2"/>
                      <w:sz w:val="21"/>
                      <w:szCs w:val="21"/>
                      <w:highlight w:val="none"/>
                      <w:lang w:val="en-US" w:eastAsia="zh-CN" w:bidi="ar-SA"/>
                    </w:rPr>
                    <w:t>年为环境空气达标区，大气污染物实施</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 w:val="0"/>
                      <w:bCs/>
                      <w:color w:val="auto"/>
                      <w:kern w:val="2"/>
                      <w:sz w:val="21"/>
                      <w:szCs w:val="21"/>
                      <w:highlight w:val="none"/>
                      <w:lang w:val="en-US" w:eastAsia="zh-CN" w:bidi="ar-SA"/>
                    </w:rPr>
                    <w:t>倍量替代</w:t>
                  </w:r>
                  <w:r>
                    <w:rPr>
                      <w:rFonts w:hint="eastAsia" w:ascii="宋体" w:hAnsi="宋体" w:cs="宋体"/>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积极落实</w:t>
                  </w:r>
                  <w:r>
                    <w:rPr>
                      <w:rFonts w:hint="default"/>
                      <w:bCs/>
                      <w:color w:val="auto"/>
                      <w:sz w:val="21"/>
                      <w:szCs w:val="21"/>
                      <w:highlight w:val="none"/>
                    </w:rPr>
                    <w:t>《蚌埠市人民政府办公室关于印发&lt;蚌埠市空气质量提升攻坚行动方案》的通知&gt;（蚌政办秘〔2024〕28号）</w:t>
                  </w:r>
                  <w:r>
                    <w:rPr>
                      <w:rFonts w:hint="default" w:ascii="Times New Roman" w:hAnsi="Times New Roman" w:eastAsia="宋体" w:cs="Times New Roman"/>
                      <w:b w:val="0"/>
                      <w:bCs/>
                      <w:color w:val="auto"/>
                      <w:kern w:val="2"/>
                      <w:sz w:val="21"/>
                      <w:szCs w:val="21"/>
                      <w:highlight w:val="none"/>
                      <w:lang w:val="en-US" w:eastAsia="zh-CN" w:bidi="ar-SA"/>
                    </w:rPr>
                    <w:t>中相关大气污染防治工作</w:t>
                  </w:r>
                  <w:r>
                    <w:rPr>
                      <w:rFonts w:hint="eastAsia" w:ascii="Times New Roman" w:hAnsi="Times New Roman" w:eastAsia="宋体" w:cs="Times New Roman"/>
                      <w:b w:val="0"/>
                      <w:bCs/>
                      <w:color w:val="auto"/>
                      <w:kern w:val="2"/>
                      <w:sz w:val="21"/>
                      <w:szCs w:val="21"/>
                      <w:highlight w:val="none"/>
                      <w:lang w:val="en-US" w:eastAsia="zh-CN" w:bidi="ar-SA"/>
                    </w:rPr>
                    <w:t>，</w:t>
                  </w:r>
                  <w:r>
                    <w:rPr>
                      <w:rFonts w:hint="eastAsia" w:cs="Times New Roman"/>
                      <w:b w:val="0"/>
                      <w:bCs/>
                      <w:color w:val="auto"/>
                      <w:kern w:val="2"/>
                      <w:sz w:val="21"/>
                      <w:szCs w:val="21"/>
                      <w:highlight w:val="none"/>
                      <w:lang w:val="en-US" w:eastAsia="zh-CN" w:bidi="ar-SA"/>
                    </w:rPr>
                    <w:t>五河县</w:t>
                  </w:r>
                  <w:r>
                    <w:rPr>
                      <w:rFonts w:hint="eastAsia" w:ascii="Times New Roman" w:hAnsi="Times New Roman" w:eastAsia="宋体" w:cs="Times New Roman"/>
                      <w:b w:val="0"/>
                      <w:bCs/>
                      <w:color w:val="auto"/>
                      <w:kern w:val="2"/>
                      <w:sz w:val="21"/>
                      <w:szCs w:val="21"/>
                      <w:highlight w:val="none"/>
                      <w:lang w:val="en-US" w:eastAsia="zh-CN" w:bidi="ar-SA"/>
                    </w:rPr>
                    <w:t>已制定区域消减方案</w:t>
                  </w:r>
                  <w:r>
                    <w:rPr>
                      <w:rFonts w:hint="default" w:ascii="Times New Roman" w:hAnsi="Times New Roman" w:eastAsia="宋体" w:cs="Times New Roman"/>
                      <w:b w:val="0"/>
                      <w:bCs/>
                      <w:color w:val="auto"/>
                      <w:kern w:val="2"/>
                      <w:sz w:val="21"/>
                      <w:szCs w:val="21"/>
                      <w:highlight w:val="none"/>
                      <w:lang w:val="en-US" w:eastAsia="zh-CN" w:bidi="ar-SA"/>
                    </w:rPr>
                    <w:t>。</w:t>
                  </w:r>
                </w:p>
              </w:tc>
              <w:tc>
                <w:tcPr>
                  <w:tcW w:w="457" w:type="pct"/>
                  <w:tcBorders>
                    <w:tl2br w:val="nil"/>
                    <w:tr2bl w:val="nil"/>
                  </w:tcBorders>
                  <w:noWrap w:val="0"/>
                  <w:vAlign w:val="center"/>
                </w:tcPr>
                <w:p w14:paraId="33F61899">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符合</w:t>
                  </w:r>
                </w:p>
              </w:tc>
            </w:tr>
            <w:tr w14:paraId="1B937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9" w:type="pct"/>
                  <w:vMerge w:val="continue"/>
                  <w:tcBorders>
                    <w:tl2br w:val="nil"/>
                    <w:tr2bl w:val="nil"/>
                  </w:tcBorders>
                  <w:noWrap w:val="0"/>
                  <w:vAlign w:val="center"/>
                </w:tcPr>
                <w:p w14:paraId="30E67C0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300" w:type="pct"/>
                  <w:tcBorders>
                    <w:tl2br w:val="nil"/>
                    <w:tr2bl w:val="nil"/>
                  </w:tcBorders>
                  <w:noWrap w:val="0"/>
                  <w:vAlign w:val="center"/>
                </w:tcPr>
                <w:p w14:paraId="25F4227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3、土壤环境风险分区防控要求</w:t>
                  </w:r>
                </w:p>
                <w:p w14:paraId="0B11F5E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优先保护区：依据《中华人民共和国土壤污染防治法》《基本农田保护条例》《土壤污染防治行动计划》《安徽省土壤污染防治工作方案》《蚌埠市土壤污染防治规划（2021-2025年）》等要求对优先保护区实施管控。</w:t>
                  </w:r>
                </w:p>
                <w:p w14:paraId="77D02CE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重点防控区：落实《中华人民共和国土壤污染防治法》《土壤污染防治行动计划》《农用地土壤环境管理办法（试行）》《工矿用地土壤环境管理办法（试行）》《</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十四五</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生态环境保护规划》《安徽省</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十四五</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环境保护规划》《安徽省重金属污染防控工作方案》《蚌埠市十四五生态环境保护规划》《蚌埠市土壤污染防治规划（2021-2025年）》《蚌埠市</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十四五</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危险废物工业固体废物污染环境防治规划》《蚌埠市医疗废物管理条例》等要求，防止土壤污染风险。</w:t>
                  </w:r>
                </w:p>
                <w:p w14:paraId="43BB436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一般防控区：依据《中华人民共和国土壤污染防治法》《土壤污染防治行动计划》《农用地土壤环境管理办法（试行）》《工矿用地土壤环境管理办法（试行）》《</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十四五</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生态环境保护规划》《安徽省</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十四五</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环境保护规划》《安徽省重金属污染防控工作方案》《蚌埠市十四五生态环境保护规划》《蚌埠市土壤污染防治规划（2021-2025年）》《蚌埠市</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十四五</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危险废物工业固体废物污染环境防治规划》《蚌埠市医疗废物管理条例》等要求及各市土壤污染防治工作方案对一般管控区实施管控。</w:t>
                  </w:r>
                </w:p>
              </w:tc>
              <w:tc>
                <w:tcPr>
                  <w:tcW w:w="882" w:type="pct"/>
                  <w:tcBorders>
                    <w:tl2br w:val="nil"/>
                    <w:tr2bl w:val="nil"/>
                  </w:tcBorders>
                  <w:noWrap w:val="0"/>
                  <w:vAlign w:val="center"/>
                </w:tcPr>
                <w:p w14:paraId="38B575F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对照蚌埠市土壤污染风险分区管控图，</w:t>
                  </w:r>
                  <w:r>
                    <w:rPr>
                      <w:rFonts w:hint="eastAsia" w:ascii="Times New Roman" w:hAnsi="Times New Roman" w:eastAsia="宋体" w:cs="Times New Roman"/>
                      <w:b w:val="0"/>
                      <w:bCs/>
                      <w:color w:val="auto"/>
                      <w:kern w:val="2"/>
                      <w:sz w:val="21"/>
                      <w:szCs w:val="21"/>
                      <w:highlight w:val="none"/>
                      <w:lang w:val="en-US" w:eastAsia="zh-CN" w:bidi="ar-SA"/>
                    </w:rPr>
                    <w:t>建设</w:t>
                  </w:r>
                  <w:r>
                    <w:rPr>
                      <w:rFonts w:hint="default" w:ascii="Times New Roman" w:hAnsi="Times New Roman" w:eastAsia="宋体" w:cs="Times New Roman"/>
                      <w:b w:val="0"/>
                      <w:bCs/>
                      <w:color w:val="auto"/>
                      <w:kern w:val="2"/>
                      <w:sz w:val="21"/>
                      <w:szCs w:val="21"/>
                      <w:highlight w:val="none"/>
                      <w:lang w:val="en-US" w:eastAsia="zh-CN" w:bidi="ar-SA"/>
                    </w:rPr>
                    <w:t>项目位于</w:t>
                  </w:r>
                  <w:r>
                    <w:rPr>
                      <w:rFonts w:hint="eastAsia" w:cs="Times New Roman"/>
                      <w:b w:val="0"/>
                      <w:bCs/>
                      <w:color w:val="auto"/>
                      <w:kern w:val="2"/>
                      <w:sz w:val="21"/>
                      <w:szCs w:val="21"/>
                      <w:highlight w:val="none"/>
                      <w:lang w:val="en-US" w:eastAsia="zh-CN" w:bidi="ar-SA"/>
                    </w:rPr>
                    <w:t>一般管控单元</w:t>
                  </w:r>
                  <w:r>
                    <w:rPr>
                      <w:rFonts w:hint="default" w:ascii="Times New Roman" w:hAnsi="Times New Roman" w:eastAsia="宋体" w:cs="Times New Roman"/>
                      <w:b w:val="0"/>
                      <w:bCs/>
                      <w:color w:val="auto"/>
                      <w:kern w:val="2"/>
                      <w:sz w:val="21"/>
                      <w:szCs w:val="21"/>
                      <w:highlight w:val="none"/>
                      <w:lang w:val="en-US" w:eastAsia="zh-CN" w:bidi="ar-SA"/>
                    </w:rPr>
                    <w:t>内，</w:t>
                  </w:r>
                  <w:r>
                    <w:rPr>
                      <w:rFonts w:hint="eastAsia" w:cs="Times New Roman"/>
                      <w:b w:val="0"/>
                      <w:bCs/>
                      <w:color w:val="auto"/>
                      <w:kern w:val="2"/>
                      <w:sz w:val="21"/>
                      <w:szCs w:val="21"/>
                      <w:highlight w:val="none"/>
                      <w:lang w:val="en-US" w:eastAsia="zh-CN" w:bidi="ar-SA"/>
                    </w:rPr>
                    <w:t>应</w:t>
                  </w:r>
                  <w:r>
                    <w:rPr>
                      <w:rFonts w:hint="default" w:ascii="Times New Roman" w:hAnsi="Times New Roman" w:eastAsia="宋体" w:cs="Times New Roman"/>
                      <w:b w:val="0"/>
                      <w:bCs/>
                      <w:color w:val="auto"/>
                      <w:kern w:val="2"/>
                      <w:sz w:val="21"/>
                      <w:szCs w:val="21"/>
                      <w:highlight w:val="none"/>
                      <w:lang w:val="en-US" w:eastAsia="zh-CN" w:bidi="ar-SA"/>
                    </w:rPr>
                    <w:t>采取分区防渗措施并满足相关</w:t>
                  </w:r>
                  <w:r>
                    <w:rPr>
                      <w:rFonts w:hint="eastAsia" w:cs="Times New Roman"/>
                      <w:b w:val="0"/>
                      <w:bCs/>
                      <w:color w:val="auto"/>
                      <w:kern w:val="2"/>
                      <w:sz w:val="21"/>
                      <w:szCs w:val="21"/>
                      <w:highlight w:val="none"/>
                      <w:lang w:val="en-US" w:eastAsia="zh-CN" w:bidi="ar-SA"/>
                    </w:rPr>
                    <w:t>标准</w:t>
                  </w:r>
                  <w:r>
                    <w:rPr>
                      <w:rFonts w:hint="default" w:ascii="Times New Roman" w:hAnsi="Times New Roman" w:eastAsia="宋体" w:cs="Times New Roman"/>
                      <w:b w:val="0"/>
                      <w:bCs/>
                      <w:color w:val="auto"/>
                      <w:kern w:val="2"/>
                      <w:sz w:val="21"/>
                      <w:szCs w:val="21"/>
                      <w:highlight w:val="none"/>
                      <w:lang w:val="en-US" w:eastAsia="zh-CN" w:bidi="ar-SA"/>
                    </w:rPr>
                    <w:t>的规定</w:t>
                  </w:r>
                  <w:r>
                    <w:rPr>
                      <w:rFonts w:hint="eastAsia" w:ascii="Times New Roman" w:hAnsi="Times New Roman" w:eastAsia="宋体" w:cs="Times New Roman"/>
                      <w:b w:val="0"/>
                      <w:bCs/>
                      <w:color w:val="auto"/>
                      <w:kern w:val="2"/>
                      <w:sz w:val="21"/>
                      <w:szCs w:val="21"/>
                      <w:highlight w:val="none"/>
                      <w:lang w:val="en-US" w:eastAsia="zh-CN" w:bidi="ar-SA"/>
                    </w:rPr>
                    <w:t>。</w:t>
                  </w:r>
                </w:p>
              </w:tc>
              <w:tc>
                <w:tcPr>
                  <w:tcW w:w="457" w:type="pct"/>
                  <w:tcBorders>
                    <w:tl2br w:val="nil"/>
                    <w:tr2bl w:val="nil"/>
                  </w:tcBorders>
                  <w:noWrap w:val="0"/>
                  <w:vAlign w:val="center"/>
                </w:tcPr>
                <w:p w14:paraId="006FBFE2">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符合</w:t>
                  </w:r>
                </w:p>
              </w:tc>
            </w:tr>
            <w:tr w14:paraId="2A65A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9" w:type="pct"/>
                  <w:vMerge w:val="restart"/>
                  <w:tcBorders>
                    <w:tl2br w:val="nil"/>
                    <w:tr2bl w:val="nil"/>
                  </w:tcBorders>
                  <w:noWrap w:val="0"/>
                  <w:vAlign w:val="center"/>
                </w:tcPr>
                <w:p w14:paraId="09900DB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资源利用上线及自然资源开发分区管控</w:t>
                  </w:r>
                  <w:r>
                    <w:rPr>
                      <w:rFonts w:hint="eastAsia" w:ascii="Times New Roman" w:hAnsi="Times New Roman" w:eastAsia="宋体" w:cs="Times New Roman"/>
                      <w:b w:val="0"/>
                      <w:bCs/>
                      <w:color w:val="auto"/>
                      <w:kern w:val="2"/>
                      <w:sz w:val="21"/>
                      <w:szCs w:val="21"/>
                      <w:highlight w:val="none"/>
                      <w:lang w:val="en-US" w:eastAsia="zh-CN" w:bidi="ar-SA"/>
                    </w:rPr>
                    <w:t>要求</w:t>
                  </w:r>
                </w:p>
              </w:tc>
              <w:tc>
                <w:tcPr>
                  <w:tcW w:w="3300" w:type="pct"/>
                  <w:tcBorders>
                    <w:tl2br w:val="nil"/>
                    <w:tr2bl w:val="nil"/>
                  </w:tcBorders>
                  <w:noWrap w:val="0"/>
                  <w:vAlign w:val="center"/>
                </w:tcPr>
                <w:p w14:paraId="303EA27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w:t>
                  </w:r>
                  <w:r>
                    <w:rPr>
                      <w:rFonts w:hint="default" w:ascii="Times New Roman" w:hAnsi="Times New Roman" w:eastAsia="宋体" w:cs="Times New Roman"/>
                      <w:b w:val="0"/>
                      <w:bCs/>
                      <w:color w:val="auto"/>
                      <w:kern w:val="2"/>
                      <w:sz w:val="21"/>
                      <w:szCs w:val="21"/>
                      <w:highlight w:val="none"/>
                      <w:lang w:val="en-US" w:eastAsia="zh-CN" w:bidi="ar-SA"/>
                    </w:rPr>
                    <w:t>煤炭资源分区管控要求</w:t>
                  </w:r>
                </w:p>
                <w:p w14:paraId="17881BA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重点管控区：高污染燃料禁燃区内，禁止销售、燃用高污染燃料；禁止新建、扩建燃用高污染燃料的设施（新建、改建集中供热和现有火电厂锅炉改造的除外，但煤炭消费量和污染物排放总量需满足相关规定要求），已建成的，应当改用天然气、液化石油气、电或者其他清洁能源。</w:t>
                  </w:r>
                </w:p>
                <w:p w14:paraId="62D26A2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一般管控区：落实国务院《</w:t>
                  </w:r>
                  <w:r>
                    <w:rPr>
                      <w:rFonts w:hint="eastAsia"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十四五</w:t>
                  </w:r>
                  <w:r>
                    <w:rPr>
                      <w:rFonts w:hint="eastAsia"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节能减排综合工作方案》、《安徽省</w:t>
                  </w:r>
                  <w:r>
                    <w:rPr>
                      <w:rFonts w:hint="eastAsia"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十四五</w:t>
                  </w:r>
                  <w:r>
                    <w:rPr>
                      <w:rFonts w:hint="eastAsia"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节能减排实施方案》、《蚌埠市</w:t>
                  </w:r>
                  <w:r>
                    <w:rPr>
                      <w:rFonts w:hint="eastAsia"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十四五</w:t>
                  </w:r>
                  <w:r>
                    <w:rPr>
                      <w:rFonts w:hint="eastAsia"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能源发展规划》等要求。</w:t>
                  </w:r>
                </w:p>
              </w:tc>
              <w:tc>
                <w:tcPr>
                  <w:tcW w:w="882" w:type="pct"/>
                  <w:tcBorders>
                    <w:tl2br w:val="nil"/>
                    <w:tr2bl w:val="nil"/>
                  </w:tcBorders>
                  <w:noWrap w:val="0"/>
                  <w:vAlign w:val="center"/>
                </w:tcPr>
                <w:p w14:paraId="4B1FA339">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本项目</w:t>
                  </w:r>
                  <w:r>
                    <w:rPr>
                      <w:rFonts w:hint="default" w:ascii="Times New Roman" w:hAnsi="Times New Roman" w:eastAsia="宋体" w:cs="Times New Roman"/>
                      <w:b w:val="0"/>
                      <w:bCs/>
                      <w:color w:val="auto"/>
                      <w:kern w:val="2"/>
                      <w:sz w:val="21"/>
                      <w:szCs w:val="21"/>
                      <w:highlight w:val="none"/>
                      <w:lang w:val="en-US" w:eastAsia="zh-CN" w:bidi="ar-SA"/>
                    </w:rPr>
                    <w:t>生产过程中不使用煤炭。</w:t>
                  </w:r>
                </w:p>
              </w:tc>
              <w:tc>
                <w:tcPr>
                  <w:tcW w:w="457" w:type="pct"/>
                  <w:tcBorders>
                    <w:tl2br w:val="nil"/>
                    <w:tr2bl w:val="nil"/>
                  </w:tcBorders>
                  <w:noWrap w:val="0"/>
                  <w:vAlign w:val="center"/>
                </w:tcPr>
                <w:p w14:paraId="6E3A288D">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符合</w:t>
                  </w:r>
                </w:p>
              </w:tc>
            </w:tr>
            <w:tr w14:paraId="6D05F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35" w:hRule="atLeast"/>
                <w:jc w:val="center"/>
              </w:trPr>
              <w:tc>
                <w:tcPr>
                  <w:tcW w:w="359" w:type="pct"/>
                  <w:vMerge w:val="continue"/>
                  <w:tcBorders>
                    <w:tl2br w:val="nil"/>
                    <w:tr2bl w:val="nil"/>
                  </w:tcBorders>
                  <w:noWrap w:val="0"/>
                  <w:vAlign w:val="center"/>
                </w:tcPr>
                <w:p w14:paraId="0664876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300" w:type="pct"/>
                  <w:tcBorders>
                    <w:tl2br w:val="nil"/>
                    <w:tr2bl w:val="nil"/>
                  </w:tcBorders>
                  <w:noWrap w:val="0"/>
                  <w:vAlign w:val="center"/>
                </w:tcPr>
                <w:p w14:paraId="693BCE0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2、</w:t>
                  </w:r>
                  <w:r>
                    <w:rPr>
                      <w:rFonts w:hint="default" w:ascii="Times New Roman" w:hAnsi="Times New Roman" w:eastAsia="宋体" w:cs="Times New Roman"/>
                      <w:b w:val="0"/>
                      <w:bCs/>
                      <w:color w:val="auto"/>
                      <w:kern w:val="2"/>
                      <w:sz w:val="21"/>
                      <w:szCs w:val="21"/>
                      <w:highlight w:val="none"/>
                      <w:lang w:val="en-US" w:eastAsia="zh-CN" w:bidi="ar-SA"/>
                    </w:rPr>
                    <w:t>水资源分区管控要求</w:t>
                  </w:r>
                </w:p>
                <w:p w14:paraId="4D43C5F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落实《国务院办公厅关于印发实行最严格水资源管理制度考核办法的通知》、《关于印发</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 w:val="0"/>
                      <w:bCs/>
                      <w:color w:val="auto"/>
                      <w:kern w:val="2"/>
                      <w:sz w:val="21"/>
                      <w:szCs w:val="21"/>
                      <w:highlight w:val="none"/>
                      <w:lang w:val="en-US" w:eastAsia="zh-CN" w:bidi="ar-SA"/>
                    </w:rPr>
                    <w:t>十四五</w:t>
                  </w:r>
                  <w:r>
                    <w:rPr>
                      <w:rFonts w:hint="eastAsia" w:ascii="宋体" w:hAnsi="宋体" w:cs="宋体"/>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用水总量和强度双控目标的通知》、《蚌埠市水利局关于落实</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 w:val="0"/>
                      <w:bCs/>
                      <w:color w:val="auto"/>
                      <w:kern w:val="2"/>
                      <w:sz w:val="21"/>
                      <w:szCs w:val="21"/>
                      <w:highlight w:val="none"/>
                      <w:lang w:val="en-US" w:eastAsia="zh-CN" w:bidi="ar-SA"/>
                    </w:rPr>
                    <w:t>十四五</w:t>
                  </w:r>
                  <w:r>
                    <w:rPr>
                      <w:rFonts w:hint="eastAsia" w:ascii="宋体" w:hAnsi="宋体" w:cs="宋体"/>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用水总量和强度双控目标的通知》等要求。</w:t>
                  </w:r>
                </w:p>
              </w:tc>
              <w:tc>
                <w:tcPr>
                  <w:tcW w:w="882" w:type="pct"/>
                  <w:tcBorders>
                    <w:tl2br w:val="nil"/>
                    <w:tr2bl w:val="nil"/>
                  </w:tcBorders>
                  <w:noWrap w:val="0"/>
                  <w:vAlign w:val="center"/>
                </w:tcPr>
                <w:p w14:paraId="63A3227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本项目年</w:t>
                  </w:r>
                  <w:r>
                    <w:rPr>
                      <w:rFonts w:hint="default" w:ascii="Times New Roman" w:hAnsi="Times New Roman" w:eastAsia="宋体" w:cs="Times New Roman"/>
                      <w:b w:val="0"/>
                      <w:bCs/>
                      <w:color w:val="auto"/>
                      <w:kern w:val="2"/>
                      <w:sz w:val="21"/>
                      <w:szCs w:val="21"/>
                      <w:highlight w:val="none"/>
                      <w:lang w:val="en-US" w:eastAsia="zh-CN" w:bidi="ar-SA"/>
                    </w:rPr>
                    <w:t>用水量为</w:t>
                  </w:r>
                  <w:r>
                    <w:rPr>
                      <w:rFonts w:hint="eastAsia" w:cs="Times New Roman"/>
                      <w:b w:val="0"/>
                      <w:bCs/>
                      <w:color w:val="auto"/>
                      <w:kern w:val="2"/>
                      <w:sz w:val="21"/>
                      <w:szCs w:val="21"/>
                      <w:highlight w:val="none"/>
                      <w:lang w:val="en-US" w:eastAsia="zh-CN" w:bidi="ar-SA"/>
                    </w:rPr>
                    <w:t>145761</w:t>
                  </w:r>
                  <w:r>
                    <w:rPr>
                      <w:rFonts w:hint="eastAsia" w:ascii="Times New Roman" w:hAnsi="Times New Roman" w:eastAsia="宋体" w:cs="Times New Roman"/>
                      <w:b w:val="0"/>
                      <w:bCs/>
                      <w:color w:val="auto"/>
                      <w:kern w:val="2"/>
                      <w:sz w:val="21"/>
                      <w:szCs w:val="21"/>
                      <w:highlight w:val="none"/>
                      <w:lang w:val="en-US" w:eastAsia="zh-CN" w:bidi="ar-SA"/>
                    </w:rPr>
                    <w:t>t/a</w:t>
                  </w:r>
                  <w:r>
                    <w:rPr>
                      <w:rFonts w:hint="default" w:ascii="Times New Roman" w:hAnsi="Times New Roman" w:eastAsia="宋体" w:cs="Times New Roman"/>
                      <w:b w:val="0"/>
                      <w:bCs/>
                      <w:color w:val="auto"/>
                      <w:kern w:val="2"/>
                      <w:sz w:val="21"/>
                      <w:szCs w:val="21"/>
                      <w:highlight w:val="none"/>
                      <w:lang w:val="en-US" w:eastAsia="zh-CN" w:bidi="ar-SA"/>
                    </w:rPr>
                    <w:t>，来自</w:t>
                  </w:r>
                  <w:r>
                    <w:rPr>
                      <w:rFonts w:hint="eastAsia" w:cs="Times New Roman"/>
                      <w:b w:val="0"/>
                      <w:bCs/>
                      <w:color w:val="auto"/>
                      <w:kern w:val="2"/>
                      <w:sz w:val="21"/>
                      <w:szCs w:val="21"/>
                      <w:highlight w:val="none"/>
                      <w:lang w:val="en-US" w:eastAsia="zh-CN" w:bidi="ar-SA"/>
                    </w:rPr>
                    <w:t>当地</w:t>
                  </w:r>
                  <w:r>
                    <w:rPr>
                      <w:rFonts w:hint="default" w:ascii="Times New Roman" w:hAnsi="Times New Roman" w:eastAsia="宋体" w:cs="Times New Roman"/>
                      <w:b w:val="0"/>
                      <w:bCs/>
                      <w:color w:val="auto"/>
                      <w:kern w:val="2"/>
                      <w:sz w:val="21"/>
                      <w:szCs w:val="21"/>
                      <w:highlight w:val="none"/>
                      <w:lang w:val="en-US" w:eastAsia="zh-CN" w:bidi="ar-SA"/>
                    </w:rPr>
                    <w:t>供水管网。</w:t>
                  </w:r>
                </w:p>
              </w:tc>
              <w:tc>
                <w:tcPr>
                  <w:tcW w:w="457" w:type="pct"/>
                  <w:tcBorders>
                    <w:tl2br w:val="nil"/>
                    <w:tr2bl w:val="nil"/>
                  </w:tcBorders>
                  <w:noWrap w:val="0"/>
                  <w:vAlign w:val="center"/>
                </w:tcPr>
                <w:p w14:paraId="2566610B">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符合</w:t>
                  </w:r>
                </w:p>
              </w:tc>
            </w:tr>
            <w:tr w14:paraId="2FD7C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31" w:hRule="atLeast"/>
                <w:jc w:val="center"/>
              </w:trPr>
              <w:tc>
                <w:tcPr>
                  <w:tcW w:w="359" w:type="pct"/>
                  <w:vMerge w:val="continue"/>
                  <w:tcBorders>
                    <w:tl2br w:val="nil"/>
                    <w:tr2bl w:val="nil"/>
                  </w:tcBorders>
                  <w:noWrap w:val="0"/>
                  <w:vAlign w:val="center"/>
                </w:tcPr>
                <w:p w14:paraId="5424A3A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300" w:type="pct"/>
                  <w:tcBorders>
                    <w:tl2br w:val="nil"/>
                    <w:tr2bl w:val="nil"/>
                  </w:tcBorders>
                  <w:noWrap w:val="0"/>
                  <w:vAlign w:val="center"/>
                </w:tcPr>
                <w:p w14:paraId="7919910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3、</w:t>
                  </w:r>
                  <w:r>
                    <w:rPr>
                      <w:rFonts w:hint="default" w:ascii="Times New Roman" w:hAnsi="Times New Roman" w:eastAsia="宋体" w:cs="Times New Roman"/>
                      <w:b w:val="0"/>
                      <w:bCs/>
                      <w:color w:val="auto"/>
                      <w:kern w:val="2"/>
                      <w:sz w:val="21"/>
                      <w:szCs w:val="21"/>
                      <w:highlight w:val="none"/>
                      <w:lang w:val="en-US" w:eastAsia="zh-CN" w:bidi="ar-SA"/>
                    </w:rPr>
                    <w:t>土地资源分区管控要求</w:t>
                  </w:r>
                </w:p>
                <w:p w14:paraId="77C3A51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落实《蚌埠市国土空间总体规划（2021-2035年）》要求。</w:t>
                  </w:r>
                </w:p>
              </w:tc>
              <w:tc>
                <w:tcPr>
                  <w:tcW w:w="882" w:type="pct"/>
                  <w:tcBorders>
                    <w:tl2br w:val="nil"/>
                    <w:tr2bl w:val="nil"/>
                  </w:tcBorders>
                  <w:noWrap w:val="0"/>
                  <w:vAlign w:val="center"/>
                </w:tcPr>
                <w:p w14:paraId="5DECA5A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本项目</w:t>
                  </w:r>
                  <w:r>
                    <w:rPr>
                      <w:rFonts w:hint="eastAsia" w:ascii="Times New Roman" w:hAnsi="Times New Roman" w:eastAsia="宋体" w:cs="Times New Roman"/>
                      <w:b w:val="0"/>
                      <w:bCs/>
                      <w:color w:val="auto"/>
                      <w:kern w:val="2"/>
                      <w:sz w:val="21"/>
                      <w:szCs w:val="21"/>
                      <w:highlight w:val="none"/>
                      <w:lang w:val="en-US" w:eastAsia="zh-CN" w:bidi="ar-SA"/>
                    </w:rPr>
                    <w:t>位于</w:t>
                  </w:r>
                  <w:r>
                    <w:rPr>
                      <w:rFonts w:hint="eastAsia" w:cs="Times New Roman"/>
                      <w:b w:val="0"/>
                      <w:bCs/>
                      <w:color w:val="auto"/>
                      <w:kern w:val="2"/>
                      <w:sz w:val="21"/>
                      <w:szCs w:val="21"/>
                      <w:highlight w:val="none"/>
                      <w:lang w:val="en-US" w:eastAsia="zh-CN" w:bidi="ar-SA"/>
                    </w:rPr>
                    <w:t>安徽省蚌埠市五河县开发区彩虹大道与兴潼路交口西80米</w:t>
                  </w:r>
                  <w:r>
                    <w:rPr>
                      <w:rFonts w:hint="eastAsia" w:ascii="Times New Roman" w:hAnsi="Times New Roman" w:eastAsia="宋体" w:cs="Times New Roman"/>
                      <w:b w:val="0"/>
                      <w:bCs/>
                      <w:color w:val="auto"/>
                      <w:kern w:val="2"/>
                      <w:sz w:val="21"/>
                      <w:szCs w:val="21"/>
                      <w:highlight w:val="none"/>
                      <w:lang w:val="en-US" w:eastAsia="zh-CN" w:bidi="ar-SA"/>
                    </w:rPr>
                    <w:t>，</w:t>
                  </w:r>
                  <w:r>
                    <w:rPr>
                      <w:rFonts w:hint="eastAsia" w:cs="Times New Roman"/>
                      <w:b w:val="0"/>
                      <w:bCs/>
                      <w:color w:val="auto"/>
                      <w:kern w:val="2"/>
                      <w:sz w:val="21"/>
                      <w:szCs w:val="21"/>
                      <w:highlight w:val="none"/>
                      <w:lang w:val="en-US" w:eastAsia="zh-CN" w:bidi="ar-SA"/>
                    </w:rPr>
                    <w:t>新建厂房进行生产，</w:t>
                  </w:r>
                  <w:r>
                    <w:rPr>
                      <w:rFonts w:hint="eastAsia" w:ascii="Times New Roman" w:hAnsi="Times New Roman" w:eastAsia="宋体" w:cs="Times New Roman"/>
                      <w:b w:val="0"/>
                      <w:bCs/>
                      <w:color w:val="auto"/>
                      <w:kern w:val="2"/>
                      <w:sz w:val="21"/>
                      <w:szCs w:val="21"/>
                      <w:highlight w:val="none"/>
                      <w:lang w:val="en-US" w:eastAsia="zh-CN" w:bidi="ar-SA"/>
                    </w:rPr>
                    <w:t>项目用地为工业用地</w:t>
                  </w:r>
                  <w:r>
                    <w:rPr>
                      <w:rFonts w:hint="eastAsia"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不占用耕地</w:t>
                  </w:r>
                  <w:r>
                    <w:rPr>
                      <w:rFonts w:hint="eastAsia"/>
                      <w:color w:val="auto"/>
                      <w:sz w:val="21"/>
                      <w:szCs w:val="21"/>
                      <w:highlight w:val="none"/>
                      <w:shd w:val="clear"/>
                      <w:lang w:val="en-US" w:eastAsia="zh-CN"/>
                    </w:rPr>
                    <w:t>。</w:t>
                  </w:r>
                </w:p>
              </w:tc>
              <w:tc>
                <w:tcPr>
                  <w:tcW w:w="457" w:type="pct"/>
                  <w:tcBorders>
                    <w:tl2br w:val="nil"/>
                    <w:tr2bl w:val="nil"/>
                  </w:tcBorders>
                  <w:noWrap w:val="0"/>
                  <w:vAlign w:val="center"/>
                </w:tcPr>
                <w:p w14:paraId="12E06FBC">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符合</w:t>
                  </w:r>
                </w:p>
              </w:tc>
            </w:tr>
            <w:tr w14:paraId="1CD8C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9" w:type="pct"/>
                  <w:tcBorders>
                    <w:tl2br w:val="nil"/>
                    <w:tr2bl w:val="nil"/>
                  </w:tcBorders>
                  <w:noWrap w:val="0"/>
                  <w:vAlign w:val="center"/>
                </w:tcPr>
                <w:p w14:paraId="6122242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生态环境准入清单</w:t>
                  </w:r>
                  <w:r>
                    <w:rPr>
                      <w:rFonts w:hint="eastAsia" w:ascii="Times New Roman" w:hAnsi="Times New Roman" w:eastAsia="宋体" w:cs="Times New Roman"/>
                      <w:b w:val="0"/>
                      <w:bCs/>
                      <w:color w:val="auto"/>
                      <w:kern w:val="2"/>
                      <w:sz w:val="21"/>
                      <w:szCs w:val="21"/>
                      <w:highlight w:val="none"/>
                      <w:lang w:val="en-US" w:eastAsia="zh-CN" w:bidi="ar-SA"/>
                    </w:rPr>
                    <w:t>分区</w:t>
                  </w:r>
                  <w:r>
                    <w:rPr>
                      <w:rFonts w:hint="default" w:ascii="Times New Roman" w:hAnsi="Times New Roman" w:eastAsia="宋体" w:cs="Times New Roman"/>
                      <w:b w:val="0"/>
                      <w:bCs/>
                      <w:color w:val="auto"/>
                      <w:kern w:val="2"/>
                      <w:sz w:val="21"/>
                      <w:szCs w:val="21"/>
                      <w:highlight w:val="none"/>
                      <w:lang w:val="en-US" w:eastAsia="zh-CN" w:bidi="ar-SA"/>
                    </w:rPr>
                    <w:t>管控要求</w:t>
                  </w:r>
                </w:p>
              </w:tc>
              <w:tc>
                <w:tcPr>
                  <w:tcW w:w="3300" w:type="pct"/>
                  <w:tcBorders>
                    <w:tl2br w:val="nil"/>
                    <w:tr2bl w:val="nil"/>
                  </w:tcBorders>
                  <w:noWrap w:val="0"/>
                  <w:vAlign w:val="center"/>
                </w:tcPr>
                <w:p w14:paraId="36285B5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优先保护单元</w:t>
                  </w:r>
                  <w:r>
                    <w:rPr>
                      <w:rFonts w:hint="eastAsia"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加强空间布局约束，允许的开发建设活动、禁止或限制的开发建设活动、不符合空间布局要求活动的退出方案等依据相关的法律法规和规章要求执行。</w:t>
                  </w:r>
                </w:p>
                <w:p w14:paraId="6148A18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重点管控单元</w:t>
                  </w:r>
                  <w:r>
                    <w:rPr>
                      <w:rFonts w:hint="eastAsia"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从加强污染物排放管控、环境风险防控和资源开发利用效率等方面，重点提出建设项目禁入清单、污染物排放管控、土壤风险防控、资源能源利用控制要求等。</w:t>
                  </w:r>
                </w:p>
                <w:p w14:paraId="49A292B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一般管控单元</w:t>
                  </w:r>
                  <w:r>
                    <w:rPr>
                      <w:rFonts w:hint="eastAsia"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按照现有环境管理要求，坚持生态优先的前提下进行管控。</w:t>
                  </w:r>
                </w:p>
              </w:tc>
              <w:tc>
                <w:tcPr>
                  <w:tcW w:w="882" w:type="pct"/>
                  <w:tcBorders>
                    <w:tl2br w:val="nil"/>
                    <w:tr2bl w:val="nil"/>
                  </w:tcBorders>
                  <w:noWrap w:val="0"/>
                  <w:vAlign w:val="center"/>
                </w:tcPr>
                <w:p w14:paraId="2B4BE51A">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对照</w:t>
                  </w:r>
                  <w:r>
                    <w:rPr>
                      <w:rFonts w:hint="eastAsia" w:ascii="Times New Roman" w:hAnsi="Times New Roman" w:eastAsia="宋体" w:cs="Times New Roman"/>
                      <w:b w:val="0"/>
                      <w:bCs/>
                      <w:color w:val="auto"/>
                      <w:kern w:val="2"/>
                      <w:sz w:val="21"/>
                      <w:szCs w:val="21"/>
                      <w:highlight w:val="none"/>
                      <w:lang w:val="en-US" w:eastAsia="zh-CN" w:bidi="ar-SA"/>
                    </w:rPr>
                    <w:t>蚌埠市</w:t>
                  </w:r>
                  <w:r>
                    <w:rPr>
                      <w:rFonts w:hint="default" w:ascii="Times New Roman" w:hAnsi="Times New Roman" w:eastAsia="宋体" w:cs="Times New Roman"/>
                      <w:b w:val="0"/>
                      <w:bCs/>
                      <w:color w:val="auto"/>
                      <w:kern w:val="2"/>
                      <w:sz w:val="21"/>
                      <w:szCs w:val="21"/>
                      <w:highlight w:val="none"/>
                      <w:lang w:val="en-US" w:eastAsia="zh-CN" w:bidi="ar-SA"/>
                    </w:rPr>
                    <w:t>生态保护红线图，项目不在</w:t>
                  </w:r>
                  <w:r>
                    <w:rPr>
                      <w:rFonts w:hint="eastAsia" w:ascii="Times New Roman" w:hAnsi="Times New Roman" w:eastAsia="宋体" w:cs="Times New Roman"/>
                      <w:b w:val="0"/>
                      <w:bCs/>
                      <w:color w:val="auto"/>
                      <w:kern w:val="2"/>
                      <w:sz w:val="21"/>
                      <w:szCs w:val="21"/>
                      <w:highlight w:val="none"/>
                      <w:lang w:val="en-US" w:eastAsia="zh-CN" w:bidi="ar-SA"/>
                    </w:rPr>
                    <w:t>蚌埠市</w:t>
                  </w:r>
                  <w:r>
                    <w:rPr>
                      <w:rFonts w:hint="default" w:ascii="Times New Roman" w:hAnsi="Times New Roman" w:eastAsia="宋体" w:cs="Times New Roman"/>
                      <w:b w:val="0"/>
                      <w:bCs/>
                      <w:color w:val="auto"/>
                      <w:kern w:val="2"/>
                      <w:sz w:val="21"/>
                      <w:szCs w:val="21"/>
                      <w:highlight w:val="none"/>
                      <w:lang w:val="en-US" w:eastAsia="zh-CN" w:bidi="ar-SA"/>
                    </w:rPr>
                    <w:t>生态保护红线范围内</w:t>
                  </w:r>
                  <w:r>
                    <w:rPr>
                      <w:rFonts w:hint="eastAsia"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对照蚌埠市生态空间图，项目不在生态空间管控区内</w:t>
                  </w:r>
                  <w:r>
                    <w:rPr>
                      <w:rFonts w:hint="eastAsia" w:ascii="Times New Roman" w:hAnsi="Times New Roman" w:cs="Times New Roman"/>
                      <w:b w:val="0"/>
                      <w:bCs/>
                      <w:color w:val="auto"/>
                      <w:kern w:val="2"/>
                      <w:sz w:val="21"/>
                      <w:szCs w:val="21"/>
                      <w:highlight w:val="none"/>
                      <w:lang w:val="en-US" w:eastAsia="zh-CN" w:bidi="ar-SA"/>
                    </w:rPr>
                    <w:t>。</w:t>
                  </w:r>
                </w:p>
              </w:tc>
              <w:tc>
                <w:tcPr>
                  <w:tcW w:w="457" w:type="pct"/>
                  <w:tcBorders>
                    <w:tl2br w:val="nil"/>
                    <w:tr2bl w:val="nil"/>
                  </w:tcBorders>
                  <w:noWrap w:val="0"/>
                  <w:vAlign w:val="center"/>
                </w:tcPr>
                <w:p w14:paraId="46E081BB">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符合</w:t>
                  </w:r>
                </w:p>
              </w:tc>
            </w:tr>
          </w:tbl>
          <w:p w14:paraId="14CC9C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综上，项目建设</w:t>
            </w:r>
            <w:r>
              <w:rPr>
                <w:rFonts w:hint="default" w:ascii="Times New Roman" w:hAnsi="Times New Roman" w:eastAsia="宋体" w:cs="Times New Roman"/>
                <w:color w:val="auto"/>
                <w:kern w:val="0"/>
                <w:sz w:val="24"/>
                <w:szCs w:val="24"/>
                <w:highlight w:val="none"/>
                <w:lang w:val="en-US" w:eastAsia="zh-CN" w:bidi="ar"/>
              </w:rPr>
              <w:t>符合蚌埠市</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三线一单</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相关要求。</w:t>
            </w:r>
          </w:p>
          <w:p w14:paraId="6D1DC0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highlight w:val="none"/>
              </w:rPr>
            </w:pPr>
            <w:r>
              <w:rPr>
                <w:rFonts w:hint="default"/>
                <w:color w:val="auto"/>
                <w:highlight w:val="none"/>
                <w:lang w:val="en-US" w:eastAsia="zh-CN"/>
              </w:rPr>
              <w:t>经与</w:t>
            </w:r>
            <w:r>
              <w:rPr>
                <w:rFonts w:hint="eastAsia" w:ascii="Times New Roman" w:hAnsi="Times New Roman" w:eastAsia="宋体" w:cs="Times New Roman"/>
                <w:color w:val="auto"/>
                <w:szCs w:val="22"/>
                <w:highlight w:val="none"/>
                <w:lang w:val="en-US" w:eastAsia="zh-CN"/>
              </w:rPr>
              <w:t>安徽省</w:t>
            </w:r>
            <w:r>
              <w:rPr>
                <w:rFonts w:hint="eastAsia"/>
                <w:color w:val="auto"/>
                <w:highlight w:val="none"/>
                <w:lang w:val="en-US" w:eastAsia="zh-CN"/>
              </w:rPr>
              <w:t>“</w:t>
            </w:r>
            <w:r>
              <w:rPr>
                <w:rFonts w:hint="default"/>
                <w:color w:val="auto"/>
                <w:highlight w:val="none"/>
                <w:lang w:val="en-US" w:eastAsia="zh-CN"/>
              </w:rPr>
              <w:t>三线一单</w:t>
            </w:r>
            <w:r>
              <w:rPr>
                <w:rFonts w:hint="eastAsia"/>
                <w:color w:val="auto"/>
                <w:highlight w:val="none"/>
                <w:lang w:val="en-US" w:eastAsia="zh-CN"/>
              </w:rPr>
              <w:t>”</w:t>
            </w:r>
            <w:r>
              <w:rPr>
                <w:rFonts w:hint="default"/>
                <w:color w:val="auto"/>
                <w:highlight w:val="none"/>
                <w:lang w:val="en-US" w:eastAsia="zh-CN"/>
              </w:rPr>
              <w:t>成果数据</w:t>
            </w:r>
            <w:r>
              <w:rPr>
                <w:rFonts w:hint="eastAsia"/>
                <w:color w:val="auto"/>
                <w:highlight w:val="none"/>
                <w:lang w:val="en-US" w:eastAsia="zh-CN"/>
              </w:rPr>
              <w:t>分析</w:t>
            </w:r>
            <w:r>
              <w:rPr>
                <w:rFonts w:hint="default"/>
                <w:color w:val="auto"/>
                <w:highlight w:val="none"/>
                <w:lang w:val="en-US" w:eastAsia="zh-CN"/>
              </w:rPr>
              <w:t>，与1个环境管控单元存在交叠，其中优先保护类0个</w:t>
            </w:r>
            <w:r>
              <w:rPr>
                <w:rFonts w:hint="eastAsia" w:ascii="Times New Roman" w:hAnsi="Times New Roman" w:eastAsia="宋体" w:cs="宋体"/>
                <w:color w:val="auto"/>
                <w:kern w:val="0"/>
                <w:sz w:val="24"/>
                <w:szCs w:val="24"/>
                <w:highlight w:val="none"/>
                <w:lang w:val="en-US" w:eastAsia="zh-CN" w:bidi="ar"/>
              </w:rPr>
              <w:t>，重点管控类1个，一般管控类0个。环境管控单元名称：重点管控单元</w:t>
            </w:r>
            <w:r>
              <w:rPr>
                <w:rFonts w:hint="eastAsia" w:cs="宋体"/>
                <w:color w:val="auto"/>
                <w:kern w:val="0"/>
                <w:sz w:val="24"/>
                <w:szCs w:val="24"/>
                <w:highlight w:val="none"/>
                <w:lang w:val="en-US" w:eastAsia="zh-CN" w:bidi="ar"/>
              </w:rPr>
              <w:t>29</w:t>
            </w:r>
            <w:r>
              <w:rPr>
                <w:rFonts w:hint="eastAsia" w:ascii="Times New Roman" w:hAnsi="Times New Roman" w:eastAsia="宋体" w:cs="宋体"/>
                <w:color w:val="auto"/>
                <w:kern w:val="0"/>
                <w:sz w:val="24"/>
                <w:szCs w:val="24"/>
                <w:highlight w:val="none"/>
                <w:lang w:val="en-US" w:eastAsia="zh-CN" w:bidi="ar"/>
              </w:rPr>
              <w:t>（编码：ZH340311200</w:t>
            </w:r>
            <w:r>
              <w:rPr>
                <w:rFonts w:hint="eastAsia" w:cs="宋体"/>
                <w:color w:val="auto"/>
                <w:kern w:val="0"/>
                <w:sz w:val="24"/>
                <w:szCs w:val="24"/>
                <w:highlight w:val="none"/>
                <w:lang w:val="en-US" w:eastAsia="zh-CN" w:bidi="ar"/>
              </w:rPr>
              <w:t>29</w:t>
            </w:r>
            <w:r>
              <w:rPr>
                <w:rFonts w:hint="eastAsia" w:ascii="Times New Roman" w:hAnsi="Times New Roman" w:eastAsia="宋体" w:cs="宋体"/>
                <w:color w:val="auto"/>
                <w:kern w:val="0"/>
                <w:sz w:val="24"/>
                <w:szCs w:val="24"/>
                <w:highlight w:val="none"/>
                <w:lang w:val="en-US" w:eastAsia="zh-CN" w:bidi="ar"/>
              </w:rPr>
              <w:t>）</w:t>
            </w:r>
            <w:r>
              <w:rPr>
                <w:rFonts w:hint="default" w:ascii="Times New Roman" w:hAnsi="Times New Roman" w:eastAsia="宋体" w:cs="宋体"/>
                <w:color w:val="auto"/>
                <w:kern w:val="0"/>
                <w:sz w:val="24"/>
                <w:szCs w:val="24"/>
                <w:highlight w:val="none"/>
                <w:lang w:val="en-US" w:eastAsia="zh-CN" w:bidi="ar"/>
              </w:rPr>
              <w:t>。</w:t>
            </w:r>
            <w:r>
              <w:rPr>
                <w:rFonts w:hint="eastAsia" w:ascii="Times New Roman" w:hAnsi="Times New Roman" w:eastAsia="宋体" w:cs="宋体"/>
                <w:color w:val="auto"/>
                <w:kern w:val="0"/>
                <w:sz w:val="24"/>
                <w:szCs w:val="24"/>
                <w:highlight w:val="none"/>
                <w:lang w:val="en-US" w:eastAsia="zh-CN" w:bidi="ar"/>
              </w:rPr>
              <w:t>本项</w:t>
            </w:r>
            <w:r>
              <w:rPr>
                <w:rFonts w:hint="default"/>
                <w:color w:val="auto"/>
                <w:highlight w:val="none"/>
              </w:rPr>
              <w:t>目与重点管控单元分区符合性分析</w:t>
            </w:r>
            <w:r>
              <w:rPr>
                <w:rFonts w:hint="eastAsia"/>
                <w:color w:val="auto"/>
                <w:highlight w:val="none"/>
                <w:lang w:eastAsia="zh-CN"/>
              </w:rPr>
              <w:t>见</w:t>
            </w:r>
            <w:r>
              <w:rPr>
                <w:rFonts w:hint="eastAsia"/>
                <w:color w:val="auto"/>
                <w:highlight w:val="none"/>
                <w:lang w:val="en-US" w:eastAsia="zh-CN"/>
              </w:rPr>
              <w:t>下表</w:t>
            </w:r>
            <w:r>
              <w:rPr>
                <w:rFonts w:hint="default"/>
                <w:color w:val="auto"/>
                <w:highlight w:val="none"/>
              </w:rPr>
              <w:t>。</w:t>
            </w:r>
          </w:p>
          <w:p w14:paraId="2FEF1CF5">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zh-CN" w:eastAsia="zh-CN"/>
              </w:rPr>
            </w:pPr>
            <w:r>
              <w:rPr>
                <w:rFonts w:hint="default"/>
                <w:color w:val="auto"/>
                <w:highlight w:val="none"/>
                <w:lang w:val="zh-CN" w:eastAsia="zh-CN"/>
              </w:rPr>
              <w:t>表</w:t>
            </w:r>
            <w:r>
              <w:rPr>
                <w:rFonts w:hint="eastAsia"/>
                <w:color w:val="auto"/>
                <w:highlight w:val="none"/>
                <w:lang w:val="en-US" w:eastAsia="zh-CN"/>
              </w:rPr>
              <w:t>1-6</w:t>
            </w:r>
            <w:r>
              <w:rPr>
                <w:rFonts w:hint="default"/>
                <w:color w:val="auto"/>
                <w:highlight w:val="none"/>
                <w:lang w:val="zh-CN" w:eastAsia="zh-CN"/>
              </w:rPr>
              <w:t>本项目与重点管控单元分区符合性分析</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4828"/>
              <w:gridCol w:w="2689"/>
              <w:gridCol w:w="741"/>
            </w:tblGrid>
            <w:tr w14:paraId="63D97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 w:type="pct"/>
                  <w:shd w:val="clear" w:color="auto" w:fill="auto"/>
                  <w:vAlign w:val="center"/>
                </w:tcPr>
                <w:p w14:paraId="6B537F21">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管控要求</w:t>
                  </w:r>
                </w:p>
              </w:tc>
              <w:tc>
                <w:tcPr>
                  <w:tcW w:w="2671" w:type="pct"/>
                  <w:shd w:val="clear" w:color="auto" w:fill="auto"/>
                  <w:vAlign w:val="center"/>
                </w:tcPr>
                <w:p w14:paraId="695972E6">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重点管控要求（摘录）</w:t>
                  </w:r>
                </w:p>
              </w:tc>
              <w:tc>
                <w:tcPr>
                  <w:tcW w:w="1488" w:type="pct"/>
                  <w:shd w:val="clear" w:color="auto" w:fill="auto"/>
                  <w:vAlign w:val="center"/>
                </w:tcPr>
                <w:p w14:paraId="10A9E944">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符合性分析</w:t>
                  </w:r>
                </w:p>
              </w:tc>
              <w:tc>
                <w:tcPr>
                  <w:tcW w:w="410" w:type="pct"/>
                  <w:shd w:val="clear" w:color="auto" w:fill="auto"/>
                  <w:vAlign w:val="center"/>
                </w:tcPr>
                <w:p w14:paraId="6FE3AF8F">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分析结果</w:t>
                  </w:r>
                </w:p>
              </w:tc>
            </w:tr>
            <w:tr w14:paraId="73A6D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29" w:type="pct"/>
                  <w:shd w:val="clear" w:color="auto" w:fill="auto"/>
                  <w:vAlign w:val="center"/>
                </w:tcPr>
                <w:p w14:paraId="3E5E8568">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空间布局约束</w:t>
                  </w:r>
                </w:p>
              </w:tc>
              <w:tc>
                <w:tcPr>
                  <w:tcW w:w="2671" w:type="pct"/>
                  <w:shd w:val="clear" w:color="auto" w:fill="auto"/>
                  <w:vAlign w:val="center"/>
                </w:tcPr>
                <w:p w14:paraId="0314A7DA">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1在城市城区及其近郊禁止新建、扩建钢铁、有色、石化、水泥、化工等重污染企业</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2禁止新建燃料类煤气发生炉（园区现有企业统一建设的清洁煤制气中心除外）；3严禁新增钢铁、焦化、电解铝、铸造、水泥和平板玻璃等产能；严格执行钢铁、水泥、平板玻璃等行业产能置换实施办法；9严格控制新增</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两高</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项目审批，认真分析评估拟建项目必要性、可行性和对产业高质量发展、能耗双控、碳排放和环境质量的影响，严格审查项目是否符合产业政策、产业规划、</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三线一单</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、规划环评要求，是否依法依规落实产能置换、能耗置换、煤炭消费减量替代、污染物排放区域削减等要求。对已建成投产的存量</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两高</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项目，有节能减排潜力的加快改造升级，属于落后产能的加快淘汰；10禁止建设生产和使用高挥发性有机物含量涂料、油墨、胶粘剂、清洗剂等项目；</w:t>
                  </w:r>
                  <w:r>
                    <w:rPr>
                      <w:rFonts w:hint="eastAsia" w:ascii="Times New Roman" w:hAnsi="Times New Roman" w:eastAsia="宋体" w:cs="Times New Roman"/>
                      <w:b w:val="0"/>
                      <w:bCs w:val="0"/>
                      <w:color w:val="auto"/>
                      <w:kern w:val="0"/>
                      <w:sz w:val="21"/>
                      <w:szCs w:val="20"/>
                      <w:highlight w:val="none"/>
                      <w:lang w:val="en-US" w:eastAsia="zh-CN" w:bidi="ar-SA"/>
                    </w:rPr>
                    <w:t>29</w:t>
                  </w:r>
                  <w:r>
                    <w:rPr>
                      <w:rFonts w:hint="default" w:ascii="Times New Roman" w:hAnsi="Times New Roman" w:eastAsia="宋体" w:cs="Times New Roman"/>
                      <w:b w:val="0"/>
                      <w:bCs w:val="0"/>
                      <w:color w:val="auto"/>
                      <w:kern w:val="0"/>
                      <w:sz w:val="21"/>
                      <w:szCs w:val="20"/>
                      <w:highlight w:val="none"/>
                      <w:lang w:val="en-US" w:eastAsia="zh-CN" w:bidi="ar-SA"/>
                    </w:rPr>
                    <w:t>加大工业涂装、包装印刷等行业低挥发性有机物含量原辅材料替代力度，严格执行涂料、油墨、胶粘剂、清洗剂挥发性有机物含量限值标准，确保生产、销售、进口、使用符合标准的产品。</w:t>
                  </w:r>
                </w:p>
              </w:tc>
              <w:tc>
                <w:tcPr>
                  <w:tcW w:w="1488" w:type="pct"/>
                  <w:shd w:val="clear" w:color="auto" w:fill="auto"/>
                  <w:vAlign w:val="center"/>
                </w:tcPr>
                <w:p w14:paraId="0CA65B6C">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en-US"/>
                    </w:rPr>
                    <w:t>本项目位于</w:t>
                  </w:r>
                  <w:r>
                    <w:rPr>
                      <w:rFonts w:hint="eastAsia" w:cs="Times New Roman"/>
                      <w:b w:val="0"/>
                      <w:bCs/>
                      <w:color w:val="auto"/>
                      <w:kern w:val="2"/>
                      <w:sz w:val="21"/>
                      <w:szCs w:val="21"/>
                      <w:highlight w:val="none"/>
                      <w:lang w:val="en-US" w:eastAsia="zh-CN" w:bidi="ar-SA"/>
                    </w:rPr>
                    <w:t>蚌埠市五河县开发区彩虹大道与兴潼路交口西80米</w:t>
                  </w:r>
                  <w:r>
                    <w:rPr>
                      <w:rFonts w:hint="default" w:ascii="Times New Roman" w:hAnsi="Times New Roman" w:eastAsia="宋体" w:cs="Times New Roman"/>
                      <w:b w:val="0"/>
                      <w:bCs w:val="0"/>
                      <w:color w:val="auto"/>
                      <w:sz w:val="21"/>
                      <w:szCs w:val="21"/>
                      <w:highlight w:val="none"/>
                      <w:lang w:val="en-US" w:eastAsia="en-US"/>
                    </w:rPr>
                    <w:t>，项目选址范围内土地为工业用地，本项目不属于两高项目，不属于上述禁止新增的重污染、高耗能项目；不涉及基本农田；不属于土壤污染风险管控和修改地块。</w:t>
                  </w:r>
                </w:p>
              </w:tc>
              <w:tc>
                <w:tcPr>
                  <w:tcW w:w="410" w:type="pct"/>
                  <w:shd w:val="clear" w:color="auto" w:fill="auto"/>
                  <w:vAlign w:val="center"/>
                </w:tcPr>
                <w:p w14:paraId="05933E49">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14:paraId="1B347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29" w:type="pct"/>
                  <w:shd w:val="clear" w:color="auto" w:fill="auto"/>
                  <w:vAlign w:val="center"/>
                </w:tcPr>
                <w:p w14:paraId="1DE85C19">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污染物排放管控</w:t>
                  </w:r>
                </w:p>
              </w:tc>
              <w:tc>
                <w:tcPr>
                  <w:tcW w:w="2671" w:type="pct"/>
                  <w:shd w:val="clear" w:color="auto" w:fill="auto"/>
                  <w:vAlign w:val="center"/>
                </w:tcPr>
                <w:p w14:paraId="5EC56AAE">
                  <w:pPr>
                    <w:keepNext w:val="0"/>
                    <w:keepLines w:val="0"/>
                    <w:widowControl w:val="0"/>
                    <w:suppressLineNumbers w:val="0"/>
                    <w:adjustRightInd w:val="0"/>
                    <w:snapToGrid w:val="0"/>
                    <w:spacing w:before="0" w:beforeAutospacing="0" w:after="0" w:afterAutospacing="0" w:line="240" w:lineRule="auto"/>
                    <w:ind w:left="0" w:right="0" w:firstLine="0" w:firstLineChars="0"/>
                    <w:jc w:val="left"/>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49</w:t>
                  </w:r>
                  <w:r>
                    <w:rPr>
                      <w:rFonts w:hint="default" w:ascii="Times New Roman" w:hAnsi="Times New Roman" w:eastAsia="宋体" w:cs="Times New Roman"/>
                      <w:color w:val="auto"/>
                      <w:kern w:val="0"/>
                      <w:sz w:val="21"/>
                      <w:szCs w:val="20"/>
                      <w:highlight w:val="none"/>
                      <w:lang w:val="en-US" w:eastAsia="zh-CN" w:bidi="ar-SA"/>
                    </w:rPr>
                    <w:t>新建、改建、扩建排放重点大气污染物的项目不符合总量控制要求的，不得通过环境影响评价</w:t>
                  </w:r>
                  <w:r>
                    <w:rPr>
                      <w:rFonts w:hint="eastAsia" w:ascii="Times New Roman" w:hAnsi="Times New Roman" w:eastAsia="宋体" w:cs="Times New Roman"/>
                      <w:color w:val="auto"/>
                      <w:kern w:val="0"/>
                      <w:sz w:val="21"/>
                      <w:szCs w:val="20"/>
                      <w:highlight w:val="none"/>
                      <w:lang w:val="en-US" w:eastAsia="zh-CN" w:bidi="ar-SA"/>
                    </w:rPr>
                    <w:t>；</w:t>
                  </w:r>
                </w:p>
                <w:p w14:paraId="2AF3209B">
                  <w:pPr>
                    <w:keepNext w:val="0"/>
                    <w:keepLines w:val="0"/>
                    <w:widowControl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kern w:val="0"/>
                      <w:sz w:val="21"/>
                      <w:szCs w:val="20"/>
                      <w:highlight w:val="none"/>
                      <w:lang w:val="en-US" w:eastAsia="zh-CN" w:bidi="ar-SA"/>
                    </w:rPr>
                    <w:t>54全面推动挥发性有机物纳入排污许可管理。禁止建设生产和使用高挥发性有机物含量涂料、油墨、胶粘剂、清洗剂等项目。加快推进石化、化工、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w:t>
                  </w:r>
                  <w:r>
                    <w:rPr>
                      <w:rFonts w:hint="eastAsia" w:cs="Times New Roman"/>
                      <w:color w:val="auto"/>
                      <w:kern w:val="0"/>
                      <w:sz w:val="21"/>
                      <w:szCs w:val="20"/>
                      <w:highlight w:val="none"/>
                      <w:lang w:val="en-US" w:eastAsia="zh-CN" w:bidi="ar-SA"/>
                    </w:rPr>
                    <w:t>；</w:t>
                  </w:r>
                  <w:r>
                    <w:rPr>
                      <w:rFonts w:hint="eastAsia" w:ascii="Times New Roman" w:hAnsi="Times New Roman" w:eastAsia="宋体" w:cs="Times New Roman"/>
                      <w:color w:val="auto"/>
                      <w:kern w:val="0"/>
                      <w:sz w:val="21"/>
                      <w:szCs w:val="20"/>
                      <w:highlight w:val="none"/>
                      <w:lang w:val="en-US" w:eastAsia="zh-CN" w:bidi="ar-SA"/>
                    </w:rPr>
                    <w:t>57</w:t>
                  </w:r>
                  <w:r>
                    <w:rPr>
                      <w:rFonts w:hint="default" w:ascii="Times New Roman" w:hAnsi="Times New Roman" w:eastAsia="宋体" w:cs="Times New Roman"/>
                      <w:color w:val="auto"/>
                      <w:kern w:val="0"/>
                      <w:sz w:val="21"/>
                      <w:szCs w:val="20"/>
                      <w:highlight w:val="none"/>
                      <w:lang w:val="en-US" w:eastAsia="zh-CN" w:bidi="ar-SA"/>
                    </w:rPr>
                    <w:t>污染物排放标准中有特别排放限值的标准的行业，二氧化硫、氮氧化物、颗粒物、挥发性有机物（VOCs）全面执行大气污染物特别排放限值</w:t>
                  </w:r>
                  <w:r>
                    <w:rPr>
                      <w:rFonts w:hint="eastAsia" w:cs="Times New Roman"/>
                      <w:color w:val="auto"/>
                      <w:kern w:val="0"/>
                      <w:sz w:val="21"/>
                      <w:szCs w:val="20"/>
                      <w:highlight w:val="none"/>
                      <w:lang w:val="en-US" w:eastAsia="zh-CN" w:bidi="ar-SA"/>
                    </w:rPr>
                    <w:t>。</w:t>
                  </w:r>
                </w:p>
              </w:tc>
              <w:tc>
                <w:tcPr>
                  <w:tcW w:w="1488" w:type="pct"/>
                  <w:shd w:val="clear" w:color="auto" w:fill="auto"/>
                  <w:vAlign w:val="center"/>
                </w:tcPr>
                <w:p w14:paraId="2DAD38D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150" w:afterAutospacing="0" w:line="17" w:lineRule="atLeast"/>
                    <w:ind w:left="0" w:right="0" w:firstLine="0"/>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color w:val="auto"/>
                      <w:kern w:val="0"/>
                      <w:sz w:val="21"/>
                      <w:szCs w:val="52"/>
                      <w:highlight w:val="none"/>
                      <w:lang w:val="en-US" w:eastAsia="zh-CN" w:bidi="ar-SA"/>
                    </w:rPr>
                    <w:t>污染物经处理后达标排</w:t>
                  </w:r>
                  <w:r>
                    <w:rPr>
                      <w:rFonts w:hint="eastAsia" w:ascii="Times New Roman" w:hAnsi="Times New Roman" w:eastAsia="宋体" w:cs="Times New Roman"/>
                      <w:b w:val="0"/>
                      <w:bCs w:val="0"/>
                      <w:color w:val="auto"/>
                      <w:spacing w:val="-2"/>
                      <w:sz w:val="21"/>
                      <w:szCs w:val="21"/>
                      <w:highlight w:val="none"/>
                      <w:vertAlign w:val="baseline"/>
                      <w:lang w:val="en-US" w:eastAsia="zh-CN"/>
                    </w:rPr>
                    <w:t>放，能够满足污染物排放管控要求。</w:t>
                  </w:r>
                  <w:r>
                    <w:rPr>
                      <w:rFonts w:hint="eastAsia" w:cs="Times New Roman"/>
                      <w:b w:val="0"/>
                      <w:bCs/>
                      <w:color w:val="auto"/>
                      <w:kern w:val="0"/>
                      <w:sz w:val="21"/>
                      <w:szCs w:val="52"/>
                      <w:highlight w:val="none"/>
                      <w:lang w:val="en-US" w:eastAsia="zh-CN" w:bidi="ar-SA"/>
                    </w:rPr>
                    <w:t>本项目</w:t>
                  </w:r>
                  <w:r>
                    <w:rPr>
                      <w:rFonts w:hint="default" w:ascii="Times New Roman" w:hAnsi="Times New Roman" w:eastAsia="宋体" w:cs="Times New Roman"/>
                      <w:b w:val="0"/>
                      <w:bCs/>
                      <w:color w:val="auto"/>
                      <w:kern w:val="0"/>
                      <w:sz w:val="21"/>
                      <w:szCs w:val="52"/>
                      <w:highlight w:val="none"/>
                      <w:lang w:val="en-US" w:eastAsia="zh-CN" w:bidi="ar-SA"/>
                    </w:rPr>
                    <w:t>严格执行总量控制要求</w:t>
                  </w:r>
                  <w:r>
                    <w:rPr>
                      <w:rFonts w:hint="eastAsia" w:ascii="Times New Roman" w:hAnsi="Times New Roman" w:cs="Times New Roman"/>
                      <w:b w:val="0"/>
                      <w:bCs/>
                      <w:color w:val="auto"/>
                      <w:kern w:val="0"/>
                      <w:sz w:val="21"/>
                      <w:szCs w:val="20"/>
                      <w:highlight w:val="none"/>
                      <w:lang w:val="en-US" w:eastAsia="zh-CN" w:bidi="ar-SA"/>
                    </w:rPr>
                    <w:t>。</w:t>
                  </w:r>
                </w:p>
              </w:tc>
              <w:tc>
                <w:tcPr>
                  <w:tcW w:w="410" w:type="pct"/>
                  <w:shd w:val="clear" w:color="auto" w:fill="auto"/>
                  <w:vAlign w:val="center"/>
                </w:tcPr>
                <w:p w14:paraId="79E9F401">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14:paraId="617C7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429" w:type="pct"/>
                  <w:shd w:val="clear" w:color="auto" w:fill="auto"/>
                  <w:vAlign w:val="center"/>
                </w:tcPr>
                <w:p w14:paraId="2D54DE34">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资源开发效率要求</w:t>
                  </w:r>
                </w:p>
              </w:tc>
              <w:tc>
                <w:tcPr>
                  <w:tcW w:w="2671" w:type="pct"/>
                  <w:shd w:val="clear" w:color="auto" w:fill="auto"/>
                  <w:vAlign w:val="center"/>
                </w:tcPr>
                <w:p w14:paraId="6189A9E1">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196在禁燃区内的企业事业单位和其他生产经营者，应当在规定的期限内停止使用高污染燃料，改用天然气、液化石油气、电能或者其他清洁能源</w:t>
                  </w:r>
                  <w:r>
                    <w:rPr>
                      <w:rFonts w:hint="eastAsia" w:cs="Times New Roman"/>
                      <w:b w:val="0"/>
                      <w:bCs w:val="0"/>
                      <w:color w:val="auto"/>
                      <w:sz w:val="21"/>
                      <w:szCs w:val="21"/>
                      <w:highlight w:val="none"/>
                      <w:lang w:val="en-US" w:eastAsia="zh-CN"/>
                    </w:rPr>
                    <w:t>；63在禁燃区内，禁止销售、燃用高污染燃料；禁止新建、扩建燃用高污染燃料的设施，已建成的，应当在各区政府（含市高新区管委会、市经开区管委会）规定的期限内改用天然气、页岩气、液化石油气、电或者其他清洁能源。</w:t>
                  </w:r>
                </w:p>
              </w:tc>
              <w:tc>
                <w:tcPr>
                  <w:tcW w:w="1488" w:type="pct"/>
                  <w:shd w:val="clear" w:color="auto" w:fill="auto"/>
                  <w:vAlign w:val="center"/>
                </w:tcPr>
                <w:p w14:paraId="650076A2">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使用电能等清洁能源</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不使用高污染</w:t>
                  </w:r>
                  <w:r>
                    <w:rPr>
                      <w:rFonts w:hint="eastAsia" w:cs="Times New Roman"/>
                      <w:b w:val="0"/>
                      <w:bCs w:val="0"/>
                      <w:color w:val="auto"/>
                      <w:sz w:val="21"/>
                      <w:szCs w:val="21"/>
                      <w:highlight w:val="none"/>
                      <w:lang w:val="en-US" w:eastAsia="zh-CN"/>
                    </w:rPr>
                    <w:t>燃料</w:t>
                  </w:r>
                  <w:r>
                    <w:rPr>
                      <w:rFonts w:hint="default" w:ascii="Times New Roman" w:hAnsi="Times New Roman" w:eastAsia="宋体" w:cs="Times New Roman"/>
                      <w:b w:val="0"/>
                      <w:bCs w:val="0"/>
                      <w:color w:val="auto"/>
                      <w:sz w:val="21"/>
                      <w:szCs w:val="21"/>
                      <w:highlight w:val="none"/>
                      <w:lang w:val="en-US" w:eastAsia="zh-CN"/>
                    </w:rPr>
                    <w:t>。</w:t>
                  </w:r>
                </w:p>
              </w:tc>
              <w:tc>
                <w:tcPr>
                  <w:tcW w:w="410" w:type="pct"/>
                  <w:shd w:val="clear" w:color="auto" w:fill="auto"/>
                  <w:vAlign w:val="center"/>
                </w:tcPr>
                <w:p w14:paraId="008BFC1F">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14:paraId="6ECCF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2" w:hRule="atLeast"/>
                <w:jc w:val="center"/>
              </w:trPr>
              <w:tc>
                <w:tcPr>
                  <w:tcW w:w="429" w:type="pct"/>
                  <w:shd w:val="clear" w:color="auto" w:fill="auto"/>
                  <w:vAlign w:val="center"/>
                </w:tcPr>
                <w:p w14:paraId="15BC0FE0">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color w:val="auto"/>
                      <w:kern w:val="0"/>
                      <w:sz w:val="21"/>
                      <w:szCs w:val="20"/>
                      <w:highlight w:val="none"/>
                      <w:lang w:val="en-US" w:eastAsia="zh-CN" w:bidi="ar-SA"/>
                    </w:rPr>
                    <w:t>环境风险防控</w:t>
                  </w:r>
                </w:p>
              </w:tc>
              <w:tc>
                <w:tcPr>
                  <w:tcW w:w="2671" w:type="pct"/>
                  <w:shd w:val="clear" w:color="auto" w:fill="auto"/>
                  <w:vAlign w:val="center"/>
                </w:tcPr>
                <w:p w14:paraId="2BED7DB7">
                  <w:pPr>
                    <w:keepNext w:val="0"/>
                    <w:keepLines w:val="0"/>
                    <w:widowControl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落实《蚌埠市突发环境事件应急预案（修订）》（2021年2月10日）。</w:t>
                  </w:r>
                </w:p>
                <w:p w14:paraId="030D8D79">
                  <w:pPr>
                    <w:keepNext w:val="0"/>
                    <w:keepLines w:val="0"/>
                    <w:widowControl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排污单位发生事故或者其他突发性事件，造成或者可能造成水污染事故的，应当立即启动本单位的应急方案，采取隔离等应急措施，防止水污染物进入水体，并向事故发生地的县级以上人民政府或者生态环境行政主管部门报告。</w:t>
                  </w:r>
                </w:p>
              </w:tc>
              <w:tc>
                <w:tcPr>
                  <w:tcW w:w="1488" w:type="pct"/>
                  <w:shd w:val="clear" w:color="auto" w:fill="auto"/>
                  <w:vAlign w:val="center"/>
                </w:tcPr>
                <w:p w14:paraId="5F5E100F">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52"/>
                      <w:highlight w:val="none"/>
                      <w:lang w:val="en-US" w:eastAsia="zh-CN" w:bidi="ar-SA"/>
                    </w:rPr>
                    <w:t>本项目</w:t>
                  </w:r>
                  <w:r>
                    <w:rPr>
                      <w:rFonts w:hint="default" w:ascii="Times New Roman" w:hAnsi="Times New Roman" w:eastAsia="宋体" w:cs="Times New Roman"/>
                      <w:color w:val="auto"/>
                      <w:kern w:val="0"/>
                      <w:sz w:val="21"/>
                      <w:szCs w:val="52"/>
                      <w:highlight w:val="none"/>
                      <w:lang w:val="en-US" w:eastAsia="zh-CN" w:bidi="ar-SA"/>
                    </w:rPr>
                    <w:t>建成后备用足够的应急物资，</w:t>
                  </w:r>
                  <w:r>
                    <w:rPr>
                      <w:rFonts w:hint="eastAsia" w:cs="Times New Roman"/>
                      <w:color w:val="auto"/>
                      <w:kern w:val="0"/>
                      <w:sz w:val="21"/>
                      <w:szCs w:val="52"/>
                      <w:highlight w:val="none"/>
                      <w:lang w:val="en-US" w:eastAsia="zh-CN" w:bidi="ar-SA"/>
                    </w:rPr>
                    <w:t>本次环评要求</w:t>
                  </w:r>
                  <w:r>
                    <w:rPr>
                      <w:rFonts w:hint="default" w:ascii="Times New Roman" w:hAnsi="Times New Roman" w:eastAsia="宋体" w:cs="Times New Roman"/>
                      <w:color w:val="auto"/>
                      <w:kern w:val="0"/>
                      <w:sz w:val="21"/>
                      <w:szCs w:val="52"/>
                      <w:highlight w:val="none"/>
                      <w:lang w:val="en-US" w:eastAsia="zh-CN" w:bidi="ar-SA"/>
                    </w:rPr>
                    <w:t>建设单位开展企业突发环境事件应急预案的编制及备案，确保风险可控。</w:t>
                  </w:r>
                </w:p>
              </w:tc>
              <w:tc>
                <w:tcPr>
                  <w:tcW w:w="410" w:type="pct"/>
                  <w:shd w:val="clear" w:color="auto" w:fill="auto"/>
                  <w:vAlign w:val="center"/>
                </w:tcPr>
                <w:p w14:paraId="2F44E76F">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bl>
          <w:p w14:paraId="3F180F22">
            <w:pPr>
              <w:pStyle w:val="18"/>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firstLine="0" w:firstLineChars="0"/>
              <w:jc w:val="center"/>
              <w:textAlignment w:val="auto"/>
              <w:rPr>
                <w:rFonts w:hint="eastAsia" w:eastAsia="宋体"/>
                <w:color w:val="auto"/>
                <w:highlight w:val="none"/>
                <w:lang w:eastAsia="zh-CN"/>
              </w:rPr>
            </w:pPr>
            <w:r>
              <w:rPr>
                <w:rFonts w:hint="default"/>
                <w:color w:val="auto"/>
                <w:sz w:val="24"/>
                <w:highlight w:val="none"/>
              </w:rPr>
              <mc:AlternateContent>
                <mc:Choice Requires="wps">
                  <w:drawing>
                    <wp:anchor distT="0" distB="0" distL="114300" distR="114300" simplePos="0" relativeHeight="251680768" behindDoc="0" locked="0" layoutInCell="1" allowOverlap="1">
                      <wp:simplePos x="0" y="0"/>
                      <wp:positionH relativeFrom="column">
                        <wp:posOffset>2777490</wp:posOffset>
                      </wp:positionH>
                      <wp:positionV relativeFrom="paragraph">
                        <wp:posOffset>893445</wp:posOffset>
                      </wp:positionV>
                      <wp:extent cx="1032510" cy="337185"/>
                      <wp:effectExtent l="6350" t="6350" r="8890" b="551815"/>
                      <wp:wrapNone/>
                      <wp:docPr id="46" name="矩形标注 46"/>
                      <wp:cNvGraphicFramePr/>
                      <a:graphic xmlns:a="http://schemas.openxmlformats.org/drawingml/2006/main">
                        <a:graphicData uri="http://schemas.microsoft.com/office/word/2010/wordprocessingShape">
                          <wps:wsp>
                            <wps:cNvSpPr/>
                            <wps:spPr>
                              <a:xfrm>
                                <a:off x="0" y="0"/>
                                <a:ext cx="1032510" cy="337185"/>
                              </a:xfrm>
                              <a:prstGeom prst="wedgeRectCallout">
                                <a:avLst>
                                  <a:gd name="adj1" fmla="val -35239"/>
                                  <a:gd name="adj2" fmla="val 207627"/>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A4974F4">
                                  <w:pPr>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18.7pt;margin-top:70.35pt;height:26.55pt;width:81.3pt;z-index:251680768;v-text-anchor:middle;mso-width-relative:page;mso-height-relative:page;" filled="f" stroked="t" coordsize="21600,21600" o:gfxdata="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Hw8+zYAAAACwEAAA8AAAAAAAAAAQAgAAAAIgAAAGRycy9kb3ducmV2LnhtbFBLAQIU&#10;ABQAAAAIAIdO4kABZIQwngIAACYFAAAOAAAAAAAAAAEAIAAAACcBAABkcnMvZTJvRG9jLnhtbFBL&#10;BQYAAAAABgAGAFkBAAA3BgAAAAA=&#10;" adj="3188,55647">
                      <v:fill on="f" focussize="0,0"/>
                      <v:stroke weight="1pt" color="#FF0000 [2404]" joinstyle="round"/>
                      <v:imagedata o:title=""/>
                      <o:lock v:ext="edit" aspectratio="f"/>
                      <v:textbox>
                        <w:txbxContent>
                          <w:p w14:paraId="4A4974F4">
                            <w:pPr>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项目所在地</w:t>
                            </w:r>
                          </w:p>
                        </w:txbxContent>
                      </v:textbox>
                    </v:shape>
                  </w:pict>
                </mc:Fallback>
              </mc:AlternateContent>
            </w:r>
            <w:r>
              <w:rPr>
                <w:rFonts w:hint="eastAsia" w:ascii="宋体" w:hAnsi="宋体" w:eastAsia="宋体" w:cs="宋体"/>
                <w:b/>
                <w:bCs/>
                <w:color w:val="auto"/>
                <w:sz w:val="24"/>
                <w:szCs w:val="24"/>
                <w:highlight w:val="none"/>
                <w:lang w:eastAsia="zh-CN"/>
              </w:rPr>
              <w:drawing>
                <wp:anchor distT="0" distB="0" distL="114300" distR="114300" simplePos="0" relativeHeight="251663360" behindDoc="0" locked="0" layoutInCell="1" allowOverlap="1">
                  <wp:simplePos x="0" y="0"/>
                  <wp:positionH relativeFrom="column">
                    <wp:posOffset>4251325</wp:posOffset>
                  </wp:positionH>
                  <wp:positionV relativeFrom="paragraph">
                    <wp:posOffset>78105</wp:posOffset>
                  </wp:positionV>
                  <wp:extent cx="522605" cy="522605"/>
                  <wp:effectExtent l="0" t="0" r="10795" b="10795"/>
                  <wp:wrapNone/>
                  <wp:docPr id="29" name="图片 29" descr="指北针小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指北针小图标"/>
                          <pic:cNvPicPr>
                            <a:picLocks noChangeAspect="1"/>
                          </pic:cNvPicPr>
                        </pic:nvPicPr>
                        <pic:blipFill>
                          <a:blip r:embed="rId11"/>
                          <a:stretch>
                            <a:fillRect/>
                          </a:stretch>
                        </pic:blipFill>
                        <pic:spPr>
                          <a:xfrm>
                            <a:off x="0" y="0"/>
                            <a:ext cx="522605" cy="522605"/>
                          </a:xfrm>
                          <a:prstGeom prst="rect">
                            <a:avLst/>
                          </a:prstGeom>
                        </pic:spPr>
                      </pic:pic>
                    </a:graphicData>
                  </a:graphic>
                </wp:anchor>
              </w:drawing>
            </w:r>
            <w:r>
              <w:rPr>
                <w:rFonts w:hint="default"/>
              </w:rPr>
              <w:drawing>
                <wp:inline distT="0" distB="0" distL="114300" distR="114300">
                  <wp:extent cx="5926455" cy="3006090"/>
                  <wp:effectExtent l="0" t="0" r="17145" b="381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12"/>
                          <a:stretch>
                            <a:fillRect/>
                          </a:stretch>
                        </pic:blipFill>
                        <pic:spPr>
                          <a:xfrm>
                            <a:off x="0" y="0"/>
                            <a:ext cx="5926455" cy="3006090"/>
                          </a:xfrm>
                          <a:prstGeom prst="rect">
                            <a:avLst/>
                          </a:prstGeom>
                          <a:noFill/>
                          <a:ln>
                            <a:noFill/>
                          </a:ln>
                        </pic:spPr>
                      </pic:pic>
                    </a:graphicData>
                  </a:graphic>
                </wp:inline>
              </w:drawing>
            </w:r>
          </w:p>
          <w:p w14:paraId="54149965">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color w:val="auto"/>
                <w:highlight w:val="none"/>
                <w:lang w:val="en-US" w:eastAsia="zh-CN"/>
              </w:rPr>
            </w:pPr>
            <w:r>
              <w:rPr>
                <w:rFonts w:hint="default" w:ascii="Times New Roman" w:hAnsi="Times New Roman"/>
                <w:b/>
                <w:color w:val="auto"/>
                <w:sz w:val="24"/>
                <w:highlight w:val="none"/>
              </w:rPr>
              <w:t>图</w:t>
            </w:r>
            <w:r>
              <w:rPr>
                <w:rFonts w:hint="eastAsia" w:ascii="Times New Roman" w:hAnsi="Times New Roman"/>
                <w:b/>
                <w:color w:val="auto"/>
                <w:sz w:val="24"/>
                <w:highlight w:val="none"/>
                <w:lang w:val="en-US" w:eastAsia="zh-CN"/>
              </w:rPr>
              <w:t>1-4</w:t>
            </w:r>
            <w:r>
              <w:rPr>
                <w:rFonts w:hint="default" w:ascii="Times New Roman" w:hAnsi="Times New Roman" w:cs="Times New Roman"/>
                <w:b/>
                <w:color w:val="auto"/>
                <w:sz w:val="24"/>
                <w:highlight w:val="none"/>
                <w:lang w:val="en-US" w:eastAsia="zh-CN"/>
              </w:rPr>
              <w:t>项目管控单元位置图</w:t>
            </w:r>
          </w:p>
          <w:p w14:paraId="3C3C078B">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firstLine="482" w:firstLineChars="200"/>
              <w:jc w:val="left"/>
              <w:textAlignment w:val="auto"/>
              <w:rPr>
                <w:rFonts w:hint="eastAsia"/>
                <w:color w:val="auto"/>
                <w:highlight w:val="none"/>
              </w:rPr>
            </w:pPr>
            <w:r>
              <w:rPr>
                <w:rFonts w:hint="eastAsia"/>
                <w:color w:val="auto"/>
                <w:highlight w:val="none"/>
                <w:lang w:val="en-US" w:eastAsia="zh-CN"/>
              </w:rPr>
              <w:t>6、</w:t>
            </w:r>
            <w:r>
              <w:rPr>
                <w:rFonts w:hint="eastAsia"/>
                <w:color w:val="auto"/>
                <w:highlight w:val="none"/>
              </w:rPr>
              <w:t>与《安徽省淮河流域水污染防治条例》相符性分析</w:t>
            </w:r>
          </w:p>
          <w:p w14:paraId="42A70475">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b w:val="0"/>
                <w:bCs w:val="0"/>
                <w:color w:val="auto"/>
                <w:highlight w:val="none"/>
              </w:rPr>
            </w:pPr>
            <w:r>
              <w:rPr>
                <w:rFonts w:hint="eastAsia"/>
                <w:b w:val="0"/>
                <w:bCs w:val="0"/>
                <w:color w:val="auto"/>
                <w:highlight w:val="none"/>
              </w:rPr>
              <w:t>《安徽省淮河流域水污染防治条例》颁布于1993年，于2018年11月23</w:t>
            </w:r>
            <w:r>
              <w:rPr>
                <w:rFonts w:hint="eastAsia" w:ascii="Times New Roman" w:hAnsi="Times New Roman" w:eastAsia="宋体" w:cs="宋体"/>
                <w:b w:val="0"/>
                <w:bCs w:val="0"/>
                <w:color w:val="auto"/>
                <w:highlight w:val="none"/>
              </w:rPr>
              <w:t>日</w:t>
            </w:r>
            <w:r>
              <w:rPr>
                <w:rFonts w:hint="default" w:ascii="Times New Roman" w:hAnsi="Times New Roman" w:eastAsia="宋体" w:cs="宋体"/>
                <w:b w:val="0"/>
                <w:bCs w:val="0"/>
                <w:color w:val="auto"/>
                <w:highlight w:val="none"/>
                <w:lang w:val="en-US" w:eastAsia="zh-CN"/>
              </w:rPr>
              <w:t>经安徽省第十三届人民代表大会常务委员会第六次会议修订公布</w:t>
            </w:r>
            <w:r>
              <w:rPr>
                <w:rFonts w:hint="eastAsia" w:ascii="Times New Roman" w:hAnsi="Times New Roman" w:eastAsia="宋体" w:cs="宋体"/>
                <w:b w:val="0"/>
                <w:bCs w:val="0"/>
                <w:color w:val="auto"/>
                <w:highlight w:val="none"/>
                <w:lang w:eastAsia="zh-CN"/>
              </w:rPr>
              <w:t>，</w:t>
            </w:r>
            <w:r>
              <w:rPr>
                <w:rFonts w:hint="default" w:ascii="Times New Roman" w:hAnsi="Times New Roman" w:eastAsia="宋体" w:cs="宋体"/>
                <w:b w:val="0"/>
                <w:bCs w:val="0"/>
                <w:color w:val="auto"/>
                <w:highlight w:val="none"/>
                <w:lang w:val="en-US" w:eastAsia="zh-CN"/>
              </w:rPr>
              <w:t>自2019年1月1日起施行</w:t>
            </w:r>
            <w:r>
              <w:rPr>
                <w:rFonts w:hint="eastAsia" w:ascii="Times New Roman" w:hAnsi="Times New Roman" w:eastAsia="宋体" w:cs="宋体"/>
                <w:b w:val="0"/>
                <w:bCs w:val="0"/>
                <w:color w:val="auto"/>
                <w:highlight w:val="none"/>
              </w:rPr>
              <w:t>。条</w:t>
            </w:r>
            <w:r>
              <w:rPr>
                <w:rFonts w:hint="eastAsia"/>
                <w:b w:val="0"/>
                <w:bCs w:val="0"/>
                <w:color w:val="auto"/>
                <w:highlight w:val="none"/>
              </w:rPr>
              <w:t>例适用于本省辖区内淮河流域的干流、支流、河道、湖泊、水库等地表水体和地下水体的污染防治。</w:t>
            </w:r>
            <w:r>
              <w:rPr>
                <w:rFonts w:hint="eastAsia"/>
                <w:b w:val="0"/>
                <w:bCs w:val="0"/>
                <w:color w:val="auto"/>
                <w:highlight w:val="none"/>
                <w:lang w:eastAsia="zh-CN"/>
              </w:rPr>
              <w:t>本项目</w:t>
            </w:r>
            <w:r>
              <w:rPr>
                <w:rFonts w:hint="eastAsia"/>
                <w:b w:val="0"/>
                <w:bCs w:val="0"/>
                <w:color w:val="auto"/>
                <w:highlight w:val="none"/>
                <w:lang w:val="en-US" w:eastAsia="zh-CN"/>
              </w:rPr>
              <w:t>位于</w:t>
            </w:r>
            <w:r>
              <w:rPr>
                <w:rFonts w:hint="eastAsia" w:ascii="宋体" w:hAnsi="宋体" w:cs="宋体"/>
                <w:b w:val="0"/>
                <w:bCs w:val="0"/>
                <w:color w:val="auto"/>
                <w:kern w:val="2"/>
                <w:sz w:val="24"/>
                <w:szCs w:val="24"/>
                <w:highlight w:val="none"/>
                <w:lang w:val="en-US" w:eastAsia="zh-CN" w:bidi="ar"/>
              </w:rPr>
              <w:t>安徽省蚌埠市五河县开发区彩虹大道与兴潼路交口西80米</w:t>
            </w:r>
            <w:r>
              <w:rPr>
                <w:rFonts w:hint="eastAsia" w:ascii="宋体" w:hAnsi="宋体" w:eastAsia="宋体" w:cs="宋体"/>
                <w:b w:val="0"/>
                <w:bCs w:val="0"/>
                <w:color w:val="auto"/>
                <w:kern w:val="2"/>
                <w:sz w:val="24"/>
                <w:szCs w:val="24"/>
                <w:highlight w:val="none"/>
                <w:lang w:val="en-US" w:eastAsia="zh-CN" w:bidi="ar"/>
              </w:rPr>
              <w:t>的</w:t>
            </w:r>
            <w:r>
              <w:rPr>
                <w:rFonts w:hint="eastAsia" w:ascii="宋体" w:hAnsi="宋体" w:cs="宋体"/>
                <w:b w:val="0"/>
                <w:bCs w:val="0"/>
                <w:color w:val="auto"/>
                <w:kern w:val="2"/>
                <w:sz w:val="24"/>
                <w:szCs w:val="24"/>
                <w:highlight w:val="none"/>
                <w:lang w:val="en-US" w:eastAsia="zh-CN" w:bidi="ar"/>
              </w:rPr>
              <w:t>安徽清鑫纺织有限公司</w:t>
            </w:r>
            <w:r>
              <w:rPr>
                <w:rFonts w:hint="eastAsia" w:ascii="宋体" w:hAnsi="宋体" w:eastAsia="宋体" w:cs="宋体"/>
                <w:b w:val="0"/>
                <w:bCs w:val="0"/>
                <w:color w:val="auto"/>
                <w:kern w:val="2"/>
                <w:sz w:val="24"/>
                <w:szCs w:val="24"/>
                <w:highlight w:val="none"/>
                <w:lang w:val="en-US" w:eastAsia="zh-CN" w:bidi="ar"/>
              </w:rPr>
              <w:t>现有厂房内</w:t>
            </w:r>
            <w:r>
              <w:rPr>
                <w:rFonts w:hint="eastAsia"/>
                <w:b w:val="0"/>
                <w:bCs w:val="0"/>
                <w:color w:val="auto"/>
                <w:highlight w:val="none"/>
                <w:lang w:val="en-US" w:eastAsia="zh-CN"/>
              </w:rPr>
              <w:t>，属于安徽省淮河流域</w:t>
            </w:r>
            <w:r>
              <w:rPr>
                <w:rFonts w:hint="eastAsia"/>
                <w:b w:val="0"/>
                <w:bCs w:val="0"/>
                <w:color w:val="auto"/>
                <w:highlight w:val="none"/>
              </w:rPr>
              <w:t>。</w:t>
            </w:r>
          </w:p>
          <w:p w14:paraId="05E0D372">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b w:val="0"/>
                <w:bCs w:val="0"/>
                <w:color w:val="auto"/>
                <w:highlight w:val="none"/>
              </w:rPr>
            </w:pPr>
            <w:r>
              <w:rPr>
                <w:rFonts w:hint="eastAsia"/>
                <w:b w:val="0"/>
                <w:bCs w:val="0"/>
                <w:color w:val="auto"/>
                <w:highlight w:val="none"/>
              </w:rPr>
              <w:t>本</w:t>
            </w:r>
            <w:r>
              <w:rPr>
                <w:rFonts w:hint="eastAsia"/>
                <w:b w:val="0"/>
                <w:bCs w:val="0"/>
                <w:color w:val="auto"/>
                <w:highlight w:val="none"/>
                <w:lang w:val="en-US" w:eastAsia="zh-CN"/>
              </w:rPr>
              <w:t>项目</w:t>
            </w:r>
            <w:r>
              <w:rPr>
                <w:rFonts w:hint="eastAsia"/>
                <w:b w:val="0"/>
                <w:bCs w:val="0"/>
                <w:color w:val="auto"/>
                <w:highlight w:val="none"/>
              </w:rPr>
              <w:t>与《安徽省淮河流域水污染防治条例》的相符性分析情况见</w:t>
            </w:r>
            <w:r>
              <w:rPr>
                <w:rFonts w:hint="eastAsia"/>
                <w:b w:val="0"/>
                <w:bCs w:val="0"/>
                <w:color w:val="auto"/>
                <w:highlight w:val="none"/>
                <w:lang w:val="en-US" w:eastAsia="zh-CN"/>
              </w:rPr>
              <w:t>下表</w:t>
            </w:r>
            <w:r>
              <w:rPr>
                <w:rFonts w:hint="eastAsia"/>
                <w:b w:val="0"/>
                <w:bCs w:val="0"/>
                <w:color w:val="auto"/>
                <w:highlight w:val="none"/>
              </w:rPr>
              <w:t>。</w:t>
            </w:r>
          </w:p>
          <w:p w14:paraId="260D5193">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eastAsia"/>
                <w:color w:val="auto"/>
                <w:highlight w:val="none"/>
              </w:rPr>
            </w:pPr>
            <w:r>
              <w:rPr>
                <w:rFonts w:hint="eastAsia"/>
                <w:color w:val="auto"/>
                <w:highlight w:val="none"/>
              </w:rPr>
              <w:t>表1-</w:t>
            </w:r>
            <w:r>
              <w:rPr>
                <w:rFonts w:hint="eastAsia"/>
                <w:color w:val="auto"/>
                <w:highlight w:val="none"/>
                <w:lang w:val="en-US" w:eastAsia="zh-CN"/>
              </w:rPr>
              <w:t>7与</w:t>
            </w:r>
            <w:r>
              <w:rPr>
                <w:rFonts w:hint="eastAsia"/>
                <w:color w:val="auto"/>
                <w:highlight w:val="none"/>
              </w:rPr>
              <w:t>《安徽省淮河流域水污染防治条例》相符性分析</w:t>
            </w:r>
          </w:p>
          <w:tbl>
            <w:tblPr>
              <w:tblStyle w:val="26"/>
              <w:tblW w:w="86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80"/>
              <w:gridCol w:w="5272"/>
              <w:gridCol w:w="1928"/>
              <w:gridCol w:w="794"/>
            </w:tblGrid>
            <w:tr w14:paraId="6ED21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14:paraId="14B15C27">
                  <w:pPr>
                    <w:pStyle w:val="41"/>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textAlignment w:val="auto"/>
                    <w:rPr>
                      <w:rFonts w:hint="eastAsia" w:eastAsia="宋体"/>
                      <w:b/>
                      <w:bCs/>
                      <w:color w:val="auto"/>
                      <w:highlight w:val="none"/>
                      <w:lang w:eastAsia="zh-CN"/>
                    </w:rPr>
                  </w:pPr>
                  <w:r>
                    <w:rPr>
                      <w:rFonts w:hint="eastAsia"/>
                      <w:b/>
                      <w:bCs/>
                      <w:color w:val="auto"/>
                      <w:highlight w:val="none"/>
                      <w:lang w:val="en-US" w:eastAsia="zh-CN"/>
                    </w:rPr>
                    <w:t>序号</w:t>
                  </w:r>
                </w:p>
              </w:tc>
              <w:tc>
                <w:tcPr>
                  <w:tcW w:w="5272" w:type="dxa"/>
                  <w:noWrap w:val="0"/>
                  <w:vAlign w:val="center"/>
                </w:tcPr>
                <w:p w14:paraId="6D2F1A14">
                  <w:pPr>
                    <w:pStyle w:val="41"/>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textAlignment w:val="auto"/>
                    <w:rPr>
                      <w:rFonts w:hint="default" w:eastAsia="宋体"/>
                      <w:b/>
                      <w:bCs/>
                      <w:color w:val="auto"/>
                      <w:highlight w:val="none"/>
                      <w:lang w:val="en-US" w:eastAsia="zh-CN"/>
                    </w:rPr>
                  </w:pPr>
                  <w:r>
                    <w:rPr>
                      <w:rFonts w:hint="default"/>
                      <w:b/>
                      <w:bCs/>
                      <w:color w:val="auto"/>
                      <w:highlight w:val="none"/>
                    </w:rPr>
                    <w:t>《安徽省淮河流域水污染防治条例》</w:t>
                  </w:r>
                  <w:r>
                    <w:rPr>
                      <w:rFonts w:hint="eastAsia"/>
                      <w:b/>
                      <w:bCs/>
                      <w:color w:val="auto"/>
                      <w:highlight w:val="none"/>
                      <w:lang w:val="en-US" w:eastAsia="zh-CN"/>
                    </w:rPr>
                    <w:t>相关内容</w:t>
                  </w:r>
                </w:p>
              </w:tc>
              <w:tc>
                <w:tcPr>
                  <w:tcW w:w="1928" w:type="dxa"/>
                  <w:noWrap w:val="0"/>
                  <w:vAlign w:val="center"/>
                </w:tcPr>
                <w:p w14:paraId="71B0AE51">
                  <w:pPr>
                    <w:pStyle w:val="41"/>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textAlignment w:val="auto"/>
                    <w:rPr>
                      <w:rFonts w:hint="default"/>
                      <w:b/>
                      <w:bCs/>
                      <w:color w:val="auto"/>
                      <w:highlight w:val="none"/>
                    </w:rPr>
                  </w:pPr>
                  <w:r>
                    <w:rPr>
                      <w:rFonts w:hint="eastAsia"/>
                      <w:b/>
                      <w:bCs/>
                      <w:color w:val="auto"/>
                      <w:highlight w:val="none"/>
                      <w:lang w:val="en-US" w:eastAsia="zh-CN"/>
                    </w:rPr>
                    <w:t>本</w:t>
                  </w:r>
                  <w:r>
                    <w:rPr>
                      <w:rFonts w:hint="default"/>
                      <w:b/>
                      <w:bCs/>
                      <w:color w:val="auto"/>
                      <w:highlight w:val="none"/>
                    </w:rPr>
                    <w:t>项目</w:t>
                  </w:r>
                  <w:r>
                    <w:rPr>
                      <w:rFonts w:hint="eastAsia"/>
                      <w:b/>
                      <w:bCs/>
                      <w:color w:val="auto"/>
                      <w:highlight w:val="none"/>
                      <w:lang w:val="en-US" w:eastAsia="zh-CN"/>
                    </w:rPr>
                    <w:t>相关</w:t>
                  </w:r>
                  <w:r>
                    <w:rPr>
                      <w:rFonts w:hint="default"/>
                      <w:b/>
                      <w:bCs/>
                      <w:color w:val="auto"/>
                      <w:highlight w:val="none"/>
                    </w:rPr>
                    <w:t>情况</w:t>
                  </w:r>
                </w:p>
              </w:tc>
              <w:tc>
                <w:tcPr>
                  <w:tcW w:w="794" w:type="dxa"/>
                  <w:noWrap w:val="0"/>
                  <w:vAlign w:val="center"/>
                </w:tcPr>
                <w:p w14:paraId="182ED97A">
                  <w:pPr>
                    <w:pStyle w:val="41"/>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textAlignment w:val="auto"/>
                    <w:rPr>
                      <w:rFonts w:hint="eastAsia" w:eastAsia="宋体"/>
                      <w:b/>
                      <w:bCs/>
                      <w:color w:val="auto"/>
                      <w:highlight w:val="none"/>
                      <w:lang w:eastAsia="zh-CN"/>
                    </w:rPr>
                  </w:pPr>
                  <w:r>
                    <w:rPr>
                      <w:rFonts w:hint="eastAsia"/>
                      <w:b/>
                      <w:bCs/>
                      <w:color w:val="auto"/>
                      <w:highlight w:val="none"/>
                      <w:lang w:val="en-US" w:eastAsia="zh-CN"/>
                    </w:rPr>
                    <w:t>相符性</w:t>
                  </w:r>
                </w:p>
              </w:tc>
            </w:tr>
            <w:tr w14:paraId="7BD5D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64" w:hRule="atLeast"/>
                <w:jc w:val="center"/>
              </w:trPr>
              <w:tc>
                <w:tcPr>
                  <w:tcW w:w="680" w:type="dxa"/>
                  <w:noWrap w:val="0"/>
                  <w:vAlign w:val="center"/>
                </w:tcPr>
                <w:p w14:paraId="2E614C09">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textAlignment w:val="auto"/>
                    <w:rPr>
                      <w:rFonts w:hint="eastAsia" w:eastAsia="宋体"/>
                      <w:b w:val="0"/>
                      <w:bCs w:val="0"/>
                      <w:color w:val="auto"/>
                      <w:highlight w:val="none"/>
                      <w:lang w:eastAsia="zh-CN"/>
                    </w:rPr>
                  </w:pPr>
                  <w:r>
                    <w:rPr>
                      <w:rFonts w:hint="eastAsia"/>
                      <w:b w:val="0"/>
                      <w:bCs w:val="0"/>
                      <w:color w:val="auto"/>
                      <w:highlight w:val="none"/>
                      <w:lang w:val="en-US" w:eastAsia="zh-CN"/>
                    </w:rPr>
                    <w:t>1</w:t>
                  </w:r>
                </w:p>
              </w:tc>
              <w:tc>
                <w:tcPr>
                  <w:tcW w:w="5272" w:type="dxa"/>
                  <w:noWrap w:val="0"/>
                  <w:vAlign w:val="center"/>
                </w:tcPr>
                <w:p w14:paraId="2871AAC5">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eastAsia"/>
                      <w:b w:val="0"/>
                      <w:bCs w:val="0"/>
                      <w:color w:val="auto"/>
                      <w:highlight w:val="none"/>
                      <w:lang w:eastAsia="zh-CN"/>
                    </w:rPr>
                  </w:pPr>
                  <w:r>
                    <w:rPr>
                      <w:rFonts w:hint="eastAsia"/>
                      <w:b w:val="0"/>
                      <w:bCs w:val="0"/>
                      <w:color w:val="auto"/>
                      <w:highlight w:val="none"/>
                    </w:rPr>
                    <w:t>第十三条：禁止在淮河流域新建化学制浆造纸企业和印染、制革、化工、电镀、酿造等污染严重的小型企业</w:t>
                  </w:r>
                  <w:r>
                    <w:rPr>
                      <w:rFonts w:hint="eastAsia"/>
                      <w:b w:val="0"/>
                      <w:bCs w:val="0"/>
                      <w:color w:val="auto"/>
                      <w:highlight w:val="none"/>
                      <w:lang w:eastAsia="zh-CN"/>
                    </w:rPr>
                    <w:t>。</w:t>
                  </w:r>
                </w:p>
                <w:p w14:paraId="2B93F9AD">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eastAsia" w:eastAsia="宋体"/>
                      <w:b w:val="0"/>
                      <w:bCs w:val="0"/>
                      <w:color w:val="auto"/>
                      <w:highlight w:val="none"/>
                      <w:lang w:eastAsia="zh-CN"/>
                    </w:rPr>
                  </w:pPr>
                  <w:r>
                    <w:rPr>
                      <w:rFonts w:hint="eastAsia"/>
                      <w:b w:val="0"/>
                      <w:bCs w:val="0"/>
                      <w:color w:val="auto"/>
                      <w:highlight w:val="none"/>
                      <w:lang w:eastAsia="zh-CN"/>
                    </w:rPr>
                    <w:t>严格限制在淮河流域新建印染、制革、化工、电镀、酿造等大中型项目或者其他污染严重的项目；建设该类项目的，应当事前征得省人民政府生态环境行政主管部门的同意，并按照规定办理有关手续。</w:t>
                  </w:r>
                </w:p>
              </w:tc>
              <w:tc>
                <w:tcPr>
                  <w:tcW w:w="1928" w:type="dxa"/>
                  <w:noWrap w:val="0"/>
                  <w:vAlign w:val="center"/>
                </w:tcPr>
                <w:p w14:paraId="14C738C3">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eastAsia" w:eastAsia="宋体"/>
                      <w:b w:val="0"/>
                      <w:bCs w:val="0"/>
                      <w:color w:val="auto"/>
                      <w:highlight w:val="none"/>
                      <w:lang w:eastAsia="zh-CN"/>
                    </w:rPr>
                  </w:pPr>
                  <w:r>
                    <w:rPr>
                      <w:rFonts w:hint="eastAsia"/>
                      <w:b w:val="0"/>
                      <w:bCs w:val="0"/>
                      <w:color w:val="auto"/>
                      <w:sz w:val="21"/>
                      <w:highlight w:val="none"/>
                      <w:lang w:eastAsia="zh-CN"/>
                    </w:rPr>
                    <w:t>本项目</w:t>
                  </w:r>
                  <w:r>
                    <w:rPr>
                      <w:rFonts w:hint="eastAsia"/>
                      <w:b w:val="0"/>
                      <w:bCs w:val="0"/>
                      <w:color w:val="auto"/>
                      <w:sz w:val="21"/>
                      <w:highlight w:val="none"/>
                    </w:rPr>
                    <w:t>为</w:t>
                  </w:r>
                  <w:r>
                    <w:rPr>
                      <w:rFonts w:hint="eastAsia" w:cs="Times New Roman"/>
                      <w:b w:val="0"/>
                      <w:bCs w:val="0"/>
                      <w:color w:val="auto"/>
                      <w:kern w:val="2"/>
                      <w:sz w:val="21"/>
                      <w:szCs w:val="21"/>
                      <w:highlight w:val="none"/>
                      <w:lang w:val="en-US" w:eastAsia="zh-CN" w:bidi="ar-SA"/>
                    </w:rPr>
                    <w:t>C1751化纤织造加工</w:t>
                  </w:r>
                  <w:r>
                    <w:rPr>
                      <w:rFonts w:hint="eastAsia"/>
                      <w:b w:val="0"/>
                      <w:bCs w:val="0"/>
                      <w:color w:val="auto"/>
                      <w:sz w:val="21"/>
                      <w:highlight w:val="none"/>
                    </w:rPr>
                    <w:t>，不属于印染、制革、化工、电镀、酿造等大中型项目或者其他污染严重的项目</w:t>
                  </w:r>
                  <w:r>
                    <w:rPr>
                      <w:rFonts w:hint="eastAsia"/>
                      <w:b w:val="0"/>
                      <w:bCs w:val="0"/>
                      <w:color w:val="auto"/>
                      <w:sz w:val="21"/>
                      <w:highlight w:val="none"/>
                      <w:lang w:eastAsia="zh-CN"/>
                    </w:rPr>
                    <w:t>。</w:t>
                  </w:r>
                </w:p>
              </w:tc>
              <w:tc>
                <w:tcPr>
                  <w:tcW w:w="794" w:type="dxa"/>
                  <w:noWrap w:val="0"/>
                  <w:vAlign w:val="center"/>
                </w:tcPr>
                <w:p w14:paraId="0C51A414">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default"/>
                      <w:b w:val="0"/>
                      <w:bCs w:val="0"/>
                      <w:color w:val="auto"/>
                      <w:highlight w:val="none"/>
                    </w:rPr>
                  </w:pPr>
                  <w:r>
                    <w:rPr>
                      <w:rFonts w:hint="default"/>
                      <w:b w:val="0"/>
                      <w:bCs w:val="0"/>
                      <w:color w:val="auto"/>
                      <w:highlight w:val="none"/>
                    </w:rPr>
                    <w:t>符合</w:t>
                  </w:r>
                </w:p>
              </w:tc>
            </w:tr>
            <w:tr w14:paraId="79A2C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07" w:hRule="atLeast"/>
                <w:jc w:val="center"/>
              </w:trPr>
              <w:tc>
                <w:tcPr>
                  <w:tcW w:w="680" w:type="dxa"/>
                  <w:noWrap w:val="0"/>
                  <w:vAlign w:val="center"/>
                </w:tcPr>
                <w:p w14:paraId="3E76A5DF">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textAlignment w:val="auto"/>
                    <w:rPr>
                      <w:rFonts w:hint="eastAsia" w:eastAsia="宋体"/>
                      <w:b w:val="0"/>
                      <w:bCs w:val="0"/>
                      <w:color w:val="auto"/>
                      <w:highlight w:val="none"/>
                      <w:lang w:eastAsia="zh-CN"/>
                    </w:rPr>
                  </w:pPr>
                  <w:r>
                    <w:rPr>
                      <w:rFonts w:hint="eastAsia"/>
                      <w:b w:val="0"/>
                      <w:bCs w:val="0"/>
                      <w:color w:val="auto"/>
                      <w:highlight w:val="none"/>
                      <w:lang w:val="en-US" w:eastAsia="zh-CN"/>
                    </w:rPr>
                    <w:t>2</w:t>
                  </w:r>
                </w:p>
              </w:tc>
              <w:tc>
                <w:tcPr>
                  <w:tcW w:w="5272" w:type="dxa"/>
                  <w:noWrap w:val="0"/>
                  <w:vAlign w:val="center"/>
                </w:tcPr>
                <w:p w14:paraId="40536C15">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eastAsia"/>
                      <w:b w:val="0"/>
                      <w:bCs w:val="0"/>
                      <w:color w:val="auto"/>
                      <w:highlight w:val="none"/>
                    </w:rPr>
                  </w:pPr>
                  <w:r>
                    <w:rPr>
                      <w:rFonts w:hint="eastAsia"/>
                      <w:b w:val="0"/>
                      <w:bCs w:val="0"/>
                      <w:color w:val="auto"/>
                      <w:highlight w:val="none"/>
                    </w:rPr>
                    <w:t>第十四条：新建、改建、扩建直接或者间接向水体排放污染物的建设项目和其他水上设施，应当依法进行环境影响评价</w:t>
                  </w:r>
                  <w:r>
                    <w:rPr>
                      <w:rFonts w:hint="eastAsia"/>
                      <w:b w:val="0"/>
                      <w:bCs w:val="0"/>
                      <w:color w:val="auto"/>
                      <w:highlight w:val="none"/>
                      <w:lang w:val="en-US" w:eastAsia="zh-CN"/>
                    </w:rPr>
                    <w:t>2</w:t>
                  </w:r>
                  <w:r>
                    <w:rPr>
                      <w:rFonts w:hint="eastAsia"/>
                      <w:b w:val="0"/>
                      <w:bCs w:val="0"/>
                      <w:color w:val="auto"/>
                      <w:highlight w:val="none"/>
                    </w:rPr>
                    <w:t>。建设项目的水污染防治设施，应当符合经批准或者备案的环境影响评价文件的要求，并与主体工程同时设计、同时施工、同时投入使用。</w:t>
                  </w:r>
                </w:p>
                <w:p w14:paraId="17C49F30">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left"/>
                    <w:textAlignment w:val="auto"/>
                    <w:rPr>
                      <w:rFonts w:hint="eastAsia"/>
                      <w:b w:val="0"/>
                      <w:bCs w:val="0"/>
                      <w:color w:val="auto"/>
                      <w:highlight w:val="none"/>
                    </w:rPr>
                  </w:pPr>
                  <w:r>
                    <w:rPr>
                      <w:rFonts w:hint="eastAsia"/>
                      <w:b w:val="0"/>
                      <w:bCs w:val="0"/>
                      <w:color w:val="auto"/>
                      <w:highlight w:val="none"/>
                    </w:rPr>
                    <w:t>新建、扩建、改建项目，除执行前款规定外，还应当遵守下列规定：</w:t>
                  </w:r>
                </w:p>
                <w:p w14:paraId="7A70B702">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eastAsia"/>
                      <w:b w:val="0"/>
                      <w:bCs w:val="0"/>
                      <w:color w:val="auto"/>
                      <w:highlight w:val="none"/>
                    </w:rPr>
                  </w:pPr>
                  <w:r>
                    <w:rPr>
                      <w:rFonts w:hint="eastAsia"/>
                      <w:b w:val="0"/>
                      <w:bCs w:val="0"/>
                      <w:color w:val="auto"/>
                      <w:highlight w:val="none"/>
                    </w:rPr>
                    <w:t>（一）新建项目的选址应符合城市总体规划，避开饮用水水源地和对环境有特殊要求的功能区；</w:t>
                  </w:r>
                </w:p>
                <w:p w14:paraId="665E7A27">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eastAsia"/>
                      <w:b w:val="0"/>
                      <w:bCs w:val="0"/>
                      <w:color w:val="auto"/>
                      <w:highlight w:val="none"/>
                    </w:rPr>
                  </w:pPr>
                  <w:r>
                    <w:rPr>
                      <w:rFonts w:hint="eastAsia"/>
                      <w:b w:val="0"/>
                      <w:bCs w:val="0"/>
                      <w:color w:val="auto"/>
                      <w:highlight w:val="none"/>
                    </w:rPr>
                    <w:t>（二）采用资源利用率高、污染物排放量少的先进设备和先进工艺；</w:t>
                  </w:r>
                </w:p>
                <w:p w14:paraId="2812030D">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eastAsia"/>
                      <w:b w:val="0"/>
                      <w:bCs w:val="0"/>
                      <w:color w:val="auto"/>
                      <w:highlight w:val="none"/>
                    </w:rPr>
                  </w:pPr>
                  <w:r>
                    <w:rPr>
                      <w:rFonts w:hint="eastAsia"/>
                      <w:b w:val="0"/>
                      <w:bCs w:val="0"/>
                      <w:color w:val="auto"/>
                      <w:highlight w:val="none"/>
                    </w:rPr>
                    <w:t>（三）改建、</w:t>
                  </w:r>
                  <w:r>
                    <w:rPr>
                      <w:rFonts w:hint="eastAsia"/>
                      <w:b w:val="0"/>
                      <w:bCs w:val="0"/>
                      <w:color w:val="auto"/>
                      <w:highlight w:val="none"/>
                      <w:lang w:eastAsia="zh-CN"/>
                    </w:rPr>
                    <w:t>本项目</w:t>
                  </w:r>
                  <w:r>
                    <w:rPr>
                      <w:rFonts w:hint="eastAsia"/>
                      <w:b w:val="0"/>
                      <w:bCs w:val="0"/>
                      <w:color w:val="auto"/>
                      <w:highlight w:val="none"/>
                    </w:rPr>
                    <w:t>和技改项目应当把水污染治理纳入项目内容。</w:t>
                  </w:r>
                </w:p>
                <w:p w14:paraId="4EB04DAA">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default"/>
                      <w:b w:val="0"/>
                      <w:bCs w:val="0"/>
                      <w:color w:val="auto"/>
                      <w:highlight w:val="none"/>
                    </w:rPr>
                  </w:pPr>
                  <w:r>
                    <w:rPr>
                      <w:rFonts w:hint="eastAsia"/>
                      <w:b w:val="0"/>
                      <w:bCs w:val="0"/>
                      <w:color w:val="auto"/>
                      <w:highlight w:val="none"/>
                    </w:rPr>
                    <w:t>工程配套建设的水污染防治设施竣工后，建设单位应当按照国务院生态环境行政主管部门规定的标准和程序进行验收。验收合格后，方可投入使用；未经验收或者验收不合格的，不得投入生产或者使用</w:t>
                  </w:r>
                </w:p>
              </w:tc>
              <w:tc>
                <w:tcPr>
                  <w:tcW w:w="1928" w:type="dxa"/>
                  <w:noWrap w:val="0"/>
                  <w:vAlign w:val="center"/>
                </w:tcPr>
                <w:p w14:paraId="40DCF954">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default"/>
                      <w:color w:val="auto"/>
                      <w:highlight w:val="none"/>
                      <w:lang w:val="en-US" w:eastAsia="zh-CN"/>
                    </w:rPr>
                  </w:pPr>
                  <w:r>
                    <w:rPr>
                      <w:rFonts w:hint="eastAsia"/>
                      <w:b w:val="0"/>
                      <w:bCs w:val="0"/>
                      <w:color w:val="auto"/>
                      <w:highlight w:val="none"/>
                      <w:lang w:eastAsia="zh-CN"/>
                    </w:rPr>
                    <w:t>本项目</w:t>
                  </w:r>
                  <w:r>
                    <w:rPr>
                      <w:rFonts w:hint="eastAsia"/>
                      <w:b w:val="0"/>
                      <w:bCs w:val="0"/>
                      <w:color w:val="auto"/>
                      <w:highlight w:val="none"/>
                      <w:lang w:val="en-US" w:eastAsia="zh-CN"/>
                    </w:rPr>
                    <w:t>排放生活污水经化粪池收集后排入五河经济开发区污水处理厂处理</w:t>
                  </w:r>
                  <w:r>
                    <w:rPr>
                      <w:rFonts w:hint="eastAsia"/>
                      <w:b w:val="0"/>
                      <w:bCs w:val="0"/>
                      <w:color w:val="auto"/>
                      <w:highlight w:val="none"/>
                      <w:lang w:eastAsia="zh-CN"/>
                    </w:rPr>
                    <w:t>。</w:t>
                  </w:r>
                  <w:r>
                    <w:rPr>
                      <w:rFonts w:hint="eastAsia"/>
                      <w:b w:val="0"/>
                      <w:bCs w:val="0"/>
                      <w:color w:val="auto"/>
                      <w:highlight w:val="none"/>
                      <w:lang w:val="en-US" w:eastAsia="zh-CN"/>
                    </w:rPr>
                    <w:t>生产废水经“隔油+气浮+好氧生化+二级沉淀+过滤”处理设施处理后95%回用于织造用水，5%排入市政管网进入五河县经济开发区污水处理厂处理。</w:t>
                  </w:r>
                </w:p>
              </w:tc>
              <w:tc>
                <w:tcPr>
                  <w:tcW w:w="794" w:type="dxa"/>
                  <w:noWrap w:val="0"/>
                  <w:vAlign w:val="center"/>
                </w:tcPr>
                <w:p w14:paraId="3450D2BA">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default"/>
                      <w:b w:val="0"/>
                      <w:bCs w:val="0"/>
                      <w:color w:val="auto"/>
                      <w:szCs w:val="21"/>
                      <w:highlight w:val="none"/>
                    </w:rPr>
                  </w:pPr>
                  <w:r>
                    <w:rPr>
                      <w:rFonts w:hint="default"/>
                      <w:b w:val="0"/>
                      <w:bCs w:val="0"/>
                      <w:color w:val="auto"/>
                      <w:highlight w:val="none"/>
                    </w:rPr>
                    <w:t>符合</w:t>
                  </w:r>
                </w:p>
              </w:tc>
            </w:tr>
            <w:tr w14:paraId="74335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680" w:type="dxa"/>
                  <w:shd w:val="clear" w:color="auto" w:fill="auto"/>
                  <w:noWrap w:val="0"/>
                  <w:vAlign w:val="center"/>
                </w:tcPr>
                <w:p w14:paraId="0B2B7546">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textAlignment w:val="auto"/>
                    <w:rPr>
                      <w:rFonts w:hint="eastAsia" w:eastAsia="宋体"/>
                      <w:b w:val="0"/>
                      <w:bCs w:val="0"/>
                      <w:color w:val="auto"/>
                      <w:szCs w:val="21"/>
                      <w:highlight w:val="none"/>
                      <w:lang w:eastAsia="zh-CN"/>
                    </w:rPr>
                  </w:pPr>
                  <w:r>
                    <w:rPr>
                      <w:rFonts w:hint="eastAsia"/>
                      <w:b w:val="0"/>
                      <w:bCs w:val="0"/>
                      <w:color w:val="auto"/>
                      <w:highlight w:val="none"/>
                      <w:lang w:val="en-US" w:eastAsia="zh-CN"/>
                    </w:rPr>
                    <w:t>3</w:t>
                  </w:r>
                </w:p>
              </w:tc>
              <w:tc>
                <w:tcPr>
                  <w:tcW w:w="5272" w:type="dxa"/>
                  <w:shd w:val="clear" w:color="auto" w:fill="auto"/>
                  <w:noWrap w:val="0"/>
                  <w:vAlign w:val="center"/>
                </w:tcPr>
                <w:p w14:paraId="44738B98">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default"/>
                      <w:b w:val="0"/>
                      <w:bCs w:val="0"/>
                      <w:color w:val="auto"/>
                      <w:szCs w:val="21"/>
                      <w:highlight w:val="none"/>
                    </w:rPr>
                  </w:pPr>
                  <w:r>
                    <w:rPr>
                      <w:rFonts w:hint="eastAsia" w:ascii="Times New Roman" w:hAnsi="Times New Roman" w:eastAsia="宋体" w:cs="Times New Roman"/>
                      <w:b w:val="0"/>
                      <w:bCs w:val="0"/>
                      <w:color w:val="auto"/>
                      <w:highlight w:val="none"/>
                    </w:rPr>
                    <w:t>第十九条：禁止下列行为</w:t>
                  </w:r>
                  <w:r>
                    <w:rPr>
                      <w:rFonts w:hint="eastAsia" w:cs="Times New Roman"/>
                      <w:b w:val="0"/>
                      <w:bCs w:val="0"/>
                      <w:color w:val="auto"/>
                      <w:highlight w:val="none"/>
                      <w:lang w:eastAsia="zh-CN"/>
                    </w:rPr>
                    <w:t>：</w:t>
                  </w:r>
                  <w:r>
                    <w:rPr>
                      <w:rFonts w:hint="eastAsia" w:ascii="Times New Roman" w:hAnsi="Times New Roman" w:eastAsia="宋体" w:cs="Times New Roman"/>
                      <w:b w:val="0"/>
                      <w:bCs w:val="0"/>
                      <w:color w:val="auto"/>
                      <w:highlight w:val="none"/>
                    </w:rPr>
                    <w:t>（一）向水体排放或者倾倒油类、酸液、碱液和其他有毒有害液体；（二）在水体中清洗装贮过有毒有害污染物的车辆、船舶和容器</w:t>
                  </w:r>
                  <w:r>
                    <w:rPr>
                      <w:rFonts w:hint="eastAsia" w:cs="Times New Roman"/>
                      <w:b w:val="0"/>
                      <w:bCs w:val="0"/>
                      <w:color w:val="auto"/>
                      <w:highlight w:val="none"/>
                      <w:lang w:eastAsia="zh-CN"/>
                    </w:rPr>
                    <w:t>；</w:t>
                  </w:r>
                  <w:r>
                    <w:rPr>
                      <w:rFonts w:hint="eastAsia" w:ascii="Times New Roman" w:hAnsi="Times New Roman" w:eastAsia="宋体" w:cs="Times New Roman"/>
                      <w:b w:val="0"/>
                      <w:bCs w:val="0"/>
                      <w:color w:val="auto"/>
                      <w:highlight w:val="none"/>
                    </w:rPr>
                    <w:t>（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九）引进不符合国家环境保护规定要求的技术和设备；（十）法律、法规禁止的其他行为</w:t>
                  </w:r>
                </w:p>
              </w:tc>
              <w:tc>
                <w:tcPr>
                  <w:tcW w:w="1928" w:type="dxa"/>
                  <w:shd w:val="clear" w:color="auto" w:fill="auto"/>
                  <w:noWrap w:val="0"/>
                  <w:vAlign w:val="center"/>
                </w:tcPr>
                <w:p w14:paraId="0F3671B2">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eastAsia" w:eastAsia="宋体"/>
                      <w:b w:val="0"/>
                      <w:bCs w:val="0"/>
                      <w:color w:val="auto"/>
                      <w:highlight w:val="none"/>
                      <w:lang w:eastAsia="zh-CN"/>
                    </w:rPr>
                  </w:pPr>
                  <w:r>
                    <w:rPr>
                      <w:rFonts w:hint="eastAsia"/>
                      <w:b w:val="0"/>
                      <w:bCs w:val="0"/>
                      <w:color w:val="auto"/>
                      <w:highlight w:val="none"/>
                      <w:lang w:eastAsia="zh-CN"/>
                    </w:rPr>
                    <w:t>本项目</w:t>
                  </w:r>
                  <w:r>
                    <w:rPr>
                      <w:rFonts w:hint="eastAsia"/>
                      <w:b w:val="0"/>
                      <w:bCs w:val="0"/>
                      <w:color w:val="auto"/>
                      <w:highlight w:val="none"/>
                    </w:rPr>
                    <w:t>废水均得到有效处理，不存在</w:t>
                  </w:r>
                  <w:r>
                    <w:rPr>
                      <w:rFonts w:hint="eastAsia"/>
                      <w:b w:val="0"/>
                      <w:bCs w:val="0"/>
                      <w:color w:val="auto"/>
                      <w:highlight w:val="none"/>
                      <w:lang w:eastAsia="zh-CN"/>
                    </w:rPr>
                    <w:t>第十九条</w:t>
                  </w:r>
                  <w:r>
                    <w:rPr>
                      <w:rFonts w:hint="eastAsia"/>
                      <w:b w:val="0"/>
                      <w:bCs w:val="0"/>
                      <w:color w:val="auto"/>
                      <w:highlight w:val="none"/>
                    </w:rPr>
                    <w:t>所禁止的行为</w:t>
                  </w:r>
                  <w:r>
                    <w:rPr>
                      <w:rFonts w:hint="eastAsia"/>
                      <w:b w:val="0"/>
                      <w:bCs w:val="0"/>
                      <w:color w:val="auto"/>
                      <w:highlight w:val="none"/>
                      <w:lang w:eastAsia="zh-CN"/>
                    </w:rPr>
                    <w:t>。</w:t>
                  </w:r>
                </w:p>
              </w:tc>
              <w:tc>
                <w:tcPr>
                  <w:tcW w:w="794" w:type="dxa"/>
                  <w:shd w:val="clear" w:color="auto" w:fill="auto"/>
                  <w:noWrap w:val="0"/>
                  <w:vAlign w:val="center"/>
                </w:tcPr>
                <w:p w14:paraId="0D92DDAD">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default"/>
                      <w:b w:val="0"/>
                      <w:bCs w:val="0"/>
                      <w:color w:val="auto"/>
                      <w:highlight w:val="none"/>
                    </w:rPr>
                  </w:pPr>
                  <w:r>
                    <w:rPr>
                      <w:rFonts w:hint="default"/>
                      <w:b w:val="0"/>
                      <w:bCs w:val="0"/>
                      <w:color w:val="auto"/>
                      <w:highlight w:val="none"/>
                    </w:rPr>
                    <w:t>符合</w:t>
                  </w:r>
                </w:p>
              </w:tc>
            </w:tr>
          </w:tbl>
          <w:p w14:paraId="488667FA">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b w:val="0"/>
                <w:bCs w:val="0"/>
                <w:color w:val="auto"/>
                <w:highlight w:val="none"/>
              </w:rPr>
            </w:pPr>
            <w:r>
              <w:rPr>
                <w:rFonts w:hint="eastAsia"/>
                <w:b w:val="0"/>
                <w:bCs w:val="0"/>
                <w:color w:val="auto"/>
                <w:highlight w:val="none"/>
              </w:rPr>
              <w:t>本项目建设内容</w:t>
            </w:r>
            <w:r>
              <w:rPr>
                <w:rFonts w:hint="eastAsia"/>
                <w:b w:val="0"/>
                <w:bCs w:val="0"/>
                <w:color w:val="auto"/>
                <w:highlight w:val="none"/>
                <w:lang w:val="en-US" w:eastAsia="zh-CN"/>
              </w:rPr>
              <w:t>满足</w:t>
            </w:r>
            <w:r>
              <w:rPr>
                <w:rFonts w:hint="eastAsia"/>
                <w:b w:val="0"/>
                <w:bCs w:val="0"/>
                <w:color w:val="auto"/>
                <w:highlight w:val="none"/>
              </w:rPr>
              <w:t>《安徽省淮河流域水污染防治条例》相关要求。</w:t>
            </w:r>
          </w:p>
          <w:p w14:paraId="6E6FEA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7</w:t>
            </w:r>
            <w:r>
              <w:rPr>
                <w:rFonts w:hint="default" w:ascii="Times New Roman" w:hAnsi="Times New Roman" w:eastAsia="宋体" w:cs="Times New Roman"/>
                <w:b/>
                <w:bCs/>
                <w:color w:val="auto"/>
                <w:kern w:val="2"/>
                <w:sz w:val="24"/>
                <w:szCs w:val="24"/>
                <w:highlight w:val="none"/>
                <w:lang w:val="en-US" w:eastAsia="zh-CN" w:bidi="ar-SA"/>
              </w:rPr>
              <w:t>、与安徽省人民政府关于印发《</w:t>
            </w:r>
            <w:r>
              <w:rPr>
                <w:rFonts w:hint="eastAsia" w:cs="Times New Roman"/>
                <w:b/>
                <w:bCs/>
                <w:color w:val="auto"/>
                <w:kern w:val="2"/>
                <w:sz w:val="24"/>
                <w:szCs w:val="24"/>
                <w:highlight w:val="none"/>
                <w:lang w:val="en-US" w:eastAsia="zh-CN" w:bidi="ar-SA"/>
              </w:rPr>
              <w:t>安徽省</w:t>
            </w:r>
            <w:r>
              <w:rPr>
                <w:rFonts w:hint="default" w:ascii="Times New Roman" w:hAnsi="Times New Roman" w:eastAsia="宋体" w:cs="Times New Roman"/>
                <w:b/>
                <w:bCs/>
                <w:color w:val="auto"/>
                <w:kern w:val="2"/>
                <w:sz w:val="24"/>
                <w:szCs w:val="24"/>
                <w:highlight w:val="none"/>
                <w:lang w:val="en-US" w:eastAsia="zh-CN" w:bidi="ar-SA"/>
              </w:rPr>
              <w:t>空气质量持续改善行动</w:t>
            </w:r>
            <w:r>
              <w:rPr>
                <w:rFonts w:hint="eastAsia" w:cs="Times New Roman"/>
                <w:b/>
                <w:bCs/>
                <w:color w:val="auto"/>
                <w:kern w:val="2"/>
                <w:sz w:val="24"/>
                <w:szCs w:val="24"/>
                <w:highlight w:val="none"/>
                <w:lang w:val="en-US" w:eastAsia="zh-CN" w:bidi="ar-SA"/>
              </w:rPr>
              <w:t>方案</w:t>
            </w:r>
            <w:r>
              <w:rPr>
                <w:rFonts w:hint="default" w:ascii="Times New Roman" w:hAnsi="Times New Roman" w:eastAsia="宋体" w:cs="Times New Roman"/>
                <w:b/>
                <w:bCs/>
                <w:color w:val="auto"/>
                <w:kern w:val="2"/>
                <w:sz w:val="24"/>
                <w:szCs w:val="24"/>
                <w:highlight w:val="none"/>
                <w:lang w:val="en-US" w:eastAsia="zh-CN" w:bidi="ar-SA"/>
              </w:rPr>
              <w:t>》（皖政〔2024〕36号）的相符性</w:t>
            </w:r>
          </w:p>
          <w:p w14:paraId="065167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项目</w:t>
            </w:r>
            <w:r>
              <w:rPr>
                <w:rFonts w:hint="default" w:ascii="Times New Roman" w:hAnsi="Times New Roman" w:eastAsia="宋体" w:cs="Times New Roman"/>
                <w:color w:val="auto"/>
                <w:kern w:val="0"/>
                <w:sz w:val="24"/>
                <w:szCs w:val="24"/>
                <w:highlight w:val="none"/>
                <w:lang w:val="en-US" w:eastAsia="zh-CN" w:bidi="ar-SA"/>
              </w:rPr>
              <w:t>与《安徽省空气质量持续改善行动方案》相符性分析内容，具体见下表。</w:t>
            </w:r>
          </w:p>
          <w:p w14:paraId="183257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表1-</w:t>
            </w:r>
            <w:r>
              <w:rPr>
                <w:rFonts w:hint="eastAsia" w:cs="Times New Roman"/>
                <w:b/>
                <w:color w:val="auto"/>
                <w:kern w:val="2"/>
                <w:sz w:val="24"/>
                <w:szCs w:val="24"/>
                <w:highlight w:val="none"/>
                <w:lang w:val="en-US" w:eastAsia="zh-CN" w:bidi="ar-SA"/>
              </w:rPr>
              <w:t>8</w:t>
            </w:r>
            <w:r>
              <w:rPr>
                <w:rFonts w:hint="default" w:ascii="Times New Roman" w:hAnsi="Times New Roman" w:eastAsia="宋体" w:cs="Times New Roman"/>
                <w:b/>
                <w:color w:val="auto"/>
                <w:kern w:val="2"/>
                <w:sz w:val="24"/>
                <w:szCs w:val="24"/>
                <w:highlight w:val="none"/>
                <w:lang w:val="en-US" w:eastAsia="zh-CN" w:bidi="ar-SA"/>
              </w:rPr>
              <w:t>与《</w:t>
            </w:r>
            <w:r>
              <w:rPr>
                <w:rFonts w:hint="eastAsia" w:cs="Times New Roman"/>
                <w:b/>
                <w:color w:val="auto"/>
                <w:kern w:val="2"/>
                <w:sz w:val="24"/>
                <w:szCs w:val="24"/>
                <w:highlight w:val="none"/>
                <w:lang w:val="en-US" w:eastAsia="zh-CN" w:bidi="ar-SA"/>
              </w:rPr>
              <w:t>安徽省</w:t>
            </w:r>
            <w:r>
              <w:rPr>
                <w:rFonts w:hint="default" w:ascii="Times New Roman" w:hAnsi="Times New Roman" w:eastAsia="宋体" w:cs="Times New Roman"/>
                <w:b/>
                <w:color w:val="auto"/>
                <w:kern w:val="2"/>
                <w:sz w:val="24"/>
                <w:szCs w:val="24"/>
                <w:highlight w:val="none"/>
                <w:lang w:val="en-US" w:eastAsia="zh-CN" w:bidi="ar-SA"/>
              </w:rPr>
              <w:t>空气质量持续改善行动</w:t>
            </w:r>
            <w:r>
              <w:rPr>
                <w:rFonts w:hint="eastAsia" w:cs="Times New Roman"/>
                <w:b/>
                <w:color w:val="auto"/>
                <w:kern w:val="2"/>
                <w:sz w:val="24"/>
                <w:szCs w:val="24"/>
                <w:highlight w:val="none"/>
                <w:lang w:val="en-US" w:eastAsia="zh-CN" w:bidi="ar-SA"/>
              </w:rPr>
              <w:t>方案</w:t>
            </w:r>
            <w:r>
              <w:rPr>
                <w:rFonts w:hint="default" w:ascii="Times New Roman" w:hAnsi="Times New Roman" w:eastAsia="宋体" w:cs="Times New Roman"/>
                <w:b/>
                <w:color w:val="auto"/>
                <w:kern w:val="2"/>
                <w:sz w:val="24"/>
                <w:szCs w:val="24"/>
                <w:highlight w:val="none"/>
                <w:lang w:val="en-US" w:eastAsia="zh-CN" w:bidi="ar-SA"/>
              </w:rPr>
              <w:t>》相符性分析</w:t>
            </w:r>
          </w:p>
          <w:tbl>
            <w:tblPr>
              <w:tblStyle w:val="26"/>
              <w:tblW w:w="86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26"/>
              <w:gridCol w:w="4422"/>
              <w:gridCol w:w="2835"/>
              <w:gridCol w:w="814"/>
            </w:tblGrid>
            <w:tr w14:paraId="124E6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626" w:type="dxa"/>
                  <w:noWrap w:val="0"/>
                  <w:vAlign w:val="center"/>
                </w:tcPr>
                <w:p w14:paraId="10A21241">
                  <w:pPr>
                    <w:keepNext w:val="0"/>
                    <w:keepLines w:val="0"/>
                    <w:widowControl w:val="0"/>
                    <w:suppressLineNumbers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序号</w:t>
                  </w:r>
                </w:p>
              </w:tc>
              <w:tc>
                <w:tcPr>
                  <w:tcW w:w="4422" w:type="dxa"/>
                  <w:noWrap w:val="0"/>
                  <w:vAlign w:val="center"/>
                </w:tcPr>
                <w:p w14:paraId="39137B95">
                  <w:pPr>
                    <w:keepNext w:val="0"/>
                    <w:keepLines w:val="0"/>
                    <w:widowControl w:val="0"/>
                    <w:suppressLineNumbers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方案要求</w:t>
                  </w:r>
                </w:p>
              </w:tc>
              <w:tc>
                <w:tcPr>
                  <w:tcW w:w="2835" w:type="dxa"/>
                  <w:noWrap w:val="0"/>
                  <w:vAlign w:val="center"/>
                </w:tcPr>
                <w:p w14:paraId="2EB41F55">
                  <w:pPr>
                    <w:keepNext w:val="0"/>
                    <w:keepLines w:val="0"/>
                    <w:widowControl w:val="0"/>
                    <w:suppressLineNumbers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项目情况</w:t>
                  </w:r>
                </w:p>
              </w:tc>
              <w:tc>
                <w:tcPr>
                  <w:tcW w:w="814" w:type="dxa"/>
                  <w:noWrap w:val="0"/>
                  <w:vAlign w:val="center"/>
                </w:tcPr>
                <w:p w14:paraId="315543CA">
                  <w:pPr>
                    <w:keepNext w:val="0"/>
                    <w:keepLines w:val="0"/>
                    <w:widowControl w:val="0"/>
                    <w:suppressLineNumbers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相符性</w:t>
                  </w:r>
                </w:p>
              </w:tc>
            </w:tr>
            <w:tr w14:paraId="2DE8E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8" w:hRule="atLeast"/>
                <w:jc w:val="center"/>
              </w:trPr>
              <w:tc>
                <w:tcPr>
                  <w:tcW w:w="626" w:type="dxa"/>
                  <w:noWrap w:val="0"/>
                  <w:vAlign w:val="center"/>
                </w:tcPr>
                <w:p w14:paraId="64020A78">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p>
              </w:tc>
              <w:tc>
                <w:tcPr>
                  <w:tcW w:w="4422" w:type="dxa"/>
                  <w:noWrap w:val="0"/>
                  <w:vAlign w:val="center"/>
                </w:tcPr>
                <w:p w14:paraId="644877D5">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坚决遏制高耗能、高排放、低水平项目盲目上马。新改</w:t>
                  </w:r>
                  <w:r>
                    <w:rPr>
                      <w:rFonts w:hint="eastAsia" w:cs="Times New Roman"/>
                      <w:color w:val="auto"/>
                      <w:kern w:val="0"/>
                      <w:sz w:val="21"/>
                      <w:szCs w:val="21"/>
                      <w:highlight w:val="none"/>
                      <w:lang w:val="en-US" w:eastAsia="zh-CN" w:bidi="ar"/>
                    </w:rPr>
                    <w:t>本项目</w:t>
                  </w:r>
                  <w:r>
                    <w:rPr>
                      <w:rFonts w:hint="default" w:ascii="Times New Roman" w:hAnsi="Times New Roman" w:eastAsia="宋体" w:cs="Times New Roman"/>
                      <w:color w:val="auto"/>
                      <w:kern w:val="0"/>
                      <w:sz w:val="21"/>
                      <w:szCs w:val="21"/>
                      <w:highlight w:val="none"/>
                      <w:lang w:val="en-US" w:eastAsia="zh-CN" w:bidi="ar"/>
                    </w:rPr>
                    <w:t>严格落实国家产业规划、产业政策、生态环境分区管控方案、规划环评、项目环评、节能审查、产能置换、重点污染物总量控制、污染物排放区域削减、碳排放达峰目标等相关要求，原则上采用清洁运输方式。实施</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高污染、高耗能</w:t>
                  </w:r>
                  <w:r>
                    <w:rPr>
                      <w:rFonts w:hint="eastAsia" w:ascii="宋体" w:hAnsi="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p w14:paraId="057F3C70">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2025年，短流程炼钢产量占比达15%。</w:t>
                  </w:r>
                </w:p>
              </w:tc>
              <w:tc>
                <w:tcPr>
                  <w:tcW w:w="2835" w:type="dxa"/>
                  <w:noWrap w:val="0"/>
                  <w:vAlign w:val="center"/>
                </w:tcPr>
                <w:p w14:paraId="663AA9FA">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本项目</w:t>
                  </w:r>
                  <w:r>
                    <w:rPr>
                      <w:rFonts w:hint="default" w:ascii="Times New Roman" w:hAnsi="Times New Roman" w:eastAsia="宋体" w:cs="Times New Roman"/>
                      <w:color w:val="auto"/>
                      <w:kern w:val="0"/>
                      <w:sz w:val="21"/>
                      <w:szCs w:val="21"/>
                      <w:highlight w:val="none"/>
                      <w:lang w:val="en-US" w:eastAsia="zh-CN" w:bidi="ar"/>
                    </w:rPr>
                    <w:t>属于</w:t>
                  </w:r>
                  <w:r>
                    <w:rPr>
                      <w:rFonts w:hint="eastAsia" w:cs="Times New Roman"/>
                      <w:b w:val="0"/>
                      <w:bCs w:val="0"/>
                      <w:color w:val="auto"/>
                      <w:kern w:val="2"/>
                      <w:sz w:val="21"/>
                      <w:szCs w:val="21"/>
                      <w:highlight w:val="none"/>
                      <w:lang w:val="en-US" w:eastAsia="zh-CN" w:bidi="ar"/>
                    </w:rPr>
                    <w:t>C1751化纤织造加工</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对照</w:t>
                  </w:r>
                  <w:r>
                    <w:rPr>
                      <w:rFonts w:hint="default" w:cs="Times New Roman"/>
                      <w:color w:val="auto"/>
                      <w:kern w:val="0"/>
                      <w:sz w:val="21"/>
                      <w:szCs w:val="21"/>
                      <w:highlight w:val="none"/>
                      <w:shd w:val="clear"/>
                      <w:lang w:val="en-US" w:eastAsia="zh-CN" w:bidi="ar"/>
                    </w:rPr>
                    <w:t>《产业结构调整指导目录（2024年本）》，</w:t>
                  </w:r>
                  <w:r>
                    <w:rPr>
                      <w:rFonts w:hint="eastAsia" w:cs="Times New Roman"/>
                      <w:color w:val="auto"/>
                      <w:kern w:val="0"/>
                      <w:sz w:val="21"/>
                      <w:szCs w:val="21"/>
                      <w:highlight w:val="none"/>
                      <w:shd w:val="clear"/>
                      <w:lang w:val="en-US" w:eastAsia="zh-CN" w:bidi="ar"/>
                    </w:rPr>
                    <w:t>新建项目</w:t>
                  </w:r>
                  <w:r>
                    <w:rPr>
                      <w:rFonts w:hint="default" w:cs="Times New Roman"/>
                      <w:color w:val="auto"/>
                      <w:kern w:val="0"/>
                      <w:sz w:val="21"/>
                      <w:szCs w:val="21"/>
                      <w:highlight w:val="none"/>
                      <w:shd w:val="clear"/>
                      <w:lang w:val="en-US" w:eastAsia="zh-CN" w:bidi="ar"/>
                    </w:rPr>
                    <w:t>不属于</w:t>
                  </w:r>
                  <w:r>
                    <w:rPr>
                      <w:rFonts w:hint="eastAsia" w:cs="Times New Roman"/>
                      <w:color w:val="auto"/>
                      <w:kern w:val="0"/>
                      <w:sz w:val="21"/>
                      <w:szCs w:val="21"/>
                      <w:highlight w:val="none"/>
                      <w:shd w:val="clear"/>
                      <w:lang w:val="en-US" w:eastAsia="zh-CN" w:bidi="ar"/>
                    </w:rPr>
                    <w:t>“</w:t>
                  </w:r>
                  <w:r>
                    <w:rPr>
                      <w:rFonts w:hint="default" w:cs="Times New Roman"/>
                      <w:color w:val="auto"/>
                      <w:kern w:val="0"/>
                      <w:sz w:val="21"/>
                      <w:szCs w:val="21"/>
                      <w:highlight w:val="none"/>
                      <w:shd w:val="clear"/>
                      <w:lang w:val="en-US" w:eastAsia="zh-CN" w:bidi="ar"/>
                    </w:rPr>
                    <w:t>鼓励类</w:t>
                  </w:r>
                  <w:r>
                    <w:rPr>
                      <w:rFonts w:hint="eastAsia" w:cs="Times New Roman"/>
                      <w:color w:val="auto"/>
                      <w:kern w:val="0"/>
                      <w:sz w:val="21"/>
                      <w:szCs w:val="21"/>
                      <w:highlight w:val="none"/>
                      <w:shd w:val="clear"/>
                      <w:lang w:val="en-US" w:eastAsia="zh-CN" w:bidi="ar"/>
                    </w:rPr>
                    <w:t>”</w:t>
                  </w:r>
                  <w:r>
                    <w:rPr>
                      <w:rFonts w:hint="default" w:cs="Times New Roman"/>
                      <w:color w:val="auto"/>
                      <w:kern w:val="0"/>
                      <w:sz w:val="21"/>
                      <w:szCs w:val="21"/>
                      <w:highlight w:val="none"/>
                      <w:shd w:val="clear"/>
                      <w:lang w:val="en-US" w:eastAsia="zh-CN" w:bidi="ar"/>
                    </w:rPr>
                    <w:t>、</w:t>
                  </w:r>
                  <w:r>
                    <w:rPr>
                      <w:rFonts w:hint="eastAsia" w:cs="Times New Roman"/>
                      <w:color w:val="auto"/>
                      <w:kern w:val="0"/>
                      <w:sz w:val="21"/>
                      <w:szCs w:val="21"/>
                      <w:highlight w:val="none"/>
                      <w:shd w:val="clear"/>
                      <w:lang w:val="en-US" w:eastAsia="zh-CN" w:bidi="ar"/>
                    </w:rPr>
                    <w:t>“</w:t>
                  </w:r>
                  <w:r>
                    <w:rPr>
                      <w:rFonts w:hint="default" w:cs="Times New Roman"/>
                      <w:color w:val="auto"/>
                      <w:kern w:val="0"/>
                      <w:sz w:val="21"/>
                      <w:szCs w:val="21"/>
                      <w:highlight w:val="none"/>
                      <w:shd w:val="clear"/>
                      <w:lang w:val="en-US" w:eastAsia="zh-CN" w:bidi="ar"/>
                    </w:rPr>
                    <w:t>限制类</w:t>
                  </w:r>
                  <w:r>
                    <w:rPr>
                      <w:rFonts w:hint="eastAsia" w:cs="Times New Roman"/>
                      <w:color w:val="auto"/>
                      <w:kern w:val="0"/>
                      <w:sz w:val="21"/>
                      <w:szCs w:val="21"/>
                      <w:highlight w:val="none"/>
                      <w:shd w:val="clear"/>
                      <w:lang w:val="en-US" w:eastAsia="zh-CN" w:bidi="ar"/>
                    </w:rPr>
                    <w:t>”</w:t>
                  </w:r>
                  <w:r>
                    <w:rPr>
                      <w:rFonts w:hint="default" w:cs="Times New Roman"/>
                      <w:color w:val="auto"/>
                      <w:kern w:val="0"/>
                      <w:sz w:val="21"/>
                      <w:szCs w:val="21"/>
                      <w:highlight w:val="none"/>
                      <w:shd w:val="clear"/>
                      <w:lang w:val="en-US" w:eastAsia="zh-CN" w:bidi="ar"/>
                    </w:rPr>
                    <w:t>和</w:t>
                  </w:r>
                  <w:r>
                    <w:rPr>
                      <w:rFonts w:hint="eastAsia" w:cs="Times New Roman"/>
                      <w:color w:val="auto"/>
                      <w:kern w:val="0"/>
                      <w:sz w:val="21"/>
                      <w:szCs w:val="21"/>
                      <w:highlight w:val="none"/>
                      <w:shd w:val="clear"/>
                      <w:lang w:val="en-US" w:eastAsia="zh-CN" w:bidi="ar"/>
                    </w:rPr>
                    <w:t>“</w:t>
                  </w:r>
                  <w:r>
                    <w:rPr>
                      <w:rFonts w:hint="default" w:cs="Times New Roman"/>
                      <w:color w:val="auto"/>
                      <w:kern w:val="0"/>
                      <w:sz w:val="21"/>
                      <w:szCs w:val="21"/>
                      <w:highlight w:val="none"/>
                      <w:shd w:val="clear"/>
                      <w:lang w:val="en-US" w:eastAsia="zh-CN" w:bidi="ar"/>
                    </w:rPr>
                    <w:t>淘汰类</w:t>
                  </w:r>
                  <w:r>
                    <w:rPr>
                      <w:rFonts w:hint="eastAsia" w:cs="Times New Roman"/>
                      <w:color w:val="auto"/>
                      <w:kern w:val="0"/>
                      <w:sz w:val="21"/>
                      <w:szCs w:val="21"/>
                      <w:highlight w:val="none"/>
                      <w:shd w:val="clear"/>
                      <w:lang w:val="en-US" w:eastAsia="zh-CN" w:bidi="ar"/>
                    </w:rPr>
                    <w:t>”</w:t>
                  </w:r>
                  <w:r>
                    <w:rPr>
                      <w:rFonts w:hint="default" w:cs="Times New Roman"/>
                      <w:color w:val="auto"/>
                      <w:kern w:val="0"/>
                      <w:sz w:val="21"/>
                      <w:szCs w:val="21"/>
                      <w:highlight w:val="none"/>
                      <w:shd w:val="clear"/>
                      <w:lang w:val="en-US" w:eastAsia="zh-CN" w:bidi="ar"/>
                    </w:rPr>
                    <w:t>项目，视为允许类</w:t>
                  </w:r>
                  <w:r>
                    <w:rPr>
                      <w:rFonts w:hint="eastAsia" w:cs="Times New Roman"/>
                      <w:color w:val="auto"/>
                      <w:kern w:val="0"/>
                      <w:sz w:val="21"/>
                      <w:szCs w:val="21"/>
                      <w:highlight w:val="none"/>
                      <w:shd w:val="clear"/>
                      <w:lang w:val="en-US" w:eastAsia="zh-CN" w:bidi="ar"/>
                    </w:rPr>
                    <w:t>；</w:t>
                  </w:r>
                  <w:r>
                    <w:rPr>
                      <w:rFonts w:hint="default" w:cs="Times New Roman"/>
                      <w:color w:val="auto"/>
                      <w:kern w:val="0"/>
                      <w:sz w:val="21"/>
                      <w:szCs w:val="21"/>
                      <w:highlight w:val="none"/>
                      <w:shd w:val="clear"/>
                      <w:lang w:val="en-US" w:eastAsia="zh-CN" w:bidi="ar"/>
                    </w:rPr>
                    <w:t>项目已取得</w:t>
                  </w:r>
                  <w:r>
                    <w:rPr>
                      <w:rFonts w:hint="eastAsia" w:cs="Times New Roman"/>
                      <w:color w:val="auto"/>
                      <w:kern w:val="0"/>
                      <w:sz w:val="21"/>
                      <w:szCs w:val="21"/>
                      <w:highlight w:val="none"/>
                      <w:shd w:val="clear"/>
                      <w:lang w:val="en-US" w:eastAsia="zh-CN" w:bidi="ar"/>
                    </w:rPr>
                    <w:t>五河县发展和改革</w:t>
                  </w:r>
                  <w:r>
                    <w:rPr>
                      <w:rFonts w:hint="eastAsia" w:ascii="Times New Roman" w:hAnsi="Times New Roman" w:eastAsia="宋体" w:cs="Times New Roman"/>
                      <w:color w:val="auto"/>
                      <w:kern w:val="0"/>
                      <w:sz w:val="21"/>
                      <w:szCs w:val="21"/>
                      <w:highlight w:val="none"/>
                      <w:lang w:val="en-US" w:eastAsia="zh-CN" w:bidi="ar"/>
                    </w:rPr>
                    <w:t>委员会备案，</w:t>
                  </w:r>
                  <w:r>
                    <w:rPr>
                      <w:rFonts w:hint="eastAsia" w:ascii="Times New Roman" w:hAnsi="Times New Roman" w:eastAsia="宋体" w:cs="Times New Roman"/>
                      <w:color w:val="auto"/>
                      <w:kern w:val="0"/>
                      <w:sz w:val="21"/>
                      <w:szCs w:val="21"/>
                      <w:highlight w:val="none"/>
                      <w:shd w:val="clear"/>
                      <w:lang w:val="en-US" w:eastAsia="zh-CN" w:bidi="ar"/>
                    </w:rPr>
                    <w:t>项目代码为</w:t>
                  </w:r>
                  <w:r>
                    <w:rPr>
                      <w:rFonts w:hint="eastAsia" w:cs="Times New Roman"/>
                      <w:color w:val="auto"/>
                      <w:kern w:val="0"/>
                      <w:sz w:val="21"/>
                      <w:szCs w:val="21"/>
                      <w:highlight w:val="none"/>
                      <w:shd w:val="clear"/>
                      <w:lang w:val="en-US" w:eastAsia="zh-CN" w:bidi="ar"/>
                    </w:rPr>
                    <w:t>2509-340322-04-05-976515</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因此，项目的建设符合国家和地方产业政策</w:t>
                  </w:r>
                  <w:r>
                    <w:rPr>
                      <w:rFonts w:hint="eastAsia" w:cs="Times New Roman"/>
                      <w:color w:val="auto"/>
                      <w:kern w:val="0"/>
                      <w:sz w:val="21"/>
                      <w:szCs w:val="21"/>
                      <w:highlight w:val="none"/>
                      <w:lang w:val="en-US" w:eastAsia="zh-CN" w:bidi="ar"/>
                    </w:rPr>
                    <w:t>；本项目不属于“两高”项目。</w:t>
                  </w:r>
                </w:p>
              </w:tc>
              <w:tc>
                <w:tcPr>
                  <w:tcW w:w="814" w:type="dxa"/>
                  <w:noWrap w:val="0"/>
                  <w:vAlign w:val="center"/>
                </w:tcPr>
                <w:p w14:paraId="4FC12546">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1AA59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41" w:hRule="atLeast"/>
                <w:jc w:val="center"/>
              </w:trPr>
              <w:tc>
                <w:tcPr>
                  <w:tcW w:w="626" w:type="dxa"/>
                  <w:shd w:val="clear" w:color="auto" w:fill="auto"/>
                  <w:noWrap w:val="0"/>
                  <w:vAlign w:val="center"/>
                </w:tcPr>
                <w:p w14:paraId="57522DB3">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w:t>
                  </w:r>
                </w:p>
              </w:tc>
              <w:tc>
                <w:tcPr>
                  <w:tcW w:w="4422" w:type="dxa"/>
                  <w:noWrap w:val="0"/>
                  <w:vAlign w:val="center"/>
                </w:tcPr>
                <w:p w14:paraId="2B93B436">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加快推广使用清洁能源。深入实施风电光伏发电装机倍增工程，提高电能占终端能源消费比重。到2025年，非化石能源消费比重达到15.5%以上，电能占终端能源消费比重达到30%左右。加快推进天然气入皖管道建设，提升城镇燃气管网覆盖率，增强天然气供应能力，新增天然气优先保障居民生活和清洁取暖需求。</w:t>
                  </w:r>
                </w:p>
              </w:tc>
              <w:tc>
                <w:tcPr>
                  <w:tcW w:w="2835" w:type="dxa"/>
                  <w:noWrap w:val="0"/>
                  <w:vAlign w:val="center"/>
                </w:tcPr>
                <w:p w14:paraId="365D2A6A">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本项目</w:t>
                  </w:r>
                  <w:r>
                    <w:rPr>
                      <w:rFonts w:hint="default" w:ascii="Times New Roman" w:hAnsi="Times New Roman" w:eastAsia="宋体" w:cs="Times New Roman"/>
                      <w:color w:val="auto"/>
                      <w:kern w:val="0"/>
                      <w:sz w:val="21"/>
                      <w:szCs w:val="21"/>
                      <w:highlight w:val="none"/>
                      <w:lang w:val="en-US" w:eastAsia="zh-CN" w:bidi="ar"/>
                    </w:rPr>
                    <w:t>使用能源为水、电，</w:t>
                  </w:r>
                  <w:r>
                    <w:rPr>
                      <w:rFonts w:hint="eastAsia" w:cs="Times New Roman"/>
                      <w:color w:val="auto"/>
                      <w:kern w:val="0"/>
                      <w:sz w:val="21"/>
                      <w:szCs w:val="21"/>
                      <w:highlight w:val="none"/>
                      <w:lang w:val="en-US" w:eastAsia="zh-CN" w:bidi="ar"/>
                    </w:rPr>
                    <w:t>均</w:t>
                  </w:r>
                  <w:r>
                    <w:rPr>
                      <w:rFonts w:hint="default" w:ascii="Times New Roman" w:hAnsi="Times New Roman" w:eastAsia="宋体" w:cs="Times New Roman"/>
                      <w:color w:val="auto"/>
                      <w:kern w:val="0"/>
                      <w:sz w:val="21"/>
                      <w:szCs w:val="21"/>
                      <w:highlight w:val="none"/>
                      <w:lang w:val="en-US" w:eastAsia="zh-CN" w:bidi="ar"/>
                    </w:rPr>
                    <w:t>属于清洁能源。</w:t>
                  </w:r>
                </w:p>
              </w:tc>
              <w:tc>
                <w:tcPr>
                  <w:tcW w:w="814" w:type="dxa"/>
                  <w:noWrap w:val="0"/>
                  <w:vAlign w:val="center"/>
                </w:tcPr>
                <w:p w14:paraId="106E475D">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0E12C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26" w:type="dxa"/>
                  <w:shd w:val="clear" w:color="auto" w:fill="auto"/>
                  <w:vAlign w:val="center"/>
                </w:tcPr>
                <w:p w14:paraId="64031255">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w:t>
                  </w:r>
                </w:p>
              </w:tc>
              <w:tc>
                <w:tcPr>
                  <w:tcW w:w="4422" w:type="dxa"/>
                  <w:vAlign w:val="center"/>
                </w:tcPr>
                <w:p w14:paraId="3AFBAC85">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推动煤炭消费减量替代。在保障能源安全供应的前提下，继续实施煤炭消费总量控制，到2025年，重点区域煤炭消费量较2020年下降5%左右。重点削减非电力用煤。修订煤炭消费减量替代管理办法。重点区域新改扩建用煤项目，依法实行煤炭等量或减量替代，不得将使用高污染燃料作为煤炭减量替代措施。持续加大民用、农用散煤替代力度，重点区域散煤基本清零，其他地区散煤使用量进一步下降。强化企业商品煤质量管理，鼓励制定更严格的商品煤质量企业标准，提倡生产和使用优质煤。</w:t>
                  </w:r>
                </w:p>
              </w:tc>
              <w:tc>
                <w:tcPr>
                  <w:tcW w:w="2835" w:type="dxa"/>
                  <w:vAlign w:val="center"/>
                </w:tcPr>
                <w:p w14:paraId="19EC2FA3">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本项目</w:t>
                  </w:r>
                  <w:r>
                    <w:rPr>
                      <w:rFonts w:hint="default" w:ascii="Times New Roman" w:hAnsi="Times New Roman" w:eastAsia="宋体" w:cs="Times New Roman"/>
                      <w:color w:val="auto"/>
                      <w:kern w:val="0"/>
                      <w:sz w:val="21"/>
                      <w:szCs w:val="21"/>
                      <w:highlight w:val="none"/>
                      <w:lang w:val="en-US" w:eastAsia="zh-CN" w:bidi="ar"/>
                    </w:rPr>
                    <w:t>不涉及煤炭使用。</w:t>
                  </w:r>
                </w:p>
              </w:tc>
              <w:tc>
                <w:tcPr>
                  <w:tcW w:w="814" w:type="dxa"/>
                  <w:vAlign w:val="center"/>
                </w:tcPr>
                <w:p w14:paraId="1E543757">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5C822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93" w:hRule="atLeast"/>
                <w:jc w:val="center"/>
              </w:trPr>
              <w:tc>
                <w:tcPr>
                  <w:tcW w:w="626" w:type="dxa"/>
                  <w:shd w:val="clear" w:color="auto" w:fill="auto"/>
                  <w:vAlign w:val="center"/>
                </w:tcPr>
                <w:p w14:paraId="4DB041E9">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w:t>
                  </w:r>
                </w:p>
              </w:tc>
              <w:tc>
                <w:tcPr>
                  <w:tcW w:w="4422" w:type="dxa"/>
                  <w:vAlign w:val="center"/>
                </w:tcPr>
                <w:p w14:paraId="4D1F05C2">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加快推动燃煤锅炉机组升级改造。各市将燃煤供热锅炉替代项目纳入城镇供热规划。加快热力管网建设，开展远距离供热示范，鼓励城镇供热企业推广使用清洁能源技术，科学合理布局供热管道。淘汰管网覆盖范围内的燃煤锅炉和散煤。重点区域原则上不再新建除集中供暖外的燃煤锅炉。持续推动茶水炉、经营性炉灶、储粮烘干设备、农产品加工等各类燃煤设施清洁能源替代。对30万千瓦以上热电联产机组供热半径30公里范围内燃煤锅炉和落后燃煤小热电机组（含自备电厂）进行关停整合。禁止新建自备燃煤机组。大力推动现有煤电机组开展节能降碳改造、灵活性改造、供热改造</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三改联动</w:t>
                  </w:r>
                  <w:r>
                    <w:rPr>
                      <w:rFonts w:hint="eastAsia" w:ascii="宋体" w:hAnsi="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w:t>
                  </w:r>
                </w:p>
              </w:tc>
              <w:tc>
                <w:tcPr>
                  <w:tcW w:w="2835" w:type="dxa"/>
                  <w:vAlign w:val="center"/>
                </w:tcPr>
                <w:p w14:paraId="5E91EE86">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本项目</w:t>
                  </w:r>
                  <w:r>
                    <w:rPr>
                      <w:rFonts w:hint="default" w:ascii="Times New Roman" w:hAnsi="Times New Roman" w:eastAsia="宋体" w:cs="Times New Roman"/>
                      <w:color w:val="auto"/>
                      <w:kern w:val="0"/>
                      <w:sz w:val="21"/>
                      <w:szCs w:val="21"/>
                      <w:highlight w:val="none"/>
                      <w:lang w:val="en-US" w:eastAsia="zh-CN" w:bidi="ar"/>
                    </w:rPr>
                    <w:t>不使用锅炉。</w:t>
                  </w:r>
                </w:p>
              </w:tc>
              <w:tc>
                <w:tcPr>
                  <w:tcW w:w="814" w:type="dxa"/>
                  <w:vAlign w:val="center"/>
                </w:tcPr>
                <w:p w14:paraId="74AA55ED">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6F669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65" w:hRule="atLeast"/>
                <w:jc w:val="center"/>
              </w:trPr>
              <w:tc>
                <w:tcPr>
                  <w:tcW w:w="626" w:type="dxa"/>
                  <w:shd w:val="clear" w:color="auto" w:fill="auto"/>
                  <w:vAlign w:val="center"/>
                </w:tcPr>
                <w:p w14:paraId="4C5782CB">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w:t>
                  </w:r>
                </w:p>
              </w:tc>
              <w:tc>
                <w:tcPr>
                  <w:tcW w:w="4422" w:type="dxa"/>
                  <w:vAlign w:val="center"/>
                </w:tcPr>
                <w:p w14:paraId="5BA0F299">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推动工业炉窑清洁能源替代。有序推进工业领域电能替代，提高电气化水平，推动大用户直供气，降低供气成本。重点区域不再新增燃料类煤气发生炉，新改扩建加热炉、热处理炉、干燥炉、熔化炉原则上采用清洁低碳能源。燃料类煤气发生炉实施清洁能源替代，或因地制宜采取园区（集群）集中供气、分散使用方式。逐步淘汰固定床间歇式煤气发生炉，鼓励现有煤气发生炉</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小改大</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。安全稳妥推进使用高污染燃料的工业炉窑改用工业余热、电能、天然气等，推动石油焦、重油等高污染燃料逐步替代。</w:t>
                  </w:r>
                </w:p>
              </w:tc>
              <w:tc>
                <w:tcPr>
                  <w:tcW w:w="2835" w:type="dxa"/>
                  <w:vAlign w:val="center"/>
                </w:tcPr>
                <w:p w14:paraId="45FADE1B">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本项目不使用工业炉窑</w:t>
                  </w:r>
                  <w:r>
                    <w:rPr>
                      <w:rFonts w:hint="eastAsia"/>
                      <w:color w:val="auto"/>
                      <w:sz w:val="21"/>
                      <w:szCs w:val="21"/>
                      <w:highlight w:val="none"/>
                      <w:lang w:val="en-US" w:eastAsia="zh-CN"/>
                    </w:rPr>
                    <w:t>。</w:t>
                  </w:r>
                </w:p>
              </w:tc>
              <w:tc>
                <w:tcPr>
                  <w:tcW w:w="814" w:type="dxa"/>
                  <w:vAlign w:val="center"/>
                </w:tcPr>
                <w:p w14:paraId="5A79EE86">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3CCAB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6" w:type="dxa"/>
                  <w:shd w:val="clear" w:color="auto" w:fill="auto"/>
                  <w:vAlign w:val="center"/>
                </w:tcPr>
                <w:p w14:paraId="08627B8C">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w:t>
                  </w:r>
                </w:p>
              </w:tc>
              <w:tc>
                <w:tcPr>
                  <w:tcW w:w="4422" w:type="dxa"/>
                  <w:vAlign w:val="center"/>
                </w:tcPr>
                <w:p w14:paraId="60D9A913">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加强建筑工地、道路扬尘污染和矿山综合治理。推动全省1万平方米以上规模建筑工地安装视频监控并接入监管平台，到2025年底，安装接入率达70%以上，合肥等有条件的市力争达到100%。开展道路扬尘污染治理专项行动。推动装配式建筑发展。将防治扬尘污染费用列入安全文明施工措施费等工程造价不可竞争性费用，明确施工单位扬尘污染防治责任。推动建筑业工业化、数字化、绿色化发展，提高城市道路保洁质量和效率。到2025年，装配式建筑占新建建筑面积比例40%以上，城市建成区道路机械化清扫率达90%左右，县城达70%左右。加强城市公共裸地扬尘管控，对在建工地、闲置地块等裸露土地开展排查建档，因地制宜落实抑尘措施。严格落实城市大型煤炭、矿石等干散货码头物料堆放场所主体责任，完善露天堆场防风网、喷淋装置、防尘屏障等抑尘设施建设和物料输送系统封闭改造。推动矿山综合治理，限期整改仍不达标的矿山，由矿山所在地人民政府根据安全生产、水土保持、生态环境等要求依法关闭。</w:t>
                  </w:r>
                </w:p>
              </w:tc>
              <w:tc>
                <w:tcPr>
                  <w:tcW w:w="2835" w:type="dxa"/>
                  <w:vAlign w:val="center"/>
                </w:tcPr>
                <w:p w14:paraId="7071E976">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本</w:t>
                  </w:r>
                  <w:r>
                    <w:rPr>
                      <w:rFonts w:hint="default" w:ascii="Times New Roman" w:hAnsi="Times New Roman" w:eastAsia="宋体" w:cs="Times New Roman"/>
                      <w:color w:val="auto"/>
                      <w:kern w:val="0"/>
                      <w:sz w:val="21"/>
                      <w:szCs w:val="21"/>
                      <w:highlight w:val="none"/>
                      <w:lang w:val="en-US" w:eastAsia="zh-CN" w:bidi="ar"/>
                    </w:rPr>
                    <w:t>项目</w:t>
                  </w:r>
                  <w:r>
                    <w:rPr>
                      <w:rFonts w:hint="eastAsia" w:ascii="Times New Roman" w:hAnsi="Times New Roman" w:cs="Times New Roman"/>
                      <w:color w:val="auto"/>
                      <w:kern w:val="0"/>
                      <w:sz w:val="21"/>
                      <w:szCs w:val="21"/>
                      <w:highlight w:val="none"/>
                      <w:lang w:val="en-US" w:eastAsia="zh-CN" w:bidi="ar"/>
                    </w:rPr>
                    <w:t>施工</w:t>
                  </w:r>
                  <w:r>
                    <w:rPr>
                      <w:rFonts w:hint="default" w:ascii="Times New Roman" w:hAnsi="Times New Roman" w:eastAsia="宋体" w:cs="Times New Roman"/>
                      <w:color w:val="auto"/>
                      <w:kern w:val="0"/>
                      <w:sz w:val="21"/>
                      <w:szCs w:val="21"/>
                      <w:highlight w:val="none"/>
                      <w:lang w:val="en-US" w:eastAsia="zh-CN" w:bidi="ar"/>
                    </w:rPr>
                    <w:t>现场设置洒水降尘设施，尽量缩短起尘操作时间，安排专人定时洒水降尘</w:t>
                  </w:r>
                  <w:r>
                    <w:rPr>
                      <w:rFonts w:hint="eastAsia" w:ascii="Times New Roman" w:hAnsi="Times New Roman" w:cs="Times New Roman"/>
                      <w:color w:val="auto"/>
                      <w:kern w:val="0"/>
                      <w:sz w:val="21"/>
                      <w:szCs w:val="21"/>
                      <w:highlight w:val="none"/>
                      <w:lang w:val="en-US" w:eastAsia="zh-CN" w:bidi="ar"/>
                    </w:rPr>
                    <w:t>，降低扬尘</w:t>
                  </w:r>
                  <w:r>
                    <w:rPr>
                      <w:rFonts w:hint="eastAsia" w:ascii="Times New Roman" w:hAnsi="Times New Roman" w:eastAsia="宋体" w:cs="Times New Roman"/>
                      <w:color w:val="auto"/>
                      <w:kern w:val="0"/>
                      <w:sz w:val="21"/>
                      <w:szCs w:val="21"/>
                      <w:highlight w:val="none"/>
                      <w:lang w:val="en-US" w:eastAsia="zh-CN" w:bidi="ar"/>
                    </w:rPr>
                    <w:t>。</w:t>
                  </w:r>
                </w:p>
              </w:tc>
              <w:tc>
                <w:tcPr>
                  <w:tcW w:w="814" w:type="dxa"/>
                  <w:vAlign w:val="center"/>
                </w:tcPr>
                <w:p w14:paraId="2CD99871">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28191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84" w:hRule="atLeast"/>
                <w:jc w:val="center"/>
              </w:trPr>
              <w:tc>
                <w:tcPr>
                  <w:tcW w:w="626" w:type="dxa"/>
                  <w:shd w:val="clear" w:color="auto" w:fill="auto"/>
                  <w:vAlign w:val="center"/>
                </w:tcPr>
                <w:p w14:paraId="21BC7BFE">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w:t>
                  </w:r>
                </w:p>
              </w:tc>
              <w:tc>
                <w:tcPr>
                  <w:tcW w:w="4422" w:type="dxa"/>
                  <w:vAlign w:val="center"/>
                </w:tcPr>
                <w:p w14:paraId="3083383C">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加强VOCs综合治理。鼓励储罐使用低泄漏的呼吸阀、紧急泄压阀。汽车罐车推广使用密封式快速接头。污水处理场所高浓度有机废气单独收集处理；含VOCs有机废水储罐、装置区集水井（池）有机废气密闭收集处理。石化、化工行业集中的城市和重点工业园区，2024年底前建立统一的泄漏检测与修复信息管理平台。企业开停工、检维修期间，及时收集处理退料、清洗、吹扫等作业产生的VOCs废气，不得将火炬燃烧装置作为日常大气污染处理设施。</w:t>
                  </w:r>
                </w:p>
              </w:tc>
              <w:tc>
                <w:tcPr>
                  <w:tcW w:w="2835" w:type="dxa"/>
                  <w:vAlign w:val="center"/>
                </w:tcPr>
                <w:p w14:paraId="7F6A6BF4">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both"/>
                    <w:textAlignment w:val="auto"/>
                    <w:rPr>
                      <w:rFonts w:hint="default" w:cs="Times New Roman"/>
                      <w:color w:val="auto"/>
                      <w:kern w:val="0"/>
                      <w:sz w:val="21"/>
                      <w:szCs w:val="21"/>
                      <w:highlight w:val="none"/>
                      <w:shd w:val="clear" w:fill="FFFF00"/>
                      <w:lang w:val="en-US" w:eastAsia="zh-CN" w:bidi="ar"/>
                    </w:rPr>
                  </w:pPr>
                  <w:r>
                    <w:rPr>
                      <w:rFonts w:hint="eastAsia" w:cs="Times New Roman"/>
                      <w:color w:val="auto"/>
                      <w:kern w:val="0"/>
                      <w:sz w:val="21"/>
                      <w:szCs w:val="21"/>
                      <w:highlight w:val="none"/>
                      <w:lang w:val="en-US" w:eastAsia="zh-CN" w:bidi="ar"/>
                    </w:rPr>
                    <w:t>本</w:t>
                  </w:r>
                  <w:r>
                    <w:rPr>
                      <w:rFonts w:hint="eastAsia" w:ascii="Times New Roman" w:hAnsi="Times New Roman" w:eastAsia="宋体" w:cs="Times New Roman"/>
                      <w:color w:val="auto"/>
                      <w:kern w:val="0"/>
                      <w:sz w:val="21"/>
                      <w:szCs w:val="21"/>
                      <w:highlight w:val="none"/>
                      <w:shd w:val="clear"/>
                      <w:lang w:val="en-US" w:eastAsia="zh-CN" w:bidi="ar"/>
                    </w:rPr>
                    <w:t>项目</w:t>
                  </w:r>
                  <w:r>
                    <w:rPr>
                      <w:rFonts w:hint="default" w:ascii="Times New Roman" w:hAnsi="Times New Roman" w:eastAsia="宋体" w:cs="Times New Roman"/>
                      <w:color w:val="auto"/>
                      <w:kern w:val="0"/>
                      <w:sz w:val="21"/>
                      <w:szCs w:val="21"/>
                      <w:highlight w:val="none"/>
                      <w:shd w:val="clear"/>
                      <w:lang w:val="en-US" w:eastAsia="zh-CN" w:bidi="ar"/>
                    </w:rPr>
                    <w:t>使用的原辅料采用密封</w:t>
                  </w:r>
                  <w:r>
                    <w:rPr>
                      <w:rFonts w:hint="eastAsia" w:ascii="Times New Roman" w:hAnsi="Times New Roman" w:eastAsia="宋体" w:cs="Times New Roman"/>
                      <w:color w:val="auto"/>
                      <w:kern w:val="0"/>
                      <w:sz w:val="21"/>
                      <w:szCs w:val="21"/>
                      <w:highlight w:val="none"/>
                      <w:shd w:val="clear"/>
                      <w:lang w:val="en-US" w:eastAsia="zh-CN" w:bidi="ar"/>
                    </w:rPr>
                    <w:t>包装</w:t>
                  </w:r>
                  <w:r>
                    <w:rPr>
                      <w:rFonts w:hint="default" w:ascii="Times New Roman" w:hAnsi="Times New Roman" w:eastAsia="宋体" w:cs="Times New Roman"/>
                      <w:color w:val="auto"/>
                      <w:kern w:val="0"/>
                      <w:sz w:val="21"/>
                      <w:szCs w:val="21"/>
                      <w:highlight w:val="none"/>
                      <w:shd w:val="clear"/>
                      <w:lang w:val="en-US" w:eastAsia="zh-CN" w:bidi="ar"/>
                    </w:rPr>
                    <w:t>；</w:t>
                  </w:r>
                  <w:r>
                    <w:rPr>
                      <w:rFonts w:hint="eastAsia" w:ascii="Times New Roman" w:hAnsi="Times New Roman" w:eastAsia="宋体" w:cs="Times New Roman"/>
                      <w:color w:val="auto"/>
                      <w:kern w:val="0"/>
                      <w:sz w:val="21"/>
                      <w:szCs w:val="21"/>
                      <w:highlight w:val="none"/>
                      <w:shd w:val="clear"/>
                      <w:lang w:val="en-US" w:eastAsia="zh-CN" w:bidi="ar"/>
                    </w:rPr>
                    <w:t>运营期有机废气采取相应的污染防治措施，做到达标排放。严格执行污染物排放总量控制制度</w:t>
                  </w:r>
                </w:p>
              </w:tc>
              <w:tc>
                <w:tcPr>
                  <w:tcW w:w="814" w:type="dxa"/>
                  <w:vAlign w:val="center"/>
                </w:tcPr>
                <w:p w14:paraId="7CCEF462">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2FC5A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39" w:hRule="atLeast"/>
                <w:jc w:val="center"/>
              </w:trPr>
              <w:tc>
                <w:tcPr>
                  <w:tcW w:w="626" w:type="dxa"/>
                  <w:shd w:val="clear" w:color="auto" w:fill="auto"/>
                  <w:vAlign w:val="center"/>
                </w:tcPr>
                <w:p w14:paraId="1146C339">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w:t>
                  </w:r>
                </w:p>
              </w:tc>
              <w:tc>
                <w:tcPr>
                  <w:tcW w:w="4422" w:type="dxa"/>
                  <w:vAlign w:val="center"/>
                </w:tcPr>
                <w:p w14:paraId="5350125E">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加快低（无）VOCs原辅材料替代。严格控制生产和使用高VOCs含量涂料、油墨、胶粘剂、清洗剂等建设项目。推动现有高VOCs含量产品生产企业加快产品升级转型，提高低（无）VOCs含量产品比重。加大工业涂装行业、包装印刷行业及电子行业低（无）VOCs含量原辅材料替代力度。室外构筑物防护和城市道路交通标志推广使用低（无）VOCs含量涂料。严格执行VOCs含量限值标准，确保生产、销售、进口、使用符合标准的产品。</w:t>
                  </w:r>
                </w:p>
              </w:tc>
              <w:tc>
                <w:tcPr>
                  <w:tcW w:w="2835" w:type="dxa"/>
                  <w:shd w:val="clear" w:color="auto" w:fill="auto"/>
                  <w:vAlign w:val="center"/>
                </w:tcPr>
                <w:p w14:paraId="6E9EBCF6">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kern w:val="0"/>
                      <w:sz w:val="21"/>
                      <w:szCs w:val="21"/>
                      <w:highlight w:val="none"/>
                      <w:lang w:val="en-US" w:eastAsia="zh-CN" w:bidi="ar"/>
                    </w:rPr>
                  </w:pPr>
                  <w:r>
                    <w:rPr>
                      <w:rFonts w:hint="default"/>
                      <w:spacing w:val="8"/>
                      <w:sz w:val="20"/>
                      <w:szCs w:val="20"/>
                    </w:rPr>
                    <w:t>本项目</w:t>
                  </w:r>
                  <w:r>
                    <w:rPr>
                      <w:rFonts w:hint="eastAsia" w:ascii="Times New Roman" w:hAnsi="Times New Roman" w:eastAsia="宋体" w:cs="Times New Roman"/>
                      <w:b w:val="0"/>
                      <w:bCs/>
                      <w:color w:val="auto"/>
                      <w:kern w:val="0"/>
                      <w:sz w:val="21"/>
                      <w:szCs w:val="52"/>
                      <w:highlight w:val="none"/>
                      <w:lang w:val="en-US" w:eastAsia="zh-CN" w:bidi="ar-SA"/>
                    </w:rPr>
                    <w:t>污染物经处理后达标排</w:t>
                  </w:r>
                  <w:r>
                    <w:rPr>
                      <w:rFonts w:hint="eastAsia" w:ascii="Times New Roman" w:hAnsi="Times New Roman" w:eastAsia="宋体" w:cs="Times New Roman"/>
                      <w:b w:val="0"/>
                      <w:bCs w:val="0"/>
                      <w:color w:val="auto"/>
                      <w:spacing w:val="-2"/>
                      <w:sz w:val="21"/>
                      <w:szCs w:val="21"/>
                      <w:highlight w:val="none"/>
                      <w:vertAlign w:val="baseline"/>
                      <w:lang w:val="en-US" w:eastAsia="zh-CN"/>
                    </w:rPr>
                    <w:t>放，能够满足污染物排放管控要求。</w:t>
                  </w:r>
                  <w:r>
                    <w:rPr>
                      <w:rFonts w:hint="eastAsia" w:cs="Times New Roman"/>
                      <w:b w:val="0"/>
                      <w:bCs/>
                      <w:color w:val="auto"/>
                      <w:kern w:val="0"/>
                      <w:sz w:val="21"/>
                      <w:szCs w:val="52"/>
                      <w:highlight w:val="none"/>
                      <w:lang w:val="en-US" w:eastAsia="zh-CN" w:bidi="ar-SA"/>
                    </w:rPr>
                    <w:t>本项目</w:t>
                  </w:r>
                  <w:r>
                    <w:rPr>
                      <w:rFonts w:hint="default" w:ascii="Times New Roman" w:hAnsi="Times New Roman" w:eastAsia="宋体" w:cs="Times New Roman"/>
                      <w:b w:val="0"/>
                      <w:bCs/>
                      <w:color w:val="auto"/>
                      <w:kern w:val="0"/>
                      <w:sz w:val="21"/>
                      <w:szCs w:val="52"/>
                      <w:highlight w:val="none"/>
                      <w:lang w:val="en-US" w:eastAsia="zh-CN" w:bidi="ar-SA"/>
                    </w:rPr>
                    <w:t>严格执行总量控制要求</w:t>
                  </w:r>
                </w:p>
              </w:tc>
              <w:tc>
                <w:tcPr>
                  <w:tcW w:w="814" w:type="dxa"/>
                  <w:shd w:val="clear" w:color="auto" w:fill="auto"/>
                  <w:vAlign w:val="center"/>
                </w:tcPr>
                <w:p w14:paraId="119ED135">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3B97B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1" w:hRule="atLeast"/>
                <w:jc w:val="center"/>
              </w:trPr>
              <w:tc>
                <w:tcPr>
                  <w:tcW w:w="626" w:type="dxa"/>
                  <w:vAlign w:val="center"/>
                </w:tcPr>
                <w:p w14:paraId="2237BB93">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w:t>
                  </w:r>
                </w:p>
              </w:tc>
              <w:tc>
                <w:tcPr>
                  <w:tcW w:w="4422" w:type="dxa"/>
                  <w:vAlign w:val="center"/>
                </w:tcPr>
                <w:p w14:paraId="2FC215D5">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加快涉气重点行业深度治理。高质量推进钢铁、水泥、焦化等重点行业及燃煤锅炉超低排放改造。到2025年，全省钢铁冶炼企业、燃煤锅炉全面完成超低排放改造，独立烧结、球团、热轧企业参照钢铁超低排放标准力争完成改造。推进重点行业深度治理，推进燃气锅炉低氮燃烧改造。生物质锅炉采用专用锅炉，配套布袋等高效除尘设施。推进整合小型生物质锅炉，积极引导城市建成区内生物质锅炉（含电力）超低排放改造。减少非正常工况排放，重点涉气企业逐步取消烟气和含VOCs废气旁路。</w:t>
                  </w:r>
                </w:p>
              </w:tc>
              <w:tc>
                <w:tcPr>
                  <w:tcW w:w="2835" w:type="dxa"/>
                  <w:vAlign w:val="center"/>
                </w:tcPr>
                <w:p w14:paraId="47A0349D">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sz w:val="21"/>
                      <w:szCs w:val="21"/>
                      <w:highlight w:val="none"/>
                      <w:lang w:val="en-US" w:eastAsia="zh-CN"/>
                    </w:rPr>
                    <w:t>本项目不使用燃料</w:t>
                  </w:r>
                </w:p>
              </w:tc>
              <w:tc>
                <w:tcPr>
                  <w:tcW w:w="814" w:type="dxa"/>
                  <w:vAlign w:val="center"/>
                </w:tcPr>
                <w:p w14:paraId="3AC73B45">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14:paraId="2A59B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626" w:type="dxa"/>
                  <w:vAlign w:val="center"/>
                </w:tcPr>
                <w:p w14:paraId="76AAB01B">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w:t>
                  </w:r>
                </w:p>
              </w:tc>
              <w:tc>
                <w:tcPr>
                  <w:tcW w:w="4422" w:type="dxa"/>
                  <w:vAlign w:val="center"/>
                </w:tcPr>
                <w:p w14:paraId="402F14B5">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推动农业和工业领域大气氨污染防控。推广水稻侧深施肥和小麦、玉米种肥同播。推广低蛋白日粮和全混合日粮等精准饲喂技术。研究畜禽养殖场氨气等臭气治理措施，鼓励生猪、鸡等圈舍封闭管理，加强废气收集和处理，推行覆盖式处理与利用粪污技术。加大企业氨排放监管力度，工业企业严格执行恶臭异味防治要求和烟气脱硫脱硝氨逃逸排放标准。</w:t>
                  </w:r>
                </w:p>
              </w:tc>
              <w:tc>
                <w:tcPr>
                  <w:tcW w:w="2835" w:type="dxa"/>
                  <w:vAlign w:val="center"/>
                </w:tcPr>
                <w:p w14:paraId="48203DAD">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both"/>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本项目</w:t>
                  </w:r>
                  <w:r>
                    <w:rPr>
                      <w:rFonts w:hint="default" w:ascii="Times New Roman" w:hAnsi="Times New Roman" w:eastAsia="宋体" w:cs="Times New Roman"/>
                      <w:color w:val="auto"/>
                      <w:kern w:val="0"/>
                      <w:sz w:val="21"/>
                      <w:szCs w:val="21"/>
                      <w:highlight w:val="none"/>
                      <w:lang w:val="en-US" w:eastAsia="zh-CN" w:bidi="ar"/>
                    </w:rPr>
                    <w:t>属于</w:t>
                  </w:r>
                  <w:r>
                    <w:rPr>
                      <w:rFonts w:hint="eastAsia" w:cs="Times New Roman"/>
                      <w:color w:val="auto"/>
                      <w:kern w:val="0"/>
                      <w:sz w:val="21"/>
                      <w:szCs w:val="21"/>
                      <w:highlight w:val="none"/>
                      <w:lang w:val="en-US" w:eastAsia="zh-CN" w:bidi="ar"/>
                    </w:rPr>
                    <w:t>C1751化纤织造加工</w:t>
                  </w:r>
                  <w:r>
                    <w:rPr>
                      <w:rFonts w:hint="eastAsia" w:ascii="Times New Roman" w:hAnsi="Times New Roman" w:eastAsia="宋体" w:cs="Times New Roman"/>
                      <w:color w:val="auto"/>
                      <w:kern w:val="0"/>
                      <w:sz w:val="21"/>
                      <w:szCs w:val="21"/>
                      <w:highlight w:val="none"/>
                      <w:lang w:val="en-US" w:eastAsia="zh-CN" w:bidi="ar"/>
                    </w:rPr>
                    <w:t>，不涉及氨排放。</w:t>
                  </w:r>
                </w:p>
              </w:tc>
              <w:tc>
                <w:tcPr>
                  <w:tcW w:w="814" w:type="dxa"/>
                  <w:vAlign w:val="center"/>
                </w:tcPr>
                <w:p w14:paraId="75C4AB45">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bl>
          <w:p w14:paraId="7007BF9A">
            <w:pPr>
              <w:pStyle w:val="44"/>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Style w:val="65"/>
                <w:rFonts w:hint="eastAsia" w:eastAsia="宋体"/>
                <w:b w:val="0"/>
                <w:bCs w:val="0"/>
                <w:color w:val="auto"/>
                <w:highlight w:val="none"/>
                <w:lang w:eastAsia="zh-CN"/>
              </w:rPr>
            </w:pPr>
            <w:r>
              <w:rPr>
                <w:rFonts w:hint="default"/>
                <w:b w:val="0"/>
                <w:bCs w:val="0"/>
                <w:color w:val="auto"/>
                <w:kern w:val="0"/>
                <w:sz w:val="24"/>
                <w:highlight w:val="none"/>
                <w:lang w:bidi="ar"/>
              </w:rPr>
              <w:t>综上，项目建设符合</w:t>
            </w:r>
            <w:r>
              <w:rPr>
                <w:rFonts w:hint="eastAsia"/>
                <w:b w:val="0"/>
                <w:bCs w:val="0"/>
                <w:color w:val="auto"/>
                <w:kern w:val="0"/>
                <w:sz w:val="24"/>
                <w:highlight w:val="none"/>
                <w:lang w:bidi="ar"/>
              </w:rPr>
              <w:t>《安徽省空气质量持续改善行动方案》（皖政〔2024〕36号）</w:t>
            </w:r>
            <w:r>
              <w:rPr>
                <w:rFonts w:hint="default"/>
                <w:b w:val="0"/>
                <w:bCs w:val="0"/>
                <w:color w:val="auto"/>
                <w:kern w:val="0"/>
                <w:sz w:val="24"/>
                <w:highlight w:val="none"/>
                <w:lang w:bidi="ar"/>
              </w:rPr>
              <w:t>中相关要求</w:t>
            </w:r>
            <w:r>
              <w:rPr>
                <w:rFonts w:hint="eastAsia"/>
                <w:b w:val="0"/>
                <w:bCs w:val="0"/>
                <w:color w:val="auto"/>
                <w:kern w:val="0"/>
                <w:sz w:val="24"/>
                <w:highlight w:val="none"/>
                <w:lang w:eastAsia="zh-CN" w:bidi="ar"/>
              </w:rPr>
              <w:t>。</w:t>
            </w:r>
          </w:p>
          <w:p w14:paraId="1E603A54">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eastAsia"/>
                <w:color w:val="auto"/>
                <w:highlight w:val="none"/>
                <w:lang w:val="en-US" w:eastAsia="zh-CN"/>
              </w:rPr>
              <w:t>8</w:t>
            </w:r>
            <w:r>
              <w:rPr>
                <w:rFonts w:hint="default"/>
                <w:color w:val="auto"/>
                <w:highlight w:val="none"/>
                <w:lang w:val="en-US" w:eastAsia="zh-CN"/>
              </w:rPr>
              <w:t>、</w:t>
            </w:r>
            <w:r>
              <w:rPr>
                <w:rFonts w:hint="default"/>
                <w:color w:val="auto"/>
                <w:highlight w:val="none"/>
              </w:rPr>
              <w:t>与《挥发性有机物（VOCs）污染防治技术政策》</w:t>
            </w:r>
            <w:r>
              <w:rPr>
                <w:rFonts w:hint="eastAsia"/>
                <w:color w:val="auto"/>
                <w:highlight w:val="none"/>
                <w:lang w:eastAsia="zh-CN"/>
              </w:rPr>
              <w:t>相符性分析</w:t>
            </w:r>
          </w:p>
          <w:p w14:paraId="7B400E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项目</w:t>
            </w:r>
            <w:r>
              <w:rPr>
                <w:rFonts w:hint="default" w:ascii="Times New Roman" w:hAnsi="Times New Roman" w:eastAsia="宋体" w:cs="Times New Roman"/>
                <w:color w:val="auto"/>
                <w:kern w:val="0"/>
                <w:sz w:val="24"/>
                <w:szCs w:val="24"/>
                <w:highlight w:val="none"/>
                <w:lang w:val="en-US" w:eastAsia="zh-CN" w:bidi="ar-SA"/>
              </w:rPr>
              <w:t>与《挥发性有机物（VOCs）污染防治技术政策》相符性分析内容，具体见下表。</w:t>
            </w:r>
          </w:p>
          <w:p w14:paraId="3BACDEA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w:t>
            </w:r>
            <w:r>
              <w:rPr>
                <w:rFonts w:hint="default" w:ascii="Times New Roman" w:hAnsi="Times New Roman" w:eastAsia="宋体" w:cs="Times New Roman"/>
                <w:bCs/>
                <w:color w:val="auto"/>
                <w:spacing w:val="-2"/>
                <w:highlight w:val="none"/>
                <w:lang w:val="en-US" w:eastAsia="zh-CN"/>
              </w:rPr>
              <w:t>1</w:t>
            </w:r>
            <w:r>
              <w:rPr>
                <w:rFonts w:hint="default" w:ascii="Times New Roman" w:hAnsi="Times New Roman" w:eastAsia="宋体" w:cs="Times New Roman"/>
                <w:bCs/>
                <w:color w:val="auto"/>
                <w:spacing w:val="-2"/>
                <w:highlight w:val="none"/>
              </w:rPr>
              <w:t>-</w:t>
            </w:r>
            <w:r>
              <w:rPr>
                <w:rFonts w:hint="eastAsia" w:cs="Times New Roman"/>
                <w:bCs/>
                <w:color w:val="auto"/>
                <w:spacing w:val="-2"/>
                <w:highlight w:val="none"/>
                <w:lang w:val="en-US" w:eastAsia="zh-CN"/>
              </w:rPr>
              <w:t>9</w:t>
            </w:r>
            <w:r>
              <w:rPr>
                <w:rFonts w:hint="default" w:ascii="Times New Roman" w:hAnsi="Times New Roman" w:eastAsia="宋体" w:cs="Times New Roman"/>
                <w:color w:val="auto"/>
                <w:highlight w:val="none"/>
              </w:rPr>
              <w:t>与《挥发性有机物（VOCs）污染防治技术政策》</w:t>
            </w:r>
            <w:r>
              <w:rPr>
                <w:rFonts w:hint="eastAsia" w:cs="Times New Roman"/>
                <w:color w:val="auto"/>
                <w:highlight w:val="none"/>
                <w:lang w:eastAsia="zh-CN"/>
              </w:rPr>
              <w:t>相符性分析</w:t>
            </w:r>
          </w:p>
          <w:tbl>
            <w:tblPr>
              <w:tblStyle w:val="26"/>
              <w:tblW w:w="499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57" w:type="dxa"/>
                <w:bottom w:w="0" w:type="dxa"/>
                <w:right w:w="57" w:type="dxa"/>
              </w:tblCellMar>
            </w:tblPr>
            <w:tblGrid>
              <w:gridCol w:w="736"/>
              <w:gridCol w:w="4540"/>
              <w:gridCol w:w="2895"/>
              <w:gridCol w:w="848"/>
            </w:tblGrid>
            <w:tr w14:paraId="7E749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blHeader/>
                <w:jc w:val="center"/>
              </w:trPr>
              <w:tc>
                <w:tcPr>
                  <w:tcW w:w="408" w:type="pct"/>
                  <w:tcBorders>
                    <w:top w:val="single" w:color="000000" w:sz="12" w:space="0"/>
                    <w:left w:val="nil"/>
                    <w:bottom w:val="single" w:color="000000" w:sz="4" w:space="0"/>
                    <w:right w:val="single" w:color="000000" w:sz="4" w:space="0"/>
                  </w:tcBorders>
                  <w:noWrap w:val="0"/>
                  <w:vAlign w:val="center"/>
                </w:tcPr>
                <w:p w14:paraId="056ADD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序号</w:t>
                  </w:r>
                </w:p>
              </w:tc>
              <w:tc>
                <w:tcPr>
                  <w:tcW w:w="2516" w:type="pct"/>
                  <w:tcBorders>
                    <w:top w:val="single" w:color="000000" w:sz="12" w:space="0"/>
                    <w:left w:val="single" w:color="000000" w:sz="4" w:space="0"/>
                    <w:bottom w:val="single" w:color="000000" w:sz="4" w:space="0"/>
                    <w:right w:val="single" w:color="000000" w:sz="4" w:space="0"/>
                  </w:tcBorders>
                  <w:noWrap w:val="0"/>
                  <w:vAlign w:val="center"/>
                </w:tcPr>
                <w:p w14:paraId="6D0FAE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挥发性有机物（VOCs）污染防治技术政策</w:t>
                  </w:r>
                </w:p>
              </w:tc>
              <w:tc>
                <w:tcPr>
                  <w:tcW w:w="1604" w:type="pct"/>
                  <w:tcBorders>
                    <w:top w:val="single" w:color="000000" w:sz="12" w:space="0"/>
                    <w:left w:val="single" w:color="000000" w:sz="4" w:space="0"/>
                    <w:bottom w:val="single" w:color="000000" w:sz="4" w:space="0"/>
                    <w:right w:val="single" w:color="000000" w:sz="4" w:space="0"/>
                  </w:tcBorders>
                  <w:noWrap w:val="0"/>
                  <w:vAlign w:val="center"/>
                </w:tcPr>
                <w:p w14:paraId="4BA3DF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项目情况</w:t>
                  </w:r>
                </w:p>
              </w:tc>
              <w:tc>
                <w:tcPr>
                  <w:tcW w:w="470" w:type="pct"/>
                  <w:tcBorders>
                    <w:top w:val="single" w:color="000000" w:sz="12" w:space="0"/>
                    <w:left w:val="single" w:color="000000" w:sz="4" w:space="0"/>
                    <w:bottom w:val="single" w:color="000000" w:sz="4" w:space="0"/>
                    <w:right w:val="nil"/>
                  </w:tcBorders>
                  <w:noWrap w:val="0"/>
                  <w:vAlign w:val="center"/>
                </w:tcPr>
                <w:p w14:paraId="5EDB1F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相符性</w:t>
                  </w:r>
                </w:p>
              </w:tc>
            </w:tr>
            <w:tr w14:paraId="3DCE0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jc w:val="center"/>
              </w:trPr>
              <w:tc>
                <w:tcPr>
                  <w:tcW w:w="408" w:type="pct"/>
                  <w:tcBorders>
                    <w:top w:val="single" w:color="000000" w:sz="4" w:space="0"/>
                    <w:left w:val="nil"/>
                    <w:bottom w:val="single" w:color="000000" w:sz="4" w:space="0"/>
                    <w:right w:val="single" w:color="000000" w:sz="4" w:space="0"/>
                  </w:tcBorders>
                  <w:noWrap w:val="0"/>
                  <w:vAlign w:val="center"/>
                </w:tcPr>
                <w:p w14:paraId="08814A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1</w:t>
                  </w:r>
                </w:p>
              </w:tc>
              <w:tc>
                <w:tcPr>
                  <w:tcW w:w="2516" w:type="pct"/>
                  <w:tcBorders>
                    <w:top w:val="single" w:color="000000" w:sz="4" w:space="0"/>
                    <w:left w:val="single" w:color="000000" w:sz="4" w:space="0"/>
                    <w:bottom w:val="single" w:color="000000" w:sz="4" w:space="0"/>
                    <w:right w:val="single" w:color="000000" w:sz="4" w:space="0"/>
                  </w:tcBorders>
                  <w:noWrap w:val="0"/>
                  <w:vAlign w:val="center"/>
                </w:tcPr>
                <w:p w14:paraId="4B17EF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VOCs污染防治应遵循源头和过程控制与末端治理相结合的综合防治原则。在工业生产中采用清洁生产技术，严格控制含VOCs原料与产品在生产和储运销过程中的VOCs排放，鼓励对资源和能源的回收利用；鼓励在生产和生活中使用不含VOCs的替代产品或低VOCs含量的产品。</w:t>
                  </w:r>
                </w:p>
              </w:tc>
              <w:tc>
                <w:tcPr>
                  <w:tcW w:w="1604" w:type="pct"/>
                  <w:tcBorders>
                    <w:top w:val="single" w:color="000000" w:sz="4" w:space="0"/>
                    <w:left w:val="single" w:color="000000" w:sz="4" w:space="0"/>
                    <w:bottom w:val="single" w:color="000000" w:sz="4" w:space="0"/>
                    <w:right w:val="single" w:color="000000" w:sz="4" w:space="0"/>
                  </w:tcBorders>
                  <w:noWrap w:val="0"/>
                  <w:vAlign w:val="center"/>
                </w:tcPr>
                <w:p w14:paraId="25C138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项目采用活性炭吸附脱附+催化燃烧对有机废气进行处理可达标排放，</w:t>
                  </w:r>
                  <w:r>
                    <w:rPr>
                      <w:rFonts w:hint="eastAsia" w:cs="Times New Roman"/>
                      <w:b w:val="0"/>
                      <w:bCs/>
                      <w:color w:val="auto"/>
                      <w:kern w:val="2"/>
                      <w:sz w:val="21"/>
                      <w:szCs w:val="21"/>
                      <w:highlight w:val="none"/>
                      <w:lang w:val="en-US" w:eastAsia="zh-CN" w:bidi="ar-SA"/>
                    </w:rPr>
                    <w:t>处理后</w:t>
                  </w:r>
                  <w:r>
                    <w:rPr>
                      <w:rFonts w:hint="eastAsia" w:ascii="Times New Roman" w:hAnsi="Times New Roman" w:eastAsia="宋体" w:cs="Times New Roman"/>
                      <w:b w:val="0"/>
                      <w:bCs/>
                      <w:color w:val="auto"/>
                      <w:kern w:val="2"/>
                      <w:sz w:val="21"/>
                      <w:szCs w:val="21"/>
                      <w:highlight w:val="none"/>
                      <w:lang w:val="en-US" w:eastAsia="zh-CN" w:bidi="ar-SA"/>
                    </w:rPr>
                    <w:t>有效减少废气对环境的影响。</w:t>
                  </w:r>
                </w:p>
              </w:tc>
              <w:tc>
                <w:tcPr>
                  <w:tcW w:w="470" w:type="pct"/>
                  <w:tcBorders>
                    <w:top w:val="single" w:color="000000" w:sz="4" w:space="0"/>
                    <w:left w:val="single" w:color="000000" w:sz="4" w:space="0"/>
                    <w:bottom w:val="single" w:color="000000" w:sz="4" w:space="0"/>
                    <w:right w:val="nil"/>
                  </w:tcBorders>
                  <w:noWrap w:val="0"/>
                  <w:vAlign w:val="center"/>
                </w:tcPr>
                <w:p w14:paraId="66CF5B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符合</w:t>
                  </w:r>
                </w:p>
              </w:tc>
            </w:tr>
            <w:tr w14:paraId="53175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jc w:val="center"/>
              </w:trPr>
              <w:tc>
                <w:tcPr>
                  <w:tcW w:w="408" w:type="pct"/>
                  <w:tcBorders>
                    <w:top w:val="single" w:color="000000" w:sz="4" w:space="0"/>
                    <w:left w:val="nil"/>
                    <w:bottom w:val="single" w:color="000000" w:sz="4" w:space="0"/>
                    <w:right w:val="single" w:color="000000" w:sz="4" w:space="0"/>
                  </w:tcBorders>
                  <w:noWrap w:val="0"/>
                  <w:vAlign w:val="center"/>
                </w:tcPr>
                <w:p w14:paraId="0AA174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2</w:t>
                  </w:r>
                </w:p>
              </w:tc>
              <w:tc>
                <w:tcPr>
                  <w:tcW w:w="2516" w:type="pct"/>
                  <w:tcBorders>
                    <w:top w:val="single" w:color="000000" w:sz="4" w:space="0"/>
                    <w:left w:val="single" w:color="000000" w:sz="4" w:space="0"/>
                    <w:bottom w:val="single" w:color="000000" w:sz="4" w:space="0"/>
                    <w:right w:val="single" w:color="000000" w:sz="4" w:space="0"/>
                  </w:tcBorders>
                  <w:noWrap w:val="0"/>
                  <w:vAlign w:val="center"/>
                </w:tcPr>
                <w:p w14:paraId="426CD3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含VOCs产品的使用过程中，应采取废气收集措施，提高废气收集效率，减少废气的无组织排放与逸散，并对收集后的废气进行回收或处理后达标排放。</w:t>
                  </w:r>
                </w:p>
              </w:tc>
              <w:tc>
                <w:tcPr>
                  <w:tcW w:w="1604" w:type="pct"/>
                  <w:tcBorders>
                    <w:top w:val="single" w:color="000000" w:sz="4" w:space="0"/>
                    <w:left w:val="single" w:color="000000" w:sz="4" w:space="0"/>
                    <w:bottom w:val="single" w:color="000000" w:sz="4" w:space="0"/>
                    <w:right w:val="single" w:color="000000" w:sz="4" w:space="0"/>
                  </w:tcBorders>
                  <w:noWrap w:val="0"/>
                  <w:vAlign w:val="center"/>
                </w:tcPr>
                <w:p w14:paraId="12CC6E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项目使用的原辅料采用密封包装；</w:t>
                  </w:r>
                  <w:r>
                    <w:rPr>
                      <w:rFonts w:hint="eastAsia" w:cs="Times New Roman"/>
                      <w:b w:val="0"/>
                      <w:bCs/>
                      <w:color w:val="auto"/>
                      <w:kern w:val="2"/>
                      <w:sz w:val="21"/>
                      <w:szCs w:val="21"/>
                      <w:highlight w:val="none"/>
                      <w:lang w:val="en-US" w:eastAsia="zh-CN" w:bidi="ar-SA"/>
                    </w:rPr>
                    <w:t>加弹</w:t>
                  </w:r>
                  <w:r>
                    <w:rPr>
                      <w:rFonts w:hint="eastAsia" w:ascii="Times New Roman" w:hAnsi="Times New Roman" w:cs="Times New Roman"/>
                      <w:b w:val="0"/>
                      <w:bCs/>
                      <w:color w:val="auto"/>
                      <w:kern w:val="2"/>
                      <w:sz w:val="21"/>
                      <w:szCs w:val="21"/>
                      <w:highlight w:val="none"/>
                      <w:lang w:val="en-US" w:eastAsia="zh-CN" w:bidi="ar-SA"/>
                    </w:rPr>
                    <w:t>产生的</w:t>
                  </w:r>
                  <w:r>
                    <w:rPr>
                      <w:rFonts w:hint="eastAsia" w:cs="Times New Roman"/>
                      <w:b w:val="0"/>
                      <w:bCs/>
                      <w:color w:val="auto"/>
                      <w:kern w:val="2"/>
                      <w:sz w:val="21"/>
                      <w:szCs w:val="21"/>
                      <w:highlight w:val="none"/>
                      <w:lang w:val="en-US" w:eastAsia="zh-CN" w:bidi="ar-SA"/>
                    </w:rPr>
                    <w:t>有机</w:t>
                  </w:r>
                  <w:r>
                    <w:rPr>
                      <w:rFonts w:hint="default" w:ascii="Times New Roman" w:hAnsi="Times New Roman" w:eastAsia="宋体" w:cs="Times New Roman"/>
                      <w:b w:val="0"/>
                      <w:bCs/>
                      <w:color w:val="auto"/>
                      <w:sz w:val="21"/>
                      <w:szCs w:val="21"/>
                      <w:highlight w:val="none"/>
                      <w:lang w:val="en-US" w:eastAsia="zh-CN" w:bidi="ar-SA"/>
                    </w:rPr>
                    <w:t>废气</w:t>
                  </w:r>
                  <w:r>
                    <w:rPr>
                      <w:rFonts w:hint="eastAsia" w:cs="Times New Roman"/>
                      <w:b w:val="0"/>
                      <w:bCs/>
                      <w:color w:val="auto"/>
                      <w:kern w:val="2"/>
                      <w:sz w:val="21"/>
                      <w:szCs w:val="21"/>
                      <w:highlight w:val="none"/>
                      <w:lang w:val="en-US" w:eastAsia="zh-CN" w:bidi="ar-SA"/>
                    </w:rPr>
                    <w:t>集气管收集</w:t>
                  </w:r>
                  <w:r>
                    <w:rPr>
                      <w:rFonts w:hint="eastAsia" w:ascii="Times New Roman" w:hAnsi="Times New Roman" w:eastAsia="宋体" w:cs="Times New Roman"/>
                      <w:color w:val="auto"/>
                      <w:kern w:val="0"/>
                      <w:sz w:val="21"/>
                      <w:szCs w:val="21"/>
                      <w:highlight w:val="none"/>
                      <w:lang w:val="en-US" w:eastAsia="zh-CN" w:bidi="ar"/>
                    </w:rPr>
                    <w:t>后通过</w:t>
                  </w:r>
                  <w:r>
                    <w:rPr>
                      <w:rFonts w:hint="eastAsia" w:cs="Times New Roman"/>
                      <w:b w:val="0"/>
                      <w:bCs/>
                      <w:color w:val="auto"/>
                      <w:kern w:val="2"/>
                      <w:sz w:val="21"/>
                      <w:szCs w:val="21"/>
                      <w:highlight w:val="none"/>
                      <w:lang w:val="en-US" w:eastAsia="zh-CN" w:bidi="ar-SA"/>
                    </w:rPr>
                    <w:t>活性炭吸附脱附+催化燃烧</w:t>
                  </w:r>
                  <w:r>
                    <w:rPr>
                      <w:rFonts w:hint="eastAsia" w:ascii="Times New Roman" w:hAnsi="Times New Roman" w:cs="Times New Roman"/>
                      <w:color w:val="auto"/>
                      <w:kern w:val="0"/>
                      <w:sz w:val="21"/>
                      <w:szCs w:val="21"/>
                      <w:highlight w:val="none"/>
                      <w:lang w:val="en-US" w:eastAsia="zh-CN" w:bidi="ar"/>
                    </w:rPr>
                    <w:t>处理后</w:t>
                  </w:r>
                  <w:r>
                    <w:rPr>
                      <w:rFonts w:hint="eastAsia" w:cs="Times New Roman"/>
                      <w:color w:val="auto"/>
                      <w:kern w:val="0"/>
                      <w:sz w:val="21"/>
                      <w:szCs w:val="21"/>
                      <w:highlight w:val="none"/>
                      <w:lang w:val="en-US" w:eastAsia="zh-CN" w:bidi="ar"/>
                    </w:rPr>
                    <w:t>，</w:t>
                  </w:r>
                  <w:r>
                    <w:rPr>
                      <w:rFonts w:hint="eastAsia" w:ascii="Times New Roman" w:hAnsi="Times New Roman" w:cs="Times New Roman"/>
                      <w:color w:val="auto"/>
                      <w:kern w:val="0"/>
                      <w:sz w:val="21"/>
                      <w:szCs w:val="21"/>
                      <w:highlight w:val="none"/>
                      <w:lang w:val="en-US" w:eastAsia="zh-CN" w:bidi="ar"/>
                    </w:rPr>
                    <w:t>由一根</w:t>
                  </w:r>
                  <w:r>
                    <w:rPr>
                      <w:rFonts w:hint="eastAsia" w:ascii="Times New Roman" w:hAnsi="Times New Roman" w:eastAsia="宋体" w:cs="Times New Roman"/>
                      <w:b w:val="0"/>
                      <w:bCs/>
                      <w:color w:val="auto"/>
                      <w:kern w:val="2"/>
                      <w:sz w:val="21"/>
                      <w:szCs w:val="21"/>
                      <w:highlight w:val="none"/>
                      <w:lang w:val="en-US" w:eastAsia="zh-CN" w:bidi="ar-SA"/>
                    </w:rPr>
                    <w:t>15m高排气筒（</w:t>
                  </w:r>
                  <w:r>
                    <w:rPr>
                      <w:rFonts w:hint="eastAsia" w:cs="Times New Roman"/>
                      <w:b w:val="0"/>
                      <w:bCs/>
                      <w:color w:val="auto"/>
                      <w:kern w:val="2"/>
                      <w:sz w:val="21"/>
                      <w:szCs w:val="21"/>
                      <w:highlight w:val="none"/>
                      <w:lang w:val="en-US" w:eastAsia="zh-CN" w:bidi="ar-SA"/>
                    </w:rPr>
                    <w:t>DA001</w:t>
                  </w:r>
                  <w:r>
                    <w:rPr>
                      <w:rFonts w:hint="eastAsia" w:ascii="Times New Roman" w:hAnsi="Times New Roman" w:eastAsia="宋体" w:cs="Times New Roman"/>
                      <w:b w:val="0"/>
                      <w:bCs/>
                      <w:color w:val="auto"/>
                      <w:kern w:val="2"/>
                      <w:sz w:val="21"/>
                      <w:szCs w:val="21"/>
                      <w:highlight w:val="none"/>
                      <w:lang w:val="en-US" w:eastAsia="zh-CN" w:bidi="ar-SA"/>
                    </w:rPr>
                    <w:t>）排放。</w:t>
                  </w:r>
                </w:p>
              </w:tc>
              <w:tc>
                <w:tcPr>
                  <w:tcW w:w="470" w:type="pct"/>
                  <w:tcBorders>
                    <w:top w:val="single" w:color="000000" w:sz="4" w:space="0"/>
                    <w:left w:val="single" w:color="000000" w:sz="4" w:space="0"/>
                    <w:bottom w:val="single" w:color="000000" w:sz="4" w:space="0"/>
                    <w:right w:val="nil"/>
                  </w:tcBorders>
                  <w:noWrap w:val="0"/>
                  <w:vAlign w:val="center"/>
                </w:tcPr>
                <w:p w14:paraId="11E499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符合</w:t>
                  </w:r>
                </w:p>
              </w:tc>
            </w:tr>
            <w:tr w14:paraId="7C626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jc w:val="center"/>
              </w:trPr>
              <w:tc>
                <w:tcPr>
                  <w:tcW w:w="408" w:type="pct"/>
                  <w:tcBorders>
                    <w:top w:val="single" w:color="000000" w:sz="4" w:space="0"/>
                    <w:left w:val="nil"/>
                    <w:bottom w:val="single" w:color="000000" w:sz="12" w:space="0"/>
                    <w:right w:val="single" w:color="000000" w:sz="4" w:space="0"/>
                  </w:tcBorders>
                  <w:noWrap w:val="0"/>
                  <w:vAlign w:val="center"/>
                </w:tcPr>
                <w:p w14:paraId="383C42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3</w:t>
                  </w:r>
                </w:p>
              </w:tc>
              <w:tc>
                <w:tcPr>
                  <w:tcW w:w="2516" w:type="pct"/>
                  <w:tcBorders>
                    <w:top w:val="single" w:color="000000" w:sz="4" w:space="0"/>
                    <w:left w:val="single" w:color="000000" w:sz="4" w:space="0"/>
                    <w:bottom w:val="single" w:color="000000" w:sz="12" w:space="0"/>
                    <w:right w:val="single" w:color="000000" w:sz="4" w:space="0"/>
                  </w:tcBorders>
                  <w:noWrap w:val="0"/>
                  <w:vAlign w:val="center"/>
                </w:tcPr>
                <w:p w14:paraId="05961D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在涂装、印刷、粘合、工业清洗等含VOCs产品的使用过程中的VOCs污染防治技术措施：1.鼓励使用通过环境标志产品认证的环保型涂料、油墨、胶粘剂和清洗剂；2.根据涂装工艺的不同，鼓励使用水性涂料、高固份涂料、粉末涂料、紫外光固化（UV）涂料等环保型涂料；推广采用静电喷涂、淋涂、辊涂、浸涂等效率较高的涂装工艺；应尽量避免无VOCs净化、回收措施的露天喷涂作业；3.在印刷工艺中推广使用水性油墨，印铁制罐行业鼓励使用紫外光固化（UV）油墨，书刊印刷行业鼓励使用预涂膜技术；4.鼓励在人造板、制鞋、皮革制品、包装材料等粘合过程中使用水基型、热熔型等环保型胶粘剂，在复合膜的生产中推广无溶剂复合及共挤出复合技术；5.淘汰以三氟三氯乙烷、甲基氯仿和四氯化碳为清洗剂或溶剂的生产工艺。清洗过程中产生的废溶剂宜密闭收集，有回收价值的废溶剂经处理后回用，其他废溶剂应妥善处置；6.含VOCs产品的使用过程中，应采取废气收集措施，提高废气收集效率，减少废气的无组织排放与逸散，并对收集后的废气进行回收或处理后达标排放。</w:t>
                  </w:r>
                </w:p>
              </w:tc>
              <w:tc>
                <w:tcPr>
                  <w:tcW w:w="1604" w:type="pct"/>
                  <w:tcBorders>
                    <w:top w:val="single" w:color="000000" w:sz="4" w:space="0"/>
                    <w:left w:val="single" w:color="000000" w:sz="4" w:space="0"/>
                    <w:bottom w:val="single" w:color="000000" w:sz="12" w:space="0"/>
                    <w:right w:val="single" w:color="000000" w:sz="4" w:space="0"/>
                  </w:tcBorders>
                  <w:noWrap w:val="0"/>
                  <w:vAlign w:val="center"/>
                </w:tcPr>
                <w:p w14:paraId="1DA653E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52"/>
                      <w:highlight w:val="none"/>
                      <w:lang w:val="en-US" w:eastAsia="zh-CN" w:bidi="ar-SA"/>
                    </w:rPr>
                    <w:t>污染物经处理后达标排</w:t>
                  </w:r>
                  <w:r>
                    <w:rPr>
                      <w:rFonts w:hint="eastAsia" w:ascii="Times New Roman" w:hAnsi="Times New Roman" w:eastAsia="宋体" w:cs="Times New Roman"/>
                      <w:b w:val="0"/>
                      <w:bCs w:val="0"/>
                      <w:color w:val="auto"/>
                      <w:spacing w:val="-2"/>
                      <w:sz w:val="21"/>
                      <w:szCs w:val="21"/>
                      <w:highlight w:val="none"/>
                      <w:vertAlign w:val="baseline"/>
                      <w:lang w:val="en-US" w:eastAsia="zh-CN"/>
                    </w:rPr>
                    <w:t>放，能够满足污染物排放管控要求。</w:t>
                  </w:r>
                  <w:r>
                    <w:rPr>
                      <w:rFonts w:hint="eastAsia" w:cs="Times New Roman"/>
                      <w:b w:val="0"/>
                      <w:bCs/>
                      <w:color w:val="auto"/>
                      <w:kern w:val="0"/>
                      <w:sz w:val="21"/>
                      <w:szCs w:val="52"/>
                      <w:highlight w:val="none"/>
                      <w:lang w:val="en-US" w:eastAsia="zh-CN" w:bidi="ar-SA"/>
                    </w:rPr>
                    <w:t>本项目</w:t>
                  </w:r>
                  <w:r>
                    <w:rPr>
                      <w:rFonts w:hint="default" w:ascii="Times New Roman" w:hAnsi="Times New Roman" w:eastAsia="宋体" w:cs="Times New Roman"/>
                      <w:b w:val="0"/>
                      <w:bCs/>
                      <w:color w:val="auto"/>
                      <w:kern w:val="0"/>
                      <w:sz w:val="21"/>
                      <w:szCs w:val="52"/>
                      <w:highlight w:val="none"/>
                      <w:lang w:val="en-US" w:eastAsia="zh-CN" w:bidi="ar-SA"/>
                    </w:rPr>
                    <w:t>严格执行总量控制要求</w:t>
                  </w:r>
                  <w:r>
                    <w:rPr>
                      <w:rFonts w:hint="eastAsia" w:cs="Times New Roman"/>
                      <w:b w:val="0"/>
                      <w:bCs/>
                      <w:color w:val="auto"/>
                      <w:kern w:val="0"/>
                      <w:sz w:val="21"/>
                      <w:szCs w:val="52"/>
                      <w:highlight w:val="none"/>
                      <w:lang w:val="en-US" w:eastAsia="zh-CN" w:bidi="ar-SA"/>
                    </w:rPr>
                    <w:t>。</w:t>
                  </w:r>
                </w:p>
              </w:tc>
              <w:tc>
                <w:tcPr>
                  <w:tcW w:w="470" w:type="pct"/>
                  <w:tcBorders>
                    <w:top w:val="single" w:color="000000" w:sz="4" w:space="0"/>
                    <w:left w:val="single" w:color="000000" w:sz="4" w:space="0"/>
                    <w:bottom w:val="single" w:color="000000" w:sz="12" w:space="0"/>
                    <w:right w:val="nil"/>
                  </w:tcBorders>
                  <w:noWrap w:val="0"/>
                  <w:vAlign w:val="center"/>
                </w:tcPr>
                <w:p w14:paraId="5DB0BB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符合</w:t>
                  </w:r>
                </w:p>
              </w:tc>
            </w:tr>
          </w:tbl>
          <w:p w14:paraId="6DEDC6A6">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highlight w:val="none"/>
                <w:lang w:val="en-US" w:eastAsia="zh-CN"/>
              </w:rPr>
            </w:pPr>
            <w:r>
              <w:rPr>
                <w:rFonts w:hint="eastAsia"/>
                <w:color w:val="auto"/>
                <w:highlight w:val="none"/>
                <w:lang w:eastAsia="zh-CN"/>
              </w:rPr>
              <w:t>综上，项目建设</w:t>
            </w:r>
            <w:r>
              <w:rPr>
                <w:rFonts w:hint="default"/>
                <w:color w:val="auto"/>
                <w:highlight w:val="none"/>
              </w:rPr>
              <w:t>符合</w:t>
            </w:r>
            <w:r>
              <w:rPr>
                <w:rFonts w:hint="eastAsia"/>
                <w:color w:val="auto"/>
                <w:highlight w:val="none"/>
              </w:rPr>
              <w:t>《挥发性有机物（VOCs）污染防治技术政策》</w:t>
            </w:r>
            <w:r>
              <w:rPr>
                <w:rFonts w:hint="default"/>
                <w:color w:val="auto"/>
                <w:highlight w:val="none"/>
              </w:rPr>
              <w:t>中相关要求。</w:t>
            </w:r>
          </w:p>
          <w:p w14:paraId="444B4D38">
            <w:pPr>
              <w:pStyle w:val="4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firstLine="482" w:firstLineChars="200"/>
              <w:textAlignment w:val="auto"/>
              <w:rPr>
                <w:rFonts w:hint="default" w:ascii="Times New Roman" w:hAnsi="Times New Roman" w:cs="Times New Roman"/>
                <w:color w:val="auto"/>
                <w:highlight w:val="none"/>
                <w:lang w:val="en-US" w:eastAsia="zh-CN"/>
              </w:rPr>
            </w:pPr>
            <w:r>
              <w:rPr>
                <w:rFonts w:hint="eastAsia" w:cs="Times New Roman"/>
                <w:b/>
                <w:bCs/>
                <w:color w:val="auto"/>
                <w:kern w:val="2"/>
                <w:sz w:val="24"/>
                <w:szCs w:val="24"/>
                <w:highlight w:val="none"/>
                <w:lang w:val="en-US" w:eastAsia="zh-CN" w:bidi="ar-SA"/>
              </w:rPr>
              <w:t>9</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cs="Times New Roman"/>
                <w:color w:val="auto"/>
                <w:highlight w:val="none"/>
                <w:lang w:val="en-US" w:eastAsia="zh-CN"/>
              </w:rPr>
              <w:t>与安徽省生态环境厅印发《安徽省低挥发性有机物含量原辅材料替代工作方案》（皖环发〔2024〕1号）相符性分析</w:t>
            </w:r>
          </w:p>
          <w:p w14:paraId="470792AD">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项目与《安徽省低挥发性有机物含量原辅材料替代工作方案》（皖环发〔2024〕1号</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相符性分析，具体见下表</w:t>
            </w:r>
            <w:r>
              <w:rPr>
                <w:rFonts w:hint="default" w:ascii="Times New Roman" w:hAnsi="Times New Roman" w:cs="Times New Roman"/>
                <w:color w:val="auto"/>
                <w:highlight w:val="none"/>
              </w:rPr>
              <w:t>。</w:t>
            </w:r>
          </w:p>
          <w:p w14:paraId="7CB7D74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highlight w:val="none"/>
                <w:lang w:val="en-US" w:eastAsia="zh-CN"/>
              </w:rPr>
            </w:pPr>
            <w:r>
              <w:rPr>
                <w:rFonts w:hint="eastAsia"/>
                <w:color w:val="auto"/>
                <w:highlight w:val="none"/>
                <w:lang w:val="en-US" w:eastAsia="zh-CN"/>
              </w:rPr>
              <w:t>表1-10与《安徽省低挥发性有机物含量原辅材料替代工作方案》相符性分析</w:t>
            </w:r>
          </w:p>
          <w:tbl>
            <w:tblPr>
              <w:tblStyle w:val="26"/>
              <w:tblW w:w="86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696"/>
              <w:gridCol w:w="4861"/>
              <w:gridCol w:w="2378"/>
              <w:gridCol w:w="737"/>
            </w:tblGrid>
            <w:tr w14:paraId="677DF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5557" w:type="dxa"/>
                  <w:gridSpan w:val="2"/>
                  <w:noWrap w:val="0"/>
                  <w:vAlign w:val="center"/>
                </w:tcPr>
                <w:p w14:paraId="5F5C35F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方案要求</w:t>
                  </w:r>
                </w:p>
              </w:tc>
              <w:tc>
                <w:tcPr>
                  <w:tcW w:w="2378" w:type="dxa"/>
                  <w:noWrap w:val="0"/>
                  <w:vAlign w:val="center"/>
                </w:tcPr>
                <w:p w14:paraId="6EB9B42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项目情况</w:t>
                  </w:r>
                </w:p>
              </w:tc>
              <w:tc>
                <w:tcPr>
                  <w:tcW w:w="737" w:type="dxa"/>
                  <w:noWrap w:val="0"/>
                  <w:vAlign w:val="center"/>
                </w:tcPr>
                <w:p w14:paraId="0532CE4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相符性</w:t>
                  </w:r>
                </w:p>
              </w:tc>
            </w:tr>
            <w:tr w14:paraId="7F2D8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27" w:hRule="atLeast"/>
                <w:jc w:val="center"/>
              </w:trPr>
              <w:tc>
                <w:tcPr>
                  <w:tcW w:w="696" w:type="dxa"/>
                  <w:noWrap w:val="0"/>
                  <w:vAlign w:val="center"/>
                </w:tcPr>
                <w:p w14:paraId="130DB7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加强替代管理</w:t>
                  </w:r>
                </w:p>
              </w:tc>
              <w:tc>
                <w:tcPr>
                  <w:tcW w:w="4861" w:type="dxa"/>
                  <w:noWrap w:val="0"/>
                  <w:vAlign w:val="center"/>
                </w:tcPr>
                <w:p w14:paraId="102714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工业涂装、包装印刷、竹木加工、家具制造、汽车修理与维护、鞋和皮革制品制造等重点行业企业，要按照《低挥发性有机物含量原辅材料源头替代技术指引（试行）》（附件3）要求，开展低VOCs原辅材料和生产方式替代，优化管控台账及档案管理，持续提升环境管理水平。各地要根据《关于深入开展挥发性有机物污染治理工作的通知》（皖大气办〔2021〕4号）要求，在认真梳理2021至2023年度VOCs源头削减治理项目清单基础上，对涉VOCs重点行业和使用溶剂型涂料、油墨、胶粘剂、清洗剂以及涉及有机化工生产的产业集群进行再排查，将含VOCs原辅材料使用企业全面纳入源头替代企业排查台账（附件2），对具备替代条件的，加强调度指导；对无法替代的，要开展论证核实，严格把关并逐一说明。</w:t>
                  </w:r>
                </w:p>
              </w:tc>
              <w:tc>
                <w:tcPr>
                  <w:tcW w:w="2378" w:type="dxa"/>
                  <w:noWrap w:val="0"/>
                  <w:vAlign w:val="center"/>
                </w:tcPr>
                <w:p w14:paraId="1540A139">
                  <w:pPr>
                    <w:pStyle w:val="15"/>
                    <w:keepNext w:val="0"/>
                    <w:keepLines w:val="0"/>
                    <w:suppressLineNumbers w:val="0"/>
                    <w:spacing w:before="0" w:beforeAutospacing="0" w:after="0" w:afterAutospacing="0"/>
                    <w:ind w:left="0" w:right="0"/>
                    <w:rPr>
                      <w:rFonts w:hint="default"/>
                      <w:color w:val="auto"/>
                      <w:sz w:val="21"/>
                      <w:szCs w:val="21"/>
                      <w:highlight w:val="none"/>
                      <w:shd w:val="clear"/>
                      <w:lang w:val="en-US" w:eastAsia="zh-CN"/>
                    </w:rPr>
                  </w:pPr>
                  <w:r>
                    <w:rPr>
                      <w:rFonts w:hint="eastAsia"/>
                      <w:color w:val="auto"/>
                      <w:sz w:val="21"/>
                      <w:szCs w:val="21"/>
                      <w:highlight w:val="none"/>
                      <w:shd w:val="clear"/>
                      <w:lang w:val="en-US" w:eastAsia="zh-CN"/>
                    </w:rPr>
                    <w:t>本项目使用原料为油剂主要成分为矿化油和乳化剂，常温状态下挥发性极小。评价要求企业建立台账记录，</w:t>
                  </w:r>
                  <w:r>
                    <w:rPr>
                      <w:rFonts w:hint="default" w:eastAsia="宋体"/>
                      <w:color w:val="auto"/>
                      <w:sz w:val="21"/>
                      <w:szCs w:val="21"/>
                      <w:highlight w:val="none"/>
                      <w:shd w:val="clear"/>
                      <w:lang w:val="en-US" w:eastAsia="zh-CN"/>
                    </w:rPr>
                    <w:t>管控台账及档案管理</w:t>
                  </w:r>
                  <w:r>
                    <w:rPr>
                      <w:rFonts w:hint="eastAsia"/>
                      <w:color w:val="auto"/>
                      <w:sz w:val="21"/>
                      <w:szCs w:val="21"/>
                      <w:highlight w:val="none"/>
                      <w:shd w:val="clear"/>
                      <w:lang w:val="en-US" w:eastAsia="zh-CN"/>
                    </w:rPr>
                    <w:t>。</w:t>
                  </w:r>
                </w:p>
              </w:tc>
              <w:tc>
                <w:tcPr>
                  <w:tcW w:w="737" w:type="dxa"/>
                  <w:noWrap w:val="0"/>
                  <w:vAlign w:val="center"/>
                </w:tcPr>
                <w:p w14:paraId="428194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0DC69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247" w:hRule="atLeast"/>
                <w:jc w:val="center"/>
              </w:trPr>
              <w:tc>
                <w:tcPr>
                  <w:tcW w:w="696" w:type="dxa"/>
                  <w:noWrap w:val="0"/>
                  <w:vAlign w:val="center"/>
                </w:tcPr>
                <w:p w14:paraId="72A220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严格项目准入</w:t>
                  </w:r>
                </w:p>
              </w:tc>
              <w:tc>
                <w:tcPr>
                  <w:tcW w:w="4861" w:type="dxa"/>
                  <w:noWrap w:val="0"/>
                  <w:vAlign w:val="center"/>
                </w:tcPr>
                <w:p w14:paraId="0E6E93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根据《低挥发性有机化合物含量涂料产品技术要求》（GB/T38597-2020）要求，进一步完善VOCs排放管控地方标准建设，细化相关行业涂料种类及各项污染物指标限值，编制实施固定源挥发性有机物综合排放标准和制鞋、汽修、木材等行业大气污染物排放标准。禁止建设生产和使用高VOCs含量的溶剂型涂料、油墨、胶黏剂等项目，全省工业涂装、包装印刷等重点行业和涂料、油墨等生产企业的新（改、扩）建项目需满足低（无）VOCs含量限值要求。省内市场上流通的水性涂料等低VOCs含量涂料产品，执行《低挥发性有机化合物含量涂料产品技术要求》，应在包装标志或产品说明上标明符合标准的分类、产品类别及产品类型（或施涂方式）。</w:t>
                  </w:r>
                </w:p>
              </w:tc>
              <w:tc>
                <w:tcPr>
                  <w:tcW w:w="2378" w:type="dxa"/>
                  <w:noWrap w:val="0"/>
                  <w:vAlign w:val="center"/>
                </w:tcPr>
                <w:p w14:paraId="38C9F7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cs="Times New Roman"/>
                      <w:color w:val="auto"/>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项目</w:t>
                  </w:r>
                  <w:r>
                    <w:rPr>
                      <w:rFonts w:hint="default" w:ascii="Times New Roman" w:hAnsi="Times New Roman" w:eastAsia="宋体" w:cs="Times New Roman"/>
                      <w:color w:val="auto"/>
                      <w:kern w:val="0"/>
                      <w:sz w:val="21"/>
                      <w:szCs w:val="21"/>
                      <w:highlight w:val="none"/>
                      <w:lang w:val="en-US" w:eastAsia="zh-CN" w:bidi="ar"/>
                    </w:rPr>
                    <w:t>属于</w:t>
                  </w:r>
                  <w:r>
                    <w:rPr>
                      <w:rFonts w:hint="eastAsia" w:cs="Times New Roman"/>
                      <w:color w:val="auto"/>
                      <w:kern w:val="0"/>
                      <w:sz w:val="21"/>
                      <w:szCs w:val="21"/>
                      <w:highlight w:val="none"/>
                      <w:lang w:val="en-US" w:eastAsia="zh-CN" w:bidi="ar"/>
                    </w:rPr>
                    <w:t>C1751化纤织造加工</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项目使用的原辅料均采用密封</w:t>
                  </w:r>
                  <w:r>
                    <w:rPr>
                      <w:rFonts w:hint="eastAsia" w:cs="Times New Roman"/>
                      <w:color w:val="auto"/>
                      <w:kern w:val="0"/>
                      <w:sz w:val="21"/>
                      <w:szCs w:val="21"/>
                      <w:highlight w:val="none"/>
                      <w:lang w:val="en-US" w:eastAsia="zh-CN" w:bidi="ar"/>
                    </w:rPr>
                    <w:t>包</w:t>
                  </w:r>
                  <w:r>
                    <w:rPr>
                      <w:rFonts w:hint="default" w:ascii="Times New Roman" w:hAnsi="Times New Roman" w:eastAsia="宋体" w:cs="Times New Roman"/>
                      <w:color w:val="auto"/>
                      <w:kern w:val="0"/>
                      <w:sz w:val="21"/>
                      <w:szCs w:val="21"/>
                      <w:highlight w:val="none"/>
                      <w:lang w:val="en-US" w:eastAsia="zh-CN" w:bidi="ar"/>
                    </w:rPr>
                    <w:t>装；</w:t>
                  </w:r>
                  <w:r>
                    <w:rPr>
                      <w:rFonts w:hint="eastAsia" w:cs="Times New Roman"/>
                      <w:b w:val="0"/>
                      <w:bCs/>
                      <w:color w:val="auto"/>
                      <w:kern w:val="2"/>
                      <w:sz w:val="21"/>
                      <w:szCs w:val="21"/>
                      <w:highlight w:val="none"/>
                      <w:lang w:val="en-US" w:eastAsia="zh-CN" w:bidi="ar-SA"/>
                    </w:rPr>
                    <w:t>加弹</w:t>
                  </w:r>
                  <w:r>
                    <w:rPr>
                      <w:rFonts w:hint="eastAsia" w:ascii="Times New Roman" w:hAnsi="Times New Roman" w:cs="Times New Roman"/>
                      <w:b w:val="0"/>
                      <w:bCs/>
                      <w:color w:val="auto"/>
                      <w:kern w:val="2"/>
                      <w:sz w:val="21"/>
                      <w:szCs w:val="21"/>
                      <w:highlight w:val="none"/>
                      <w:lang w:val="en-US" w:eastAsia="zh-CN" w:bidi="ar-SA"/>
                    </w:rPr>
                    <w:t>产生的</w:t>
                  </w:r>
                  <w:r>
                    <w:rPr>
                      <w:rFonts w:hint="eastAsia" w:cs="Times New Roman"/>
                      <w:b w:val="0"/>
                      <w:bCs/>
                      <w:color w:val="auto"/>
                      <w:kern w:val="2"/>
                      <w:sz w:val="21"/>
                      <w:szCs w:val="21"/>
                      <w:highlight w:val="none"/>
                      <w:lang w:val="en-US" w:eastAsia="zh-CN" w:bidi="ar-SA"/>
                    </w:rPr>
                    <w:t>有机</w:t>
                  </w:r>
                  <w:r>
                    <w:rPr>
                      <w:rFonts w:hint="default" w:ascii="Times New Roman" w:hAnsi="Times New Roman" w:eastAsia="宋体" w:cs="Times New Roman"/>
                      <w:b w:val="0"/>
                      <w:bCs/>
                      <w:color w:val="auto"/>
                      <w:sz w:val="21"/>
                      <w:szCs w:val="21"/>
                      <w:highlight w:val="none"/>
                      <w:lang w:val="en-US" w:eastAsia="zh-CN" w:bidi="ar-SA"/>
                    </w:rPr>
                    <w:t>废气</w:t>
                  </w:r>
                  <w:r>
                    <w:rPr>
                      <w:rFonts w:hint="eastAsia" w:cs="Times New Roman"/>
                      <w:b w:val="0"/>
                      <w:bCs/>
                      <w:color w:val="auto"/>
                      <w:kern w:val="2"/>
                      <w:sz w:val="21"/>
                      <w:szCs w:val="21"/>
                      <w:highlight w:val="none"/>
                      <w:lang w:val="en-US" w:eastAsia="zh-CN" w:bidi="ar-SA"/>
                    </w:rPr>
                    <w:t>集气管收集</w:t>
                  </w:r>
                  <w:r>
                    <w:rPr>
                      <w:rFonts w:hint="eastAsia" w:ascii="Times New Roman" w:hAnsi="Times New Roman" w:eastAsia="宋体" w:cs="Times New Roman"/>
                      <w:color w:val="auto"/>
                      <w:kern w:val="0"/>
                      <w:sz w:val="21"/>
                      <w:szCs w:val="21"/>
                      <w:highlight w:val="none"/>
                      <w:lang w:val="en-US" w:eastAsia="zh-CN" w:bidi="ar"/>
                    </w:rPr>
                    <w:t>后通过</w:t>
                  </w:r>
                  <w:r>
                    <w:rPr>
                      <w:rFonts w:hint="eastAsia" w:cs="Times New Roman"/>
                      <w:b w:val="0"/>
                      <w:bCs/>
                      <w:color w:val="auto"/>
                      <w:kern w:val="2"/>
                      <w:sz w:val="21"/>
                      <w:szCs w:val="21"/>
                      <w:highlight w:val="none"/>
                      <w:lang w:val="en-US" w:eastAsia="zh-CN" w:bidi="ar-SA"/>
                    </w:rPr>
                    <w:t>活性炭吸附脱附+催化燃烧</w:t>
                  </w:r>
                  <w:r>
                    <w:rPr>
                      <w:rFonts w:hint="eastAsia" w:ascii="Times New Roman" w:hAnsi="Times New Roman" w:cs="Times New Roman"/>
                      <w:color w:val="auto"/>
                      <w:kern w:val="0"/>
                      <w:sz w:val="21"/>
                      <w:szCs w:val="21"/>
                      <w:highlight w:val="none"/>
                      <w:lang w:val="en-US" w:eastAsia="zh-CN" w:bidi="ar"/>
                    </w:rPr>
                    <w:t>处理后</w:t>
                  </w:r>
                  <w:r>
                    <w:rPr>
                      <w:rFonts w:hint="eastAsia" w:cs="Times New Roman"/>
                      <w:color w:val="auto"/>
                      <w:kern w:val="0"/>
                      <w:sz w:val="21"/>
                      <w:szCs w:val="21"/>
                      <w:highlight w:val="none"/>
                      <w:lang w:val="en-US" w:eastAsia="zh-CN" w:bidi="ar"/>
                    </w:rPr>
                    <w:t>，</w:t>
                  </w:r>
                  <w:r>
                    <w:rPr>
                      <w:rFonts w:hint="eastAsia" w:ascii="Times New Roman" w:hAnsi="Times New Roman" w:cs="Times New Roman"/>
                      <w:color w:val="auto"/>
                      <w:kern w:val="0"/>
                      <w:sz w:val="21"/>
                      <w:szCs w:val="21"/>
                      <w:highlight w:val="none"/>
                      <w:lang w:val="en-US" w:eastAsia="zh-CN" w:bidi="ar"/>
                    </w:rPr>
                    <w:t>由一根</w:t>
                  </w:r>
                  <w:r>
                    <w:rPr>
                      <w:rFonts w:hint="eastAsia" w:ascii="Times New Roman" w:hAnsi="Times New Roman" w:eastAsia="宋体" w:cs="Times New Roman"/>
                      <w:b w:val="0"/>
                      <w:bCs/>
                      <w:color w:val="auto"/>
                      <w:kern w:val="2"/>
                      <w:sz w:val="21"/>
                      <w:szCs w:val="21"/>
                      <w:highlight w:val="none"/>
                      <w:lang w:val="en-US" w:eastAsia="zh-CN" w:bidi="ar-SA"/>
                    </w:rPr>
                    <w:t>15m高排气筒（</w:t>
                  </w:r>
                  <w:r>
                    <w:rPr>
                      <w:rFonts w:hint="eastAsia" w:cs="Times New Roman"/>
                      <w:b w:val="0"/>
                      <w:bCs/>
                      <w:color w:val="auto"/>
                      <w:kern w:val="2"/>
                      <w:sz w:val="21"/>
                      <w:szCs w:val="21"/>
                      <w:highlight w:val="none"/>
                      <w:lang w:val="en-US" w:eastAsia="zh-CN" w:bidi="ar-SA"/>
                    </w:rPr>
                    <w:t>DA001</w:t>
                  </w:r>
                  <w:r>
                    <w:rPr>
                      <w:rFonts w:hint="eastAsia" w:ascii="Times New Roman" w:hAnsi="Times New Roman" w:eastAsia="宋体" w:cs="Times New Roman"/>
                      <w:b w:val="0"/>
                      <w:bCs/>
                      <w:color w:val="auto"/>
                      <w:kern w:val="2"/>
                      <w:sz w:val="21"/>
                      <w:szCs w:val="21"/>
                      <w:highlight w:val="none"/>
                      <w:lang w:val="en-US" w:eastAsia="zh-CN" w:bidi="ar-SA"/>
                    </w:rPr>
                    <w:t>）排放。</w:t>
                  </w:r>
                  <w:r>
                    <w:rPr>
                      <w:rFonts w:hint="eastAsia" w:cs="Times New Roman"/>
                      <w:color w:val="auto"/>
                      <w:kern w:val="0"/>
                      <w:sz w:val="21"/>
                      <w:szCs w:val="21"/>
                      <w:highlight w:val="none"/>
                      <w:lang w:val="en-US" w:eastAsia="zh-CN" w:bidi="ar"/>
                    </w:rPr>
                    <w:t>满足《大气污染物综合排放标准》（GB16297-1996））及</w:t>
                  </w:r>
                  <w:r>
                    <w:rPr>
                      <w:rFonts w:hint="eastAsia" w:ascii="Times New Roman" w:hAnsi="Times New Roman" w:eastAsia="宋体" w:cs="Times New Roman"/>
                      <w:color w:val="auto"/>
                      <w:kern w:val="0"/>
                      <w:sz w:val="21"/>
                      <w:szCs w:val="21"/>
                      <w:highlight w:val="none"/>
                      <w:lang w:val="en-US" w:eastAsia="zh-CN" w:bidi="ar"/>
                    </w:rPr>
                    <w:t>《固定源挥发性有机物综合排放标准第6部分其他行业》（DB34/4812.6-2024）</w:t>
                  </w:r>
                  <w:r>
                    <w:rPr>
                      <w:rFonts w:hint="eastAsia" w:cs="Times New Roman"/>
                      <w:color w:val="auto"/>
                      <w:kern w:val="0"/>
                      <w:sz w:val="21"/>
                      <w:szCs w:val="21"/>
                      <w:highlight w:val="none"/>
                      <w:lang w:val="en-US" w:eastAsia="zh-CN" w:bidi="ar"/>
                    </w:rPr>
                    <w:t>中相关标准。</w:t>
                  </w:r>
                </w:p>
              </w:tc>
              <w:tc>
                <w:tcPr>
                  <w:tcW w:w="737" w:type="dxa"/>
                  <w:noWrap w:val="0"/>
                  <w:vAlign w:val="center"/>
                </w:tcPr>
                <w:p w14:paraId="45A8C3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14:paraId="7256B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850" w:hRule="atLeast"/>
                <w:jc w:val="center"/>
              </w:trPr>
              <w:tc>
                <w:tcPr>
                  <w:tcW w:w="696" w:type="dxa"/>
                  <w:noWrap w:val="0"/>
                  <w:vAlign w:val="center"/>
                </w:tcPr>
                <w:p w14:paraId="7C9A69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强化示范带动</w:t>
                  </w:r>
                </w:p>
              </w:tc>
              <w:tc>
                <w:tcPr>
                  <w:tcW w:w="4861" w:type="dxa"/>
                  <w:noWrap w:val="0"/>
                  <w:vAlign w:val="center"/>
                </w:tcPr>
                <w:p w14:paraId="6FBA35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结合产业特点，实施工业涂装、包装印刷重点行业低VOCs含量原辅材料源头替代企业豁免末端治理设施试点，完善建立含VOCs物料生产端和使用端清洁原辅材料替代正面清单。各地要将全部生产水性、粉末、无溶剂、辐射固化涂料以及水性和能量固化油墨、水基和半水基清洗剂、水基型和本体型胶粘剂的生产企业，以及已经完全实施低VOCs含量清洁原料替代，排放浓度稳定达标且排放速率、排放绩效等满足相关规定的企业，纳入正面清单管理，在重污染天气应对、环境执法检查、政府绿色采购、绿色工厂及清洁生产评价、绿色产品认证、企业信贷融资等方面，给予政策倾斜。以工业涂装和包装印刷为行业试点，实施低VOCs原辅材料替代企业豁免挥发性有机物末端治理鼓励政策（附件4），规范引导企业积极开展源头替代工作。要充分发挥行业协会作用，邀请行业协会、专业检测机构等技术专家参与审核抽查工作，经各市审核确定的符合免条件的企业，相应生产工序可不要求建设末端治理设施或VOCs无组织排放收集处理设施。</w:t>
                  </w:r>
                </w:p>
              </w:tc>
              <w:tc>
                <w:tcPr>
                  <w:tcW w:w="2378" w:type="dxa"/>
                  <w:noWrap w:val="0"/>
                  <w:vAlign w:val="center"/>
                </w:tcPr>
                <w:p w14:paraId="2019CA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textAlignment w:val="auto"/>
                    <w:rPr>
                      <w:rFonts w:hint="default" w:ascii="Times New Roman" w:hAnsi="Times New Roman" w:cs="Times New Roman"/>
                      <w:color w:val="auto"/>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项目</w:t>
                  </w:r>
                  <w:r>
                    <w:rPr>
                      <w:rFonts w:hint="default" w:ascii="Times New Roman" w:hAnsi="Times New Roman" w:eastAsia="宋体" w:cs="Times New Roman"/>
                      <w:color w:val="auto"/>
                      <w:kern w:val="0"/>
                      <w:sz w:val="21"/>
                      <w:szCs w:val="21"/>
                      <w:highlight w:val="none"/>
                      <w:lang w:val="en-US" w:eastAsia="zh-CN" w:bidi="ar"/>
                    </w:rPr>
                    <w:t>属于</w:t>
                  </w:r>
                  <w:r>
                    <w:rPr>
                      <w:rFonts w:hint="eastAsia" w:cs="Times New Roman"/>
                      <w:color w:val="auto"/>
                      <w:kern w:val="0"/>
                      <w:sz w:val="21"/>
                      <w:szCs w:val="21"/>
                      <w:highlight w:val="none"/>
                      <w:lang w:val="en-US" w:eastAsia="zh-CN" w:bidi="ar"/>
                    </w:rPr>
                    <w:t>C1751化纤织造加工</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shd w:val="clear"/>
                      <w:lang w:val="en-US" w:eastAsia="zh-CN" w:bidi="ar"/>
                    </w:rPr>
                    <w:t>项目使用的原辅料采用密封</w:t>
                  </w:r>
                  <w:r>
                    <w:rPr>
                      <w:rFonts w:hint="eastAsia" w:cs="Times New Roman"/>
                      <w:color w:val="auto"/>
                      <w:kern w:val="0"/>
                      <w:sz w:val="21"/>
                      <w:szCs w:val="21"/>
                      <w:highlight w:val="none"/>
                      <w:shd w:val="clear"/>
                      <w:lang w:val="en-US" w:eastAsia="zh-CN" w:bidi="ar"/>
                    </w:rPr>
                    <w:t>包装</w:t>
                  </w:r>
                  <w:r>
                    <w:rPr>
                      <w:rFonts w:hint="default" w:ascii="Times New Roman" w:hAnsi="Times New Roman" w:eastAsia="宋体" w:cs="Times New Roman"/>
                      <w:color w:val="auto"/>
                      <w:kern w:val="0"/>
                      <w:sz w:val="21"/>
                      <w:szCs w:val="21"/>
                      <w:highlight w:val="none"/>
                      <w:shd w:val="clear"/>
                      <w:lang w:val="en-US" w:eastAsia="zh-CN" w:bidi="ar"/>
                    </w:rPr>
                    <w:t>；</w:t>
                  </w:r>
                  <w:r>
                    <w:rPr>
                      <w:rFonts w:hint="eastAsia" w:cs="Times New Roman"/>
                      <w:b w:val="0"/>
                      <w:bCs/>
                      <w:color w:val="auto"/>
                      <w:kern w:val="2"/>
                      <w:sz w:val="21"/>
                      <w:szCs w:val="21"/>
                      <w:highlight w:val="none"/>
                      <w:lang w:val="en-US" w:eastAsia="zh-CN" w:bidi="ar-SA"/>
                    </w:rPr>
                    <w:t>加弹</w:t>
                  </w:r>
                  <w:r>
                    <w:rPr>
                      <w:rFonts w:hint="eastAsia" w:ascii="Times New Roman" w:hAnsi="Times New Roman" w:cs="Times New Roman"/>
                      <w:b w:val="0"/>
                      <w:bCs/>
                      <w:color w:val="auto"/>
                      <w:kern w:val="2"/>
                      <w:sz w:val="21"/>
                      <w:szCs w:val="21"/>
                      <w:highlight w:val="none"/>
                      <w:lang w:val="en-US" w:eastAsia="zh-CN" w:bidi="ar-SA"/>
                    </w:rPr>
                    <w:t>产生的</w:t>
                  </w:r>
                  <w:r>
                    <w:rPr>
                      <w:rFonts w:hint="eastAsia" w:cs="Times New Roman"/>
                      <w:b w:val="0"/>
                      <w:bCs/>
                      <w:color w:val="auto"/>
                      <w:kern w:val="2"/>
                      <w:sz w:val="21"/>
                      <w:szCs w:val="21"/>
                      <w:highlight w:val="none"/>
                      <w:lang w:val="en-US" w:eastAsia="zh-CN" w:bidi="ar-SA"/>
                    </w:rPr>
                    <w:t>有机</w:t>
                  </w:r>
                  <w:r>
                    <w:rPr>
                      <w:rFonts w:hint="default" w:ascii="Times New Roman" w:hAnsi="Times New Roman" w:eastAsia="宋体" w:cs="Times New Roman"/>
                      <w:b w:val="0"/>
                      <w:bCs/>
                      <w:color w:val="auto"/>
                      <w:sz w:val="21"/>
                      <w:szCs w:val="21"/>
                      <w:highlight w:val="none"/>
                      <w:lang w:val="en-US" w:eastAsia="zh-CN" w:bidi="ar-SA"/>
                    </w:rPr>
                    <w:t>废气</w:t>
                  </w:r>
                  <w:r>
                    <w:rPr>
                      <w:rFonts w:hint="eastAsia" w:cs="Times New Roman"/>
                      <w:b w:val="0"/>
                      <w:bCs/>
                      <w:color w:val="auto"/>
                      <w:kern w:val="2"/>
                      <w:sz w:val="21"/>
                      <w:szCs w:val="21"/>
                      <w:highlight w:val="none"/>
                      <w:lang w:val="en-US" w:eastAsia="zh-CN" w:bidi="ar-SA"/>
                    </w:rPr>
                    <w:t>集气管收集</w:t>
                  </w:r>
                  <w:r>
                    <w:rPr>
                      <w:rFonts w:hint="eastAsia" w:ascii="Times New Roman" w:hAnsi="Times New Roman" w:eastAsia="宋体" w:cs="Times New Roman"/>
                      <w:color w:val="auto"/>
                      <w:kern w:val="0"/>
                      <w:sz w:val="21"/>
                      <w:szCs w:val="21"/>
                      <w:highlight w:val="none"/>
                      <w:lang w:val="en-US" w:eastAsia="zh-CN" w:bidi="ar"/>
                    </w:rPr>
                    <w:t>后通过</w:t>
                  </w:r>
                  <w:r>
                    <w:rPr>
                      <w:rFonts w:hint="eastAsia" w:cs="Times New Roman"/>
                      <w:b w:val="0"/>
                      <w:bCs/>
                      <w:color w:val="auto"/>
                      <w:kern w:val="2"/>
                      <w:sz w:val="21"/>
                      <w:szCs w:val="21"/>
                      <w:highlight w:val="none"/>
                      <w:lang w:val="en-US" w:eastAsia="zh-CN" w:bidi="ar-SA"/>
                    </w:rPr>
                    <w:t>活性炭吸附脱附+催化燃烧</w:t>
                  </w:r>
                  <w:r>
                    <w:rPr>
                      <w:rFonts w:hint="eastAsia" w:ascii="Times New Roman" w:hAnsi="Times New Roman" w:cs="Times New Roman"/>
                      <w:color w:val="auto"/>
                      <w:kern w:val="0"/>
                      <w:sz w:val="21"/>
                      <w:szCs w:val="21"/>
                      <w:highlight w:val="none"/>
                      <w:lang w:val="en-US" w:eastAsia="zh-CN" w:bidi="ar"/>
                    </w:rPr>
                    <w:t>处理后</w:t>
                  </w:r>
                  <w:r>
                    <w:rPr>
                      <w:rFonts w:hint="eastAsia" w:cs="Times New Roman"/>
                      <w:color w:val="auto"/>
                      <w:kern w:val="0"/>
                      <w:sz w:val="21"/>
                      <w:szCs w:val="21"/>
                      <w:highlight w:val="none"/>
                      <w:lang w:val="en-US" w:eastAsia="zh-CN" w:bidi="ar"/>
                    </w:rPr>
                    <w:t>，</w:t>
                  </w:r>
                  <w:r>
                    <w:rPr>
                      <w:rFonts w:hint="eastAsia" w:ascii="Times New Roman" w:hAnsi="Times New Roman" w:cs="Times New Roman"/>
                      <w:color w:val="auto"/>
                      <w:kern w:val="0"/>
                      <w:sz w:val="21"/>
                      <w:szCs w:val="21"/>
                      <w:highlight w:val="none"/>
                      <w:lang w:val="en-US" w:eastAsia="zh-CN" w:bidi="ar"/>
                    </w:rPr>
                    <w:t>由一根</w:t>
                  </w:r>
                  <w:r>
                    <w:rPr>
                      <w:rFonts w:hint="eastAsia" w:ascii="Times New Roman" w:hAnsi="Times New Roman" w:eastAsia="宋体" w:cs="Times New Roman"/>
                      <w:b w:val="0"/>
                      <w:bCs/>
                      <w:color w:val="auto"/>
                      <w:kern w:val="2"/>
                      <w:sz w:val="21"/>
                      <w:szCs w:val="21"/>
                      <w:highlight w:val="none"/>
                      <w:lang w:val="en-US" w:eastAsia="zh-CN" w:bidi="ar-SA"/>
                    </w:rPr>
                    <w:t>15m高排气筒（</w:t>
                  </w:r>
                  <w:r>
                    <w:rPr>
                      <w:rFonts w:hint="eastAsia" w:cs="Times New Roman"/>
                      <w:b w:val="0"/>
                      <w:bCs/>
                      <w:color w:val="auto"/>
                      <w:kern w:val="2"/>
                      <w:sz w:val="21"/>
                      <w:szCs w:val="21"/>
                      <w:highlight w:val="none"/>
                      <w:lang w:val="en-US" w:eastAsia="zh-CN" w:bidi="ar-SA"/>
                    </w:rPr>
                    <w:t>DA001</w:t>
                  </w:r>
                  <w:r>
                    <w:rPr>
                      <w:rFonts w:hint="eastAsia" w:ascii="Times New Roman" w:hAnsi="Times New Roman" w:eastAsia="宋体" w:cs="Times New Roman"/>
                      <w:b w:val="0"/>
                      <w:bCs/>
                      <w:color w:val="auto"/>
                      <w:kern w:val="2"/>
                      <w:sz w:val="21"/>
                      <w:szCs w:val="21"/>
                      <w:highlight w:val="none"/>
                      <w:lang w:val="en-US" w:eastAsia="zh-CN" w:bidi="ar-SA"/>
                    </w:rPr>
                    <w:t>）排放。</w:t>
                  </w:r>
                  <w:r>
                    <w:rPr>
                      <w:rFonts w:hint="eastAsia" w:cs="Times New Roman"/>
                      <w:color w:val="auto"/>
                      <w:kern w:val="0"/>
                      <w:sz w:val="21"/>
                      <w:szCs w:val="21"/>
                      <w:highlight w:val="none"/>
                      <w:lang w:val="en-US" w:eastAsia="zh-CN" w:bidi="ar"/>
                    </w:rPr>
                    <w:t>满足《大气污染物综合排放标准》（GB16297-1996））及</w:t>
                  </w:r>
                  <w:r>
                    <w:rPr>
                      <w:rFonts w:hint="eastAsia" w:ascii="Times New Roman" w:hAnsi="Times New Roman" w:eastAsia="宋体" w:cs="Times New Roman"/>
                      <w:color w:val="auto"/>
                      <w:kern w:val="0"/>
                      <w:sz w:val="21"/>
                      <w:szCs w:val="21"/>
                      <w:highlight w:val="none"/>
                      <w:lang w:val="en-US" w:eastAsia="zh-CN" w:bidi="ar"/>
                    </w:rPr>
                    <w:t>《固定源挥发性有机物综合排放标准第6部分其他行业》（DB34/4812.6-2024）</w:t>
                  </w:r>
                  <w:r>
                    <w:rPr>
                      <w:rFonts w:hint="eastAsia" w:cs="Times New Roman"/>
                      <w:color w:val="auto"/>
                      <w:kern w:val="0"/>
                      <w:sz w:val="21"/>
                      <w:szCs w:val="21"/>
                      <w:highlight w:val="none"/>
                      <w:lang w:val="en-US" w:eastAsia="zh-CN" w:bidi="ar"/>
                    </w:rPr>
                    <w:t>中相关标准。</w:t>
                  </w:r>
                  <w:r>
                    <w:rPr>
                      <w:rFonts w:hint="eastAsia"/>
                      <w:color w:val="auto"/>
                      <w:sz w:val="21"/>
                      <w:szCs w:val="21"/>
                      <w:highlight w:val="none"/>
                      <w:lang w:val="en-US" w:eastAsia="zh-CN"/>
                    </w:rPr>
                    <w:t>排放速率稳定。</w:t>
                  </w:r>
                </w:p>
              </w:tc>
              <w:tc>
                <w:tcPr>
                  <w:tcW w:w="737" w:type="dxa"/>
                  <w:noWrap w:val="0"/>
                  <w:vAlign w:val="center"/>
                </w:tcPr>
                <w:p w14:paraId="33EEDD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bl>
          <w:p w14:paraId="7A28EDD7">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Style w:val="65"/>
                <w:color w:val="auto"/>
                <w:highlight w:val="none"/>
              </w:rPr>
            </w:pPr>
            <w:r>
              <w:rPr>
                <w:rFonts w:hint="eastAsia" w:cs="宋体"/>
                <w:color w:val="auto"/>
                <w:kern w:val="0"/>
                <w:sz w:val="24"/>
                <w:highlight w:val="none"/>
                <w:lang w:bidi="ar"/>
              </w:rPr>
              <w:t>综上，项目建设符合《安徽省低挥发性有机物含量原辅材料替代工作方案》（皖环发〔2024〕1号）中相关要求</w:t>
            </w:r>
            <w:r>
              <w:rPr>
                <w:rStyle w:val="65"/>
                <w:color w:val="auto"/>
                <w:highlight w:val="none"/>
              </w:rPr>
              <w:t>。</w:t>
            </w:r>
          </w:p>
          <w:p w14:paraId="797D78AF">
            <w:pPr>
              <w:pStyle w:val="44"/>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rPr>
                <w:rFonts w:hint="default"/>
                <w:color w:val="auto"/>
                <w:highlight w:val="none"/>
              </w:rPr>
            </w:pPr>
            <w:r>
              <w:rPr>
                <w:rFonts w:hint="eastAsia"/>
                <w:color w:val="auto"/>
                <w:highlight w:val="none"/>
                <w:lang w:val="en-US" w:eastAsia="zh-CN"/>
              </w:rPr>
              <w:t>10、</w:t>
            </w:r>
            <w:r>
              <w:rPr>
                <w:rFonts w:hint="default"/>
                <w:color w:val="auto"/>
                <w:highlight w:val="none"/>
              </w:rPr>
              <w:t>与</w:t>
            </w:r>
            <w:r>
              <w:rPr>
                <w:rFonts w:hint="eastAsia"/>
                <w:color w:val="auto"/>
                <w:highlight w:val="none"/>
              </w:rPr>
              <w:t>蚌埠市人民政府办公室</w:t>
            </w:r>
            <w:r>
              <w:rPr>
                <w:rFonts w:hint="default"/>
                <w:color w:val="auto"/>
                <w:highlight w:val="none"/>
              </w:rPr>
              <w:t>关于印发《</w:t>
            </w:r>
            <w:r>
              <w:rPr>
                <w:rFonts w:hint="eastAsia"/>
                <w:color w:val="auto"/>
                <w:highlight w:val="none"/>
              </w:rPr>
              <w:t>蚌埠市空气质量提升攻坚行动方案</w:t>
            </w:r>
            <w:r>
              <w:rPr>
                <w:rFonts w:hint="default"/>
                <w:color w:val="auto"/>
                <w:highlight w:val="none"/>
              </w:rPr>
              <w:t>》的通知（</w:t>
            </w:r>
            <w:r>
              <w:rPr>
                <w:rFonts w:hint="eastAsia"/>
                <w:color w:val="auto"/>
                <w:highlight w:val="none"/>
              </w:rPr>
              <w:t>蚌政办秘〔2024〕28号</w:t>
            </w:r>
            <w:r>
              <w:rPr>
                <w:rFonts w:hint="default"/>
                <w:color w:val="auto"/>
                <w:highlight w:val="none"/>
              </w:rPr>
              <w:t>）的相符性</w:t>
            </w:r>
          </w:p>
          <w:p w14:paraId="1E0AE1CE">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宋体"/>
                <w:color w:val="auto"/>
                <w:kern w:val="0"/>
                <w:sz w:val="24"/>
                <w:highlight w:val="none"/>
                <w:lang w:bidi="ar"/>
              </w:rPr>
            </w:pPr>
            <w:r>
              <w:rPr>
                <w:rFonts w:hint="default" w:ascii="Times New Roman" w:hAnsi="Times New Roman" w:eastAsia="宋体" w:cs="宋体"/>
                <w:color w:val="auto"/>
                <w:kern w:val="0"/>
                <w:sz w:val="24"/>
                <w:highlight w:val="none"/>
                <w:lang w:bidi="ar"/>
              </w:rPr>
              <w:t>项目与《</w:t>
            </w:r>
            <w:r>
              <w:rPr>
                <w:rFonts w:hint="eastAsia" w:ascii="Times New Roman" w:hAnsi="Times New Roman" w:eastAsia="宋体" w:cs="宋体"/>
                <w:color w:val="auto"/>
                <w:kern w:val="0"/>
                <w:sz w:val="24"/>
                <w:highlight w:val="none"/>
                <w:lang w:bidi="ar"/>
              </w:rPr>
              <w:t>蚌埠市空气质量提升攻坚行动方案</w:t>
            </w:r>
            <w:r>
              <w:rPr>
                <w:rFonts w:hint="default" w:ascii="Times New Roman" w:hAnsi="Times New Roman" w:eastAsia="宋体" w:cs="宋体"/>
                <w:color w:val="auto"/>
                <w:kern w:val="0"/>
                <w:sz w:val="24"/>
                <w:highlight w:val="none"/>
                <w:lang w:bidi="ar"/>
              </w:rPr>
              <w:t>》相符性分析内容，具体见下表。</w:t>
            </w:r>
          </w:p>
          <w:p w14:paraId="6D464DBC">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baseline"/>
              <w:rPr>
                <w:rFonts w:hint="eastAsia"/>
                <w:color w:val="auto"/>
                <w:highlight w:val="none"/>
                <w:lang w:val="en-US" w:eastAsia="zh-CN"/>
              </w:rPr>
            </w:pPr>
            <w:r>
              <w:rPr>
                <w:rFonts w:hint="default" w:ascii="Times New Roman" w:hAnsi="Times New Roman" w:eastAsia="宋体" w:cs="Times New Roman"/>
                <w:b/>
                <w:color w:val="auto"/>
                <w:sz w:val="24"/>
                <w:highlight w:val="none"/>
              </w:rPr>
              <w:t>表1-</w:t>
            </w:r>
            <w:r>
              <w:rPr>
                <w:rFonts w:hint="eastAsia" w:ascii="Times New Roman" w:hAnsi="Times New Roman" w:eastAsia="宋体" w:cs="Times New Roman"/>
                <w:b/>
                <w:color w:val="auto"/>
                <w:sz w:val="24"/>
                <w:highlight w:val="none"/>
                <w:lang w:val="en-US" w:eastAsia="zh-CN"/>
              </w:rPr>
              <w:t>1</w:t>
            </w:r>
            <w:r>
              <w:rPr>
                <w:rFonts w:hint="eastAsia" w:ascii="Times New Roman" w:hAnsi="Times New Roman" w:cs="Times New Roman"/>
                <w:b/>
                <w:color w:val="auto"/>
                <w:sz w:val="24"/>
                <w:highlight w:val="none"/>
                <w:lang w:val="en-US" w:eastAsia="zh-CN"/>
              </w:rPr>
              <w:t>1</w:t>
            </w:r>
            <w:r>
              <w:rPr>
                <w:rFonts w:hint="default" w:ascii="Times New Roman" w:hAnsi="Times New Roman" w:eastAsia="宋体" w:cs="Times New Roman"/>
                <w:b/>
                <w:color w:val="auto"/>
                <w:sz w:val="24"/>
                <w:highlight w:val="none"/>
              </w:rPr>
              <w:t>与《</w:t>
            </w:r>
            <w:r>
              <w:rPr>
                <w:rFonts w:hint="eastAsia" w:ascii="Times New Roman" w:hAnsi="Times New Roman" w:eastAsia="宋体" w:cs="Times New Roman"/>
                <w:b/>
                <w:color w:val="auto"/>
                <w:sz w:val="24"/>
                <w:highlight w:val="none"/>
              </w:rPr>
              <w:t>蚌埠市空气质量提升攻坚行动方案</w:t>
            </w:r>
            <w:r>
              <w:rPr>
                <w:rFonts w:hint="default" w:ascii="Times New Roman" w:hAnsi="Times New Roman" w:eastAsia="宋体" w:cs="Times New Roman"/>
                <w:b/>
                <w:color w:val="auto"/>
                <w:sz w:val="24"/>
                <w:highlight w:val="none"/>
              </w:rPr>
              <w:t>》相符性分析</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34"/>
              <w:gridCol w:w="585"/>
              <w:gridCol w:w="1046"/>
              <w:gridCol w:w="3853"/>
              <w:gridCol w:w="2038"/>
              <w:gridCol w:w="872"/>
            </w:tblGrid>
            <w:tr w14:paraId="4F9CD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1" w:type="pct"/>
                  <w:noWrap w:val="0"/>
                  <w:vAlign w:val="center"/>
                </w:tcPr>
                <w:p w14:paraId="373DC258">
                  <w:pPr>
                    <w:keepNext/>
                    <w:keepLines/>
                    <w:suppressLineNumbers w:val="0"/>
                    <w:wordWrap w:val="0"/>
                    <w:adjustRightInd w:val="0"/>
                    <w:snapToGrid w:val="0"/>
                    <w:spacing w:before="0" w:beforeAutospacing="0" w:after="0" w:afterAutospacing="0"/>
                    <w:ind w:left="0" w:right="0"/>
                    <w:jc w:val="center"/>
                    <w:rPr>
                      <w:rFonts w:hint="default"/>
                      <w:b/>
                      <w:bCs/>
                      <w:snapToGrid w:val="0"/>
                      <w:color w:val="auto"/>
                      <w:kern w:val="0"/>
                      <w:sz w:val="21"/>
                      <w:szCs w:val="21"/>
                      <w:highlight w:val="none"/>
                    </w:rPr>
                  </w:pPr>
                  <w:r>
                    <w:rPr>
                      <w:rFonts w:hint="default"/>
                      <w:b/>
                      <w:bCs/>
                      <w:snapToGrid w:val="0"/>
                      <w:color w:val="auto"/>
                      <w:kern w:val="0"/>
                      <w:sz w:val="21"/>
                      <w:szCs w:val="21"/>
                      <w:highlight w:val="none"/>
                    </w:rPr>
                    <w:t>序号</w:t>
                  </w:r>
                </w:p>
              </w:tc>
              <w:tc>
                <w:tcPr>
                  <w:tcW w:w="3036" w:type="pct"/>
                  <w:gridSpan w:val="3"/>
                  <w:noWrap w:val="0"/>
                  <w:vAlign w:val="center"/>
                </w:tcPr>
                <w:p w14:paraId="3DC65F2C">
                  <w:pPr>
                    <w:keepNext/>
                    <w:keepLines/>
                    <w:suppressLineNumbers w:val="0"/>
                    <w:wordWrap w:val="0"/>
                    <w:adjustRightInd w:val="0"/>
                    <w:snapToGrid w:val="0"/>
                    <w:spacing w:before="0" w:beforeAutospacing="0" w:after="0" w:afterAutospacing="0"/>
                    <w:ind w:left="0" w:right="0"/>
                    <w:jc w:val="center"/>
                    <w:rPr>
                      <w:rFonts w:hint="default"/>
                      <w:b/>
                      <w:bCs/>
                      <w:snapToGrid w:val="0"/>
                      <w:color w:val="auto"/>
                      <w:spacing w:val="0"/>
                      <w:kern w:val="0"/>
                      <w:sz w:val="21"/>
                      <w:szCs w:val="21"/>
                      <w:highlight w:val="none"/>
                    </w:rPr>
                  </w:pPr>
                  <w:r>
                    <w:rPr>
                      <w:rFonts w:hint="default"/>
                      <w:b/>
                      <w:bCs/>
                      <w:snapToGrid w:val="0"/>
                      <w:color w:val="auto"/>
                      <w:spacing w:val="0"/>
                      <w:kern w:val="0"/>
                      <w:sz w:val="21"/>
                      <w:szCs w:val="21"/>
                      <w:highlight w:val="none"/>
                    </w:rPr>
                    <w:t>方案要求</w:t>
                  </w:r>
                </w:p>
              </w:tc>
              <w:tc>
                <w:tcPr>
                  <w:tcW w:w="1128" w:type="pct"/>
                  <w:noWrap w:val="0"/>
                  <w:vAlign w:val="center"/>
                </w:tcPr>
                <w:p w14:paraId="228DAA2C">
                  <w:pPr>
                    <w:keepNext/>
                    <w:keepLines/>
                    <w:suppressLineNumbers w:val="0"/>
                    <w:wordWrap w:val="0"/>
                    <w:adjustRightInd w:val="0"/>
                    <w:snapToGrid w:val="0"/>
                    <w:spacing w:before="0" w:beforeAutospacing="0" w:after="0" w:afterAutospacing="0"/>
                    <w:ind w:left="0" w:right="0"/>
                    <w:jc w:val="center"/>
                    <w:rPr>
                      <w:rFonts w:hint="default"/>
                      <w:b/>
                      <w:bCs/>
                      <w:snapToGrid w:val="0"/>
                      <w:color w:val="auto"/>
                      <w:kern w:val="0"/>
                      <w:sz w:val="21"/>
                      <w:szCs w:val="21"/>
                      <w:highlight w:val="none"/>
                    </w:rPr>
                  </w:pPr>
                  <w:r>
                    <w:rPr>
                      <w:rFonts w:hint="default"/>
                      <w:b/>
                      <w:bCs/>
                      <w:snapToGrid w:val="0"/>
                      <w:color w:val="auto"/>
                      <w:kern w:val="0"/>
                      <w:sz w:val="21"/>
                      <w:szCs w:val="21"/>
                      <w:highlight w:val="none"/>
                    </w:rPr>
                    <w:t>项目情况</w:t>
                  </w:r>
                </w:p>
              </w:tc>
              <w:tc>
                <w:tcPr>
                  <w:tcW w:w="483" w:type="pct"/>
                  <w:noWrap w:val="0"/>
                  <w:vAlign w:val="center"/>
                </w:tcPr>
                <w:p w14:paraId="61774EEC">
                  <w:pPr>
                    <w:keepNext/>
                    <w:keepLines/>
                    <w:suppressLineNumbers w:val="0"/>
                    <w:wordWrap w:val="0"/>
                    <w:adjustRightInd w:val="0"/>
                    <w:snapToGrid w:val="0"/>
                    <w:spacing w:before="0" w:beforeAutospacing="0" w:after="0" w:afterAutospacing="0"/>
                    <w:ind w:left="0" w:right="0"/>
                    <w:jc w:val="center"/>
                    <w:rPr>
                      <w:rFonts w:hint="default"/>
                      <w:b/>
                      <w:bCs/>
                      <w:snapToGrid w:val="0"/>
                      <w:color w:val="auto"/>
                      <w:kern w:val="0"/>
                      <w:sz w:val="21"/>
                      <w:szCs w:val="21"/>
                      <w:highlight w:val="none"/>
                    </w:rPr>
                  </w:pPr>
                  <w:r>
                    <w:rPr>
                      <w:rFonts w:hint="default"/>
                      <w:b/>
                      <w:bCs/>
                      <w:snapToGrid w:val="0"/>
                      <w:color w:val="auto"/>
                      <w:kern w:val="0"/>
                      <w:sz w:val="21"/>
                      <w:szCs w:val="21"/>
                      <w:highlight w:val="none"/>
                    </w:rPr>
                    <w:t>相符性</w:t>
                  </w:r>
                </w:p>
              </w:tc>
            </w:tr>
            <w:tr w14:paraId="0498E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91" w:hRule="atLeast"/>
                <w:jc w:val="center"/>
              </w:trPr>
              <w:tc>
                <w:tcPr>
                  <w:tcW w:w="351" w:type="pct"/>
                  <w:vMerge w:val="restart"/>
                  <w:noWrap w:val="0"/>
                  <w:vAlign w:val="center"/>
                </w:tcPr>
                <w:p w14:paraId="5B7DFC8F">
                  <w:pPr>
                    <w:keepNext/>
                    <w:keepLines/>
                    <w:suppressLineNumbers w:val="0"/>
                    <w:wordWrap w:val="0"/>
                    <w:adjustRightInd w:val="0"/>
                    <w:snapToGrid w:val="0"/>
                    <w:spacing w:before="0" w:beforeAutospacing="0" w:after="0" w:afterAutospacing="0"/>
                    <w:ind w:left="0" w:right="0"/>
                    <w:jc w:val="center"/>
                    <w:rPr>
                      <w:rFonts w:hint="default"/>
                      <w:snapToGrid w:val="0"/>
                      <w:color w:val="auto"/>
                      <w:spacing w:val="11"/>
                      <w:kern w:val="0"/>
                      <w:sz w:val="21"/>
                      <w:szCs w:val="21"/>
                      <w:highlight w:val="none"/>
                    </w:rPr>
                  </w:pPr>
                  <w:r>
                    <w:rPr>
                      <w:rFonts w:hint="default"/>
                      <w:snapToGrid w:val="0"/>
                      <w:color w:val="auto"/>
                      <w:spacing w:val="11"/>
                      <w:kern w:val="0"/>
                      <w:sz w:val="21"/>
                      <w:szCs w:val="21"/>
                      <w:highlight w:val="none"/>
                    </w:rPr>
                    <w:t>1</w:t>
                  </w:r>
                </w:p>
              </w:tc>
              <w:tc>
                <w:tcPr>
                  <w:tcW w:w="324" w:type="pct"/>
                  <w:vMerge w:val="restart"/>
                  <w:noWrap w:val="0"/>
                  <w:vAlign w:val="center"/>
                </w:tcPr>
                <w:p w14:paraId="76815F45">
                  <w:pPr>
                    <w:keepNext/>
                    <w:keepLines/>
                    <w:suppressLineNumbers w:val="0"/>
                    <w:wordWrap w:val="0"/>
                    <w:adjustRightInd w:val="0"/>
                    <w:snapToGrid w:val="0"/>
                    <w:spacing w:before="0" w:beforeAutospacing="0" w:after="0" w:afterAutospacing="0"/>
                    <w:ind w:left="0" w:right="0"/>
                    <w:jc w:val="center"/>
                    <w:rPr>
                      <w:rFonts w:hint="default" w:eastAsia="宋体"/>
                      <w:snapToGrid w:val="0"/>
                      <w:color w:val="auto"/>
                      <w:spacing w:val="0"/>
                      <w:kern w:val="0"/>
                      <w:sz w:val="21"/>
                      <w:szCs w:val="21"/>
                      <w:highlight w:val="none"/>
                      <w:lang w:val="en-US" w:eastAsia="zh-CN"/>
                    </w:rPr>
                  </w:pPr>
                  <w:r>
                    <w:rPr>
                      <w:rFonts w:hint="eastAsia"/>
                      <w:snapToGrid w:val="0"/>
                      <w:color w:val="auto"/>
                      <w:spacing w:val="0"/>
                      <w:kern w:val="0"/>
                      <w:sz w:val="21"/>
                      <w:szCs w:val="21"/>
                      <w:highlight w:val="none"/>
                      <w:lang w:val="en-US" w:eastAsia="zh-CN"/>
                    </w:rPr>
                    <w:t>产业绿色发展提升行动</w:t>
                  </w:r>
                </w:p>
              </w:tc>
              <w:tc>
                <w:tcPr>
                  <w:tcW w:w="579" w:type="pct"/>
                  <w:vMerge w:val="restart"/>
                  <w:noWrap w:val="0"/>
                  <w:vAlign w:val="center"/>
                </w:tcPr>
                <w:p w14:paraId="1F8E376D">
                  <w:pPr>
                    <w:keepNext/>
                    <w:keepLines/>
                    <w:suppressLineNumbers w:val="0"/>
                    <w:wordWrap w:val="0"/>
                    <w:adjustRightInd w:val="0"/>
                    <w:snapToGrid w:val="0"/>
                    <w:spacing w:before="0" w:beforeAutospacing="0" w:after="0" w:afterAutospacing="0"/>
                    <w:ind w:left="0" w:right="0"/>
                    <w:jc w:val="center"/>
                    <w:rPr>
                      <w:rFonts w:hint="default"/>
                      <w:b/>
                      <w:bCs/>
                      <w:snapToGrid w:val="0"/>
                      <w:color w:val="auto"/>
                      <w:spacing w:val="0"/>
                      <w:kern w:val="0"/>
                      <w:sz w:val="21"/>
                      <w:szCs w:val="21"/>
                      <w:highlight w:val="none"/>
                    </w:rPr>
                  </w:pPr>
                  <w:r>
                    <w:rPr>
                      <w:rFonts w:hint="eastAsia"/>
                      <w:snapToGrid w:val="0"/>
                      <w:color w:val="auto"/>
                      <w:spacing w:val="0"/>
                      <w:kern w:val="0"/>
                      <w:sz w:val="21"/>
                      <w:szCs w:val="21"/>
                      <w:highlight w:val="none"/>
                    </w:rPr>
                    <w:t>坚决遏制</w:t>
                  </w:r>
                  <w:r>
                    <w:rPr>
                      <w:rFonts w:hint="eastAsia"/>
                      <w:snapToGrid w:val="0"/>
                      <w:color w:val="auto"/>
                      <w:spacing w:val="0"/>
                      <w:kern w:val="0"/>
                      <w:sz w:val="21"/>
                      <w:szCs w:val="21"/>
                      <w:highlight w:val="none"/>
                      <w:lang w:eastAsia="zh-CN"/>
                    </w:rPr>
                    <w:t>“</w:t>
                  </w:r>
                  <w:r>
                    <w:rPr>
                      <w:rFonts w:hint="eastAsia"/>
                      <w:snapToGrid w:val="0"/>
                      <w:color w:val="auto"/>
                      <w:spacing w:val="0"/>
                      <w:kern w:val="0"/>
                      <w:sz w:val="21"/>
                      <w:szCs w:val="21"/>
                      <w:highlight w:val="none"/>
                    </w:rPr>
                    <w:t>两高</w:t>
                  </w:r>
                  <w:r>
                    <w:rPr>
                      <w:rFonts w:hint="eastAsia"/>
                      <w:snapToGrid w:val="0"/>
                      <w:color w:val="auto"/>
                      <w:spacing w:val="0"/>
                      <w:kern w:val="0"/>
                      <w:sz w:val="21"/>
                      <w:szCs w:val="21"/>
                      <w:highlight w:val="none"/>
                      <w:lang w:eastAsia="zh-CN"/>
                    </w:rPr>
                    <w:t>”</w:t>
                  </w:r>
                  <w:r>
                    <w:rPr>
                      <w:rFonts w:hint="eastAsia"/>
                      <w:snapToGrid w:val="0"/>
                      <w:color w:val="auto"/>
                      <w:spacing w:val="0"/>
                      <w:kern w:val="0"/>
                      <w:sz w:val="21"/>
                      <w:szCs w:val="21"/>
                      <w:highlight w:val="none"/>
                    </w:rPr>
                    <w:t>项目</w:t>
                  </w:r>
                  <w:r>
                    <w:rPr>
                      <w:rFonts w:hint="eastAsia"/>
                      <w:snapToGrid w:val="0"/>
                      <w:color w:val="auto"/>
                      <w:spacing w:val="0"/>
                      <w:kern w:val="0"/>
                      <w:sz w:val="21"/>
                      <w:szCs w:val="21"/>
                      <w:highlight w:val="none"/>
                      <w:lang w:val="en-US" w:eastAsia="zh-CN"/>
                    </w:rPr>
                    <w:t>盲目</w:t>
                  </w:r>
                  <w:r>
                    <w:rPr>
                      <w:rFonts w:hint="eastAsia"/>
                      <w:snapToGrid w:val="0"/>
                      <w:color w:val="auto"/>
                      <w:spacing w:val="0"/>
                      <w:kern w:val="0"/>
                      <w:sz w:val="21"/>
                      <w:szCs w:val="21"/>
                      <w:highlight w:val="none"/>
                    </w:rPr>
                    <w:t>发展</w:t>
                  </w:r>
                </w:p>
              </w:tc>
              <w:tc>
                <w:tcPr>
                  <w:tcW w:w="2132" w:type="pct"/>
                  <w:noWrap w:val="0"/>
                  <w:vAlign w:val="center"/>
                </w:tcPr>
                <w:p w14:paraId="4D2A5AA9">
                  <w:pPr>
                    <w:keepNext/>
                    <w:keepLines/>
                    <w:suppressLineNumbers w:val="0"/>
                    <w:wordWrap w:val="0"/>
                    <w:adjustRightInd w:val="0"/>
                    <w:snapToGrid w:val="0"/>
                    <w:spacing w:before="0" w:beforeAutospacing="0" w:after="0" w:afterAutospacing="0"/>
                    <w:ind w:left="0" w:right="0"/>
                    <w:jc w:val="center"/>
                    <w:rPr>
                      <w:rFonts w:hint="default"/>
                      <w:snapToGrid w:val="0"/>
                      <w:color w:val="auto"/>
                      <w:spacing w:val="0"/>
                      <w:kern w:val="0"/>
                      <w:sz w:val="21"/>
                      <w:szCs w:val="21"/>
                      <w:highlight w:val="none"/>
                    </w:rPr>
                  </w:pPr>
                  <w:r>
                    <w:rPr>
                      <w:rFonts w:hint="eastAsia"/>
                      <w:snapToGrid w:val="0"/>
                      <w:color w:val="auto"/>
                      <w:spacing w:val="0"/>
                      <w:kern w:val="0"/>
                      <w:sz w:val="21"/>
                      <w:szCs w:val="21"/>
                      <w:highlight w:val="none"/>
                    </w:rPr>
                    <w:t>对全市化工、玻璃等高耗能、高排放</w:t>
                  </w:r>
                  <w:r>
                    <w:rPr>
                      <w:rFonts w:hint="eastAsia"/>
                      <w:snapToGrid w:val="0"/>
                      <w:color w:val="auto"/>
                      <w:spacing w:val="0"/>
                      <w:kern w:val="0"/>
                      <w:sz w:val="21"/>
                      <w:szCs w:val="21"/>
                      <w:highlight w:val="none"/>
                      <w:lang w:eastAsia="zh-CN"/>
                    </w:rPr>
                    <w:t>（</w:t>
                  </w:r>
                  <w:r>
                    <w:rPr>
                      <w:rFonts w:hint="eastAsia"/>
                      <w:snapToGrid w:val="0"/>
                      <w:color w:val="auto"/>
                      <w:spacing w:val="0"/>
                      <w:kern w:val="0"/>
                      <w:sz w:val="21"/>
                      <w:szCs w:val="21"/>
                      <w:highlight w:val="none"/>
                    </w:rPr>
                    <w:t>以下简称</w:t>
                  </w:r>
                  <w:r>
                    <w:rPr>
                      <w:rFonts w:hint="eastAsia"/>
                      <w:snapToGrid w:val="0"/>
                      <w:color w:val="auto"/>
                      <w:spacing w:val="0"/>
                      <w:kern w:val="0"/>
                      <w:sz w:val="21"/>
                      <w:szCs w:val="21"/>
                      <w:highlight w:val="none"/>
                      <w:lang w:eastAsia="zh-CN"/>
                    </w:rPr>
                    <w:t>“</w:t>
                  </w:r>
                  <w:r>
                    <w:rPr>
                      <w:rFonts w:hint="eastAsia"/>
                      <w:snapToGrid w:val="0"/>
                      <w:color w:val="auto"/>
                      <w:spacing w:val="0"/>
                      <w:kern w:val="0"/>
                      <w:sz w:val="21"/>
                      <w:szCs w:val="21"/>
                      <w:highlight w:val="none"/>
                    </w:rPr>
                    <w:t>两高</w:t>
                  </w:r>
                  <w:r>
                    <w:rPr>
                      <w:rFonts w:hint="eastAsia"/>
                      <w:snapToGrid w:val="0"/>
                      <w:color w:val="auto"/>
                      <w:spacing w:val="0"/>
                      <w:kern w:val="0"/>
                      <w:sz w:val="21"/>
                      <w:szCs w:val="21"/>
                      <w:highlight w:val="none"/>
                      <w:lang w:eastAsia="zh-CN"/>
                    </w:rPr>
                    <w:t>”）</w:t>
                  </w:r>
                  <w:r>
                    <w:rPr>
                      <w:rFonts w:hint="eastAsia"/>
                      <w:snapToGrid w:val="0"/>
                      <w:color w:val="auto"/>
                      <w:spacing w:val="0"/>
                      <w:kern w:val="0"/>
                      <w:sz w:val="21"/>
                      <w:szCs w:val="21"/>
                      <w:highlight w:val="none"/>
                    </w:rPr>
                    <w:t>项目实施清单管理、动态监控，依据用电监管和重污染天气应急</w:t>
                  </w:r>
                  <w:r>
                    <w:rPr>
                      <w:rFonts w:hint="eastAsia"/>
                      <w:snapToGrid w:val="0"/>
                      <w:color w:val="auto"/>
                      <w:spacing w:val="0"/>
                      <w:kern w:val="0"/>
                      <w:sz w:val="21"/>
                      <w:szCs w:val="21"/>
                      <w:highlight w:val="none"/>
                      <w:lang w:val="en-US" w:eastAsia="zh-CN"/>
                    </w:rPr>
                    <w:t>减</w:t>
                  </w:r>
                  <w:r>
                    <w:rPr>
                      <w:rFonts w:hint="eastAsia"/>
                      <w:snapToGrid w:val="0"/>
                      <w:color w:val="auto"/>
                      <w:spacing w:val="0"/>
                      <w:kern w:val="0"/>
                      <w:sz w:val="21"/>
                      <w:szCs w:val="21"/>
                      <w:highlight w:val="none"/>
                    </w:rPr>
                    <w:t>排清单，严格落实</w:t>
                  </w:r>
                  <w:r>
                    <w:rPr>
                      <w:rFonts w:hint="eastAsia"/>
                      <w:snapToGrid w:val="0"/>
                      <w:color w:val="auto"/>
                      <w:spacing w:val="0"/>
                      <w:kern w:val="0"/>
                      <w:sz w:val="21"/>
                      <w:szCs w:val="21"/>
                      <w:highlight w:val="none"/>
                      <w:lang w:eastAsia="zh-CN"/>
                    </w:rPr>
                    <w:t>错</w:t>
                  </w:r>
                  <w:r>
                    <w:rPr>
                      <w:rFonts w:hint="eastAsia"/>
                      <w:snapToGrid w:val="0"/>
                      <w:color w:val="auto"/>
                      <w:spacing w:val="0"/>
                      <w:kern w:val="0"/>
                      <w:sz w:val="21"/>
                      <w:szCs w:val="21"/>
                      <w:highlight w:val="none"/>
                    </w:rPr>
                    <w:t>峰生产和重污染天气应急管理措施，新建</w:t>
                  </w:r>
                  <w:r>
                    <w:rPr>
                      <w:rFonts w:hint="eastAsia"/>
                      <w:snapToGrid w:val="0"/>
                      <w:color w:val="auto"/>
                      <w:spacing w:val="0"/>
                      <w:kern w:val="0"/>
                      <w:sz w:val="21"/>
                      <w:szCs w:val="21"/>
                      <w:highlight w:val="none"/>
                      <w:lang w:eastAsia="zh-CN"/>
                    </w:rPr>
                    <w:t>“</w:t>
                  </w:r>
                  <w:r>
                    <w:rPr>
                      <w:rFonts w:hint="eastAsia"/>
                      <w:snapToGrid w:val="0"/>
                      <w:color w:val="auto"/>
                      <w:spacing w:val="0"/>
                      <w:kern w:val="0"/>
                      <w:sz w:val="21"/>
                      <w:szCs w:val="21"/>
                      <w:highlight w:val="none"/>
                    </w:rPr>
                    <w:t>两高</w:t>
                  </w:r>
                  <w:r>
                    <w:rPr>
                      <w:rFonts w:hint="eastAsia"/>
                      <w:snapToGrid w:val="0"/>
                      <w:color w:val="auto"/>
                      <w:spacing w:val="0"/>
                      <w:kern w:val="0"/>
                      <w:sz w:val="21"/>
                      <w:szCs w:val="21"/>
                      <w:highlight w:val="none"/>
                      <w:lang w:eastAsia="zh-CN"/>
                    </w:rPr>
                    <w:t>”</w:t>
                  </w:r>
                  <w:r>
                    <w:rPr>
                      <w:rFonts w:hint="eastAsia"/>
                      <w:snapToGrid w:val="0"/>
                      <w:color w:val="auto"/>
                      <w:spacing w:val="0"/>
                      <w:kern w:val="0"/>
                      <w:sz w:val="21"/>
                      <w:szCs w:val="21"/>
                      <w:highlight w:val="none"/>
                    </w:rPr>
                    <w:t>项目按照重污染天气绩效分级的A级绩效指标建设。</w:t>
                  </w:r>
                </w:p>
              </w:tc>
              <w:tc>
                <w:tcPr>
                  <w:tcW w:w="1128" w:type="pct"/>
                  <w:noWrap w:val="0"/>
                  <w:vAlign w:val="center"/>
                </w:tcPr>
                <w:p w14:paraId="2D8E6FD0">
                  <w:pPr>
                    <w:keepNext/>
                    <w:keepLines/>
                    <w:suppressLineNumbers w:val="0"/>
                    <w:wordWrap w:val="0"/>
                    <w:adjustRightInd w:val="0"/>
                    <w:snapToGrid w:val="0"/>
                    <w:spacing w:before="0" w:beforeAutospacing="0" w:after="0" w:afterAutospacing="0"/>
                    <w:ind w:left="0" w:right="0"/>
                    <w:jc w:val="center"/>
                    <w:rPr>
                      <w:rFonts w:hint="default" w:eastAsia="宋体"/>
                      <w:snapToGrid w:val="0"/>
                      <w:color w:val="auto"/>
                      <w:kern w:val="0"/>
                      <w:sz w:val="21"/>
                      <w:szCs w:val="21"/>
                      <w:highlight w:val="none"/>
                      <w:lang w:val="en-US" w:eastAsia="zh-CN"/>
                    </w:rPr>
                  </w:pPr>
                  <w:r>
                    <w:rPr>
                      <w:rFonts w:hint="default"/>
                      <w:snapToGrid w:val="0"/>
                      <w:color w:val="auto"/>
                      <w:kern w:val="0"/>
                      <w:sz w:val="21"/>
                      <w:szCs w:val="21"/>
                      <w:highlight w:val="none"/>
                    </w:rPr>
                    <w:t>本项目类别为</w:t>
                  </w:r>
                  <w:r>
                    <w:rPr>
                      <w:rFonts w:hint="eastAsia"/>
                      <w:snapToGrid w:val="0"/>
                      <w:color w:val="auto"/>
                      <w:kern w:val="0"/>
                      <w:sz w:val="21"/>
                      <w:szCs w:val="21"/>
                      <w:highlight w:val="none"/>
                      <w:lang w:eastAsia="zh-CN"/>
                    </w:rPr>
                    <w:t>C1751化纤织造加工</w:t>
                  </w:r>
                  <w:r>
                    <w:rPr>
                      <w:rFonts w:hint="default"/>
                      <w:snapToGrid w:val="0"/>
                      <w:color w:val="auto"/>
                      <w:kern w:val="0"/>
                      <w:sz w:val="21"/>
                      <w:szCs w:val="21"/>
                      <w:highlight w:val="none"/>
                    </w:rPr>
                    <w:t>，本项目不属于</w:t>
                  </w:r>
                  <w:r>
                    <w:rPr>
                      <w:rFonts w:hint="eastAsia"/>
                      <w:snapToGrid w:val="0"/>
                      <w:color w:val="auto"/>
                      <w:kern w:val="0"/>
                      <w:sz w:val="21"/>
                      <w:szCs w:val="21"/>
                      <w:highlight w:val="none"/>
                      <w:lang w:eastAsia="zh-CN"/>
                    </w:rPr>
                    <w:t>“</w:t>
                  </w:r>
                  <w:r>
                    <w:rPr>
                      <w:rFonts w:hint="default"/>
                      <w:snapToGrid w:val="0"/>
                      <w:color w:val="auto"/>
                      <w:kern w:val="0"/>
                      <w:sz w:val="21"/>
                      <w:szCs w:val="21"/>
                      <w:highlight w:val="none"/>
                    </w:rPr>
                    <w:t>两高</w:t>
                  </w:r>
                  <w:r>
                    <w:rPr>
                      <w:rFonts w:hint="eastAsia"/>
                      <w:snapToGrid w:val="0"/>
                      <w:color w:val="auto"/>
                      <w:kern w:val="0"/>
                      <w:sz w:val="21"/>
                      <w:szCs w:val="21"/>
                      <w:highlight w:val="none"/>
                      <w:lang w:eastAsia="zh-CN"/>
                    </w:rPr>
                    <w:t>”</w:t>
                  </w:r>
                  <w:r>
                    <w:rPr>
                      <w:rFonts w:hint="default"/>
                      <w:snapToGrid w:val="0"/>
                      <w:color w:val="auto"/>
                      <w:kern w:val="0"/>
                      <w:sz w:val="21"/>
                      <w:szCs w:val="21"/>
                      <w:highlight w:val="none"/>
                    </w:rPr>
                    <w:t>项目。</w:t>
                  </w:r>
                </w:p>
              </w:tc>
              <w:tc>
                <w:tcPr>
                  <w:tcW w:w="483" w:type="pct"/>
                  <w:vMerge w:val="restart"/>
                  <w:noWrap w:val="0"/>
                  <w:vAlign w:val="center"/>
                </w:tcPr>
                <w:p w14:paraId="44AB82BF">
                  <w:pPr>
                    <w:keepNext/>
                    <w:keepLines/>
                    <w:suppressLineNumbers w:val="0"/>
                    <w:wordWrap w:val="0"/>
                    <w:adjustRightInd w:val="0"/>
                    <w:snapToGrid w:val="0"/>
                    <w:spacing w:before="0" w:beforeAutospacing="0" w:after="0" w:afterAutospacing="0"/>
                    <w:ind w:left="0" w:right="0"/>
                    <w:jc w:val="center"/>
                    <w:rPr>
                      <w:rFonts w:hint="default"/>
                      <w:snapToGrid w:val="0"/>
                      <w:color w:val="auto"/>
                      <w:spacing w:val="6"/>
                      <w:kern w:val="0"/>
                      <w:sz w:val="21"/>
                      <w:szCs w:val="21"/>
                      <w:highlight w:val="none"/>
                    </w:rPr>
                  </w:pPr>
                  <w:r>
                    <w:rPr>
                      <w:rFonts w:hint="default"/>
                      <w:snapToGrid w:val="0"/>
                      <w:color w:val="auto"/>
                      <w:spacing w:val="6"/>
                      <w:kern w:val="0"/>
                      <w:sz w:val="21"/>
                      <w:szCs w:val="21"/>
                      <w:highlight w:val="none"/>
                    </w:rPr>
                    <w:t>符合</w:t>
                  </w:r>
                </w:p>
              </w:tc>
            </w:tr>
            <w:tr w14:paraId="16115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76" w:hRule="atLeast"/>
                <w:jc w:val="center"/>
              </w:trPr>
              <w:tc>
                <w:tcPr>
                  <w:tcW w:w="351" w:type="pct"/>
                  <w:vMerge w:val="continue"/>
                  <w:noWrap w:val="0"/>
                  <w:vAlign w:val="center"/>
                </w:tcPr>
                <w:p w14:paraId="446F789D">
                  <w:pPr>
                    <w:keepNext/>
                    <w:keepLines/>
                    <w:suppressLineNumbers w:val="0"/>
                    <w:wordWrap w:val="0"/>
                    <w:adjustRightInd w:val="0"/>
                    <w:snapToGrid w:val="0"/>
                    <w:spacing w:before="0" w:beforeAutospacing="0" w:after="0" w:afterAutospacing="0"/>
                    <w:ind w:left="0" w:right="0"/>
                    <w:jc w:val="center"/>
                    <w:rPr>
                      <w:rFonts w:hint="default"/>
                      <w:color w:val="auto"/>
                      <w:sz w:val="21"/>
                      <w:szCs w:val="21"/>
                      <w:highlight w:val="none"/>
                    </w:rPr>
                  </w:pPr>
                </w:p>
              </w:tc>
              <w:tc>
                <w:tcPr>
                  <w:tcW w:w="324" w:type="pct"/>
                  <w:vMerge w:val="continue"/>
                  <w:noWrap w:val="0"/>
                  <w:vAlign w:val="center"/>
                </w:tcPr>
                <w:p w14:paraId="79872BC1">
                  <w:pPr>
                    <w:keepNext/>
                    <w:keepLines/>
                    <w:suppressLineNumbers w:val="0"/>
                    <w:wordWrap w:val="0"/>
                    <w:adjustRightInd w:val="0"/>
                    <w:snapToGrid w:val="0"/>
                    <w:spacing w:before="0" w:beforeAutospacing="0" w:after="0" w:afterAutospacing="0"/>
                    <w:ind w:left="0" w:right="0"/>
                    <w:jc w:val="center"/>
                    <w:rPr>
                      <w:rFonts w:hint="default"/>
                      <w:color w:val="auto"/>
                      <w:sz w:val="21"/>
                      <w:szCs w:val="21"/>
                      <w:highlight w:val="none"/>
                    </w:rPr>
                  </w:pPr>
                </w:p>
              </w:tc>
              <w:tc>
                <w:tcPr>
                  <w:tcW w:w="579" w:type="pct"/>
                  <w:vMerge w:val="continue"/>
                  <w:noWrap w:val="0"/>
                  <w:vAlign w:val="center"/>
                </w:tcPr>
                <w:p w14:paraId="06993523">
                  <w:pPr>
                    <w:keepNext/>
                    <w:keepLines/>
                    <w:suppressLineNumbers w:val="0"/>
                    <w:wordWrap w:val="0"/>
                    <w:adjustRightInd w:val="0"/>
                    <w:snapToGrid w:val="0"/>
                    <w:spacing w:before="0" w:beforeAutospacing="0" w:after="0" w:afterAutospacing="0"/>
                    <w:ind w:left="0" w:right="0"/>
                    <w:jc w:val="center"/>
                    <w:rPr>
                      <w:rFonts w:hint="default"/>
                      <w:snapToGrid w:val="0"/>
                      <w:color w:val="auto"/>
                      <w:spacing w:val="0"/>
                      <w:kern w:val="0"/>
                      <w:sz w:val="21"/>
                      <w:szCs w:val="21"/>
                      <w:highlight w:val="none"/>
                    </w:rPr>
                  </w:pPr>
                </w:p>
              </w:tc>
              <w:tc>
                <w:tcPr>
                  <w:tcW w:w="2132" w:type="pct"/>
                  <w:noWrap w:val="0"/>
                  <w:vAlign w:val="center"/>
                </w:tcPr>
                <w:p w14:paraId="40C0D16D">
                  <w:pPr>
                    <w:keepNext/>
                    <w:keepLines/>
                    <w:suppressLineNumbers w:val="0"/>
                    <w:wordWrap w:val="0"/>
                    <w:adjustRightInd w:val="0"/>
                    <w:snapToGrid w:val="0"/>
                    <w:spacing w:before="0" w:beforeAutospacing="0" w:after="0" w:afterAutospacing="0"/>
                    <w:ind w:left="0" w:right="0"/>
                    <w:jc w:val="center"/>
                    <w:rPr>
                      <w:rFonts w:hint="default"/>
                      <w:snapToGrid w:val="0"/>
                      <w:color w:val="auto"/>
                      <w:spacing w:val="0"/>
                      <w:kern w:val="0"/>
                      <w:sz w:val="21"/>
                      <w:szCs w:val="21"/>
                      <w:highlight w:val="none"/>
                    </w:rPr>
                  </w:pPr>
                  <w:r>
                    <w:rPr>
                      <w:rFonts w:hint="eastAsia"/>
                      <w:snapToGrid w:val="0"/>
                      <w:color w:val="auto"/>
                      <w:spacing w:val="0"/>
                      <w:kern w:val="0"/>
                      <w:sz w:val="21"/>
                      <w:szCs w:val="21"/>
                      <w:highlight w:val="none"/>
                    </w:rPr>
                    <w:t>严格实施新</w:t>
                  </w:r>
                  <w:r>
                    <w:rPr>
                      <w:rFonts w:hint="eastAsia"/>
                      <w:snapToGrid w:val="0"/>
                      <w:color w:val="auto"/>
                      <w:spacing w:val="0"/>
                      <w:kern w:val="0"/>
                      <w:sz w:val="21"/>
                      <w:szCs w:val="21"/>
                      <w:highlight w:val="none"/>
                      <w:lang w:eastAsia="zh-CN"/>
                    </w:rPr>
                    <w:t>（</w:t>
                  </w:r>
                  <w:r>
                    <w:rPr>
                      <w:rFonts w:hint="eastAsia"/>
                      <w:snapToGrid w:val="0"/>
                      <w:color w:val="auto"/>
                      <w:spacing w:val="0"/>
                      <w:kern w:val="0"/>
                      <w:sz w:val="21"/>
                      <w:szCs w:val="21"/>
                      <w:highlight w:val="none"/>
                    </w:rPr>
                    <w:t>改、扩</w:t>
                  </w:r>
                  <w:r>
                    <w:rPr>
                      <w:rFonts w:hint="eastAsia"/>
                      <w:snapToGrid w:val="0"/>
                      <w:color w:val="auto"/>
                      <w:spacing w:val="0"/>
                      <w:kern w:val="0"/>
                      <w:sz w:val="21"/>
                      <w:szCs w:val="21"/>
                      <w:highlight w:val="none"/>
                      <w:lang w:eastAsia="zh-CN"/>
                    </w:rPr>
                    <w:t>）</w:t>
                  </w:r>
                  <w:r>
                    <w:rPr>
                      <w:rFonts w:hint="eastAsia"/>
                      <w:snapToGrid w:val="0"/>
                      <w:color w:val="auto"/>
                      <w:spacing w:val="0"/>
                      <w:kern w:val="0"/>
                      <w:sz w:val="21"/>
                      <w:szCs w:val="21"/>
                      <w:highlight w:val="none"/>
                    </w:rPr>
                    <w:t>建项目主要大气污染物倍量替代。重点项目制定区域削减方案，落实区域削减。严禁在经规划环评审查的产业园区以外区域，新建及扩建石化、化工、有色金属冶炼、平板玻璃项目。禁止建设生产和使用VOCs含量限值不符合国家标准的涂料、油墨、胶粘剂、清洗剂等项目。</w:t>
                  </w:r>
                </w:p>
              </w:tc>
              <w:tc>
                <w:tcPr>
                  <w:tcW w:w="1128" w:type="pct"/>
                  <w:noWrap w:val="0"/>
                  <w:vAlign w:val="center"/>
                </w:tcPr>
                <w:p w14:paraId="36A26349">
                  <w:pPr>
                    <w:keepNext/>
                    <w:keepLines/>
                    <w:suppressLineNumbers w:val="0"/>
                    <w:wordWrap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spacing w:val="0"/>
                      <w:kern w:val="0"/>
                      <w:sz w:val="21"/>
                      <w:szCs w:val="21"/>
                      <w:highlight w:val="none"/>
                    </w:rPr>
                  </w:pPr>
                  <w:r>
                    <w:rPr>
                      <w:rFonts w:hint="eastAsia" w:ascii="Times New Roman" w:hAnsi="Times New Roman" w:eastAsia="宋体" w:cs="Times New Roman"/>
                      <w:b w:val="0"/>
                      <w:bCs/>
                      <w:color w:val="auto"/>
                      <w:kern w:val="0"/>
                      <w:sz w:val="21"/>
                      <w:szCs w:val="52"/>
                      <w:highlight w:val="none"/>
                      <w:lang w:val="en-US" w:eastAsia="zh-CN" w:bidi="ar-SA"/>
                    </w:rPr>
                    <w:t>污染物经处理后达标排</w:t>
                  </w:r>
                  <w:r>
                    <w:rPr>
                      <w:rFonts w:hint="eastAsia" w:ascii="Times New Roman" w:hAnsi="Times New Roman" w:eastAsia="宋体" w:cs="Times New Roman"/>
                      <w:b w:val="0"/>
                      <w:bCs w:val="0"/>
                      <w:color w:val="auto"/>
                      <w:spacing w:val="-2"/>
                      <w:sz w:val="21"/>
                      <w:szCs w:val="21"/>
                      <w:highlight w:val="none"/>
                      <w:vertAlign w:val="baseline"/>
                      <w:lang w:val="en-US" w:eastAsia="zh-CN"/>
                    </w:rPr>
                    <w:t>放，能够满足污染物排放管控要求。</w:t>
                  </w:r>
                  <w:r>
                    <w:rPr>
                      <w:rFonts w:hint="eastAsia" w:cs="Times New Roman"/>
                      <w:b w:val="0"/>
                      <w:bCs/>
                      <w:color w:val="auto"/>
                      <w:kern w:val="0"/>
                      <w:sz w:val="21"/>
                      <w:szCs w:val="52"/>
                      <w:highlight w:val="none"/>
                      <w:lang w:val="en-US" w:eastAsia="zh-CN" w:bidi="ar-SA"/>
                    </w:rPr>
                    <w:t>本项目</w:t>
                  </w:r>
                  <w:r>
                    <w:rPr>
                      <w:rFonts w:hint="default" w:ascii="Times New Roman" w:hAnsi="Times New Roman" w:eastAsia="宋体" w:cs="Times New Roman"/>
                      <w:b w:val="0"/>
                      <w:bCs/>
                      <w:color w:val="auto"/>
                      <w:kern w:val="0"/>
                      <w:sz w:val="21"/>
                      <w:szCs w:val="52"/>
                      <w:highlight w:val="none"/>
                      <w:lang w:val="en-US" w:eastAsia="zh-CN" w:bidi="ar-SA"/>
                    </w:rPr>
                    <w:t>严格执行总量控制要求</w:t>
                  </w:r>
                </w:p>
              </w:tc>
              <w:tc>
                <w:tcPr>
                  <w:tcW w:w="483" w:type="pct"/>
                  <w:vMerge w:val="continue"/>
                  <w:noWrap w:val="0"/>
                  <w:vAlign w:val="center"/>
                </w:tcPr>
                <w:p w14:paraId="205EE427">
                  <w:pPr>
                    <w:keepNext/>
                    <w:keepLines/>
                    <w:suppressLineNumbers w:val="0"/>
                    <w:wordWrap w:val="0"/>
                    <w:adjustRightInd w:val="0"/>
                    <w:snapToGrid w:val="0"/>
                    <w:spacing w:before="0" w:beforeAutospacing="0" w:after="0" w:afterAutospacing="0"/>
                    <w:ind w:left="0" w:right="0"/>
                    <w:jc w:val="center"/>
                    <w:rPr>
                      <w:rFonts w:hint="default"/>
                      <w:snapToGrid w:val="0"/>
                      <w:color w:val="auto"/>
                      <w:spacing w:val="0"/>
                      <w:kern w:val="0"/>
                      <w:sz w:val="21"/>
                      <w:szCs w:val="21"/>
                      <w:highlight w:val="none"/>
                    </w:rPr>
                  </w:pPr>
                </w:p>
              </w:tc>
            </w:tr>
            <w:tr w14:paraId="25700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84" w:hRule="atLeast"/>
                <w:jc w:val="center"/>
              </w:trPr>
              <w:tc>
                <w:tcPr>
                  <w:tcW w:w="351" w:type="pct"/>
                  <w:vMerge w:val="restart"/>
                  <w:noWrap w:val="0"/>
                  <w:vAlign w:val="center"/>
                </w:tcPr>
                <w:p w14:paraId="19B2A0DD">
                  <w:pPr>
                    <w:keepNext/>
                    <w:keepLines/>
                    <w:suppressLineNumbers w:val="0"/>
                    <w:wordWrap w:val="0"/>
                    <w:adjustRightInd w:val="0"/>
                    <w:snapToGrid w:val="0"/>
                    <w:spacing w:before="0" w:beforeAutospacing="0" w:after="0" w:afterAutospacing="0"/>
                    <w:ind w:left="0" w:right="0"/>
                    <w:jc w:val="center"/>
                    <w:rPr>
                      <w:rFonts w:hint="default"/>
                      <w:snapToGrid w:val="0"/>
                      <w:color w:val="auto"/>
                      <w:spacing w:val="11"/>
                      <w:kern w:val="0"/>
                      <w:sz w:val="21"/>
                      <w:szCs w:val="21"/>
                      <w:highlight w:val="none"/>
                    </w:rPr>
                  </w:pPr>
                  <w:r>
                    <w:rPr>
                      <w:rFonts w:hint="default"/>
                      <w:snapToGrid w:val="0"/>
                      <w:color w:val="auto"/>
                      <w:spacing w:val="11"/>
                      <w:kern w:val="0"/>
                      <w:sz w:val="21"/>
                      <w:szCs w:val="21"/>
                      <w:highlight w:val="none"/>
                    </w:rPr>
                    <w:t>2</w:t>
                  </w:r>
                </w:p>
              </w:tc>
              <w:tc>
                <w:tcPr>
                  <w:tcW w:w="324" w:type="pct"/>
                  <w:vMerge w:val="restart"/>
                  <w:noWrap w:val="0"/>
                  <w:vAlign w:val="center"/>
                </w:tcPr>
                <w:p w14:paraId="66417771">
                  <w:pPr>
                    <w:keepNext/>
                    <w:keepLines/>
                    <w:suppressLineNumbers w:val="0"/>
                    <w:wordWrap w:val="0"/>
                    <w:adjustRightInd w:val="0"/>
                    <w:snapToGrid w:val="0"/>
                    <w:spacing w:before="0" w:beforeAutospacing="0" w:after="0" w:afterAutospacing="0"/>
                    <w:ind w:left="0" w:right="0"/>
                    <w:jc w:val="center"/>
                    <w:rPr>
                      <w:rFonts w:hint="default"/>
                      <w:snapToGrid w:val="0"/>
                      <w:color w:val="auto"/>
                      <w:spacing w:val="0"/>
                      <w:kern w:val="0"/>
                      <w:sz w:val="21"/>
                      <w:szCs w:val="21"/>
                      <w:highlight w:val="none"/>
                    </w:rPr>
                  </w:pPr>
                  <w:r>
                    <w:rPr>
                      <w:rFonts w:hint="eastAsia"/>
                      <w:color w:val="auto"/>
                      <w:sz w:val="21"/>
                      <w:szCs w:val="21"/>
                      <w:highlight w:val="none"/>
                    </w:rPr>
                    <w:t>开展减污协同增效提升行动</w:t>
                  </w:r>
                </w:p>
              </w:tc>
              <w:tc>
                <w:tcPr>
                  <w:tcW w:w="579" w:type="pct"/>
                  <w:vMerge w:val="restart"/>
                  <w:noWrap w:val="0"/>
                  <w:vAlign w:val="center"/>
                </w:tcPr>
                <w:p w14:paraId="445FC288">
                  <w:pPr>
                    <w:keepNext/>
                    <w:keepLines/>
                    <w:suppressLineNumbers w:val="0"/>
                    <w:wordWrap w:val="0"/>
                    <w:adjustRightInd w:val="0"/>
                    <w:snapToGrid w:val="0"/>
                    <w:spacing w:before="0" w:beforeAutospacing="0" w:after="0" w:afterAutospacing="0"/>
                    <w:ind w:left="0" w:right="0"/>
                    <w:jc w:val="center"/>
                    <w:rPr>
                      <w:rFonts w:hint="default"/>
                      <w:snapToGrid w:val="0"/>
                      <w:color w:val="auto"/>
                      <w:spacing w:val="0"/>
                      <w:kern w:val="0"/>
                      <w:sz w:val="21"/>
                      <w:szCs w:val="21"/>
                      <w:highlight w:val="none"/>
                    </w:rPr>
                  </w:pPr>
                  <w:r>
                    <w:rPr>
                      <w:rFonts w:hint="eastAsia"/>
                      <w:snapToGrid w:val="0"/>
                      <w:color w:val="auto"/>
                      <w:spacing w:val="0"/>
                      <w:kern w:val="0"/>
                      <w:sz w:val="21"/>
                      <w:szCs w:val="21"/>
                      <w:highlight w:val="none"/>
                    </w:rPr>
                    <w:t>强化挥发性有机物深度</w:t>
                  </w:r>
                  <w:r>
                    <w:rPr>
                      <w:rFonts w:hint="eastAsia"/>
                      <w:snapToGrid w:val="0"/>
                      <w:color w:val="auto"/>
                      <w:spacing w:val="0"/>
                      <w:kern w:val="0"/>
                      <w:sz w:val="21"/>
                      <w:szCs w:val="21"/>
                      <w:highlight w:val="none"/>
                      <w:lang w:eastAsia="zh-CN"/>
                    </w:rPr>
                    <w:t>治理</w:t>
                  </w:r>
                </w:p>
              </w:tc>
              <w:tc>
                <w:tcPr>
                  <w:tcW w:w="2132" w:type="pct"/>
                  <w:noWrap w:val="0"/>
                  <w:vAlign w:val="center"/>
                </w:tcPr>
                <w:p w14:paraId="5AFAF529">
                  <w:pPr>
                    <w:keepNext/>
                    <w:keepLines/>
                    <w:suppressLineNumbers w:val="0"/>
                    <w:wordWrap w:val="0"/>
                    <w:adjustRightInd w:val="0"/>
                    <w:snapToGrid w:val="0"/>
                    <w:spacing w:before="0" w:beforeAutospacing="0" w:after="0" w:afterAutospacing="0"/>
                    <w:ind w:left="0" w:right="0"/>
                    <w:jc w:val="center"/>
                    <w:rPr>
                      <w:rFonts w:hint="default"/>
                      <w:snapToGrid w:val="0"/>
                      <w:color w:val="auto"/>
                      <w:spacing w:val="0"/>
                      <w:kern w:val="0"/>
                      <w:sz w:val="21"/>
                      <w:szCs w:val="21"/>
                      <w:highlight w:val="none"/>
                    </w:rPr>
                  </w:pPr>
                  <w:r>
                    <w:rPr>
                      <w:rFonts w:hint="eastAsia"/>
                      <w:snapToGrid w:val="0"/>
                      <w:color w:val="auto"/>
                      <w:spacing w:val="0"/>
                      <w:kern w:val="0"/>
                      <w:sz w:val="21"/>
                      <w:szCs w:val="21"/>
                      <w:highlight w:val="none"/>
                    </w:rPr>
                    <w:t>坚持</w:t>
                  </w:r>
                  <w:r>
                    <w:rPr>
                      <w:rFonts w:hint="eastAsia"/>
                      <w:snapToGrid w:val="0"/>
                      <w:color w:val="auto"/>
                      <w:spacing w:val="0"/>
                      <w:kern w:val="0"/>
                      <w:sz w:val="21"/>
                      <w:szCs w:val="21"/>
                      <w:highlight w:val="none"/>
                      <w:lang w:eastAsia="zh-CN"/>
                    </w:rPr>
                    <w:t>“</w:t>
                  </w:r>
                  <w:r>
                    <w:rPr>
                      <w:rFonts w:hint="eastAsia"/>
                      <w:snapToGrid w:val="0"/>
                      <w:color w:val="auto"/>
                      <w:spacing w:val="0"/>
                      <w:kern w:val="0"/>
                      <w:sz w:val="21"/>
                      <w:szCs w:val="21"/>
                      <w:highlight w:val="none"/>
                    </w:rPr>
                    <w:t>源头替代、综合治理、总量削减</w:t>
                  </w:r>
                  <w:r>
                    <w:rPr>
                      <w:rFonts w:hint="eastAsia"/>
                      <w:snapToGrid w:val="0"/>
                      <w:color w:val="auto"/>
                      <w:spacing w:val="0"/>
                      <w:kern w:val="0"/>
                      <w:sz w:val="21"/>
                      <w:szCs w:val="21"/>
                      <w:highlight w:val="none"/>
                      <w:lang w:eastAsia="zh-CN"/>
                    </w:rPr>
                    <w:t>”</w:t>
                  </w:r>
                  <w:r>
                    <w:rPr>
                      <w:rFonts w:hint="eastAsia"/>
                      <w:snapToGrid w:val="0"/>
                      <w:color w:val="auto"/>
                      <w:spacing w:val="0"/>
                      <w:kern w:val="0"/>
                      <w:sz w:val="21"/>
                      <w:szCs w:val="21"/>
                      <w:highlight w:val="none"/>
                    </w:rPr>
                    <w:t>原则，大力推动家具制造、板材加工、化工等涉挥发性有机物工业源重点行业全过程治理。实施低挥发性有机物含量原辅材料和产品源头替代工程，强化包装印刷、工业涂装、油品储运销等行业挥发性有机物收集效率，淘汰低效治理设施。持续开展挥发性有机物无组织排放问题排查整治。到2025年底，全市累计完成挥发性有机物重点工程减排量2041吨。</w:t>
                  </w:r>
                </w:p>
              </w:tc>
              <w:tc>
                <w:tcPr>
                  <w:tcW w:w="1128" w:type="pct"/>
                  <w:vMerge w:val="restart"/>
                  <w:noWrap w:val="0"/>
                  <w:vAlign w:val="center"/>
                </w:tcPr>
                <w:p w14:paraId="74D95AD8">
                  <w:pPr>
                    <w:keepNext w:val="0"/>
                    <w:keepLines w:val="0"/>
                    <w:widowControl w:val="0"/>
                    <w:suppressLineNumbers w:val="0"/>
                    <w:spacing w:before="0" w:beforeAutospacing="0" w:after="0" w:afterAutospacing="0"/>
                    <w:ind w:left="0" w:right="0"/>
                    <w:jc w:val="both"/>
                    <w:rPr>
                      <w:rFonts w:hint="default"/>
                      <w:color w:val="auto"/>
                      <w:highlight w:val="none"/>
                    </w:rPr>
                  </w:pPr>
                  <w:r>
                    <w:rPr>
                      <w:rFonts w:hint="eastAsia" w:ascii="Times New Roman" w:hAnsi="Times New Roman" w:eastAsia="宋体" w:cs="Times New Roman"/>
                      <w:b w:val="0"/>
                      <w:bCs/>
                      <w:color w:val="auto"/>
                      <w:kern w:val="0"/>
                      <w:sz w:val="21"/>
                      <w:szCs w:val="52"/>
                      <w:highlight w:val="none"/>
                      <w:lang w:val="en-US" w:eastAsia="zh-CN" w:bidi="ar-SA"/>
                    </w:rPr>
                    <w:t>污染物经处理后达标排</w:t>
                  </w:r>
                  <w:r>
                    <w:rPr>
                      <w:rFonts w:hint="eastAsia" w:ascii="Times New Roman" w:hAnsi="Times New Roman" w:eastAsia="宋体" w:cs="Times New Roman"/>
                      <w:b w:val="0"/>
                      <w:bCs w:val="0"/>
                      <w:color w:val="auto"/>
                      <w:spacing w:val="-2"/>
                      <w:sz w:val="21"/>
                      <w:szCs w:val="21"/>
                      <w:highlight w:val="none"/>
                      <w:vertAlign w:val="baseline"/>
                      <w:lang w:val="en-US" w:eastAsia="zh-CN"/>
                    </w:rPr>
                    <w:t>放，能够满足污染物排放管控要求。</w:t>
                  </w:r>
                  <w:r>
                    <w:rPr>
                      <w:rFonts w:hint="eastAsia" w:cs="Times New Roman"/>
                      <w:b w:val="0"/>
                      <w:bCs/>
                      <w:color w:val="auto"/>
                      <w:kern w:val="0"/>
                      <w:sz w:val="21"/>
                      <w:szCs w:val="52"/>
                      <w:highlight w:val="none"/>
                      <w:lang w:val="en-US" w:eastAsia="zh-CN" w:bidi="ar-SA"/>
                    </w:rPr>
                    <w:t>本项目</w:t>
                  </w:r>
                  <w:r>
                    <w:rPr>
                      <w:rFonts w:hint="default" w:ascii="Times New Roman" w:hAnsi="Times New Roman" w:eastAsia="宋体" w:cs="Times New Roman"/>
                      <w:b w:val="0"/>
                      <w:bCs/>
                      <w:color w:val="auto"/>
                      <w:kern w:val="0"/>
                      <w:sz w:val="21"/>
                      <w:szCs w:val="52"/>
                      <w:highlight w:val="none"/>
                      <w:lang w:val="en-US" w:eastAsia="zh-CN" w:bidi="ar-SA"/>
                    </w:rPr>
                    <w:t>严格执行总量控制要求</w:t>
                  </w:r>
                  <w:r>
                    <w:rPr>
                      <w:rFonts w:hint="eastAsia" w:ascii="宋体" w:hAnsi="宋体" w:eastAsia="宋体" w:cs="宋体"/>
                      <w:color w:val="auto"/>
                      <w:kern w:val="0"/>
                      <w:sz w:val="21"/>
                      <w:szCs w:val="21"/>
                      <w:highlight w:val="none"/>
                      <w:lang w:val="en-US" w:eastAsia="zh-CN" w:bidi="ar"/>
                    </w:rPr>
                    <w:t>。</w:t>
                  </w:r>
                </w:p>
                <w:p w14:paraId="0C46E3A5">
                  <w:pPr>
                    <w:keepNext/>
                    <w:keepLines/>
                    <w:suppressLineNumbers w:val="0"/>
                    <w:wordWrap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spacing w:val="0"/>
                      <w:kern w:val="0"/>
                      <w:sz w:val="21"/>
                      <w:szCs w:val="21"/>
                      <w:highlight w:val="none"/>
                      <w:lang w:val="en-US" w:eastAsia="zh-CN"/>
                    </w:rPr>
                  </w:pPr>
                </w:p>
              </w:tc>
              <w:tc>
                <w:tcPr>
                  <w:tcW w:w="483" w:type="pct"/>
                  <w:vMerge w:val="restart"/>
                  <w:noWrap w:val="0"/>
                  <w:vAlign w:val="center"/>
                </w:tcPr>
                <w:p w14:paraId="68B81B41">
                  <w:pPr>
                    <w:keepNext/>
                    <w:keepLines/>
                    <w:suppressLineNumbers w:val="0"/>
                    <w:wordWrap w:val="0"/>
                    <w:adjustRightInd w:val="0"/>
                    <w:snapToGrid w:val="0"/>
                    <w:spacing w:before="0" w:beforeAutospacing="0" w:after="0" w:afterAutospacing="0"/>
                    <w:ind w:left="0" w:right="0"/>
                    <w:jc w:val="center"/>
                    <w:rPr>
                      <w:rFonts w:hint="default"/>
                      <w:snapToGrid w:val="0"/>
                      <w:color w:val="auto"/>
                      <w:spacing w:val="6"/>
                      <w:kern w:val="0"/>
                      <w:sz w:val="21"/>
                      <w:szCs w:val="21"/>
                      <w:highlight w:val="none"/>
                    </w:rPr>
                  </w:pPr>
                  <w:r>
                    <w:rPr>
                      <w:rFonts w:hint="default"/>
                      <w:snapToGrid w:val="0"/>
                      <w:color w:val="auto"/>
                      <w:spacing w:val="6"/>
                      <w:kern w:val="0"/>
                      <w:sz w:val="21"/>
                      <w:szCs w:val="21"/>
                      <w:highlight w:val="none"/>
                    </w:rPr>
                    <w:t>符合</w:t>
                  </w:r>
                </w:p>
              </w:tc>
            </w:tr>
            <w:tr w14:paraId="53143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84" w:hRule="atLeast"/>
                <w:jc w:val="center"/>
              </w:trPr>
              <w:tc>
                <w:tcPr>
                  <w:tcW w:w="351" w:type="pct"/>
                  <w:vMerge w:val="continue"/>
                  <w:noWrap w:val="0"/>
                  <w:vAlign w:val="center"/>
                </w:tcPr>
                <w:p w14:paraId="06AE9EB8">
                  <w:pPr>
                    <w:keepNext/>
                    <w:keepLines/>
                    <w:suppressLineNumbers w:val="0"/>
                    <w:wordWrap w:val="0"/>
                    <w:adjustRightInd w:val="0"/>
                    <w:snapToGrid w:val="0"/>
                    <w:spacing w:before="0" w:beforeAutospacing="0" w:after="0" w:afterAutospacing="0"/>
                    <w:ind w:left="0" w:right="0"/>
                    <w:jc w:val="center"/>
                    <w:rPr>
                      <w:rFonts w:hint="default"/>
                      <w:color w:val="auto"/>
                      <w:sz w:val="21"/>
                      <w:szCs w:val="21"/>
                      <w:highlight w:val="none"/>
                    </w:rPr>
                  </w:pPr>
                </w:p>
              </w:tc>
              <w:tc>
                <w:tcPr>
                  <w:tcW w:w="324" w:type="pct"/>
                  <w:vMerge w:val="continue"/>
                  <w:noWrap w:val="0"/>
                  <w:vAlign w:val="center"/>
                </w:tcPr>
                <w:p w14:paraId="4A481B75">
                  <w:pPr>
                    <w:keepNext/>
                    <w:keepLines/>
                    <w:suppressLineNumbers w:val="0"/>
                    <w:wordWrap w:val="0"/>
                    <w:adjustRightInd w:val="0"/>
                    <w:snapToGrid w:val="0"/>
                    <w:spacing w:before="0" w:beforeAutospacing="0" w:after="0" w:afterAutospacing="0"/>
                    <w:ind w:left="0" w:right="0"/>
                    <w:jc w:val="center"/>
                    <w:rPr>
                      <w:rFonts w:hint="default"/>
                      <w:color w:val="auto"/>
                      <w:sz w:val="21"/>
                      <w:szCs w:val="21"/>
                      <w:highlight w:val="none"/>
                    </w:rPr>
                  </w:pPr>
                </w:p>
              </w:tc>
              <w:tc>
                <w:tcPr>
                  <w:tcW w:w="579" w:type="pct"/>
                  <w:vMerge w:val="continue"/>
                  <w:noWrap w:val="0"/>
                  <w:vAlign w:val="center"/>
                </w:tcPr>
                <w:p w14:paraId="7119E51F">
                  <w:pPr>
                    <w:keepNext/>
                    <w:keepLines/>
                    <w:suppressLineNumbers w:val="0"/>
                    <w:wordWrap w:val="0"/>
                    <w:adjustRightInd w:val="0"/>
                    <w:snapToGrid w:val="0"/>
                    <w:spacing w:before="0" w:beforeAutospacing="0" w:after="0" w:afterAutospacing="0"/>
                    <w:ind w:left="0" w:right="0"/>
                    <w:jc w:val="center"/>
                    <w:rPr>
                      <w:rFonts w:hint="default"/>
                      <w:snapToGrid w:val="0"/>
                      <w:color w:val="auto"/>
                      <w:spacing w:val="0"/>
                      <w:kern w:val="0"/>
                      <w:sz w:val="21"/>
                      <w:szCs w:val="21"/>
                      <w:highlight w:val="none"/>
                    </w:rPr>
                  </w:pPr>
                </w:p>
              </w:tc>
              <w:tc>
                <w:tcPr>
                  <w:tcW w:w="2132" w:type="pct"/>
                  <w:noWrap w:val="0"/>
                  <w:vAlign w:val="center"/>
                </w:tcPr>
                <w:p w14:paraId="6C87A43B">
                  <w:pPr>
                    <w:keepNext/>
                    <w:keepLines/>
                    <w:suppressLineNumbers w:val="0"/>
                    <w:wordWrap w:val="0"/>
                    <w:adjustRightInd w:val="0"/>
                    <w:snapToGrid w:val="0"/>
                    <w:spacing w:before="0" w:beforeAutospacing="0" w:after="0" w:afterAutospacing="0"/>
                    <w:ind w:left="0" w:right="0"/>
                    <w:jc w:val="center"/>
                    <w:rPr>
                      <w:rFonts w:hint="eastAsia" w:eastAsia="宋体"/>
                      <w:snapToGrid w:val="0"/>
                      <w:color w:val="auto"/>
                      <w:spacing w:val="0"/>
                      <w:kern w:val="0"/>
                      <w:sz w:val="21"/>
                      <w:szCs w:val="21"/>
                      <w:highlight w:val="none"/>
                      <w:lang w:eastAsia="zh-CN"/>
                    </w:rPr>
                  </w:pPr>
                  <w:r>
                    <w:rPr>
                      <w:rFonts w:hint="eastAsia"/>
                      <w:snapToGrid w:val="0"/>
                      <w:color w:val="auto"/>
                      <w:spacing w:val="0"/>
                      <w:kern w:val="0"/>
                      <w:sz w:val="21"/>
                      <w:szCs w:val="21"/>
                      <w:highlight w:val="none"/>
                    </w:rPr>
                    <w:t>全面排查使用溶剂型涂料、油墨、胶粘剂、清洗剂以及涉及有机化工生产的产业集群，2025年底前基本实现溶剂型工业涂料、油墨、胶粘剂</w:t>
                  </w:r>
                  <w:r>
                    <w:rPr>
                      <w:rFonts w:hint="eastAsia"/>
                      <w:snapToGrid w:val="0"/>
                      <w:color w:val="auto"/>
                      <w:spacing w:val="0"/>
                      <w:kern w:val="0"/>
                      <w:sz w:val="21"/>
                      <w:szCs w:val="21"/>
                      <w:highlight w:val="none"/>
                      <w:lang w:eastAsia="zh-CN"/>
                    </w:rPr>
                    <w:t>“</w:t>
                  </w:r>
                  <w:r>
                    <w:rPr>
                      <w:rFonts w:hint="eastAsia"/>
                      <w:snapToGrid w:val="0"/>
                      <w:color w:val="auto"/>
                      <w:spacing w:val="0"/>
                      <w:kern w:val="0"/>
                      <w:sz w:val="21"/>
                      <w:szCs w:val="21"/>
                      <w:highlight w:val="none"/>
                    </w:rPr>
                    <w:t>能替则替</w:t>
                  </w:r>
                  <w:r>
                    <w:rPr>
                      <w:rFonts w:hint="eastAsia"/>
                      <w:snapToGrid w:val="0"/>
                      <w:color w:val="auto"/>
                      <w:spacing w:val="0"/>
                      <w:kern w:val="0"/>
                      <w:sz w:val="21"/>
                      <w:szCs w:val="21"/>
                      <w:highlight w:val="none"/>
                      <w:lang w:eastAsia="zh-CN"/>
                    </w:rPr>
                    <w:t>”</w:t>
                  </w:r>
                </w:p>
              </w:tc>
              <w:tc>
                <w:tcPr>
                  <w:tcW w:w="1128" w:type="pct"/>
                  <w:vMerge w:val="continue"/>
                  <w:noWrap w:val="0"/>
                  <w:vAlign w:val="center"/>
                </w:tcPr>
                <w:p w14:paraId="6320030F">
                  <w:pPr>
                    <w:keepNext/>
                    <w:keepLines/>
                    <w:suppressLineNumbers w:val="0"/>
                    <w:wordWrap w:val="0"/>
                    <w:adjustRightInd w:val="0"/>
                    <w:snapToGrid w:val="0"/>
                    <w:spacing w:before="0" w:beforeAutospacing="0" w:after="0" w:afterAutospacing="0"/>
                    <w:ind w:left="0" w:right="0"/>
                    <w:jc w:val="center"/>
                    <w:rPr>
                      <w:rFonts w:hint="default"/>
                      <w:snapToGrid w:val="0"/>
                      <w:color w:val="auto"/>
                      <w:spacing w:val="0"/>
                      <w:kern w:val="0"/>
                      <w:sz w:val="21"/>
                      <w:szCs w:val="21"/>
                      <w:highlight w:val="none"/>
                    </w:rPr>
                  </w:pPr>
                </w:p>
              </w:tc>
              <w:tc>
                <w:tcPr>
                  <w:tcW w:w="483" w:type="pct"/>
                  <w:vMerge w:val="continue"/>
                  <w:noWrap w:val="0"/>
                  <w:vAlign w:val="center"/>
                </w:tcPr>
                <w:p w14:paraId="37816B61">
                  <w:pPr>
                    <w:keepNext/>
                    <w:keepLines/>
                    <w:suppressLineNumbers w:val="0"/>
                    <w:wordWrap w:val="0"/>
                    <w:adjustRightInd w:val="0"/>
                    <w:snapToGrid w:val="0"/>
                    <w:spacing w:before="0" w:beforeAutospacing="0" w:after="0" w:afterAutospacing="0"/>
                    <w:ind w:left="0" w:right="0"/>
                    <w:jc w:val="center"/>
                    <w:rPr>
                      <w:rFonts w:hint="default"/>
                      <w:snapToGrid w:val="0"/>
                      <w:color w:val="auto"/>
                      <w:spacing w:val="0"/>
                      <w:kern w:val="0"/>
                      <w:sz w:val="21"/>
                      <w:szCs w:val="21"/>
                      <w:highlight w:val="none"/>
                    </w:rPr>
                  </w:pPr>
                </w:p>
              </w:tc>
            </w:tr>
          </w:tbl>
          <w:p w14:paraId="0359F1FF">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157" w:beforeLines="50" w:beforeAutospacing="0" w:after="0" w:afterAutospacing="0"/>
              <w:ind w:left="0" w:leftChars="0" w:right="0" w:rightChars="0" w:firstLine="480" w:firstLineChars="200"/>
              <w:textAlignment w:val="auto"/>
              <w:rPr>
                <w:rFonts w:hint="default" w:ascii="Times New Roman" w:hAnsi="Times New Roman" w:cs="Times New Roman"/>
                <w:color w:val="auto"/>
                <w:highlight w:val="none"/>
                <w:lang w:val="en-US" w:eastAsia="zh-CN"/>
              </w:rPr>
            </w:pPr>
            <w:r>
              <w:rPr>
                <w:rFonts w:hint="default" w:cs="宋体"/>
                <w:color w:val="auto"/>
                <w:kern w:val="0"/>
                <w:sz w:val="24"/>
                <w:highlight w:val="none"/>
                <w:lang w:bidi="ar"/>
              </w:rPr>
              <w:t>综上，项目</w:t>
            </w:r>
            <w:r>
              <w:rPr>
                <w:rFonts w:hint="eastAsia" w:cs="宋体"/>
                <w:color w:val="auto"/>
                <w:kern w:val="0"/>
                <w:sz w:val="24"/>
                <w:highlight w:val="none"/>
                <w:lang w:bidi="ar"/>
              </w:rPr>
              <w:t>的</w:t>
            </w:r>
            <w:r>
              <w:rPr>
                <w:rFonts w:hint="default" w:cs="宋体"/>
                <w:color w:val="auto"/>
                <w:kern w:val="0"/>
                <w:sz w:val="24"/>
                <w:highlight w:val="none"/>
                <w:lang w:bidi="ar"/>
              </w:rPr>
              <w:t>建设符合《</w:t>
            </w:r>
            <w:r>
              <w:rPr>
                <w:rFonts w:hint="eastAsia" w:ascii="Times New Roman" w:hAnsi="Times New Roman" w:eastAsia="宋体" w:cs="宋体"/>
                <w:color w:val="auto"/>
                <w:kern w:val="0"/>
                <w:sz w:val="24"/>
                <w:highlight w:val="none"/>
                <w:lang w:bidi="ar"/>
              </w:rPr>
              <w:t>蚌埠市空气质量提升攻坚行动方案</w:t>
            </w:r>
            <w:r>
              <w:rPr>
                <w:rFonts w:hint="default" w:cs="宋体"/>
                <w:color w:val="auto"/>
                <w:kern w:val="0"/>
                <w:sz w:val="24"/>
                <w:highlight w:val="none"/>
                <w:lang w:bidi="ar"/>
              </w:rPr>
              <w:t>》中相关要求。</w:t>
            </w:r>
          </w:p>
          <w:p w14:paraId="23BFB052">
            <w:pPr>
              <w:pStyle w:val="44"/>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rPr>
                <w:rFonts w:hint="default"/>
                <w:color w:val="auto"/>
                <w:highlight w:val="none"/>
              </w:rPr>
            </w:pPr>
            <w:r>
              <w:rPr>
                <w:rFonts w:hint="eastAsia"/>
                <w:color w:val="auto"/>
                <w:highlight w:val="none"/>
                <w:lang w:val="en-US" w:eastAsia="zh-CN"/>
              </w:rPr>
              <w:t>11、</w:t>
            </w:r>
            <w:r>
              <w:rPr>
                <w:rFonts w:hint="eastAsia" w:ascii="Times New Roman" w:hAnsi="Times New Roman" w:eastAsia="宋体" w:cs="宋体"/>
                <w:b/>
                <w:bCs/>
                <w:color w:val="auto"/>
                <w:kern w:val="2"/>
                <w:sz w:val="24"/>
                <w:szCs w:val="24"/>
                <w:highlight w:val="none"/>
                <w:lang w:val="en-US" w:eastAsia="zh-CN" w:bidi="ar-SA"/>
              </w:rPr>
              <w:t>与《重点行业挥发性有机物治理环境管理技术规范》（DB34/T4230.</w:t>
            </w:r>
            <w:r>
              <w:rPr>
                <w:rFonts w:hint="eastAsia" w:cs="宋体"/>
                <w:b/>
                <w:bCs/>
                <w:color w:val="auto"/>
                <w:kern w:val="2"/>
                <w:sz w:val="24"/>
                <w:szCs w:val="24"/>
                <w:highlight w:val="none"/>
                <w:lang w:val="en-US" w:eastAsia="zh-CN" w:bidi="ar-SA"/>
              </w:rPr>
              <w:t>1</w:t>
            </w:r>
            <w:r>
              <w:rPr>
                <w:rFonts w:hint="eastAsia" w:ascii="Times New Roman" w:hAnsi="Times New Roman" w:eastAsia="宋体" w:cs="宋体"/>
                <w:b/>
                <w:bCs/>
                <w:color w:val="auto"/>
                <w:kern w:val="2"/>
                <w:sz w:val="24"/>
                <w:szCs w:val="24"/>
                <w:highlight w:val="none"/>
                <w:lang w:val="en-US" w:eastAsia="zh-CN" w:bidi="ar-SA"/>
              </w:rPr>
              <w:t>-2022）相符性分析</w:t>
            </w:r>
          </w:p>
          <w:p w14:paraId="3EDFF5CB">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baseline"/>
              <w:rPr>
                <w:rFonts w:hint="eastAsia" w:eastAsia="宋体" w:cs="宋体"/>
                <w:color w:val="auto"/>
                <w:kern w:val="0"/>
                <w:sz w:val="24"/>
                <w:highlight w:val="none"/>
                <w:lang w:eastAsia="zh-CN" w:bidi="ar"/>
              </w:rPr>
            </w:pPr>
            <w:r>
              <w:rPr>
                <w:rFonts w:hint="eastAsia" w:cs="宋体"/>
                <w:color w:val="auto"/>
                <w:kern w:val="0"/>
                <w:sz w:val="24"/>
                <w:highlight w:val="none"/>
                <w:lang w:bidi="ar"/>
              </w:rPr>
              <w:t>项目与《重点行业挥发性有机物治理环境管理技术规范》相符性分析内容具体见下表</w:t>
            </w:r>
            <w:r>
              <w:rPr>
                <w:rFonts w:hint="eastAsia" w:cs="宋体"/>
                <w:color w:val="auto"/>
                <w:kern w:val="0"/>
                <w:sz w:val="24"/>
                <w:highlight w:val="none"/>
                <w:lang w:eastAsia="zh-CN" w:bidi="ar"/>
              </w:rPr>
              <w:t>。</w:t>
            </w:r>
          </w:p>
          <w:p w14:paraId="79B989AF">
            <w:pPr>
              <w:pStyle w:val="1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color w:val="auto"/>
                <w:sz w:val="24"/>
                <w:highlight w:val="none"/>
              </w:rPr>
              <w:t>表1-</w:t>
            </w:r>
            <w:r>
              <w:rPr>
                <w:rFonts w:hint="eastAsia" w:ascii="Times New Roman" w:hAnsi="Times New Roman" w:eastAsia="宋体" w:cs="Times New Roman"/>
                <w:b/>
                <w:color w:val="auto"/>
                <w:sz w:val="24"/>
                <w:highlight w:val="none"/>
                <w:lang w:val="en-US" w:eastAsia="zh-CN"/>
              </w:rPr>
              <w:t>1</w:t>
            </w:r>
            <w:r>
              <w:rPr>
                <w:rFonts w:hint="eastAsia" w:ascii="Times New Roman" w:hAnsi="Times New Roman" w:cs="Times New Roman"/>
                <w:b/>
                <w:color w:val="auto"/>
                <w:sz w:val="24"/>
                <w:highlight w:val="none"/>
                <w:lang w:val="en-US" w:eastAsia="zh-CN"/>
              </w:rPr>
              <w:t>2</w:t>
            </w:r>
            <w:r>
              <w:rPr>
                <w:rFonts w:hint="eastAsia" w:ascii="Times New Roman" w:hAnsi="Times New Roman" w:eastAsia="宋体" w:cs="Times New Roman"/>
                <w:b/>
                <w:color w:val="auto"/>
                <w:sz w:val="24"/>
                <w:highlight w:val="none"/>
              </w:rPr>
              <w:t>与</w:t>
            </w:r>
            <w:r>
              <w:rPr>
                <w:rFonts w:hint="eastAsia" w:ascii="Times New Roman" w:hAnsi="Times New Roman" w:eastAsia="宋体" w:cs="宋体"/>
                <w:b/>
                <w:bCs/>
                <w:color w:val="auto"/>
                <w:kern w:val="2"/>
                <w:sz w:val="24"/>
                <w:szCs w:val="24"/>
                <w:highlight w:val="none"/>
                <w:lang w:val="en-US" w:eastAsia="zh-CN" w:bidi="ar-SA"/>
              </w:rPr>
              <w:t>《重点行业挥发性有机物治理环境管理技术规范》</w:t>
            </w:r>
            <w:r>
              <w:rPr>
                <w:rFonts w:hint="eastAsia" w:ascii="Times New Roman" w:hAnsi="Times New Roman" w:eastAsia="宋体" w:cs="Times New Roman"/>
                <w:b/>
                <w:color w:val="auto"/>
                <w:sz w:val="24"/>
                <w:highlight w:val="none"/>
              </w:rPr>
              <w:t>相符性分析</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982"/>
              <w:gridCol w:w="3761"/>
              <w:gridCol w:w="3479"/>
              <w:gridCol w:w="806"/>
            </w:tblGrid>
            <w:tr w14:paraId="37F01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626" w:type="pct"/>
                  <w:gridSpan w:val="2"/>
                  <w:noWrap w:val="0"/>
                  <w:vAlign w:val="center"/>
                </w:tcPr>
                <w:p w14:paraId="28267474">
                  <w:pPr>
                    <w:keepNext w:val="0"/>
                    <w:keepLines w:val="0"/>
                    <w:pageBreakBefore w:val="0"/>
                    <w:suppressLineNumbers w:val="0"/>
                    <w:shd w:val="clear" w:color="auto" w:fill="auto"/>
                    <w:kinsoku w:val="0"/>
                    <w:wordWrap/>
                    <w:overflow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重点行业挥发性有机物治理环境管理技术规范</w:t>
                  </w:r>
                  <w:r>
                    <w:rPr>
                      <w:rFonts w:hint="default" w:ascii="Times New Roman" w:hAnsi="Times New Roman" w:eastAsia="宋体" w:cs="Times New Roman"/>
                      <w:b/>
                      <w:bCs/>
                      <w:color w:val="auto"/>
                      <w:sz w:val="21"/>
                      <w:szCs w:val="21"/>
                      <w:highlight w:val="none"/>
                      <w:lang w:val="en-US" w:eastAsia="zh-CN"/>
                    </w:rPr>
                    <w:t>第</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部分：</w:t>
                  </w:r>
                  <w:r>
                    <w:rPr>
                      <w:rFonts w:hint="eastAsia" w:ascii="Times New Roman" w:hAnsi="Times New Roman" w:eastAsia="宋体" w:cs="Times New Roman"/>
                      <w:b/>
                      <w:bCs/>
                      <w:color w:val="auto"/>
                      <w:sz w:val="21"/>
                      <w:szCs w:val="21"/>
                      <w:highlight w:val="none"/>
                      <w:lang w:val="en-US" w:eastAsia="zh-CN"/>
                    </w:rPr>
                    <w:t>总则</w:t>
                  </w:r>
                </w:p>
              </w:tc>
              <w:tc>
                <w:tcPr>
                  <w:tcW w:w="1926" w:type="pct"/>
                  <w:noWrap w:val="0"/>
                  <w:vAlign w:val="center"/>
                </w:tcPr>
                <w:p w14:paraId="5FBF1F0C">
                  <w:pPr>
                    <w:keepNext w:val="0"/>
                    <w:keepLines w:val="0"/>
                    <w:pageBreakBefore w:val="0"/>
                    <w:suppressLineNumbers w:val="0"/>
                    <w:shd w:val="clear" w:color="auto" w:fill="auto"/>
                    <w:kinsoku w:val="0"/>
                    <w:wordWrap/>
                    <w:overflow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项目情况</w:t>
                  </w:r>
                </w:p>
              </w:tc>
              <w:tc>
                <w:tcPr>
                  <w:tcW w:w="446" w:type="pct"/>
                  <w:noWrap w:val="0"/>
                  <w:vAlign w:val="center"/>
                </w:tcPr>
                <w:p w14:paraId="2FE2EC60">
                  <w:pPr>
                    <w:keepNext w:val="0"/>
                    <w:keepLines w:val="0"/>
                    <w:pageBreakBefore w:val="0"/>
                    <w:suppressLineNumbers w:val="0"/>
                    <w:shd w:val="clear" w:color="auto" w:fill="auto"/>
                    <w:kinsoku w:val="0"/>
                    <w:wordWrap/>
                    <w:overflow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14:paraId="7F15B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7" w:hRule="atLeast"/>
                <w:jc w:val="center"/>
              </w:trPr>
              <w:tc>
                <w:tcPr>
                  <w:tcW w:w="544" w:type="pct"/>
                  <w:vMerge w:val="restart"/>
                  <w:noWrap w:val="0"/>
                  <w:vAlign w:val="center"/>
                </w:tcPr>
                <w:p w14:paraId="48E5667A">
                  <w:pPr>
                    <w:keepNext w:val="0"/>
                    <w:keepLines w:val="0"/>
                    <w:pageBreakBefore w:val="0"/>
                    <w:suppressLineNumbers w:val="0"/>
                    <w:shd w:val="clear" w:color="auto" w:fill="auto"/>
                    <w:kinsoku w:val="0"/>
                    <w:wordWrap/>
                    <w:overflowPunct w:val="0"/>
                    <w:topLinePunct/>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一般控制技术要求</w:t>
                  </w:r>
                </w:p>
              </w:tc>
              <w:tc>
                <w:tcPr>
                  <w:tcW w:w="2082" w:type="pct"/>
                  <w:noWrap w:val="0"/>
                  <w:vAlign w:val="center"/>
                </w:tcPr>
                <w:p w14:paraId="4724FC90">
                  <w:pPr>
                    <w:keepNext w:val="0"/>
                    <w:keepLines w:val="0"/>
                    <w:pageBreakBefore w:val="0"/>
                    <w:widowControl/>
                    <w:suppressLineNumbers w:val="0"/>
                    <w:wordWrap/>
                    <w:autoSpaceDE/>
                    <w:autoSpaceDN/>
                    <w:bidi w:val="0"/>
                    <w:adjustRightInd w:val="0"/>
                    <w:snapToGrid w:val="0"/>
                    <w:spacing w:before="0" w:beforeAutospacing="0" w:after="0" w:afterAutospacing="0" w:line="240" w:lineRule="auto"/>
                    <w:ind w:left="0" w:right="0"/>
                    <w:jc w:val="both"/>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VOCs污染物排放应实施全过程控制，主要包括源头削减、过程控制和末端治理三个方面。应结合HJ942及行业特征，实施不同的控制技术。</w:t>
                  </w:r>
                </w:p>
              </w:tc>
              <w:tc>
                <w:tcPr>
                  <w:tcW w:w="1926" w:type="pct"/>
                  <w:vMerge w:val="restart"/>
                  <w:noWrap w:val="0"/>
                  <w:vAlign w:val="center"/>
                </w:tcPr>
                <w:p w14:paraId="765A1AD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b w:val="0"/>
                      <w:bCs/>
                      <w:color w:val="auto"/>
                      <w:kern w:val="0"/>
                      <w:sz w:val="21"/>
                      <w:szCs w:val="52"/>
                      <w:highlight w:val="none"/>
                      <w:lang w:val="en-US" w:eastAsia="zh-CN" w:bidi="ar-SA"/>
                    </w:rPr>
                    <w:t>污染物经处理后达标排</w:t>
                  </w:r>
                  <w:r>
                    <w:rPr>
                      <w:rFonts w:hint="eastAsia" w:ascii="Times New Roman" w:hAnsi="Times New Roman" w:eastAsia="宋体" w:cs="Times New Roman"/>
                      <w:b w:val="0"/>
                      <w:bCs w:val="0"/>
                      <w:color w:val="auto"/>
                      <w:spacing w:val="-2"/>
                      <w:sz w:val="21"/>
                      <w:szCs w:val="21"/>
                      <w:highlight w:val="none"/>
                      <w:vertAlign w:val="baseline"/>
                      <w:lang w:val="en-US" w:eastAsia="zh-CN"/>
                    </w:rPr>
                    <w:t>放，能够满足污染物排放管控要求。</w:t>
                  </w:r>
                  <w:r>
                    <w:rPr>
                      <w:rFonts w:hint="eastAsia" w:cs="Times New Roman"/>
                      <w:b w:val="0"/>
                      <w:bCs/>
                      <w:color w:val="auto"/>
                      <w:kern w:val="0"/>
                      <w:sz w:val="21"/>
                      <w:szCs w:val="52"/>
                      <w:highlight w:val="none"/>
                      <w:lang w:val="en-US" w:eastAsia="zh-CN" w:bidi="ar-SA"/>
                    </w:rPr>
                    <w:t>本项目</w:t>
                  </w:r>
                  <w:r>
                    <w:rPr>
                      <w:rFonts w:hint="default" w:ascii="Times New Roman" w:hAnsi="Times New Roman" w:eastAsia="宋体" w:cs="Times New Roman"/>
                      <w:b w:val="0"/>
                      <w:bCs/>
                      <w:color w:val="auto"/>
                      <w:kern w:val="0"/>
                      <w:sz w:val="21"/>
                      <w:szCs w:val="52"/>
                      <w:highlight w:val="none"/>
                      <w:lang w:val="en-US" w:eastAsia="zh-CN" w:bidi="ar-SA"/>
                    </w:rPr>
                    <w:t>严格执行总量控制要求</w:t>
                  </w:r>
                  <w:r>
                    <w:rPr>
                      <w:rFonts w:hint="eastAsia" w:cs="Times New Roman"/>
                      <w:b w:val="0"/>
                      <w:bCs/>
                      <w:color w:val="auto"/>
                      <w:kern w:val="0"/>
                      <w:sz w:val="21"/>
                      <w:szCs w:val="52"/>
                      <w:highlight w:val="none"/>
                      <w:lang w:val="en-US" w:eastAsia="zh-CN" w:bidi="ar-SA"/>
                    </w:rPr>
                    <w:t>。</w:t>
                  </w:r>
                  <w:r>
                    <w:rPr>
                      <w:rFonts w:hint="default"/>
                      <w:color w:val="auto"/>
                      <w:sz w:val="21"/>
                      <w:szCs w:val="21"/>
                      <w:highlight w:val="none"/>
                    </w:rPr>
                    <w:t>本项目</w:t>
                  </w:r>
                  <w:r>
                    <w:rPr>
                      <w:rFonts w:hint="eastAsia"/>
                      <w:color w:val="auto"/>
                      <w:sz w:val="21"/>
                      <w:szCs w:val="21"/>
                      <w:highlight w:val="none"/>
                      <w:lang w:val="en-US" w:eastAsia="zh-CN"/>
                    </w:rPr>
                    <w:t>油剂</w:t>
                  </w:r>
                  <w:r>
                    <w:rPr>
                      <w:rFonts w:hint="default"/>
                      <w:color w:val="auto"/>
                      <w:sz w:val="21"/>
                      <w:szCs w:val="21"/>
                      <w:highlight w:val="none"/>
                    </w:rPr>
                    <w:t>皆密闭储存且存放于室内，非取用状态时保持密闭</w:t>
                  </w:r>
                  <w:r>
                    <w:rPr>
                      <w:rFonts w:hint="eastAsia"/>
                      <w:color w:val="auto"/>
                      <w:sz w:val="21"/>
                      <w:szCs w:val="21"/>
                      <w:highlight w:val="none"/>
                    </w:rPr>
                    <w:t>，</w:t>
                  </w:r>
                  <w:r>
                    <w:rPr>
                      <w:rFonts w:hint="default"/>
                      <w:color w:val="auto"/>
                      <w:sz w:val="21"/>
                      <w:szCs w:val="21"/>
                      <w:highlight w:val="none"/>
                    </w:rPr>
                    <w:t>通过密闭容器转移和输送。</w:t>
                  </w:r>
                </w:p>
              </w:tc>
              <w:tc>
                <w:tcPr>
                  <w:tcW w:w="446" w:type="pct"/>
                  <w:vMerge w:val="restart"/>
                  <w:noWrap w:val="0"/>
                  <w:vAlign w:val="center"/>
                </w:tcPr>
                <w:p w14:paraId="5B85981A">
                  <w:pPr>
                    <w:keepNext w:val="0"/>
                    <w:keepLines w:val="0"/>
                    <w:pageBreakBefore w:val="0"/>
                    <w:suppressLineNumbers w:val="0"/>
                    <w:shd w:val="clear" w:color="auto" w:fill="auto"/>
                    <w:kinsoku w:val="0"/>
                    <w:wordWrap/>
                    <w:overflowPunct w:val="0"/>
                    <w:topLinePunct/>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9EAA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7" w:hRule="atLeast"/>
                <w:jc w:val="center"/>
              </w:trPr>
              <w:tc>
                <w:tcPr>
                  <w:tcW w:w="544" w:type="pct"/>
                  <w:vMerge w:val="continue"/>
                  <w:noWrap w:val="0"/>
                  <w:vAlign w:val="center"/>
                </w:tcPr>
                <w:p w14:paraId="024E42B6">
                  <w:pPr>
                    <w:keepNext w:val="0"/>
                    <w:keepLines w:val="0"/>
                    <w:pageBreakBefore w:val="0"/>
                    <w:widowControl/>
                    <w:suppressLineNumbers w:val="0"/>
                    <w:wordWrap/>
                    <w:autoSpaceDE/>
                    <w:autoSpaceDN/>
                    <w:bidi w:val="0"/>
                    <w:adjustRightInd w:val="0"/>
                    <w:snapToGrid w:val="0"/>
                    <w:spacing w:before="0" w:beforeAutospacing="0" w:after="0" w:afterAutospacing="0" w:line="240" w:lineRule="auto"/>
                    <w:ind w:left="0" w:right="0"/>
                    <w:jc w:val="both"/>
                    <w:rPr>
                      <w:rFonts w:hint="default"/>
                      <w:color w:val="auto"/>
                      <w:highlight w:val="none"/>
                    </w:rPr>
                  </w:pPr>
                </w:p>
              </w:tc>
              <w:tc>
                <w:tcPr>
                  <w:tcW w:w="2082" w:type="pct"/>
                  <w:noWrap w:val="0"/>
                  <w:vAlign w:val="center"/>
                </w:tcPr>
                <w:p w14:paraId="4600BF04">
                  <w:pPr>
                    <w:keepNext w:val="0"/>
                    <w:keepLines w:val="0"/>
                    <w:pageBreakBefore w:val="0"/>
                    <w:widowControl/>
                    <w:suppressLineNumbers w:val="0"/>
                    <w:wordWrap/>
                    <w:autoSpaceDE/>
                    <w:autoSpaceDN/>
                    <w:bidi w:val="0"/>
                    <w:adjustRightInd w:val="0"/>
                    <w:snapToGrid w:val="0"/>
                    <w:spacing w:before="0" w:beforeAutospacing="0" w:after="0" w:afterAutospacing="0" w:line="240" w:lineRule="auto"/>
                    <w:ind w:left="0" w:right="0"/>
                    <w:jc w:val="both"/>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涂料、油墨、颜料及类似产品制造业、制鞋工业、家具制造工业、汽车制造业、其他工业涂装行业、包装印刷业、印刷和记录媒介复制业等溶剂使用的，优先采用源头削减替代，且溶剂使用应满足GB19340、GB/T30779、GB30981、GB33372、GB38507和GB38508的要求；</w:t>
                  </w:r>
                </w:p>
              </w:tc>
              <w:tc>
                <w:tcPr>
                  <w:tcW w:w="1926" w:type="pct"/>
                  <w:vMerge w:val="continue"/>
                  <w:noWrap w:val="0"/>
                  <w:vAlign w:val="center"/>
                </w:tcPr>
                <w:p w14:paraId="00323C6A">
                  <w:pPr>
                    <w:keepNext w:val="0"/>
                    <w:keepLines w:val="0"/>
                    <w:pageBreakBefore w:val="0"/>
                    <w:widowControl/>
                    <w:suppressLineNumbers w:val="0"/>
                    <w:wordWrap/>
                    <w:autoSpaceDE/>
                    <w:autoSpaceDN/>
                    <w:bidi w:val="0"/>
                    <w:adjustRightInd w:val="0"/>
                    <w:snapToGrid w:val="0"/>
                    <w:spacing w:before="0" w:beforeAutospacing="0" w:after="0" w:afterAutospacing="0" w:line="240" w:lineRule="auto"/>
                    <w:ind w:left="0" w:right="0"/>
                    <w:jc w:val="both"/>
                    <w:rPr>
                      <w:rFonts w:hint="default" w:ascii="Times New Roman" w:hAnsi="Times New Roman" w:eastAsia="宋体" w:cs="Times New Roman"/>
                      <w:snapToGrid w:val="0"/>
                      <w:color w:val="auto"/>
                      <w:kern w:val="0"/>
                      <w:sz w:val="21"/>
                      <w:szCs w:val="21"/>
                      <w:highlight w:val="none"/>
                    </w:rPr>
                  </w:pPr>
                </w:p>
              </w:tc>
              <w:tc>
                <w:tcPr>
                  <w:tcW w:w="446" w:type="pct"/>
                  <w:vMerge w:val="continue"/>
                  <w:noWrap w:val="0"/>
                  <w:vAlign w:val="center"/>
                </w:tcPr>
                <w:p w14:paraId="17D9B3FC">
                  <w:pPr>
                    <w:keepNext w:val="0"/>
                    <w:keepLines w:val="0"/>
                    <w:pageBreakBefore w:val="0"/>
                    <w:widowControl/>
                    <w:suppressLineNumbers w:val="0"/>
                    <w:wordWrap/>
                    <w:autoSpaceDE/>
                    <w:autoSpaceDN/>
                    <w:bidi w:val="0"/>
                    <w:adjustRightInd w:val="0"/>
                    <w:snapToGrid w:val="0"/>
                    <w:spacing w:before="0" w:beforeAutospacing="0" w:after="0" w:afterAutospacing="0" w:line="240" w:lineRule="auto"/>
                    <w:ind w:left="0" w:right="0"/>
                    <w:jc w:val="both"/>
                    <w:rPr>
                      <w:rFonts w:hint="default" w:ascii="Times New Roman" w:hAnsi="Times New Roman" w:eastAsia="宋体" w:cs="Times New Roman"/>
                      <w:snapToGrid w:val="0"/>
                      <w:color w:val="auto"/>
                      <w:kern w:val="0"/>
                      <w:sz w:val="21"/>
                      <w:szCs w:val="21"/>
                      <w:highlight w:val="none"/>
                    </w:rPr>
                  </w:pPr>
                </w:p>
              </w:tc>
            </w:tr>
            <w:tr w14:paraId="15E01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613" w:hRule="atLeast"/>
                <w:jc w:val="center"/>
              </w:trPr>
              <w:tc>
                <w:tcPr>
                  <w:tcW w:w="544" w:type="pct"/>
                  <w:vMerge w:val="continue"/>
                  <w:noWrap w:val="0"/>
                  <w:vAlign w:val="center"/>
                </w:tcPr>
                <w:p w14:paraId="19ADA499">
                  <w:pPr>
                    <w:keepNext w:val="0"/>
                    <w:keepLines w:val="0"/>
                    <w:pageBreakBefore w:val="0"/>
                    <w:widowControl/>
                    <w:suppressLineNumbers w:val="0"/>
                    <w:wordWrap/>
                    <w:autoSpaceDE/>
                    <w:autoSpaceDN/>
                    <w:bidi w:val="0"/>
                    <w:adjustRightInd w:val="0"/>
                    <w:snapToGrid w:val="0"/>
                    <w:spacing w:before="0" w:beforeAutospacing="0" w:after="0" w:afterAutospacing="0" w:line="240" w:lineRule="auto"/>
                    <w:ind w:left="0" w:right="0"/>
                    <w:jc w:val="both"/>
                    <w:rPr>
                      <w:rFonts w:hint="default" w:ascii="Times New Roman" w:hAnsi="Times New Roman" w:eastAsia="宋体" w:cs="Times New Roman"/>
                      <w:snapToGrid w:val="0"/>
                      <w:color w:val="auto"/>
                      <w:kern w:val="0"/>
                      <w:sz w:val="21"/>
                      <w:szCs w:val="21"/>
                      <w:highlight w:val="none"/>
                    </w:rPr>
                  </w:pPr>
                </w:p>
              </w:tc>
              <w:tc>
                <w:tcPr>
                  <w:tcW w:w="2082" w:type="pct"/>
                  <w:noWrap w:val="0"/>
                  <w:vAlign w:val="center"/>
                </w:tcPr>
                <w:p w14:paraId="7C29C759">
                  <w:pPr>
                    <w:keepNext w:val="0"/>
                    <w:keepLines w:val="0"/>
                    <w:pageBreakBefore w:val="0"/>
                    <w:widowControl/>
                    <w:suppressLineNumbers w:val="0"/>
                    <w:wordWrap/>
                    <w:autoSpaceDE/>
                    <w:autoSpaceDN/>
                    <w:bidi w:val="0"/>
                    <w:adjustRightInd w:val="0"/>
                    <w:snapToGrid w:val="0"/>
                    <w:spacing w:before="0" w:beforeAutospacing="0" w:after="0" w:afterAutospacing="0" w:line="240" w:lineRule="auto"/>
                    <w:ind w:left="0" w:right="0"/>
                    <w:jc w:val="both"/>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含VOCs物料（包括含VOCs原辅材料、产品、废料等）储存、转移和输送、设备与管线组件泄漏、散开液面逸散以及工艺过程等五类排放源应实施有效管控。宜使用先进生产工艺，采用全密闭、连续化、自动化等生产技术以及高效工艺与设备等，减少工艺过程无组织排放。</w:t>
                  </w:r>
                </w:p>
              </w:tc>
              <w:tc>
                <w:tcPr>
                  <w:tcW w:w="1926" w:type="pct"/>
                  <w:vMerge w:val="continue"/>
                  <w:noWrap w:val="0"/>
                  <w:vAlign w:val="center"/>
                </w:tcPr>
                <w:p w14:paraId="734CB795">
                  <w:pPr>
                    <w:keepNext w:val="0"/>
                    <w:keepLines w:val="0"/>
                    <w:pageBreakBefore w:val="0"/>
                    <w:widowControl/>
                    <w:suppressLineNumbers w:val="0"/>
                    <w:wordWrap/>
                    <w:autoSpaceDE/>
                    <w:autoSpaceDN/>
                    <w:bidi w:val="0"/>
                    <w:adjustRightInd w:val="0"/>
                    <w:snapToGrid w:val="0"/>
                    <w:spacing w:before="0" w:beforeAutospacing="0" w:after="0" w:afterAutospacing="0" w:line="240" w:lineRule="auto"/>
                    <w:ind w:left="0" w:right="0"/>
                    <w:jc w:val="both"/>
                    <w:rPr>
                      <w:rFonts w:hint="default" w:ascii="Times New Roman" w:hAnsi="Times New Roman" w:eastAsia="宋体" w:cs="Times New Roman"/>
                      <w:snapToGrid w:val="0"/>
                      <w:color w:val="auto"/>
                      <w:kern w:val="0"/>
                      <w:sz w:val="21"/>
                      <w:szCs w:val="21"/>
                      <w:highlight w:val="none"/>
                    </w:rPr>
                  </w:pPr>
                </w:p>
              </w:tc>
              <w:tc>
                <w:tcPr>
                  <w:tcW w:w="446" w:type="pct"/>
                  <w:vMerge w:val="continue"/>
                  <w:noWrap w:val="0"/>
                  <w:vAlign w:val="center"/>
                </w:tcPr>
                <w:p w14:paraId="108580EF">
                  <w:pPr>
                    <w:keepNext w:val="0"/>
                    <w:keepLines w:val="0"/>
                    <w:pageBreakBefore w:val="0"/>
                    <w:widowControl/>
                    <w:suppressLineNumbers w:val="0"/>
                    <w:wordWrap/>
                    <w:autoSpaceDE/>
                    <w:autoSpaceDN/>
                    <w:bidi w:val="0"/>
                    <w:adjustRightInd w:val="0"/>
                    <w:snapToGrid w:val="0"/>
                    <w:spacing w:before="0" w:beforeAutospacing="0" w:after="0" w:afterAutospacing="0" w:line="240" w:lineRule="auto"/>
                    <w:ind w:left="0" w:right="0"/>
                    <w:jc w:val="both"/>
                    <w:rPr>
                      <w:rFonts w:hint="default" w:ascii="Times New Roman" w:hAnsi="Times New Roman" w:eastAsia="宋体" w:cs="Times New Roman"/>
                      <w:snapToGrid w:val="0"/>
                      <w:color w:val="auto"/>
                      <w:kern w:val="0"/>
                      <w:sz w:val="21"/>
                      <w:szCs w:val="21"/>
                      <w:highlight w:val="none"/>
                    </w:rPr>
                  </w:pPr>
                </w:p>
              </w:tc>
            </w:tr>
            <w:tr w14:paraId="03070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613" w:hRule="atLeast"/>
                <w:jc w:val="center"/>
              </w:trPr>
              <w:tc>
                <w:tcPr>
                  <w:tcW w:w="544" w:type="pct"/>
                  <w:vMerge w:val="continue"/>
                  <w:noWrap w:val="0"/>
                  <w:vAlign w:val="center"/>
                </w:tcPr>
                <w:p w14:paraId="370C9443">
                  <w:pPr>
                    <w:keepNext w:val="0"/>
                    <w:keepLines w:val="0"/>
                    <w:pageBreakBefore w:val="0"/>
                    <w:widowControl/>
                    <w:suppressLineNumbers w:val="0"/>
                    <w:wordWrap/>
                    <w:autoSpaceDE/>
                    <w:autoSpaceDN/>
                    <w:bidi w:val="0"/>
                    <w:adjustRightInd w:val="0"/>
                    <w:snapToGrid w:val="0"/>
                    <w:spacing w:before="0" w:beforeAutospacing="0" w:after="0" w:afterAutospacing="0" w:line="240" w:lineRule="auto"/>
                    <w:ind w:left="0" w:right="0"/>
                    <w:jc w:val="both"/>
                    <w:rPr>
                      <w:rFonts w:hint="default" w:ascii="Times New Roman" w:hAnsi="Times New Roman" w:eastAsia="宋体" w:cs="Times New Roman"/>
                      <w:snapToGrid w:val="0"/>
                      <w:color w:val="auto"/>
                      <w:kern w:val="0"/>
                      <w:sz w:val="21"/>
                      <w:szCs w:val="21"/>
                      <w:highlight w:val="none"/>
                    </w:rPr>
                  </w:pPr>
                </w:p>
              </w:tc>
              <w:tc>
                <w:tcPr>
                  <w:tcW w:w="2082" w:type="pct"/>
                  <w:noWrap w:val="0"/>
                  <w:vAlign w:val="center"/>
                </w:tcPr>
                <w:p w14:paraId="334AED9D">
                  <w:pPr>
                    <w:keepNext w:val="0"/>
                    <w:keepLines w:val="0"/>
                    <w:pageBreakBefore w:val="0"/>
                    <w:widowControl/>
                    <w:suppressLineNumbers w:val="0"/>
                    <w:wordWrap/>
                    <w:autoSpaceDE/>
                    <w:autoSpaceDN/>
                    <w:bidi w:val="0"/>
                    <w:adjustRightInd w:val="0"/>
                    <w:snapToGrid w:val="0"/>
                    <w:spacing w:before="0" w:beforeAutospacing="0" w:after="0" w:afterAutospacing="0" w:line="240" w:lineRule="auto"/>
                    <w:ind w:left="0" w:right="0"/>
                    <w:jc w:val="both"/>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高浓度VOCs优先进行溶剂回收，难以回收的，宜采用高温焚烧、催化燃烧等技术；低浓度大风量VOCs宜采用沸石转轮吸附、活性炭吸附、减风增浓等浓缩技术，提高VOCs浓度后再净化处理；油气（溶剂）回收宜采用吸附、冷凝+吸附、吸附+吸收、膜分离+吸附等技术。</w:t>
                  </w:r>
                </w:p>
              </w:tc>
              <w:tc>
                <w:tcPr>
                  <w:tcW w:w="1926" w:type="pct"/>
                  <w:noWrap w:val="0"/>
                  <w:vAlign w:val="center"/>
                </w:tcPr>
                <w:p w14:paraId="69DCADAD">
                  <w:pPr>
                    <w:keepNext w:val="0"/>
                    <w:keepLines w:val="0"/>
                    <w:pageBreakBefore w:val="0"/>
                    <w:widowControl/>
                    <w:suppressLineNumbers w:val="0"/>
                    <w:wordWrap/>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本项目属于</w:t>
                  </w:r>
                  <w:r>
                    <w:rPr>
                      <w:rFonts w:hint="default" w:ascii="Times New Roman" w:hAnsi="Times New Roman" w:eastAsia="宋体" w:cs="Times New Roman"/>
                      <w:snapToGrid w:val="0"/>
                      <w:color w:val="auto"/>
                      <w:kern w:val="0"/>
                      <w:sz w:val="21"/>
                      <w:szCs w:val="21"/>
                      <w:highlight w:val="none"/>
                    </w:rPr>
                    <w:t>低浓度大风量</w:t>
                  </w:r>
                  <w:r>
                    <w:rPr>
                      <w:rFonts w:hint="eastAsia" w:ascii="Times New Roman" w:hAnsi="Times New Roman" w:eastAsia="宋体" w:cs="Times New Roman"/>
                      <w:snapToGrid w:val="0"/>
                      <w:color w:val="auto"/>
                      <w:kern w:val="0"/>
                      <w:sz w:val="21"/>
                      <w:szCs w:val="21"/>
                      <w:highlight w:val="none"/>
                      <w:lang w:eastAsia="zh-CN"/>
                    </w:rPr>
                    <w:t>，</w:t>
                  </w:r>
                  <w:r>
                    <w:rPr>
                      <w:rFonts w:hint="eastAsia" w:cs="Times New Roman"/>
                      <w:b w:val="0"/>
                      <w:bCs/>
                      <w:color w:val="auto"/>
                      <w:kern w:val="2"/>
                      <w:sz w:val="21"/>
                      <w:szCs w:val="21"/>
                      <w:highlight w:val="none"/>
                      <w:lang w:val="en-US" w:eastAsia="zh-CN" w:bidi="ar-SA"/>
                    </w:rPr>
                    <w:t>加弹</w:t>
                  </w:r>
                  <w:r>
                    <w:rPr>
                      <w:rFonts w:hint="eastAsia" w:ascii="Times New Roman" w:hAnsi="Times New Roman" w:cs="Times New Roman"/>
                      <w:b w:val="0"/>
                      <w:bCs/>
                      <w:color w:val="auto"/>
                      <w:kern w:val="2"/>
                      <w:sz w:val="21"/>
                      <w:szCs w:val="21"/>
                      <w:highlight w:val="none"/>
                      <w:lang w:val="en-US" w:eastAsia="zh-CN" w:bidi="ar-SA"/>
                    </w:rPr>
                    <w:t>产生的</w:t>
                  </w:r>
                  <w:r>
                    <w:rPr>
                      <w:rFonts w:hint="eastAsia" w:cs="Times New Roman"/>
                      <w:b w:val="0"/>
                      <w:bCs/>
                      <w:color w:val="auto"/>
                      <w:kern w:val="2"/>
                      <w:sz w:val="21"/>
                      <w:szCs w:val="21"/>
                      <w:highlight w:val="none"/>
                      <w:lang w:val="en-US" w:eastAsia="zh-CN" w:bidi="ar-SA"/>
                    </w:rPr>
                    <w:t>有机</w:t>
                  </w:r>
                  <w:r>
                    <w:rPr>
                      <w:rFonts w:hint="default" w:ascii="Times New Roman" w:hAnsi="Times New Roman" w:eastAsia="宋体" w:cs="Times New Roman"/>
                      <w:b w:val="0"/>
                      <w:bCs/>
                      <w:color w:val="auto"/>
                      <w:sz w:val="21"/>
                      <w:szCs w:val="21"/>
                      <w:highlight w:val="none"/>
                      <w:lang w:val="en-US" w:eastAsia="zh-CN" w:bidi="ar-SA"/>
                    </w:rPr>
                    <w:t>废气</w:t>
                  </w:r>
                  <w:r>
                    <w:rPr>
                      <w:rFonts w:hint="eastAsia" w:cs="Times New Roman"/>
                      <w:b w:val="0"/>
                      <w:bCs/>
                      <w:color w:val="auto"/>
                      <w:kern w:val="2"/>
                      <w:sz w:val="21"/>
                      <w:szCs w:val="21"/>
                      <w:highlight w:val="none"/>
                      <w:lang w:val="en-US" w:eastAsia="zh-CN" w:bidi="ar-SA"/>
                    </w:rPr>
                    <w:t>集气管收集</w:t>
                  </w:r>
                  <w:r>
                    <w:rPr>
                      <w:rFonts w:hint="eastAsia" w:ascii="Times New Roman" w:hAnsi="Times New Roman" w:eastAsia="宋体" w:cs="Times New Roman"/>
                      <w:color w:val="auto"/>
                      <w:kern w:val="0"/>
                      <w:sz w:val="21"/>
                      <w:szCs w:val="21"/>
                      <w:highlight w:val="none"/>
                      <w:lang w:val="en-US" w:eastAsia="zh-CN" w:bidi="ar"/>
                    </w:rPr>
                    <w:t>后通过</w:t>
                  </w:r>
                  <w:r>
                    <w:rPr>
                      <w:rFonts w:hint="eastAsia" w:cs="Times New Roman"/>
                      <w:b w:val="0"/>
                      <w:bCs/>
                      <w:color w:val="auto"/>
                      <w:kern w:val="2"/>
                      <w:sz w:val="21"/>
                      <w:szCs w:val="21"/>
                      <w:highlight w:val="none"/>
                      <w:lang w:val="en-US" w:eastAsia="zh-CN" w:bidi="ar-SA"/>
                    </w:rPr>
                    <w:t>活性炭吸附脱附+催化燃烧</w:t>
                  </w:r>
                  <w:r>
                    <w:rPr>
                      <w:rFonts w:hint="eastAsia" w:ascii="Times New Roman" w:hAnsi="Times New Roman" w:cs="Times New Roman"/>
                      <w:color w:val="auto"/>
                      <w:kern w:val="0"/>
                      <w:sz w:val="21"/>
                      <w:szCs w:val="21"/>
                      <w:highlight w:val="none"/>
                      <w:lang w:val="en-US" w:eastAsia="zh-CN" w:bidi="ar"/>
                    </w:rPr>
                    <w:t>处理后</w:t>
                  </w:r>
                  <w:r>
                    <w:rPr>
                      <w:rFonts w:hint="eastAsia" w:cs="Times New Roman"/>
                      <w:color w:val="auto"/>
                      <w:kern w:val="0"/>
                      <w:sz w:val="21"/>
                      <w:szCs w:val="21"/>
                      <w:highlight w:val="none"/>
                      <w:lang w:val="en-US" w:eastAsia="zh-CN" w:bidi="ar"/>
                    </w:rPr>
                    <w:t>，</w:t>
                  </w:r>
                  <w:r>
                    <w:rPr>
                      <w:rFonts w:hint="eastAsia" w:ascii="Times New Roman" w:hAnsi="Times New Roman" w:cs="Times New Roman"/>
                      <w:color w:val="auto"/>
                      <w:kern w:val="0"/>
                      <w:sz w:val="21"/>
                      <w:szCs w:val="21"/>
                      <w:highlight w:val="none"/>
                      <w:lang w:val="en-US" w:eastAsia="zh-CN" w:bidi="ar"/>
                    </w:rPr>
                    <w:t>由一根</w:t>
                  </w:r>
                  <w:r>
                    <w:rPr>
                      <w:rFonts w:hint="eastAsia" w:ascii="Times New Roman" w:hAnsi="Times New Roman" w:eastAsia="宋体" w:cs="Times New Roman"/>
                      <w:b w:val="0"/>
                      <w:bCs/>
                      <w:color w:val="auto"/>
                      <w:kern w:val="2"/>
                      <w:sz w:val="21"/>
                      <w:szCs w:val="21"/>
                      <w:highlight w:val="none"/>
                      <w:lang w:val="en-US" w:eastAsia="zh-CN" w:bidi="ar-SA"/>
                    </w:rPr>
                    <w:t>15m高排气筒（</w:t>
                  </w:r>
                  <w:r>
                    <w:rPr>
                      <w:rFonts w:hint="eastAsia" w:cs="Times New Roman"/>
                      <w:b w:val="0"/>
                      <w:bCs/>
                      <w:color w:val="auto"/>
                      <w:kern w:val="2"/>
                      <w:sz w:val="21"/>
                      <w:szCs w:val="21"/>
                      <w:highlight w:val="none"/>
                      <w:lang w:val="en-US" w:eastAsia="zh-CN" w:bidi="ar-SA"/>
                    </w:rPr>
                    <w:t>DA001</w:t>
                  </w:r>
                  <w:r>
                    <w:rPr>
                      <w:rFonts w:hint="eastAsia" w:ascii="Times New Roman" w:hAnsi="Times New Roman" w:eastAsia="宋体" w:cs="Times New Roman"/>
                      <w:b w:val="0"/>
                      <w:bCs/>
                      <w:color w:val="auto"/>
                      <w:kern w:val="2"/>
                      <w:sz w:val="21"/>
                      <w:szCs w:val="21"/>
                      <w:highlight w:val="none"/>
                      <w:lang w:val="en-US" w:eastAsia="zh-CN" w:bidi="ar-SA"/>
                    </w:rPr>
                    <w:t>）排放</w:t>
                  </w:r>
                  <w:r>
                    <w:rPr>
                      <w:rFonts w:hint="eastAsia" w:cs="Times New Roman"/>
                      <w:b w:val="0"/>
                      <w:bCs/>
                      <w:color w:val="auto"/>
                      <w:kern w:val="2"/>
                      <w:sz w:val="21"/>
                      <w:szCs w:val="21"/>
                      <w:highlight w:val="none"/>
                      <w:lang w:val="en-US" w:eastAsia="zh-CN" w:bidi="ar-SA"/>
                    </w:rPr>
                    <w:t>。</w:t>
                  </w:r>
                  <w:r>
                    <w:rPr>
                      <w:rFonts w:hint="eastAsia" w:cs="Times New Roman"/>
                      <w:color w:val="auto"/>
                      <w:kern w:val="0"/>
                      <w:sz w:val="21"/>
                      <w:szCs w:val="21"/>
                      <w:highlight w:val="none"/>
                      <w:lang w:val="en-US" w:eastAsia="zh-CN" w:bidi="ar"/>
                    </w:rPr>
                    <w:t>满足《大气污染物综合排放标准》（GB16297-1996））及</w:t>
                  </w:r>
                  <w:r>
                    <w:rPr>
                      <w:rFonts w:hint="eastAsia" w:ascii="Times New Roman" w:hAnsi="Times New Roman" w:eastAsia="宋体" w:cs="Times New Roman"/>
                      <w:color w:val="auto"/>
                      <w:kern w:val="0"/>
                      <w:sz w:val="21"/>
                      <w:szCs w:val="21"/>
                      <w:highlight w:val="none"/>
                      <w:lang w:val="en-US" w:eastAsia="zh-CN" w:bidi="ar"/>
                    </w:rPr>
                    <w:t>《固定源挥发性有机物综合排放标准第6部分其他行业》（DB34/4812.6-2024）</w:t>
                  </w:r>
                  <w:r>
                    <w:rPr>
                      <w:rFonts w:hint="eastAsia" w:cs="Times New Roman"/>
                      <w:color w:val="auto"/>
                      <w:kern w:val="0"/>
                      <w:sz w:val="21"/>
                      <w:szCs w:val="21"/>
                      <w:highlight w:val="none"/>
                      <w:lang w:val="en-US" w:eastAsia="zh-CN" w:bidi="ar"/>
                    </w:rPr>
                    <w:t>中相关标准。</w:t>
                  </w:r>
                  <w:r>
                    <w:rPr>
                      <w:rFonts w:hint="eastAsia" w:ascii="Times New Roman" w:eastAsia="宋体"/>
                      <w:color w:val="auto"/>
                      <w:sz w:val="21"/>
                      <w:szCs w:val="21"/>
                      <w:highlight w:val="none"/>
                      <w:lang w:val="en-US" w:eastAsia="zh-CN"/>
                    </w:rPr>
                    <w:t>排放速率稳定。</w:t>
                  </w:r>
                </w:p>
              </w:tc>
              <w:tc>
                <w:tcPr>
                  <w:tcW w:w="446" w:type="pct"/>
                  <w:noWrap w:val="0"/>
                  <w:vAlign w:val="center"/>
                </w:tcPr>
                <w:p w14:paraId="4DD0F0F2">
                  <w:pPr>
                    <w:keepNext w:val="0"/>
                    <w:keepLines w:val="0"/>
                    <w:pageBreakBefore w:val="0"/>
                    <w:widowControl/>
                    <w:suppressLineNumbers w:val="0"/>
                    <w:wordWrap/>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bl>
          <w:p w14:paraId="4E472889">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cs="Times New Roman"/>
                <w:color w:val="auto"/>
                <w:highlight w:val="none"/>
                <w:lang w:val="en-US" w:eastAsia="zh-CN"/>
              </w:rPr>
            </w:pPr>
          </w:p>
        </w:tc>
      </w:tr>
    </w:tbl>
    <w:p w14:paraId="4F80619A">
      <w:pPr>
        <w:pStyle w:val="42"/>
        <w:keepNext w:val="0"/>
        <w:keepLines w:val="0"/>
        <w:pageBreakBefore w:val="0"/>
        <w:widowControl w:val="0"/>
        <w:shd w:val="clear" w:color="auto" w:fill="auto"/>
        <w:kinsoku/>
        <w:wordWrap/>
        <w:overflowPunct/>
        <w:topLinePunct/>
        <w:autoSpaceDE/>
        <w:autoSpaceDN/>
        <w:bidi w:val="0"/>
        <w:adjustRightInd w:val="0"/>
        <w:snapToGrid w:val="0"/>
        <w:ind w:firstLine="0" w:firstLineChars="0"/>
        <w:textAlignment w:val="auto"/>
        <w:rPr>
          <w:rFonts w:hint="default" w:ascii="Times New Roman" w:hAnsi="Times New Roman" w:cs="Times New Roman"/>
          <w:color w:val="auto"/>
          <w:highlight w:val="none"/>
        </w:rPr>
        <w:sectPr>
          <w:headerReference r:id="rId5" w:type="default"/>
          <w:footerReference r:id="rId6" w:type="default"/>
          <w:pgSz w:w="11906" w:h="16838"/>
          <w:pgMar w:top="1134" w:right="1134" w:bottom="1134" w:left="1134" w:header="737" w:footer="737" w:gutter="0"/>
          <w:pgBorders>
            <w:top w:val="none" w:sz="0" w:space="0"/>
            <w:left w:val="none" w:sz="0" w:space="0"/>
            <w:bottom w:val="none" w:sz="0" w:space="0"/>
            <w:right w:val="none" w:sz="0" w:space="0"/>
          </w:pgBorders>
          <w:pgNumType w:fmt="decimal" w:start="1"/>
          <w:cols w:space="0" w:num="1"/>
          <w:rtlGutter w:val="0"/>
          <w:docGrid w:linePitch="312" w:charSpace="0"/>
        </w:sectPr>
      </w:pPr>
    </w:p>
    <w:p w14:paraId="3E380D8D">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二、建设项目工程分析</w:t>
      </w:r>
    </w:p>
    <w:tbl>
      <w:tblPr>
        <w:tblStyle w:val="26"/>
        <w:tblW w:w="97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353"/>
        <w:gridCol w:w="9399"/>
      </w:tblGrid>
      <w:tr w14:paraId="319FC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327" w:hRule="atLeast"/>
          <w:jc w:val="center"/>
        </w:trPr>
        <w:tc>
          <w:tcPr>
            <w:tcW w:w="634" w:type="dxa"/>
            <w:noWrap w:val="0"/>
            <w:vAlign w:val="center"/>
          </w:tcPr>
          <w:p w14:paraId="65D7487A">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建设内容</w:t>
            </w:r>
          </w:p>
        </w:tc>
        <w:tc>
          <w:tcPr>
            <w:tcW w:w="9118" w:type="dxa"/>
            <w:noWrap w:val="0"/>
            <w:vAlign w:val="top"/>
          </w:tcPr>
          <w:p w14:paraId="6BEB0F8F">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color w:val="auto"/>
                <w:sz w:val="24"/>
                <w:highlight w:val="none"/>
                <w:lang w:val="en-US" w:eastAsia="zh-CN"/>
              </w:rPr>
            </w:pPr>
            <w:r>
              <w:rPr>
                <w:rFonts w:hint="eastAsia" w:cs="Times New Roman"/>
                <w:color w:val="auto"/>
                <w:highlight w:val="none"/>
                <w:lang w:val="en-US" w:eastAsia="zh-CN"/>
              </w:rPr>
              <w:t>一</w:t>
            </w:r>
            <w:r>
              <w:rPr>
                <w:rFonts w:hint="default" w:ascii="Times New Roman" w:hAnsi="Times New Roman" w:cs="Times New Roman"/>
                <w:color w:val="auto"/>
                <w:highlight w:val="none"/>
              </w:rPr>
              <w:t>、</w:t>
            </w:r>
            <w:r>
              <w:rPr>
                <w:rFonts w:hint="eastAsia" w:cs="Times New Roman"/>
                <w:color w:val="auto"/>
                <w:highlight w:val="none"/>
                <w:lang w:val="en-US" w:eastAsia="zh-CN"/>
              </w:rPr>
              <w:t>本项目</w:t>
            </w:r>
            <w:r>
              <w:rPr>
                <w:rFonts w:hint="default" w:ascii="Times New Roman" w:hAnsi="Times New Roman" w:cs="Times New Roman"/>
                <w:color w:val="auto"/>
                <w:highlight w:val="none"/>
              </w:rPr>
              <w:t>概况</w:t>
            </w:r>
          </w:p>
          <w:p w14:paraId="210F022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color w:val="auto"/>
                <w:sz w:val="24"/>
                <w:highlight w:val="none"/>
                <w:lang w:eastAsia="zh-CN"/>
              </w:rPr>
            </w:pPr>
            <w:r>
              <w:rPr>
                <w:rFonts w:hint="eastAsia" w:ascii="Times New Roman" w:hAnsi="Times New Roman"/>
                <w:color w:val="auto"/>
                <w:sz w:val="24"/>
                <w:highlight w:val="none"/>
              </w:rPr>
              <w:t>（</w:t>
            </w:r>
            <w:r>
              <w:rPr>
                <w:rFonts w:hint="default" w:ascii="Times New Roman" w:hAnsi="Times New Roman"/>
                <w:color w:val="auto"/>
                <w:sz w:val="24"/>
                <w:highlight w:val="none"/>
              </w:rPr>
              <w:t>1）项目名称：</w:t>
            </w:r>
            <w:r>
              <w:rPr>
                <w:rFonts w:hint="eastAsia" w:cs="Times New Roman"/>
                <w:color w:val="auto"/>
                <w:sz w:val="24"/>
                <w:highlight w:val="none"/>
                <w:lang w:eastAsia="zh-CN"/>
              </w:rPr>
              <w:t>安徽清鑫纺织有限公司年产8000万米汽车内饰、家居服饰高端面料智能制造项目</w:t>
            </w:r>
          </w:p>
          <w:p w14:paraId="2945D7A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olor w:val="auto"/>
                <w:sz w:val="24"/>
                <w:highlight w:val="none"/>
                <w:lang w:val="en-US"/>
              </w:rPr>
            </w:pPr>
            <w:r>
              <w:rPr>
                <w:rFonts w:hint="eastAsia" w:ascii="Times New Roman" w:hAnsi="Times New Roman"/>
                <w:color w:val="auto"/>
                <w:sz w:val="24"/>
                <w:highlight w:val="none"/>
              </w:rPr>
              <w:t>（</w:t>
            </w:r>
            <w:r>
              <w:rPr>
                <w:rFonts w:hint="default" w:ascii="Times New Roman" w:hAnsi="Times New Roman"/>
                <w:color w:val="auto"/>
                <w:sz w:val="24"/>
                <w:highlight w:val="none"/>
              </w:rPr>
              <w:t>2）项目性质：</w:t>
            </w:r>
            <w:r>
              <w:rPr>
                <w:rFonts w:hint="eastAsia"/>
                <w:color w:val="auto"/>
                <w:sz w:val="24"/>
                <w:highlight w:val="none"/>
                <w:lang w:val="en-US" w:eastAsia="zh-CN"/>
              </w:rPr>
              <w:t>新</w:t>
            </w:r>
            <w:r>
              <w:rPr>
                <w:rFonts w:hint="eastAsia" w:ascii="Times New Roman" w:hAnsi="Times New Roman"/>
                <w:color w:val="auto"/>
                <w:sz w:val="24"/>
                <w:highlight w:val="none"/>
                <w:lang w:val="en-US" w:eastAsia="zh-CN"/>
              </w:rPr>
              <w:t>建</w:t>
            </w:r>
          </w:p>
          <w:p w14:paraId="5DA85717">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eastAsia="宋体" w:cs="宋体"/>
                <w:color w:val="auto"/>
                <w:sz w:val="24"/>
                <w:highlight w:val="none"/>
                <w:lang w:val="en-US" w:eastAsia="zh-CN"/>
              </w:rPr>
            </w:pPr>
            <w:r>
              <w:rPr>
                <w:rFonts w:hint="eastAsia" w:ascii="Times New Roman" w:hAnsi="Times New Roman"/>
                <w:color w:val="auto"/>
                <w:sz w:val="24"/>
                <w:highlight w:val="none"/>
              </w:rPr>
              <w:t>（</w:t>
            </w:r>
            <w:r>
              <w:rPr>
                <w:rFonts w:hint="default" w:ascii="Times New Roman" w:hAnsi="Times New Roman"/>
                <w:color w:val="auto"/>
                <w:sz w:val="24"/>
                <w:highlight w:val="none"/>
              </w:rPr>
              <w:t>3）建设单位：</w:t>
            </w:r>
            <w:r>
              <w:rPr>
                <w:rFonts w:hint="eastAsia" w:cs="宋体"/>
                <w:color w:val="auto"/>
                <w:sz w:val="24"/>
                <w:highlight w:val="none"/>
                <w:lang w:val="en-US" w:eastAsia="zh-CN"/>
              </w:rPr>
              <w:t>安徽清鑫纺织有限公司</w:t>
            </w:r>
          </w:p>
          <w:p w14:paraId="51205132">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color w:val="auto"/>
                <w:sz w:val="24"/>
                <w:highlight w:val="none"/>
                <w:lang w:eastAsia="zh-CN"/>
              </w:rPr>
            </w:pPr>
            <w:r>
              <w:rPr>
                <w:rFonts w:hint="eastAsia" w:ascii="Times New Roman" w:hAnsi="Times New Roman"/>
                <w:color w:val="auto"/>
                <w:sz w:val="24"/>
                <w:highlight w:val="none"/>
              </w:rPr>
              <w:t>（</w:t>
            </w:r>
            <w:r>
              <w:rPr>
                <w:rFonts w:hint="default" w:ascii="Times New Roman" w:hAnsi="Times New Roman"/>
                <w:color w:val="auto"/>
                <w:sz w:val="24"/>
                <w:highlight w:val="none"/>
              </w:rPr>
              <w:t>4）建设地点：</w:t>
            </w:r>
            <w:r>
              <w:rPr>
                <w:rFonts w:hint="eastAsia" w:cs="Times New Roman"/>
                <w:color w:val="auto"/>
                <w:sz w:val="24"/>
                <w:highlight w:val="none"/>
                <w:lang w:eastAsia="zh-CN"/>
              </w:rPr>
              <w:t>安徽省蚌埠市五河县开发区彩虹大道与兴潼路交口西80米</w:t>
            </w:r>
          </w:p>
          <w:p w14:paraId="780978F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olor w:val="auto"/>
                <w:sz w:val="24"/>
                <w:highlight w:val="none"/>
                <w:shd w:val="clear"/>
                <w:lang w:val="en-US" w:eastAsia="zh-CN"/>
              </w:rPr>
            </w:pP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5</w:t>
            </w:r>
            <w:r>
              <w:rPr>
                <w:rFonts w:hint="eastAsia" w:ascii="Times New Roman" w:hAnsi="Times New Roman"/>
                <w:color w:val="auto"/>
                <w:sz w:val="24"/>
                <w:highlight w:val="none"/>
                <w:lang w:eastAsia="zh-CN"/>
              </w:rPr>
              <w:t>）</w:t>
            </w:r>
            <w:r>
              <w:rPr>
                <w:rFonts w:hint="default" w:ascii="Times New Roman" w:hAnsi="Times New Roman"/>
                <w:color w:val="auto"/>
                <w:sz w:val="24"/>
                <w:highlight w:val="none"/>
              </w:rPr>
              <w:t>建设内容及规模</w:t>
            </w:r>
            <w:r>
              <w:rPr>
                <w:rFonts w:hint="default" w:ascii="Times New Roman" w:hAnsi="Times New Roman"/>
                <w:color w:val="auto"/>
                <w:sz w:val="24"/>
                <w:highlight w:val="none"/>
                <w:shd w:val="clear"/>
              </w:rPr>
              <w:t>：总投资20000万元，其中固定资产投资15000万元，新建厂房及办公楼25000平方米，购置电子喷水多臂织机800台、新型v1000型加弹机12台、高速整经机器4台、全自动穿综机2台、磨毛机1台等生产及辅助设备。</w:t>
            </w:r>
            <w:r>
              <w:rPr>
                <w:rFonts w:hint="eastAsia"/>
                <w:color w:val="auto"/>
                <w:sz w:val="24"/>
                <w:highlight w:val="none"/>
                <w:shd w:val="clear"/>
                <w:lang w:val="en-US" w:eastAsia="zh-CN"/>
              </w:rPr>
              <w:t>建成后可达到年产8000万米汽车内饰、家居服饰高端面料的生产能力。</w:t>
            </w:r>
          </w:p>
          <w:p w14:paraId="70AB0C9A">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olor w:val="auto"/>
                <w:sz w:val="24"/>
                <w:highlight w:val="none"/>
              </w:rPr>
            </w:pPr>
            <w:r>
              <w:rPr>
                <w:rFonts w:hint="eastAsia" w:ascii="Times New Roman" w:hAnsi="Times New Roman"/>
                <w:color w:val="auto"/>
                <w:sz w:val="24"/>
                <w:highlight w:val="none"/>
              </w:rPr>
              <w:t>（</w:t>
            </w:r>
            <w:r>
              <w:rPr>
                <w:rFonts w:hint="default" w:ascii="Times New Roman" w:hAnsi="Times New Roman"/>
                <w:color w:val="auto"/>
                <w:sz w:val="24"/>
                <w:highlight w:val="none"/>
              </w:rPr>
              <w:t>6）</w:t>
            </w:r>
            <w:r>
              <w:rPr>
                <w:rFonts w:hint="eastAsia" w:ascii="Times New Roman" w:hAnsi="Times New Roman"/>
                <w:color w:val="auto"/>
                <w:sz w:val="24"/>
                <w:highlight w:val="none"/>
                <w:lang w:eastAsia="zh-CN"/>
              </w:rPr>
              <w:t>项目</w:t>
            </w:r>
            <w:r>
              <w:rPr>
                <w:rFonts w:hint="default" w:ascii="Times New Roman" w:hAnsi="Times New Roman"/>
                <w:color w:val="auto"/>
                <w:sz w:val="24"/>
                <w:highlight w:val="none"/>
              </w:rPr>
              <w:t>总投资：</w:t>
            </w:r>
            <w:r>
              <w:rPr>
                <w:rFonts w:hint="eastAsia" w:cs="宋体"/>
                <w:color w:val="auto"/>
                <w:kern w:val="0"/>
                <w:sz w:val="24"/>
                <w:szCs w:val="21"/>
                <w:highlight w:val="none"/>
                <w:lang w:val="en-US" w:eastAsia="zh-CN"/>
              </w:rPr>
              <w:t>20</w:t>
            </w:r>
            <w:r>
              <w:rPr>
                <w:rFonts w:hint="eastAsia" w:ascii="Times New Roman" w:hAnsi="Times New Roman" w:cs="宋体"/>
                <w:color w:val="auto"/>
                <w:kern w:val="0"/>
                <w:sz w:val="24"/>
                <w:szCs w:val="21"/>
                <w:highlight w:val="none"/>
                <w:lang w:eastAsia="zh-CN"/>
              </w:rPr>
              <w:t>000</w:t>
            </w:r>
            <w:r>
              <w:rPr>
                <w:rFonts w:hint="default" w:ascii="Times New Roman" w:hAnsi="Times New Roman"/>
                <w:color w:val="auto"/>
                <w:sz w:val="24"/>
                <w:highlight w:val="none"/>
              </w:rPr>
              <w:t>万元。</w:t>
            </w:r>
          </w:p>
          <w:p w14:paraId="285DB8E3">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color w:val="auto"/>
                <w:sz w:val="24"/>
                <w:highlight w:val="none"/>
              </w:rPr>
            </w:pPr>
            <w:r>
              <w:rPr>
                <w:rFonts w:hint="eastAsia"/>
                <w:color w:val="auto"/>
                <w:sz w:val="24"/>
                <w:highlight w:val="none"/>
                <w:lang w:val="en-US" w:eastAsia="zh-CN"/>
              </w:rPr>
              <w:t>二</w:t>
            </w:r>
            <w:r>
              <w:rPr>
                <w:rFonts w:hint="eastAsia" w:ascii="Times New Roman" w:hAnsi="Times New Roman"/>
                <w:color w:val="auto"/>
                <w:sz w:val="24"/>
                <w:highlight w:val="none"/>
              </w:rPr>
              <w:t>、</w:t>
            </w:r>
            <w:r>
              <w:rPr>
                <w:rFonts w:hint="eastAsia"/>
                <w:color w:val="auto"/>
                <w:highlight w:val="none"/>
                <w:lang w:val="en-US" w:eastAsia="zh-CN"/>
              </w:rPr>
              <w:t>本项目</w:t>
            </w:r>
            <w:r>
              <w:rPr>
                <w:rFonts w:hint="default"/>
                <w:color w:val="auto"/>
                <w:highlight w:val="none"/>
              </w:rPr>
              <w:t>环评类别</w:t>
            </w:r>
            <w:r>
              <w:rPr>
                <w:rFonts w:hint="eastAsia"/>
                <w:color w:val="auto"/>
                <w:highlight w:val="none"/>
                <w:lang w:val="en-US" w:eastAsia="zh-CN"/>
              </w:rPr>
              <w:t>判定</w:t>
            </w:r>
          </w:p>
          <w:p w14:paraId="7E1970C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color w:val="auto"/>
                <w:sz w:val="24"/>
                <w:highlight w:val="none"/>
              </w:rPr>
            </w:pPr>
            <w:r>
              <w:rPr>
                <w:rFonts w:hint="eastAsia" w:ascii="Times New Roman" w:hAnsi="Times New Roman"/>
                <w:color w:val="auto"/>
                <w:sz w:val="24"/>
                <w:highlight w:val="none"/>
              </w:rPr>
              <w:t>根据《中华人民共和国环境保护法》、《中华人民共和国环境影响评价法》和《建设项目环境保护管理条例》（国务院令682号）</w:t>
            </w:r>
            <w:r>
              <w:rPr>
                <w:rFonts w:hint="eastAsia" w:ascii="Times New Roman" w:hAnsi="Times New Roman"/>
                <w:color w:val="auto"/>
                <w:sz w:val="24"/>
                <w:highlight w:val="none"/>
                <w:lang w:eastAsia="zh-CN"/>
              </w:rPr>
              <w:t>中</w:t>
            </w:r>
            <w:r>
              <w:rPr>
                <w:rFonts w:hint="eastAsia" w:ascii="Times New Roman" w:hAnsi="Times New Roman"/>
                <w:color w:val="auto"/>
                <w:sz w:val="24"/>
                <w:highlight w:val="none"/>
              </w:rPr>
              <w:t>有关规定，建设项目应履行环境影响评价手续。</w:t>
            </w:r>
          </w:p>
          <w:p w14:paraId="44D6A63A">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imes New Roman" w:hAnsi="Times New Roman"/>
                <w:color w:val="auto"/>
                <w:sz w:val="24"/>
                <w:highlight w:val="none"/>
              </w:rPr>
            </w:pPr>
            <w:r>
              <w:rPr>
                <w:rFonts w:hint="eastAsia" w:ascii="Times New Roman" w:hAnsi="Times New Roman"/>
                <w:color w:val="auto"/>
                <w:sz w:val="24"/>
                <w:highlight w:val="none"/>
              </w:rPr>
              <w:t>对照《国民经济行业分类》（GB/T4754-2017），</w:t>
            </w:r>
            <w:r>
              <w:rPr>
                <w:rFonts w:hint="eastAsia" w:ascii="Times New Roman" w:hAnsi="Times New Roman"/>
                <w:color w:val="auto"/>
                <w:sz w:val="24"/>
                <w:highlight w:val="none"/>
                <w:lang w:eastAsia="zh-CN"/>
              </w:rPr>
              <w:t>项目</w:t>
            </w:r>
            <w:r>
              <w:rPr>
                <w:rFonts w:hint="eastAsia" w:ascii="Times New Roman" w:hAnsi="Times New Roman"/>
                <w:color w:val="auto"/>
                <w:sz w:val="24"/>
                <w:highlight w:val="none"/>
              </w:rPr>
              <w:t>属于</w:t>
            </w:r>
            <w:r>
              <w:rPr>
                <w:rFonts w:hint="eastAsia"/>
                <w:color w:val="auto"/>
                <w:sz w:val="24"/>
                <w:highlight w:val="none"/>
                <w:lang w:val="en-US" w:eastAsia="zh-CN"/>
              </w:rPr>
              <w:t>制造</w:t>
            </w:r>
            <w:r>
              <w:rPr>
                <w:rFonts w:hint="eastAsia" w:ascii="Times New Roman" w:hAnsi="Times New Roman"/>
                <w:color w:val="auto"/>
                <w:sz w:val="24"/>
                <w:highlight w:val="none"/>
              </w:rPr>
              <w:t>业中</w:t>
            </w:r>
            <w:r>
              <w:rPr>
                <w:rFonts w:hint="eastAsia" w:ascii="Times New Roman" w:hAnsi="Times New Roman"/>
                <w:color w:val="auto"/>
                <w:sz w:val="24"/>
                <w:highlight w:val="none"/>
                <w:lang w:eastAsia="zh-CN"/>
              </w:rPr>
              <w:t>“</w:t>
            </w:r>
            <w:r>
              <w:rPr>
                <w:rFonts w:hint="eastAsia"/>
                <w:color w:val="auto"/>
                <w:sz w:val="24"/>
                <w:highlight w:val="none"/>
                <w:lang w:val="en-US" w:eastAsia="zh-CN"/>
              </w:rPr>
              <w:t>C1751化纤织造加工</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，对照《建设项目环境影响评价分类管理名录（2021年版）》，</w:t>
            </w:r>
            <w:r>
              <w:rPr>
                <w:rFonts w:hint="eastAsia" w:ascii="Times New Roman" w:hAnsi="Times New Roman"/>
                <w:color w:val="auto"/>
                <w:sz w:val="24"/>
                <w:highlight w:val="none"/>
                <w:lang w:val="en-US" w:eastAsia="zh-CN"/>
              </w:rPr>
              <w:t>本</w:t>
            </w:r>
            <w:r>
              <w:rPr>
                <w:rFonts w:hint="eastAsia" w:ascii="Times New Roman" w:hAnsi="Times New Roman"/>
                <w:color w:val="auto"/>
                <w:sz w:val="24"/>
                <w:highlight w:val="none"/>
                <w:lang w:eastAsia="zh-CN"/>
              </w:rPr>
              <w:t>项目</w:t>
            </w:r>
            <w:r>
              <w:rPr>
                <w:rFonts w:hint="eastAsia" w:ascii="Times New Roman" w:hAnsi="Times New Roman"/>
                <w:color w:val="auto"/>
                <w:sz w:val="24"/>
                <w:highlight w:val="none"/>
              </w:rPr>
              <w:t>属于</w:t>
            </w:r>
            <w:r>
              <w:rPr>
                <w:rFonts w:hint="eastAsia" w:ascii="Times New Roman" w:hAnsi="Times New Roman"/>
                <w:color w:val="auto"/>
                <w:sz w:val="24"/>
                <w:highlight w:val="none"/>
                <w:lang w:eastAsia="zh-CN"/>
              </w:rPr>
              <w:t>“</w:t>
            </w:r>
            <w:r>
              <w:rPr>
                <w:rFonts w:hint="eastAsia"/>
                <w:color w:val="auto"/>
                <w:spacing w:val="0"/>
                <w:sz w:val="24"/>
                <w:highlight w:val="none"/>
                <w:lang w:val="en-US" w:eastAsia="zh-CN"/>
              </w:rPr>
              <w:t>十四</w:t>
            </w:r>
            <w:r>
              <w:rPr>
                <w:rFonts w:hint="eastAsia" w:ascii="Times New Roman" w:hAnsi="Times New Roman" w:eastAsia="宋体"/>
                <w:color w:val="auto"/>
                <w:spacing w:val="0"/>
                <w:sz w:val="24"/>
                <w:highlight w:val="none"/>
              </w:rPr>
              <w:t>、</w:t>
            </w:r>
            <w:r>
              <w:rPr>
                <w:rFonts w:hint="eastAsia"/>
                <w:color w:val="auto"/>
                <w:spacing w:val="0"/>
                <w:sz w:val="24"/>
                <w:highlight w:val="none"/>
                <w:lang w:val="en-US" w:eastAsia="zh-CN"/>
              </w:rPr>
              <w:t>纺织</w:t>
            </w:r>
            <w:r>
              <w:rPr>
                <w:rFonts w:hint="eastAsia" w:ascii="Times New Roman" w:hAnsi="Times New Roman" w:eastAsia="宋体"/>
                <w:color w:val="auto"/>
                <w:spacing w:val="0"/>
                <w:sz w:val="24"/>
                <w:highlight w:val="none"/>
              </w:rPr>
              <w:t>业</w:t>
            </w:r>
            <w:r>
              <w:rPr>
                <w:rFonts w:hint="eastAsia"/>
                <w:color w:val="auto"/>
                <w:sz w:val="24"/>
                <w:highlight w:val="none"/>
                <w:lang w:val="en-US" w:eastAsia="zh-CN"/>
              </w:rPr>
              <w:t>17</w:t>
            </w:r>
            <w:r>
              <w:rPr>
                <w:rFonts w:hint="eastAsia" w:ascii="Times New Roman" w:hAnsi="Times New Roman"/>
                <w:color w:val="auto"/>
                <w:sz w:val="24"/>
                <w:highlight w:val="none"/>
                <w:lang w:val="en-US" w:eastAsia="zh-CN"/>
              </w:rPr>
              <w:t>--</w:t>
            </w:r>
            <w:r>
              <w:rPr>
                <w:rFonts w:hint="eastAsia"/>
                <w:color w:val="auto"/>
                <w:sz w:val="24"/>
                <w:highlight w:val="none"/>
                <w:lang w:val="en-US" w:eastAsia="zh-CN"/>
              </w:rPr>
              <w:t>28</w:t>
            </w:r>
            <w:r>
              <w:rPr>
                <w:rFonts w:hint="default"/>
                <w:spacing w:val="-6"/>
              </w:rPr>
              <w:t>化纤织造及印染精加工</w:t>
            </w:r>
            <w:r>
              <w:rPr>
                <w:rFonts w:hint="eastAsia"/>
                <w:color w:val="auto"/>
                <w:spacing w:val="0"/>
                <w:sz w:val="24"/>
                <w:highlight w:val="none"/>
                <w:lang w:val="en-US" w:eastAsia="zh-CN"/>
              </w:rPr>
              <w:t>175</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中</w:t>
            </w:r>
            <w:r>
              <w:rPr>
                <w:rFonts w:hint="eastAsia" w:ascii="Times New Roman" w:hAnsi="Times New Roman"/>
                <w:color w:val="auto"/>
                <w:sz w:val="24"/>
                <w:highlight w:val="none"/>
                <w:lang w:eastAsia="zh-CN"/>
              </w:rPr>
              <w:t>“</w:t>
            </w:r>
            <w:r>
              <w:rPr>
                <w:rFonts w:hint="default" w:ascii="宋体" w:hAnsi="宋体" w:eastAsia="宋体" w:cs="宋体"/>
                <w:sz w:val="24"/>
                <w:szCs w:val="24"/>
              </w:rPr>
              <w:t>有喷墨印花或数码印花工艺的；后整理工序涉及有机溶剂的；有喷水织造工艺的；有水刺无纺布织造工艺的</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，应编制环境影响报告表。</w:t>
            </w:r>
          </w:p>
          <w:p w14:paraId="47AB6977">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olor w:val="auto"/>
                <w:sz w:val="24"/>
                <w:highlight w:val="none"/>
              </w:rPr>
            </w:pPr>
            <w:r>
              <w:rPr>
                <w:rFonts w:hint="default" w:ascii="Times New Roman" w:hAnsi="Times New Roman"/>
                <w:color w:val="auto"/>
                <w:sz w:val="24"/>
                <w:highlight w:val="none"/>
              </w:rPr>
              <w:t>表2-1</w:t>
            </w:r>
            <w:r>
              <w:rPr>
                <w:rFonts w:hint="eastAsia" w:ascii="Times New Roman" w:hAnsi="Times New Roman"/>
                <w:color w:val="auto"/>
                <w:sz w:val="24"/>
                <w:highlight w:val="none"/>
              </w:rPr>
              <w:t>《建设项目环境影响评价分类管理名录（2021年版）》摘录</w:t>
            </w:r>
          </w:p>
          <w:tbl>
            <w:tblPr>
              <w:tblStyle w:val="26"/>
              <w:tblW w:w="86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535"/>
              <w:gridCol w:w="2754"/>
              <w:gridCol w:w="1925"/>
              <w:gridCol w:w="2460"/>
              <w:gridCol w:w="961"/>
            </w:tblGrid>
            <w:tr w14:paraId="167D6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589" w:hRule="atLeast"/>
                <w:jc w:val="center"/>
              </w:trPr>
              <w:tc>
                <w:tcPr>
                  <w:tcW w:w="3289" w:type="dxa"/>
                  <w:gridSpan w:val="2"/>
                  <w:tcBorders>
                    <w:tl2br w:val="single" w:color="auto" w:sz="4" w:space="0"/>
                  </w:tcBorders>
                  <w:shd w:val="clear" w:color="auto" w:fill="auto"/>
                  <w:noWrap w:val="0"/>
                  <w:vAlign w:val="center"/>
                </w:tcPr>
                <w:p w14:paraId="181FD19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0" w:leftChars="50" w:right="120" w:rightChars="50"/>
                    <w:jc w:val="right"/>
                    <w:textAlignment w:val="auto"/>
                    <w:rPr>
                      <w:rFonts w:hint="default"/>
                      <w:color w:val="auto"/>
                      <w:sz w:val="21"/>
                      <w:szCs w:val="21"/>
                      <w:highlight w:val="none"/>
                    </w:rPr>
                  </w:pPr>
                  <w:r>
                    <w:rPr>
                      <w:rFonts w:hint="default"/>
                      <w:color w:val="auto"/>
                      <w:sz w:val="21"/>
                      <w:szCs w:val="21"/>
                      <w:highlight w:val="none"/>
                    </w:rPr>
                    <w:t>环评类别</w:t>
                  </w:r>
                </w:p>
                <w:p w14:paraId="5D74B16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0" w:leftChars="50" w:right="120" w:rightChars="50"/>
                    <w:jc w:val="left"/>
                    <w:textAlignment w:val="auto"/>
                    <w:rPr>
                      <w:rFonts w:hint="default"/>
                      <w:color w:val="auto"/>
                      <w:sz w:val="21"/>
                      <w:szCs w:val="21"/>
                      <w:highlight w:val="none"/>
                    </w:rPr>
                  </w:pPr>
                  <w:r>
                    <w:rPr>
                      <w:rFonts w:hint="default"/>
                      <w:color w:val="auto"/>
                      <w:sz w:val="21"/>
                      <w:szCs w:val="21"/>
                      <w:highlight w:val="none"/>
                    </w:rPr>
                    <w:t>项目类别</w:t>
                  </w:r>
                </w:p>
              </w:tc>
              <w:tc>
                <w:tcPr>
                  <w:tcW w:w="1925" w:type="dxa"/>
                  <w:shd w:val="clear" w:color="auto" w:fill="auto"/>
                  <w:noWrap w:val="0"/>
                  <w:vAlign w:val="center"/>
                </w:tcPr>
                <w:p w14:paraId="0BD0947B">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highlight w:val="none"/>
                    </w:rPr>
                  </w:pPr>
                  <w:r>
                    <w:rPr>
                      <w:rFonts w:hint="default"/>
                      <w:color w:val="auto"/>
                      <w:sz w:val="21"/>
                      <w:szCs w:val="21"/>
                      <w:highlight w:val="none"/>
                    </w:rPr>
                    <w:t>报告书</w:t>
                  </w:r>
                </w:p>
              </w:tc>
              <w:tc>
                <w:tcPr>
                  <w:tcW w:w="2460" w:type="dxa"/>
                  <w:shd w:val="clear" w:color="auto" w:fill="D7D7D7"/>
                  <w:noWrap w:val="0"/>
                  <w:vAlign w:val="center"/>
                </w:tcPr>
                <w:p w14:paraId="15CFC32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highlight w:val="none"/>
                    </w:rPr>
                  </w:pPr>
                  <w:r>
                    <w:rPr>
                      <w:rFonts w:hint="default"/>
                      <w:color w:val="auto"/>
                      <w:sz w:val="21"/>
                      <w:szCs w:val="21"/>
                      <w:highlight w:val="none"/>
                    </w:rPr>
                    <w:t>报告表</w:t>
                  </w:r>
                </w:p>
              </w:tc>
              <w:tc>
                <w:tcPr>
                  <w:tcW w:w="961" w:type="dxa"/>
                  <w:noWrap w:val="0"/>
                  <w:vAlign w:val="center"/>
                </w:tcPr>
                <w:p w14:paraId="5F325D5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highlight w:val="none"/>
                    </w:rPr>
                  </w:pPr>
                  <w:r>
                    <w:rPr>
                      <w:rFonts w:hint="default"/>
                      <w:color w:val="auto"/>
                      <w:sz w:val="21"/>
                      <w:szCs w:val="21"/>
                      <w:highlight w:val="none"/>
                    </w:rPr>
                    <w:t>登记表</w:t>
                  </w:r>
                </w:p>
              </w:tc>
            </w:tr>
            <w:tr w14:paraId="41724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8635" w:type="dxa"/>
                  <w:gridSpan w:val="5"/>
                  <w:shd w:val="clear" w:color="auto" w:fill="D7D7D7"/>
                  <w:noWrap w:val="0"/>
                  <w:vAlign w:val="center"/>
                </w:tcPr>
                <w:p w14:paraId="3534BE4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color w:val="auto"/>
                      <w:sz w:val="21"/>
                      <w:szCs w:val="21"/>
                      <w:highlight w:val="none"/>
                      <w:lang w:eastAsia="zh-CN"/>
                    </w:rPr>
                  </w:pPr>
                  <w:r>
                    <w:rPr>
                      <w:rFonts w:hint="default" w:ascii="宋体" w:hAnsi="宋体" w:eastAsia="宋体" w:cs="宋体"/>
                      <w:sz w:val="24"/>
                      <w:szCs w:val="24"/>
                    </w:rPr>
                    <w:t>十四、纺织业17</w:t>
                  </w:r>
                </w:p>
              </w:tc>
            </w:tr>
            <w:tr w14:paraId="42667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020" w:hRule="atLeast"/>
                <w:jc w:val="center"/>
              </w:trPr>
              <w:tc>
                <w:tcPr>
                  <w:tcW w:w="535" w:type="dxa"/>
                  <w:shd w:val="clear" w:color="auto" w:fill="D7D7D7"/>
                  <w:noWrap w:val="0"/>
                  <w:vAlign w:val="center"/>
                </w:tcPr>
                <w:p w14:paraId="7F0C2B2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pacing w:val="0"/>
                      <w:sz w:val="21"/>
                      <w:szCs w:val="21"/>
                      <w:highlight w:val="none"/>
                      <w:lang w:val="en-US" w:eastAsia="zh-CN"/>
                    </w:rPr>
                  </w:pPr>
                  <w:r>
                    <w:rPr>
                      <w:rFonts w:hint="eastAsia" w:cs="Times New Roman"/>
                      <w:b w:val="0"/>
                      <w:bCs/>
                      <w:color w:val="auto"/>
                      <w:spacing w:val="0"/>
                      <w:sz w:val="21"/>
                      <w:szCs w:val="21"/>
                      <w:highlight w:val="none"/>
                      <w:lang w:val="en-US" w:eastAsia="zh-CN"/>
                    </w:rPr>
                    <w:t>28</w:t>
                  </w:r>
                </w:p>
              </w:tc>
              <w:tc>
                <w:tcPr>
                  <w:tcW w:w="2754" w:type="dxa"/>
                  <w:shd w:val="clear" w:color="auto" w:fill="auto"/>
                  <w:noWrap w:val="0"/>
                  <w:vAlign w:val="center"/>
                </w:tcPr>
                <w:p w14:paraId="7936F66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eastAsia="宋体" w:cs="Times New Roman"/>
                      <w:b w:val="0"/>
                      <w:bCs/>
                      <w:color w:val="auto"/>
                      <w:spacing w:val="0"/>
                      <w:sz w:val="21"/>
                      <w:szCs w:val="21"/>
                      <w:highlight w:val="none"/>
                      <w:lang w:eastAsia="zh-CN"/>
                    </w:rPr>
                  </w:pPr>
                  <w:r>
                    <w:rPr>
                      <w:rFonts w:hint="eastAsia" w:ascii="Times New Roman" w:hAnsi="Times New Roman" w:eastAsia="宋体" w:cs="Times New Roman"/>
                      <w:b w:val="0"/>
                      <w:bCs/>
                      <w:color w:val="auto"/>
                      <w:spacing w:val="0"/>
                      <w:sz w:val="21"/>
                      <w:szCs w:val="21"/>
                      <w:highlight w:val="none"/>
                    </w:rPr>
                    <w:t>棉纺织及印染精加工171*；毛纺织及染整精加工172*；麻纺织及染整精加工173*；丝绢纺织及印染精加工174*；</w:t>
                  </w:r>
                  <w:r>
                    <w:rPr>
                      <w:rFonts w:hint="eastAsia" w:ascii="Times New Roman" w:hAnsi="Times New Roman" w:eastAsia="宋体" w:cs="Times New Roman"/>
                      <w:b w:val="0"/>
                      <w:bCs/>
                      <w:color w:val="auto"/>
                      <w:spacing w:val="0"/>
                      <w:sz w:val="21"/>
                      <w:szCs w:val="21"/>
                      <w:highlight w:val="lightGray"/>
                    </w:rPr>
                    <w:t>化纤织造及印染精加工175*</w:t>
                  </w:r>
                  <w:r>
                    <w:rPr>
                      <w:rFonts w:hint="eastAsia" w:ascii="Times New Roman" w:hAnsi="Times New Roman" w:eastAsia="宋体" w:cs="Times New Roman"/>
                      <w:b w:val="0"/>
                      <w:bCs/>
                      <w:color w:val="auto"/>
                      <w:spacing w:val="0"/>
                      <w:sz w:val="21"/>
                      <w:szCs w:val="21"/>
                      <w:highlight w:val="none"/>
                    </w:rPr>
                    <w:t>；针织或钩针编织物及其制品制造176*；家用纺织制成品制造177*；产业用纺织制成品制造178*</w:t>
                  </w:r>
                </w:p>
              </w:tc>
              <w:tc>
                <w:tcPr>
                  <w:tcW w:w="1925" w:type="dxa"/>
                  <w:shd w:val="clear" w:color="auto" w:fill="auto"/>
                  <w:noWrap w:val="0"/>
                  <w:vAlign w:val="center"/>
                </w:tcPr>
                <w:p w14:paraId="0807A17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eastAsia="宋体" w:cs="Times New Roman"/>
                      <w:b w:val="0"/>
                      <w:bCs/>
                      <w:color w:val="auto"/>
                      <w:spacing w:val="0"/>
                      <w:sz w:val="21"/>
                      <w:szCs w:val="21"/>
                      <w:highlight w:val="none"/>
                    </w:rPr>
                  </w:pPr>
                  <w:r>
                    <w:rPr>
                      <w:rFonts w:hint="eastAsia" w:ascii="Times New Roman" w:hAnsi="Times New Roman" w:eastAsia="宋体" w:cs="Times New Roman"/>
                      <w:b w:val="0"/>
                      <w:bCs/>
                      <w:color w:val="auto"/>
                      <w:spacing w:val="0"/>
                      <w:sz w:val="21"/>
                      <w:szCs w:val="21"/>
                      <w:highlight w:val="none"/>
                    </w:rPr>
                    <w:t>有洗毛、脱胶、缫丝工艺的；染整工艺有前处理、染色、印花（喷墨印花和数码印花的除外）工序的；有使用有机溶剂的涂层工艺的</w:t>
                  </w:r>
                </w:p>
              </w:tc>
              <w:tc>
                <w:tcPr>
                  <w:tcW w:w="2460" w:type="dxa"/>
                  <w:shd w:val="clear" w:color="auto" w:fill="D7D7D7" w:themeFill="background1" w:themeFillShade="D8"/>
                  <w:noWrap w:val="0"/>
                  <w:vAlign w:val="center"/>
                </w:tcPr>
                <w:p w14:paraId="5423FC4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eastAsia="宋体" w:cs="Times New Roman"/>
                      <w:b w:val="0"/>
                      <w:bCs/>
                      <w:color w:val="auto"/>
                      <w:spacing w:val="0"/>
                      <w:sz w:val="21"/>
                      <w:szCs w:val="21"/>
                      <w:highlight w:val="none"/>
                      <w:lang w:eastAsia="zh-CN"/>
                    </w:rPr>
                  </w:pPr>
                  <w:r>
                    <w:rPr>
                      <w:rFonts w:hint="eastAsia" w:ascii="Times New Roman" w:hAnsi="Times New Roman" w:eastAsia="宋体" w:cs="Times New Roman"/>
                      <w:b w:val="0"/>
                      <w:bCs/>
                      <w:color w:val="auto"/>
                      <w:spacing w:val="0"/>
                      <w:sz w:val="21"/>
                      <w:szCs w:val="21"/>
                      <w:highlight w:val="none"/>
                    </w:rPr>
                    <w:t>有喷墨印花或数码印花工艺的；后整理工序涉及有机溶剂的；有喷水织造工艺的；有水刺无纺布织造工艺的</w:t>
                  </w:r>
                </w:p>
              </w:tc>
              <w:tc>
                <w:tcPr>
                  <w:tcW w:w="961" w:type="dxa"/>
                  <w:noWrap w:val="0"/>
                  <w:vAlign w:val="center"/>
                </w:tcPr>
                <w:p w14:paraId="6F96565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eastAsia="宋体" w:cs="Times New Roman"/>
                      <w:b w:val="0"/>
                      <w:bCs/>
                      <w:color w:val="auto"/>
                      <w:spacing w:val="0"/>
                      <w:sz w:val="21"/>
                      <w:szCs w:val="21"/>
                      <w:highlight w:val="none"/>
                    </w:rPr>
                  </w:pPr>
                  <w:r>
                    <w:rPr>
                      <w:rFonts w:hint="eastAsia" w:ascii="Times New Roman" w:hAnsi="Times New Roman" w:eastAsia="宋体" w:cs="Times New Roman"/>
                      <w:b w:val="0"/>
                      <w:bCs/>
                      <w:color w:val="auto"/>
                      <w:spacing w:val="0"/>
                      <w:sz w:val="21"/>
                      <w:szCs w:val="21"/>
                      <w:highlight w:val="none"/>
                    </w:rPr>
                    <w:t>/</w:t>
                  </w:r>
                </w:p>
              </w:tc>
            </w:tr>
          </w:tbl>
          <w:p w14:paraId="738A72A2">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leftChars="0" w:right="0" w:firstLine="482" w:firstLineChars="200"/>
              <w:textAlignment w:val="auto"/>
              <w:rPr>
                <w:rFonts w:hint="default"/>
                <w:color w:val="auto"/>
                <w:sz w:val="24"/>
                <w:highlight w:val="none"/>
                <w:lang w:val="en-US" w:eastAsia="zh-CN"/>
              </w:rPr>
            </w:pPr>
            <w:r>
              <w:rPr>
                <w:rFonts w:hint="eastAsia"/>
                <w:color w:val="auto"/>
                <w:sz w:val="24"/>
                <w:highlight w:val="none"/>
              </w:rPr>
              <w:t>三、</w:t>
            </w:r>
            <w:r>
              <w:rPr>
                <w:rFonts w:hint="eastAsia"/>
                <w:color w:val="auto"/>
                <w:sz w:val="24"/>
                <w:highlight w:val="none"/>
                <w:lang w:eastAsia="zh-CN"/>
              </w:rPr>
              <w:t>项目</w:t>
            </w:r>
            <w:r>
              <w:rPr>
                <w:rFonts w:hint="eastAsia"/>
                <w:color w:val="auto"/>
                <w:sz w:val="24"/>
                <w:highlight w:val="none"/>
                <w:lang w:val="en-US" w:eastAsia="zh-CN"/>
              </w:rPr>
              <w:t>排污许可</w:t>
            </w:r>
          </w:p>
          <w:p w14:paraId="37307E9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z w:val="24"/>
                <w:highlight w:val="none"/>
                <w:lang w:val="en-US" w:eastAsia="zh-CN"/>
              </w:rPr>
            </w:pPr>
            <w:r>
              <w:rPr>
                <w:rFonts w:hint="eastAsia"/>
                <w:color w:val="auto"/>
                <w:sz w:val="24"/>
                <w:highlight w:val="none"/>
                <w:lang w:val="en-US" w:eastAsia="zh-CN"/>
              </w:rPr>
              <w:t>根据《固定污染源排污许可分类管理名录》（2019年版），</w:t>
            </w:r>
            <w:r>
              <w:rPr>
                <w:rFonts w:hint="default" w:ascii="Times New Roman" w:hAnsi="Times New Roman" w:eastAsia="宋体" w:cs="Times New Roman"/>
                <w:color w:val="auto"/>
                <w:sz w:val="24"/>
                <w:highlight w:val="none"/>
                <w:lang w:val="en-US" w:eastAsia="zh-CN"/>
              </w:rPr>
              <w:t>并结合项目产品、生产工艺、生产及辅助设备、原辅材料等情况</w:t>
            </w:r>
            <w:r>
              <w:rPr>
                <w:rFonts w:hint="eastAsia" w:cs="Times New Roman"/>
                <w:color w:val="auto"/>
                <w:sz w:val="24"/>
                <w:highlight w:val="none"/>
                <w:lang w:val="en-US" w:eastAsia="zh-CN"/>
              </w:rPr>
              <w:t>，</w:t>
            </w:r>
            <w:r>
              <w:rPr>
                <w:rFonts w:hint="eastAsia"/>
                <w:b w:val="0"/>
                <w:bCs w:val="0"/>
                <w:color w:val="auto"/>
                <w:sz w:val="24"/>
                <w:highlight w:val="none"/>
                <w:lang w:val="en-US" w:eastAsia="zh-CN"/>
              </w:rPr>
              <w:t>项</w:t>
            </w:r>
            <w:r>
              <w:rPr>
                <w:rFonts w:hint="eastAsia"/>
                <w:color w:val="auto"/>
                <w:sz w:val="24"/>
                <w:highlight w:val="none"/>
                <w:lang w:val="en-US" w:eastAsia="zh-CN"/>
              </w:rPr>
              <w:t>目属于“</w:t>
            </w:r>
            <w:r>
              <w:rPr>
                <w:rFonts w:hint="default"/>
                <w:spacing w:val="-6"/>
              </w:rPr>
              <w:t>十二、纺织业</w:t>
            </w:r>
            <w:r>
              <w:rPr>
                <w:rFonts w:hint="default" w:ascii="Times New Roman" w:hAnsi="Times New Roman" w:eastAsia="Times New Roman" w:cs="Times New Roman"/>
                <w:spacing w:val="-6"/>
              </w:rPr>
              <w:t>17</w:t>
            </w:r>
            <w:r>
              <w:rPr>
                <w:rFonts w:hint="default"/>
                <w:spacing w:val="-6"/>
              </w:rPr>
              <w:t>，化纤织造及</w:t>
            </w:r>
            <w:r>
              <w:rPr>
                <w:rFonts w:hint="default"/>
                <w:spacing w:val="-6"/>
                <w:highlight w:val="none"/>
              </w:rPr>
              <w:t>印染精加工</w:t>
            </w:r>
            <w:r>
              <w:rPr>
                <w:rFonts w:hint="default" w:ascii="Times New Roman" w:hAnsi="Times New Roman" w:eastAsia="Times New Roman" w:cs="Times New Roman"/>
                <w:spacing w:val="-6"/>
                <w:highlight w:val="none"/>
              </w:rPr>
              <w:t>175</w:t>
            </w:r>
            <w:r>
              <w:rPr>
                <w:rFonts w:hint="eastAsia" w:ascii="Times New Roman" w:hAnsi="Times New Roman" w:eastAsia="宋体" w:cs="Times New Roman"/>
                <w:spacing w:val="-28"/>
                <w:highlight w:val="none"/>
                <w:lang w:eastAsia="zh-CN"/>
              </w:rPr>
              <w:t>”</w:t>
            </w:r>
            <w:r>
              <w:rPr>
                <w:rFonts w:hint="default"/>
                <w:color w:val="auto"/>
                <w:sz w:val="24"/>
                <w:highlight w:val="none"/>
                <w:lang w:val="en-US" w:eastAsia="zh-CN"/>
              </w:rPr>
              <w:t>，属于</w:t>
            </w:r>
            <w:r>
              <w:rPr>
                <w:rFonts w:hint="eastAsia"/>
                <w:color w:val="auto"/>
                <w:sz w:val="24"/>
                <w:highlight w:val="none"/>
                <w:lang w:val="en-US" w:eastAsia="zh-CN"/>
              </w:rPr>
              <w:t>重点</w:t>
            </w:r>
            <w:r>
              <w:rPr>
                <w:rFonts w:hint="default"/>
                <w:color w:val="auto"/>
                <w:sz w:val="24"/>
                <w:highlight w:val="none"/>
                <w:lang w:val="en-US" w:eastAsia="zh-CN"/>
              </w:rPr>
              <w:t>管理，项目适用的排污许可技术规范为《排污许可证申</w:t>
            </w:r>
            <w:r>
              <w:rPr>
                <w:rFonts w:hint="default" w:ascii="Times New Roman" w:hAnsi="Times New Roman" w:eastAsia="宋体" w:cs="Times New Roman"/>
                <w:b w:val="0"/>
                <w:bCs w:val="0"/>
                <w:color w:val="auto"/>
                <w:sz w:val="24"/>
                <w:highlight w:val="none"/>
                <w:lang w:val="en-US" w:eastAsia="zh-CN"/>
              </w:rPr>
              <w:t>请与核发技术规范-总则》（HJ942-2018）</w:t>
            </w:r>
            <w:r>
              <w:rPr>
                <w:rFonts w:hint="eastAsia" w:cs="Times New Roman"/>
                <w:b w:val="0"/>
                <w:bCs w:val="0"/>
                <w:color w:val="auto"/>
                <w:sz w:val="24"/>
                <w:highlight w:val="none"/>
                <w:lang w:val="en-US" w:eastAsia="zh-CN"/>
              </w:rPr>
              <w:t>、《排污许可证申请与核发技术规范-纺织印染工业》（HJ861-2017）</w:t>
            </w:r>
            <w:r>
              <w:rPr>
                <w:rFonts w:hint="eastAsia" w:ascii="Times New Roman" w:hAnsi="Times New Roman" w:eastAsia="宋体" w:cs="宋体"/>
                <w:color w:val="auto"/>
                <w:sz w:val="24"/>
                <w:highlight w:val="none"/>
                <w:lang w:val="en-US" w:eastAsia="zh-CN"/>
              </w:rPr>
              <w:t>。</w:t>
            </w:r>
          </w:p>
          <w:p w14:paraId="39BCA5AC">
            <w:pPr>
              <w:pStyle w:val="4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color w:val="auto"/>
                <w:sz w:val="24"/>
                <w:highlight w:val="none"/>
              </w:rPr>
            </w:pPr>
            <w:r>
              <w:rPr>
                <w:rFonts w:hint="default"/>
                <w:color w:val="auto"/>
                <w:sz w:val="24"/>
                <w:highlight w:val="none"/>
              </w:rPr>
              <w:t>表2-</w:t>
            </w:r>
            <w:r>
              <w:rPr>
                <w:rFonts w:hint="eastAsia"/>
                <w:color w:val="auto"/>
                <w:sz w:val="24"/>
                <w:highlight w:val="none"/>
                <w:lang w:val="en-US" w:eastAsia="zh-CN"/>
              </w:rPr>
              <w:t>2</w:t>
            </w:r>
            <w:r>
              <w:rPr>
                <w:rFonts w:hint="eastAsia"/>
                <w:color w:val="auto"/>
                <w:sz w:val="24"/>
                <w:highlight w:val="none"/>
              </w:rPr>
              <w:t>《固定污染源排污许可分类管理名录》（2019年版）摘录</w:t>
            </w:r>
          </w:p>
          <w:tbl>
            <w:tblPr>
              <w:tblStyle w:val="26"/>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434"/>
              <w:gridCol w:w="567"/>
              <w:gridCol w:w="1474"/>
              <w:gridCol w:w="964"/>
              <w:gridCol w:w="1417"/>
              <w:gridCol w:w="1984"/>
              <w:gridCol w:w="1220"/>
            </w:tblGrid>
            <w:tr w14:paraId="700E7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34" w:type="dxa"/>
                  <w:tcBorders>
                    <w:tl2br w:val="nil"/>
                    <w:tr2bl w:val="nil"/>
                  </w:tcBorders>
                  <w:noWrap w:val="0"/>
                  <w:vAlign w:val="center"/>
                </w:tcPr>
                <w:p w14:paraId="63114E34">
                  <w:pPr>
                    <w:pStyle w:val="41"/>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行业大类</w:t>
                  </w:r>
                </w:p>
              </w:tc>
              <w:tc>
                <w:tcPr>
                  <w:tcW w:w="567" w:type="dxa"/>
                  <w:tcBorders>
                    <w:tl2br w:val="nil"/>
                    <w:tr2bl w:val="nil"/>
                  </w:tcBorders>
                  <w:noWrap w:val="0"/>
                  <w:vAlign w:val="center"/>
                </w:tcPr>
                <w:p w14:paraId="3656F938">
                  <w:pPr>
                    <w:pStyle w:val="41"/>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1474" w:type="dxa"/>
                  <w:tcBorders>
                    <w:tl2br w:val="nil"/>
                    <w:tr2bl w:val="nil"/>
                  </w:tcBorders>
                  <w:noWrap w:val="0"/>
                  <w:vAlign w:val="center"/>
                </w:tcPr>
                <w:p w14:paraId="03C35B5F">
                  <w:pPr>
                    <w:pStyle w:val="41"/>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行业类别</w:t>
                  </w:r>
                </w:p>
              </w:tc>
              <w:tc>
                <w:tcPr>
                  <w:tcW w:w="964" w:type="dxa"/>
                  <w:tcBorders>
                    <w:tl2br w:val="nil"/>
                    <w:tr2bl w:val="nil"/>
                  </w:tcBorders>
                  <w:noWrap w:val="0"/>
                  <w:vAlign w:val="center"/>
                </w:tcPr>
                <w:p w14:paraId="0BA7DA2A">
                  <w:pPr>
                    <w:pStyle w:val="41"/>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行业代码</w:t>
                  </w:r>
                </w:p>
              </w:tc>
              <w:tc>
                <w:tcPr>
                  <w:tcW w:w="1417" w:type="dxa"/>
                  <w:tcBorders>
                    <w:tl2br w:val="nil"/>
                    <w:tr2bl w:val="nil"/>
                  </w:tcBorders>
                  <w:shd w:val="clear" w:color="auto" w:fill="auto"/>
                  <w:noWrap w:val="0"/>
                  <w:vAlign w:val="center"/>
                </w:tcPr>
                <w:p w14:paraId="502147E7">
                  <w:pPr>
                    <w:pStyle w:val="41"/>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重点管理</w:t>
                  </w:r>
                </w:p>
              </w:tc>
              <w:tc>
                <w:tcPr>
                  <w:tcW w:w="1984" w:type="dxa"/>
                  <w:tcBorders>
                    <w:tl2br w:val="nil"/>
                    <w:tr2bl w:val="nil"/>
                  </w:tcBorders>
                  <w:noWrap w:val="0"/>
                  <w:vAlign w:val="center"/>
                </w:tcPr>
                <w:p w14:paraId="61137D91">
                  <w:pPr>
                    <w:pStyle w:val="41"/>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简化管理</w:t>
                  </w:r>
                </w:p>
              </w:tc>
              <w:tc>
                <w:tcPr>
                  <w:tcW w:w="1220" w:type="dxa"/>
                  <w:tcBorders>
                    <w:tl2br w:val="nil"/>
                    <w:tr2bl w:val="nil"/>
                  </w:tcBorders>
                  <w:shd w:val="clear" w:color="auto" w:fill="auto"/>
                  <w:noWrap w:val="0"/>
                  <w:vAlign w:val="center"/>
                </w:tcPr>
                <w:p w14:paraId="6737C8EA">
                  <w:pPr>
                    <w:pStyle w:val="41"/>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登记管理</w:t>
                  </w:r>
                </w:p>
              </w:tc>
            </w:tr>
            <w:tr w14:paraId="3E793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814" w:hRule="atLeast"/>
                <w:jc w:val="center"/>
              </w:trPr>
              <w:tc>
                <w:tcPr>
                  <w:tcW w:w="1434" w:type="dxa"/>
                  <w:tcBorders>
                    <w:tl2br w:val="nil"/>
                    <w:tr2bl w:val="nil"/>
                  </w:tcBorders>
                  <w:shd w:val="clear" w:color="auto" w:fill="D7D7D7"/>
                  <w:noWrap w:val="0"/>
                  <w:vAlign w:val="center"/>
                </w:tcPr>
                <w:p w14:paraId="308CD528">
                  <w:pPr>
                    <w:keepNext w:val="0"/>
                    <w:keepLines w:val="0"/>
                    <w:suppressLineNumbers w:val="0"/>
                    <w:spacing w:before="58" w:beforeAutospacing="0" w:after="0" w:afterAutospacing="0" w:line="195" w:lineRule="auto"/>
                    <w:ind w:left="0" w:right="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宋体"/>
                      <w:color w:val="auto"/>
                      <w:kern w:val="0"/>
                      <w:sz w:val="21"/>
                      <w:szCs w:val="21"/>
                      <w:highlight w:val="none"/>
                      <w:lang w:val="en-US" w:eastAsia="zh-CN" w:bidi="ar"/>
                    </w:rPr>
                    <w:t>十二、纺织业17</w:t>
                  </w:r>
                </w:p>
              </w:tc>
              <w:tc>
                <w:tcPr>
                  <w:tcW w:w="567" w:type="dxa"/>
                  <w:tcBorders>
                    <w:tl2br w:val="nil"/>
                    <w:tr2bl w:val="nil"/>
                  </w:tcBorders>
                  <w:shd w:val="clear" w:color="auto" w:fill="D7D7D7"/>
                  <w:noWrap w:val="0"/>
                  <w:vAlign w:val="center"/>
                </w:tcPr>
                <w:p w14:paraId="451453B7">
                  <w:pPr>
                    <w:pStyle w:val="56"/>
                    <w:keepNext w:val="0"/>
                    <w:keepLines w:val="0"/>
                    <w:suppressLineNumbers w:val="0"/>
                    <w:spacing w:before="36" w:beforeAutospacing="0" w:after="0" w:afterAutospacing="0" w:line="221"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bidi="ar"/>
                    </w:rPr>
                    <w:t>17</w:t>
                  </w:r>
                </w:p>
              </w:tc>
              <w:tc>
                <w:tcPr>
                  <w:tcW w:w="1474" w:type="dxa"/>
                  <w:tcBorders>
                    <w:tl2br w:val="nil"/>
                    <w:tr2bl w:val="nil"/>
                  </w:tcBorders>
                  <w:shd w:val="clear" w:color="auto" w:fill="auto"/>
                  <w:noWrap w:val="0"/>
                  <w:vAlign w:val="center"/>
                </w:tcPr>
                <w:p w14:paraId="4D17B27A">
                  <w:pPr>
                    <w:pStyle w:val="56"/>
                    <w:keepNext w:val="0"/>
                    <w:keepLines w:val="0"/>
                    <w:suppressLineNumbers w:val="0"/>
                    <w:spacing w:before="157" w:beforeAutospacing="0" w:after="0" w:afterAutospacing="0" w:line="228" w:lineRule="auto"/>
                    <w:ind w:left="0" w:right="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宋体"/>
                      <w:color w:val="auto"/>
                      <w:kern w:val="0"/>
                      <w:sz w:val="21"/>
                      <w:szCs w:val="21"/>
                      <w:highlight w:val="none"/>
                      <w:lang w:val="en-US" w:eastAsia="zh-CN" w:bidi="ar"/>
                    </w:rPr>
                    <w:t>化纤织造及印染精加工175</w:t>
                  </w:r>
                </w:p>
              </w:tc>
              <w:tc>
                <w:tcPr>
                  <w:tcW w:w="964" w:type="dxa"/>
                  <w:tcBorders>
                    <w:tl2br w:val="nil"/>
                    <w:tr2bl w:val="nil"/>
                  </w:tcBorders>
                  <w:shd w:val="clear" w:color="auto" w:fill="D7D7D7" w:themeFill="background1" w:themeFillShade="D8"/>
                  <w:noWrap w:val="0"/>
                  <w:vAlign w:val="center"/>
                </w:tcPr>
                <w:p w14:paraId="01D567E8">
                  <w:pPr>
                    <w:pStyle w:val="56"/>
                    <w:keepNext w:val="0"/>
                    <w:keepLines w:val="0"/>
                    <w:suppressLineNumbers w:val="0"/>
                    <w:spacing w:before="65" w:beforeAutospacing="0" w:after="0" w:afterAutospacing="0" w:line="228"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宋体"/>
                      <w:color w:val="auto"/>
                      <w:kern w:val="0"/>
                      <w:sz w:val="21"/>
                      <w:szCs w:val="21"/>
                      <w:highlight w:val="none"/>
                      <w:lang w:val="en-US" w:eastAsia="zh-CN" w:bidi="ar"/>
                    </w:rPr>
                    <w:t>175</w:t>
                  </w:r>
                </w:p>
              </w:tc>
              <w:tc>
                <w:tcPr>
                  <w:tcW w:w="1417" w:type="dxa"/>
                  <w:tcBorders>
                    <w:tl2br w:val="nil"/>
                    <w:tr2bl w:val="nil"/>
                  </w:tcBorders>
                  <w:shd w:val="clear" w:color="auto" w:fill="auto"/>
                  <w:noWrap w:val="0"/>
                  <w:vAlign w:val="center"/>
                </w:tcPr>
                <w:p w14:paraId="05062BFA">
                  <w:pPr>
                    <w:pStyle w:val="56"/>
                    <w:keepNext w:val="0"/>
                    <w:keepLines w:val="0"/>
                    <w:suppressLineNumbers w:val="0"/>
                    <w:spacing w:before="157" w:beforeAutospacing="0" w:after="0" w:afterAutospacing="0" w:line="228" w:lineRule="auto"/>
                    <w:ind w:left="0" w:right="0"/>
                    <w:jc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宋体"/>
                      <w:color w:val="auto"/>
                      <w:kern w:val="0"/>
                      <w:sz w:val="21"/>
                      <w:szCs w:val="21"/>
                      <w:highlight w:val="none"/>
                      <w:lang w:val="en-US" w:eastAsia="zh-CN" w:bidi="ar"/>
                    </w:rPr>
                    <w:t>有前处理、染色、印花、洗毛、麻脱胶、</w:t>
                  </w:r>
                  <w:r>
                    <w:rPr>
                      <w:rFonts w:hint="eastAsia" w:ascii="Times New Roman" w:hAnsi="Times New Roman" w:eastAsia="宋体" w:cs="宋体"/>
                      <w:color w:val="auto"/>
                      <w:kern w:val="0"/>
                      <w:sz w:val="21"/>
                      <w:szCs w:val="21"/>
                      <w:highlight w:val="lightGray"/>
                      <w:lang w:val="en-US" w:eastAsia="zh-CN" w:bidi="ar"/>
                    </w:rPr>
                    <w:t>缫丝或者喷水织造工序的</w:t>
                  </w:r>
                </w:p>
              </w:tc>
              <w:tc>
                <w:tcPr>
                  <w:tcW w:w="1984" w:type="dxa"/>
                  <w:tcBorders>
                    <w:tl2br w:val="nil"/>
                    <w:tr2bl w:val="nil"/>
                  </w:tcBorders>
                  <w:shd w:val="clear" w:color="auto" w:fill="auto"/>
                  <w:noWrap w:val="0"/>
                  <w:vAlign w:val="center"/>
                </w:tcPr>
                <w:p w14:paraId="51C7A1CC">
                  <w:pPr>
                    <w:pStyle w:val="56"/>
                    <w:keepNext w:val="0"/>
                    <w:keepLines w:val="0"/>
                    <w:suppressLineNumbers w:val="0"/>
                    <w:spacing w:before="65" w:beforeAutospacing="0" w:after="0" w:afterAutospacing="0" w:line="228" w:lineRule="auto"/>
                    <w:ind w:left="0" w:right="0"/>
                    <w:jc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宋体"/>
                      <w:color w:val="auto"/>
                      <w:kern w:val="0"/>
                      <w:sz w:val="21"/>
                      <w:szCs w:val="21"/>
                      <w:highlight w:val="none"/>
                      <w:lang w:val="en-US" w:eastAsia="zh-CN" w:bidi="ar"/>
                    </w:rPr>
                    <w:t>仅含整理工序的</w:t>
                  </w:r>
                </w:p>
              </w:tc>
              <w:tc>
                <w:tcPr>
                  <w:tcW w:w="1220" w:type="dxa"/>
                  <w:tcBorders>
                    <w:tl2br w:val="nil"/>
                    <w:tr2bl w:val="nil"/>
                  </w:tcBorders>
                  <w:shd w:val="clear" w:color="auto" w:fill="auto"/>
                  <w:noWrap w:val="0"/>
                  <w:vAlign w:val="center"/>
                </w:tcPr>
                <w:p w14:paraId="30A5C555">
                  <w:pPr>
                    <w:pStyle w:val="56"/>
                    <w:keepNext w:val="0"/>
                    <w:keepLines w:val="0"/>
                    <w:suppressLineNumbers w:val="0"/>
                    <w:spacing w:before="65" w:beforeAutospacing="0" w:after="0" w:afterAutospacing="0" w:line="228" w:lineRule="auto"/>
                    <w:ind w:left="0" w:right="0"/>
                    <w:jc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宋体"/>
                      <w:color w:val="auto"/>
                      <w:kern w:val="0"/>
                      <w:sz w:val="21"/>
                      <w:szCs w:val="21"/>
                      <w:highlight w:val="none"/>
                      <w:lang w:val="en-US" w:eastAsia="zh-CN" w:bidi="ar"/>
                    </w:rPr>
                    <w:t>其他</w:t>
                  </w:r>
                </w:p>
              </w:tc>
            </w:tr>
          </w:tbl>
          <w:p w14:paraId="70631CC4">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color w:val="auto"/>
                <w:highlight w:val="none"/>
              </w:rPr>
            </w:pPr>
            <w:r>
              <w:rPr>
                <w:rFonts w:hint="eastAsia"/>
                <w:color w:val="auto"/>
                <w:highlight w:val="none"/>
                <w:lang w:val="en-US" w:eastAsia="zh-CN"/>
              </w:rPr>
              <w:t>四</w:t>
            </w:r>
            <w:r>
              <w:rPr>
                <w:rFonts w:hint="default"/>
                <w:color w:val="auto"/>
                <w:highlight w:val="none"/>
                <w:lang w:val="en-US" w:eastAsia="zh-CN"/>
              </w:rPr>
              <w:t>、</w:t>
            </w:r>
            <w:r>
              <w:rPr>
                <w:rFonts w:hint="eastAsia"/>
                <w:color w:val="auto"/>
                <w:highlight w:val="none"/>
                <w:lang w:val="en-US" w:eastAsia="zh-CN"/>
              </w:rPr>
              <w:t>本项目</w:t>
            </w:r>
            <w:r>
              <w:rPr>
                <w:rFonts w:hint="default"/>
                <w:color w:val="auto"/>
                <w:highlight w:val="none"/>
              </w:rPr>
              <w:t>建设内容</w:t>
            </w:r>
          </w:p>
          <w:p w14:paraId="29A89D57">
            <w:pPr>
              <w:pStyle w:val="42"/>
              <w:keepNext w:val="0"/>
              <w:keepLines w:val="0"/>
              <w:suppressLineNumbers w:val="0"/>
              <w:bidi w:val="0"/>
              <w:spacing w:before="0" w:beforeAutospacing="0" w:after="0" w:afterAutospacing="0"/>
              <w:ind w:left="0" w:right="0"/>
              <w:rPr>
                <w:rFonts w:hint="default" w:eastAsia="宋体"/>
                <w:b w:val="0"/>
                <w:bCs w:val="0"/>
                <w:color w:val="auto"/>
                <w:highlight w:val="none"/>
                <w:lang w:val="en-US" w:eastAsia="zh-CN"/>
              </w:rPr>
            </w:pPr>
            <w:r>
              <w:rPr>
                <w:rFonts w:hint="eastAsia"/>
                <w:color w:val="auto"/>
                <w:highlight w:val="none"/>
                <w:lang w:val="en-US" w:eastAsia="zh-CN"/>
              </w:rPr>
              <w:t>本项目新建厂房，项目</w:t>
            </w:r>
            <w:r>
              <w:rPr>
                <w:rFonts w:hint="eastAsia" w:cs="Times New Roman"/>
                <w:color w:val="auto"/>
                <w:sz w:val="24"/>
                <w:szCs w:val="24"/>
                <w:highlight w:val="none"/>
                <w:lang w:val="en-US" w:eastAsia="zh-CN"/>
              </w:rPr>
              <w:t>主要</w:t>
            </w:r>
            <w:r>
              <w:rPr>
                <w:rFonts w:hint="default" w:ascii="Times New Roman" w:hAnsi="Times New Roman" w:eastAsia="宋体" w:cs="Times New Roman"/>
                <w:color w:val="auto"/>
                <w:sz w:val="24"/>
                <w:szCs w:val="24"/>
                <w:highlight w:val="none"/>
              </w:rPr>
              <w:t>建设内容</w:t>
            </w:r>
            <w:r>
              <w:rPr>
                <w:rFonts w:hint="default" w:ascii="Times New Roman" w:hAnsi="Times New Roman" w:eastAsia="宋体" w:cs="Times New Roman"/>
                <w:color w:val="auto"/>
                <w:sz w:val="24"/>
                <w:szCs w:val="24"/>
                <w:highlight w:val="none"/>
                <w:lang w:val="zh-CN"/>
              </w:rPr>
              <w:t>包括主体工程，辅助工程、储运工程</w:t>
            </w:r>
            <w:r>
              <w:rPr>
                <w:rFonts w:hint="default" w:ascii="Times New Roman" w:hAnsi="Times New Roman" w:eastAsia="宋体" w:cs="Times New Roman"/>
                <w:color w:val="auto"/>
                <w:sz w:val="24"/>
                <w:szCs w:val="24"/>
                <w:highlight w:val="none"/>
                <w:lang w:val="zh-CN" w:eastAsia="zh-CN"/>
              </w:rPr>
              <w:t>、公用工程、</w:t>
            </w:r>
            <w:r>
              <w:rPr>
                <w:rFonts w:hint="default" w:ascii="Times New Roman" w:hAnsi="Times New Roman" w:eastAsia="宋体" w:cs="Times New Roman"/>
                <w:color w:val="auto"/>
                <w:sz w:val="24"/>
                <w:szCs w:val="24"/>
                <w:highlight w:val="none"/>
                <w:lang w:val="zh-CN"/>
              </w:rPr>
              <w:t>环保工程等</w:t>
            </w:r>
            <w:r>
              <w:rPr>
                <w:rFonts w:hint="default"/>
                <w:color w:val="auto"/>
                <w:highlight w:val="none"/>
                <w:lang w:eastAsia="zh-CN"/>
              </w:rPr>
              <w:t>，</w:t>
            </w:r>
            <w:r>
              <w:rPr>
                <w:rFonts w:hint="default"/>
                <w:color w:val="auto"/>
                <w:highlight w:val="none"/>
                <w:lang w:val="en-US" w:eastAsia="zh-CN"/>
              </w:rPr>
              <w:t>具体见下表。</w:t>
            </w:r>
          </w:p>
          <w:p w14:paraId="005CA55D">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4"/>
                <w:szCs w:val="24"/>
                <w:highlight w:val="none"/>
              </w:rPr>
            </w:pPr>
            <w:r>
              <w:rPr>
                <w:rFonts w:hint="default"/>
                <w:color w:val="auto"/>
                <w:highlight w:val="none"/>
              </w:rPr>
              <w:t>表2-</w:t>
            </w:r>
            <w:r>
              <w:rPr>
                <w:rFonts w:hint="default"/>
                <w:color w:val="auto"/>
                <w:highlight w:val="none"/>
                <w:lang w:val="en-US" w:eastAsia="zh-CN"/>
              </w:rPr>
              <w:t>3</w:t>
            </w:r>
            <w:r>
              <w:rPr>
                <w:rFonts w:hint="eastAsia"/>
                <w:color w:val="auto"/>
                <w:highlight w:val="none"/>
                <w:lang w:val="en-US" w:eastAsia="zh-CN"/>
              </w:rPr>
              <w:t>本项目</w:t>
            </w:r>
            <w:r>
              <w:rPr>
                <w:rFonts w:hint="default" w:ascii="Times New Roman" w:hAnsi="Times New Roman" w:eastAsia="宋体" w:cs="Times New Roman"/>
                <w:color w:val="auto"/>
                <w:sz w:val="24"/>
                <w:szCs w:val="24"/>
                <w:highlight w:val="none"/>
              </w:rPr>
              <w:t>主要建设内容</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40"/>
              <w:gridCol w:w="619"/>
              <w:gridCol w:w="7592"/>
              <w:gridCol w:w="534"/>
            </w:tblGrid>
            <w:tr w14:paraId="0BFDAA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noWrap w:val="0"/>
                  <w:tcMar>
                    <w:top w:w="0" w:type="dxa"/>
                    <w:left w:w="57" w:type="dxa"/>
                    <w:bottom w:w="0" w:type="dxa"/>
                    <w:right w:w="57" w:type="dxa"/>
                  </w:tcMar>
                  <w:vAlign w:val="center"/>
                </w:tcPr>
                <w:p w14:paraId="2DCFB70F">
                  <w:pPr>
                    <w:pStyle w:val="41"/>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工程类别</w:t>
                  </w:r>
                </w:p>
              </w:tc>
              <w:tc>
                <w:tcPr>
                  <w:tcW w:w="619" w:type="dxa"/>
                  <w:noWrap w:val="0"/>
                  <w:tcMar>
                    <w:top w:w="0" w:type="dxa"/>
                    <w:left w:w="57" w:type="dxa"/>
                    <w:bottom w:w="0" w:type="dxa"/>
                    <w:right w:w="57" w:type="dxa"/>
                  </w:tcMar>
                  <w:vAlign w:val="center"/>
                </w:tcPr>
                <w:p w14:paraId="3C036DBE">
                  <w:pPr>
                    <w:pStyle w:val="41"/>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工程名称</w:t>
                  </w:r>
                </w:p>
              </w:tc>
              <w:tc>
                <w:tcPr>
                  <w:tcW w:w="7592" w:type="dxa"/>
                  <w:noWrap w:val="0"/>
                  <w:tcMar>
                    <w:top w:w="0" w:type="dxa"/>
                    <w:left w:w="57" w:type="dxa"/>
                    <w:bottom w:w="0" w:type="dxa"/>
                    <w:right w:w="57" w:type="dxa"/>
                  </w:tcMar>
                  <w:vAlign w:val="center"/>
                </w:tcPr>
                <w:p w14:paraId="6C0A6371">
                  <w:pPr>
                    <w:pStyle w:val="41"/>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olor w:val="auto"/>
                      <w:sz w:val="21"/>
                      <w:highlight w:val="none"/>
                      <w:lang w:val="en-US" w:eastAsia="zh-CN"/>
                    </w:rPr>
                    <w:t>建</w:t>
                  </w:r>
                  <w:r>
                    <w:rPr>
                      <w:rFonts w:hint="eastAsia"/>
                      <w:color w:val="auto"/>
                      <w:sz w:val="21"/>
                      <w:highlight w:val="none"/>
                      <w:lang w:val="en-US" w:eastAsia="zh-CN"/>
                    </w:rPr>
                    <w:t>成</w:t>
                  </w:r>
                  <w:r>
                    <w:rPr>
                      <w:rFonts w:hint="eastAsia" w:ascii="Times New Roman" w:hAnsi="Times New Roman" w:eastAsia="宋体"/>
                      <w:color w:val="auto"/>
                      <w:sz w:val="21"/>
                      <w:highlight w:val="none"/>
                      <w:lang w:val="en-US" w:eastAsia="zh-CN"/>
                    </w:rPr>
                    <w:t>后全厂工程内容及规模</w:t>
                  </w:r>
                </w:p>
              </w:tc>
              <w:tc>
                <w:tcPr>
                  <w:tcW w:w="0" w:type="auto"/>
                  <w:noWrap w:val="0"/>
                  <w:tcMar>
                    <w:top w:w="0" w:type="dxa"/>
                    <w:left w:w="57" w:type="dxa"/>
                    <w:bottom w:w="0" w:type="dxa"/>
                    <w:right w:w="57" w:type="dxa"/>
                  </w:tcMar>
                  <w:vAlign w:val="center"/>
                </w:tcPr>
                <w:p w14:paraId="0FAB17FC">
                  <w:pPr>
                    <w:pStyle w:val="41"/>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jc w:val="center"/>
                    <w:textAlignment w:val="auto"/>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备注</w:t>
                  </w:r>
                </w:p>
              </w:tc>
            </w:tr>
            <w:tr w14:paraId="4E99C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vMerge w:val="restart"/>
                  <w:noWrap w:val="0"/>
                  <w:tcMar>
                    <w:top w:w="0" w:type="dxa"/>
                    <w:left w:w="57" w:type="dxa"/>
                    <w:bottom w:w="0" w:type="dxa"/>
                    <w:right w:w="57" w:type="dxa"/>
                  </w:tcMar>
                  <w:vAlign w:val="center"/>
                </w:tcPr>
                <w:p w14:paraId="1FAE4DD7">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主体工程</w:t>
                  </w:r>
                </w:p>
              </w:tc>
              <w:tc>
                <w:tcPr>
                  <w:tcW w:w="619" w:type="dxa"/>
                  <w:noWrap w:val="0"/>
                  <w:tcMar>
                    <w:top w:w="0" w:type="dxa"/>
                    <w:left w:w="57" w:type="dxa"/>
                    <w:bottom w:w="0" w:type="dxa"/>
                    <w:right w:w="57" w:type="dxa"/>
                  </w:tcMar>
                  <w:vAlign w:val="center"/>
                </w:tcPr>
                <w:p w14:paraId="42272C7B">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1#厂房</w:t>
                  </w:r>
                </w:p>
              </w:tc>
              <w:tc>
                <w:tcPr>
                  <w:tcW w:w="7592" w:type="dxa"/>
                  <w:noWrap w:val="0"/>
                  <w:tcMar>
                    <w:top w:w="0" w:type="dxa"/>
                    <w:left w:w="57" w:type="dxa"/>
                    <w:bottom w:w="0" w:type="dxa"/>
                    <w:right w:w="57" w:type="dxa"/>
                  </w:tcMar>
                  <w:vAlign w:val="center"/>
                </w:tcPr>
                <w:p w14:paraId="5ACCDF09">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位于厂区东侧，1层结构，建筑面积11371.2m</w:t>
                  </w:r>
                  <w:r>
                    <w:rPr>
                      <w:rFonts w:hint="eastAsia" w:cs="Times New Roman"/>
                      <w:b w:val="0"/>
                      <w:bCs/>
                      <w:color w:val="auto"/>
                      <w:sz w:val="21"/>
                      <w:szCs w:val="21"/>
                      <w:highlight w:val="none"/>
                      <w:vertAlign w:val="superscript"/>
                      <w:lang w:val="en-US" w:eastAsia="zh-CN"/>
                    </w:rPr>
                    <w:t>2</w:t>
                  </w:r>
                  <w:r>
                    <w:rPr>
                      <w:rFonts w:hint="eastAsia" w:cs="Times New Roman"/>
                      <w:b w:val="0"/>
                      <w:bCs/>
                      <w:color w:val="auto"/>
                      <w:sz w:val="21"/>
                      <w:szCs w:val="21"/>
                      <w:highlight w:val="none"/>
                      <w:vertAlign w:val="baseline"/>
                      <w:lang w:val="en-US" w:eastAsia="zh-CN"/>
                    </w:rPr>
                    <w:t>，生产车间高9m，布置800台电子喷水多臂织机，用于喷水织造。</w:t>
                  </w:r>
                </w:p>
              </w:tc>
              <w:tc>
                <w:tcPr>
                  <w:tcW w:w="0" w:type="auto"/>
                  <w:noWrap w:val="0"/>
                  <w:tcMar>
                    <w:top w:w="0" w:type="dxa"/>
                    <w:left w:w="57" w:type="dxa"/>
                    <w:bottom w:w="0" w:type="dxa"/>
                    <w:right w:w="57" w:type="dxa"/>
                  </w:tcMar>
                  <w:vAlign w:val="center"/>
                </w:tcPr>
                <w:p w14:paraId="74F94C80">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宋体"/>
                      <w:b w:val="0"/>
                      <w:bCs/>
                      <w:color w:val="auto"/>
                      <w:sz w:val="21"/>
                      <w:szCs w:val="21"/>
                      <w:highlight w:val="none"/>
                      <w:lang w:val="en-US" w:eastAsia="zh-CN"/>
                    </w:rPr>
                  </w:pPr>
                  <w:r>
                    <w:rPr>
                      <w:rFonts w:hint="eastAsia" w:cs="宋体"/>
                      <w:b w:val="0"/>
                      <w:bCs/>
                      <w:color w:val="auto"/>
                      <w:sz w:val="21"/>
                      <w:szCs w:val="21"/>
                      <w:highlight w:val="none"/>
                      <w:lang w:val="en-US" w:eastAsia="zh-CN"/>
                    </w:rPr>
                    <w:t>新建</w:t>
                  </w:r>
                </w:p>
              </w:tc>
            </w:tr>
            <w:tr w14:paraId="0A962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vMerge w:val="continue"/>
                  <w:noWrap w:val="0"/>
                  <w:tcMar>
                    <w:top w:w="0" w:type="dxa"/>
                    <w:left w:w="57" w:type="dxa"/>
                    <w:bottom w:w="0" w:type="dxa"/>
                    <w:right w:w="57" w:type="dxa"/>
                  </w:tcMar>
                  <w:vAlign w:val="center"/>
                </w:tcPr>
                <w:p w14:paraId="66BFB96F">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619" w:type="dxa"/>
                  <w:noWrap w:val="0"/>
                  <w:tcMar>
                    <w:top w:w="0" w:type="dxa"/>
                    <w:left w:w="57" w:type="dxa"/>
                    <w:bottom w:w="0" w:type="dxa"/>
                    <w:right w:w="57" w:type="dxa"/>
                  </w:tcMar>
                  <w:vAlign w:val="center"/>
                </w:tcPr>
                <w:p w14:paraId="456AA9C4">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2#厂房</w:t>
                  </w:r>
                </w:p>
              </w:tc>
              <w:tc>
                <w:tcPr>
                  <w:tcW w:w="7592" w:type="dxa"/>
                  <w:noWrap w:val="0"/>
                  <w:tcMar>
                    <w:top w:w="0" w:type="dxa"/>
                    <w:left w:w="57" w:type="dxa"/>
                    <w:bottom w:w="0" w:type="dxa"/>
                    <w:right w:w="57" w:type="dxa"/>
                  </w:tcMar>
                  <w:vAlign w:val="center"/>
                </w:tcPr>
                <w:p w14:paraId="6675A94F">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位于厂区西侧，2层结构，占地面积5902.4m</w:t>
                  </w:r>
                  <w:r>
                    <w:rPr>
                      <w:rFonts w:hint="eastAsia" w:cs="Times New Roman"/>
                      <w:b w:val="0"/>
                      <w:bCs/>
                      <w:color w:val="auto"/>
                      <w:sz w:val="21"/>
                      <w:szCs w:val="21"/>
                      <w:highlight w:val="none"/>
                      <w:vertAlign w:val="superscript"/>
                      <w:lang w:val="en-US" w:eastAsia="zh-CN"/>
                    </w:rPr>
                    <w:t>2</w:t>
                  </w:r>
                  <w:r>
                    <w:rPr>
                      <w:rFonts w:hint="eastAsia" w:cs="Times New Roman"/>
                      <w:b w:val="0"/>
                      <w:bCs/>
                      <w:color w:val="auto"/>
                      <w:sz w:val="21"/>
                      <w:szCs w:val="21"/>
                      <w:highlight w:val="none"/>
                      <w:vertAlign w:val="baseline"/>
                      <w:lang w:val="en-US" w:eastAsia="zh-CN"/>
                    </w:rPr>
                    <w:t>，</w:t>
                  </w:r>
                  <w:r>
                    <w:rPr>
                      <w:rFonts w:hint="eastAsia" w:cs="Times New Roman"/>
                      <w:b w:val="0"/>
                      <w:bCs/>
                      <w:color w:val="auto"/>
                      <w:sz w:val="21"/>
                      <w:szCs w:val="21"/>
                      <w:highlight w:val="none"/>
                      <w:lang w:val="en-US" w:eastAsia="zh-CN"/>
                    </w:rPr>
                    <w:t>建筑面积11804.8m</w:t>
                  </w:r>
                  <w:r>
                    <w:rPr>
                      <w:rFonts w:hint="eastAsia" w:cs="Times New Roman"/>
                      <w:b w:val="0"/>
                      <w:bCs/>
                      <w:color w:val="auto"/>
                      <w:sz w:val="21"/>
                      <w:szCs w:val="21"/>
                      <w:highlight w:val="none"/>
                      <w:vertAlign w:val="superscript"/>
                      <w:lang w:val="en-US" w:eastAsia="zh-CN"/>
                    </w:rPr>
                    <w:t>2</w:t>
                  </w:r>
                  <w:r>
                    <w:rPr>
                      <w:rFonts w:hint="eastAsia" w:cs="Times New Roman"/>
                      <w:b w:val="0"/>
                      <w:bCs/>
                      <w:color w:val="auto"/>
                      <w:sz w:val="21"/>
                      <w:szCs w:val="21"/>
                      <w:highlight w:val="none"/>
                      <w:vertAlign w:val="baseline"/>
                      <w:lang w:val="en-US" w:eastAsia="zh-CN"/>
                    </w:rPr>
                    <w:t>，生产车间高9m，1层布置1台</w:t>
                  </w:r>
                  <w:r>
                    <w:rPr>
                      <w:rFonts w:hint="default" w:ascii="Times New Roman" w:hAnsi="Times New Roman" w:eastAsia="宋体" w:cs="Times New Roman"/>
                      <w:color w:val="auto"/>
                      <w:sz w:val="21"/>
                      <w:szCs w:val="21"/>
                      <w:lang w:val="en-US" w:eastAsia="zh-CN"/>
                    </w:rPr>
                    <w:t>磨毛机</w:t>
                  </w:r>
                  <w:r>
                    <w:rPr>
                      <w:rFonts w:hint="eastAsia" w:cs="Times New Roman"/>
                      <w:color w:val="auto"/>
                      <w:sz w:val="21"/>
                      <w:szCs w:val="21"/>
                      <w:lang w:val="en-US" w:eastAsia="zh-CN"/>
                    </w:rPr>
                    <w:t>、2台退卷机、8台打卷机及其他附属设备，2层布置12台v1000型加弹机、4台高速整经机；</w:t>
                  </w:r>
                  <w:r>
                    <w:rPr>
                      <w:rFonts w:hint="eastAsia" w:cs="Times New Roman"/>
                      <w:b w:val="0"/>
                      <w:bCs/>
                      <w:color w:val="auto"/>
                      <w:sz w:val="21"/>
                      <w:szCs w:val="21"/>
                      <w:highlight w:val="none"/>
                      <w:vertAlign w:val="baseline"/>
                      <w:lang w:val="en-US" w:eastAsia="zh-CN"/>
                    </w:rPr>
                    <w:t>建成后实现</w:t>
                  </w:r>
                  <w:r>
                    <w:rPr>
                      <w:rFonts w:hint="eastAsia" w:cs="Times New Roman"/>
                      <w:b w:val="0"/>
                      <w:bCs/>
                      <w:color w:val="auto"/>
                      <w:sz w:val="21"/>
                      <w:szCs w:val="21"/>
                      <w:highlight w:val="none"/>
                      <w:lang w:val="en-US" w:eastAsia="zh-CN"/>
                    </w:rPr>
                    <w:t>可年产8000万米汽车内饰、家居服饰高端面料</w:t>
                  </w:r>
                </w:p>
              </w:tc>
              <w:tc>
                <w:tcPr>
                  <w:tcW w:w="0" w:type="auto"/>
                  <w:noWrap w:val="0"/>
                  <w:tcMar>
                    <w:top w:w="0" w:type="dxa"/>
                    <w:left w:w="57" w:type="dxa"/>
                    <w:bottom w:w="0" w:type="dxa"/>
                    <w:right w:w="57" w:type="dxa"/>
                  </w:tcMar>
                  <w:vAlign w:val="center"/>
                </w:tcPr>
                <w:p w14:paraId="4293C10E">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宋体"/>
                      <w:b w:val="0"/>
                      <w:bCs/>
                      <w:color w:val="auto"/>
                      <w:sz w:val="21"/>
                      <w:szCs w:val="21"/>
                      <w:highlight w:val="none"/>
                      <w:lang w:val="en-US" w:eastAsia="zh-CN"/>
                    </w:rPr>
                  </w:pPr>
                  <w:r>
                    <w:rPr>
                      <w:rFonts w:hint="eastAsia" w:cs="宋体"/>
                      <w:b w:val="0"/>
                      <w:bCs/>
                      <w:color w:val="auto"/>
                      <w:sz w:val="21"/>
                      <w:szCs w:val="21"/>
                      <w:highlight w:val="none"/>
                      <w:lang w:val="en-US" w:eastAsia="zh-CN"/>
                    </w:rPr>
                    <w:t>新建</w:t>
                  </w:r>
                </w:p>
              </w:tc>
            </w:tr>
            <w:tr w14:paraId="53138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noWrap w:val="0"/>
                  <w:tcMar>
                    <w:top w:w="0" w:type="dxa"/>
                    <w:left w:w="57" w:type="dxa"/>
                    <w:bottom w:w="0" w:type="dxa"/>
                    <w:right w:w="57" w:type="dxa"/>
                  </w:tcMar>
                  <w:vAlign w:val="center"/>
                </w:tcPr>
                <w:p w14:paraId="3A20FEC6">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辅助工程</w:t>
                  </w:r>
                </w:p>
              </w:tc>
              <w:tc>
                <w:tcPr>
                  <w:tcW w:w="619" w:type="dxa"/>
                  <w:noWrap w:val="0"/>
                  <w:tcMar>
                    <w:top w:w="0" w:type="dxa"/>
                    <w:left w:w="57" w:type="dxa"/>
                    <w:bottom w:w="0" w:type="dxa"/>
                    <w:right w:w="57" w:type="dxa"/>
                  </w:tcMar>
                  <w:vAlign w:val="center"/>
                </w:tcPr>
                <w:p w14:paraId="0B4D1CD8">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综合楼</w:t>
                  </w:r>
                </w:p>
              </w:tc>
              <w:tc>
                <w:tcPr>
                  <w:tcW w:w="7592" w:type="dxa"/>
                  <w:noWrap w:val="0"/>
                  <w:tcMar>
                    <w:top w:w="0" w:type="dxa"/>
                    <w:left w:w="57" w:type="dxa"/>
                    <w:bottom w:w="0" w:type="dxa"/>
                    <w:right w:w="57" w:type="dxa"/>
                  </w:tcMar>
                  <w:vAlign w:val="center"/>
                </w:tcPr>
                <w:p w14:paraId="64CEA27E">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位于厂区北侧，4</w:t>
                  </w:r>
                  <w:r>
                    <w:rPr>
                      <w:rFonts w:hint="eastAsia" w:ascii="Times New Roman" w:hAnsi="Times New Roman" w:eastAsia="宋体" w:cs="Times New Roman"/>
                      <w:b w:val="0"/>
                      <w:bCs/>
                      <w:color w:val="auto"/>
                      <w:kern w:val="2"/>
                      <w:sz w:val="21"/>
                      <w:szCs w:val="21"/>
                      <w:highlight w:val="none"/>
                      <w:lang w:val="en-US" w:eastAsia="zh-CN" w:bidi="ar-SA"/>
                    </w:rPr>
                    <w:t>层结构，总高度16m，</w:t>
                  </w:r>
                  <w:r>
                    <w:rPr>
                      <w:rFonts w:hint="eastAsia" w:cs="Times New Roman"/>
                      <w:b w:val="0"/>
                      <w:bCs/>
                      <w:color w:val="auto"/>
                      <w:kern w:val="2"/>
                      <w:sz w:val="21"/>
                      <w:szCs w:val="21"/>
                      <w:highlight w:val="none"/>
                      <w:lang w:val="en-US" w:eastAsia="zh-CN" w:bidi="ar-SA"/>
                    </w:rPr>
                    <w:t>占地面积816</w:t>
                  </w:r>
                  <w:r>
                    <w:rPr>
                      <w:rFonts w:hint="eastAsia" w:cs="Times New Roman"/>
                      <w:b w:val="0"/>
                      <w:bCs/>
                      <w:color w:val="auto"/>
                      <w:sz w:val="21"/>
                      <w:szCs w:val="21"/>
                      <w:highlight w:val="none"/>
                      <w:lang w:val="en-US" w:eastAsia="zh-CN"/>
                    </w:rPr>
                    <w:t>m</w:t>
                  </w:r>
                  <w:r>
                    <w:rPr>
                      <w:rFonts w:hint="eastAsia" w:cs="Times New Roman"/>
                      <w:b w:val="0"/>
                      <w:bCs/>
                      <w:color w:val="auto"/>
                      <w:sz w:val="21"/>
                      <w:szCs w:val="21"/>
                      <w:highlight w:val="none"/>
                      <w:vertAlign w:val="superscript"/>
                      <w:lang w:val="en-US" w:eastAsia="zh-CN"/>
                    </w:rPr>
                    <w:t>2</w:t>
                  </w:r>
                  <w:r>
                    <w:rPr>
                      <w:rFonts w:hint="eastAsia" w:cs="Times New Roman"/>
                      <w:b w:val="0"/>
                      <w:bCs/>
                      <w:color w:val="auto"/>
                      <w:sz w:val="21"/>
                      <w:szCs w:val="21"/>
                      <w:highlight w:val="none"/>
                      <w:vertAlign w:val="baseline"/>
                      <w:lang w:val="en-US" w:eastAsia="zh-CN"/>
                    </w:rPr>
                    <w:t>，用于人员办公</w:t>
                  </w:r>
                </w:p>
              </w:tc>
              <w:tc>
                <w:tcPr>
                  <w:tcW w:w="0" w:type="auto"/>
                  <w:noWrap w:val="0"/>
                  <w:tcMar>
                    <w:top w:w="0" w:type="dxa"/>
                    <w:left w:w="57" w:type="dxa"/>
                    <w:bottom w:w="0" w:type="dxa"/>
                    <w:right w:w="57" w:type="dxa"/>
                  </w:tcMar>
                  <w:vAlign w:val="center"/>
                </w:tcPr>
                <w:p w14:paraId="10726AFB">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宋体"/>
                      <w:b w:val="0"/>
                      <w:bCs/>
                      <w:color w:val="auto"/>
                      <w:sz w:val="21"/>
                      <w:szCs w:val="21"/>
                      <w:highlight w:val="none"/>
                      <w:lang w:val="en-US" w:eastAsia="zh-CN"/>
                    </w:rPr>
                  </w:pPr>
                  <w:r>
                    <w:rPr>
                      <w:rFonts w:hint="eastAsia" w:cs="宋体"/>
                      <w:b w:val="0"/>
                      <w:bCs/>
                      <w:color w:val="auto"/>
                      <w:sz w:val="21"/>
                      <w:szCs w:val="21"/>
                      <w:highlight w:val="none"/>
                      <w:lang w:val="en-US" w:eastAsia="zh-CN"/>
                    </w:rPr>
                    <w:t>新建</w:t>
                  </w:r>
                </w:p>
              </w:tc>
            </w:tr>
            <w:tr w14:paraId="20E9C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vMerge w:val="restart"/>
                  <w:noWrap w:val="0"/>
                  <w:tcMar>
                    <w:top w:w="0" w:type="dxa"/>
                    <w:left w:w="57" w:type="dxa"/>
                    <w:bottom w:w="0" w:type="dxa"/>
                    <w:right w:w="57" w:type="dxa"/>
                  </w:tcMar>
                  <w:vAlign w:val="center"/>
                </w:tcPr>
                <w:p w14:paraId="2AEED619">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储运工程</w:t>
                  </w:r>
                </w:p>
              </w:tc>
              <w:tc>
                <w:tcPr>
                  <w:tcW w:w="619" w:type="dxa"/>
                  <w:noWrap w:val="0"/>
                  <w:tcMar>
                    <w:top w:w="0" w:type="dxa"/>
                    <w:left w:w="57" w:type="dxa"/>
                    <w:bottom w:w="0" w:type="dxa"/>
                    <w:right w:w="57" w:type="dxa"/>
                  </w:tcMar>
                  <w:vAlign w:val="center"/>
                </w:tcPr>
                <w:p w14:paraId="56DC36B0">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成品区</w:t>
                  </w:r>
                </w:p>
              </w:tc>
              <w:tc>
                <w:tcPr>
                  <w:tcW w:w="7592" w:type="dxa"/>
                  <w:noWrap w:val="0"/>
                  <w:tcMar>
                    <w:top w:w="0" w:type="dxa"/>
                    <w:left w:w="57" w:type="dxa"/>
                    <w:bottom w:w="0" w:type="dxa"/>
                    <w:right w:w="57" w:type="dxa"/>
                  </w:tcMar>
                  <w:vAlign w:val="center"/>
                </w:tcPr>
                <w:p w14:paraId="03C031AA">
                  <w:pPr>
                    <w:pStyle w:val="47"/>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位于2号厂房1楼</w:t>
                  </w:r>
                  <w:r>
                    <w:rPr>
                      <w:rFonts w:hint="eastAsia"/>
                      <w:lang w:val="en-US" w:eastAsia="zh-CN"/>
                    </w:rPr>
                    <w:t>北侧</w:t>
                  </w:r>
                  <w:r>
                    <w:rPr>
                      <w:rFonts w:hint="eastAsia" w:cs="Times New Roman"/>
                      <w:b w:val="0"/>
                      <w:bCs/>
                      <w:color w:val="auto"/>
                      <w:sz w:val="21"/>
                      <w:szCs w:val="21"/>
                      <w:highlight w:val="none"/>
                      <w:lang w:val="en-US" w:eastAsia="zh-CN"/>
                    </w:rPr>
                    <w:t>，占地面积600m</w:t>
                  </w:r>
                  <w:r>
                    <w:rPr>
                      <w:rFonts w:hint="eastAsia" w:cs="Times New Roman"/>
                      <w:b w:val="0"/>
                      <w:bCs/>
                      <w:color w:val="auto"/>
                      <w:sz w:val="21"/>
                      <w:szCs w:val="21"/>
                      <w:highlight w:val="none"/>
                      <w:vertAlign w:val="superscript"/>
                      <w:lang w:val="en-US" w:eastAsia="zh-CN"/>
                    </w:rPr>
                    <w:t>2</w:t>
                  </w:r>
                  <w:r>
                    <w:rPr>
                      <w:rFonts w:hint="eastAsia" w:cs="Times New Roman"/>
                      <w:b w:val="0"/>
                      <w:bCs/>
                      <w:color w:val="auto"/>
                      <w:sz w:val="21"/>
                      <w:szCs w:val="21"/>
                      <w:highlight w:val="none"/>
                      <w:vertAlign w:val="baseline"/>
                      <w:lang w:val="en-US" w:eastAsia="zh-CN"/>
                    </w:rPr>
                    <w:t>，用于成品储存</w:t>
                  </w:r>
                </w:p>
              </w:tc>
              <w:tc>
                <w:tcPr>
                  <w:tcW w:w="534" w:type="dxa"/>
                  <w:noWrap w:val="0"/>
                  <w:tcMar>
                    <w:top w:w="0" w:type="dxa"/>
                    <w:left w:w="57" w:type="dxa"/>
                    <w:bottom w:w="0" w:type="dxa"/>
                    <w:right w:w="57" w:type="dxa"/>
                  </w:tcMar>
                  <w:vAlign w:val="center"/>
                </w:tcPr>
                <w:p w14:paraId="3886DAC4">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新建</w:t>
                  </w:r>
                </w:p>
              </w:tc>
            </w:tr>
            <w:tr w14:paraId="57068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vMerge w:val="continue"/>
                  <w:noWrap w:val="0"/>
                  <w:tcMar>
                    <w:top w:w="0" w:type="dxa"/>
                    <w:left w:w="57" w:type="dxa"/>
                    <w:bottom w:w="0" w:type="dxa"/>
                    <w:right w:w="57" w:type="dxa"/>
                  </w:tcMar>
                  <w:vAlign w:val="center"/>
                </w:tcPr>
                <w:p w14:paraId="3D9BC1D9">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619" w:type="dxa"/>
                  <w:noWrap w:val="0"/>
                  <w:tcMar>
                    <w:top w:w="0" w:type="dxa"/>
                    <w:left w:w="57" w:type="dxa"/>
                    <w:bottom w:w="0" w:type="dxa"/>
                    <w:right w:w="57" w:type="dxa"/>
                  </w:tcMar>
                  <w:vAlign w:val="center"/>
                </w:tcPr>
                <w:p w14:paraId="12E54456">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b w:val="0"/>
                      <w:bCs/>
                      <w:spacing w:val="10"/>
                      <w:sz w:val="20"/>
                      <w:szCs w:val="20"/>
                    </w:rPr>
                    <w:t>仓库</w:t>
                  </w:r>
                </w:p>
              </w:tc>
              <w:tc>
                <w:tcPr>
                  <w:tcW w:w="7592" w:type="dxa"/>
                  <w:noWrap w:val="0"/>
                  <w:tcMar>
                    <w:top w:w="0" w:type="dxa"/>
                    <w:left w:w="57" w:type="dxa"/>
                    <w:bottom w:w="0" w:type="dxa"/>
                    <w:right w:w="57" w:type="dxa"/>
                  </w:tcMar>
                  <w:vAlign w:val="center"/>
                </w:tcPr>
                <w:p w14:paraId="512728AE">
                  <w:pPr>
                    <w:pStyle w:val="47"/>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位于2号厂房2楼</w:t>
                  </w:r>
                  <w:r>
                    <w:rPr>
                      <w:rFonts w:hint="eastAsia"/>
                      <w:lang w:val="en-US" w:eastAsia="zh-CN"/>
                    </w:rPr>
                    <w:t>北侧</w:t>
                  </w:r>
                  <w:r>
                    <w:rPr>
                      <w:rFonts w:hint="eastAsia" w:cs="Times New Roman"/>
                      <w:b w:val="0"/>
                      <w:bCs/>
                      <w:color w:val="auto"/>
                      <w:sz w:val="21"/>
                      <w:szCs w:val="21"/>
                      <w:highlight w:val="none"/>
                      <w:lang w:val="en-US" w:eastAsia="zh-CN"/>
                    </w:rPr>
                    <w:t>，占地面积600m</w:t>
                  </w:r>
                  <w:r>
                    <w:rPr>
                      <w:rFonts w:hint="eastAsia" w:cs="Times New Roman"/>
                      <w:b w:val="0"/>
                      <w:bCs/>
                      <w:color w:val="auto"/>
                      <w:sz w:val="21"/>
                      <w:szCs w:val="21"/>
                      <w:highlight w:val="none"/>
                      <w:vertAlign w:val="superscript"/>
                      <w:lang w:val="en-US" w:eastAsia="zh-CN"/>
                    </w:rPr>
                    <w:t>2</w:t>
                  </w:r>
                  <w:r>
                    <w:rPr>
                      <w:rFonts w:hint="eastAsia" w:cs="Times New Roman"/>
                      <w:b w:val="0"/>
                      <w:bCs/>
                      <w:color w:val="auto"/>
                      <w:sz w:val="21"/>
                      <w:szCs w:val="21"/>
                      <w:highlight w:val="none"/>
                      <w:vertAlign w:val="baseline"/>
                      <w:lang w:val="en-US" w:eastAsia="zh-CN"/>
                    </w:rPr>
                    <w:t>，用于原料储存</w:t>
                  </w:r>
                </w:p>
              </w:tc>
              <w:tc>
                <w:tcPr>
                  <w:tcW w:w="534" w:type="dxa"/>
                  <w:noWrap w:val="0"/>
                  <w:tcMar>
                    <w:top w:w="0" w:type="dxa"/>
                    <w:left w:w="57" w:type="dxa"/>
                    <w:bottom w:w="0" w:type="dxa"/>
                    <w:right w:w="57" w:type="dxa"/>
                  </w:tcMar>
                  <w:vAlign w:val="center"/>
                </w:tcPr>
                <w:p w14:paraId="720B634C">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新建</w:t>
                  </w:r>
                </w:p>
              </w:tc>
            </w:tr>
            <w:tr w14:paraId="062E6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vMerge w:val="restart"/>
                  <w:noWrap w:val="0"/>
                  <w:tcMar>
                    <w:top w:w="0" w:type="dxa"/>
                    <w:left w:w="57" w:type="dxa"/>
                    <w:bottom w:w="0" w:type="dxa"/>
                    <w:right w:w="57" w:type="dxa"/>
                  </w:tcMar>
                  <w:vAlign w:val="center"/>
                </w:tcPr>
                <w:p w14:paraId="511026EE">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公用工程</w:t>
                  </w:r>
                </w:p>
              </w:tc>
              <w:tc>
                <w:tcPr>
                  <w:tcW w:w="619" w:type="dxa"/>
                  <w:noWrap w:val="0"/>
                  <w:tcMar>
                    <w:top w:w="0" w:type="dxa"/>
                    <w:left w:w="57" w:type="dxa"/>
                    <w:bottom w:w="0" w:type="dxa"/>
                    <w:right w:w="57" w:type="dxa"/>
                  </w:tcMar>
                  <w:vAlign w:val="center"/>
                </w:tcPr>
                <w:p w14:paraId="2EBABB71">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宋体"/>
                      <w:b w:val="0"/>
                      <w:bCs/>
                      <w:i w:val="0"/>
                      <w:iCs w:val="0"/>
                      <w:color w:val="auto"/>
                      <w:kern w:val="0"/>
                      <w:sz w:val="21"/>
                      <w:szCs w:val="21"/>
                      <w:highlight w:val="none"/>
                      <w:u w:val="none"/>
                      <w:lang w:val="en-US" w:eastAsia="zh-CN" w:bidi="ar"/>
                    </w:rPr>
                    <w:t>供水</w:t>
                  </w:r>
                </w:p>
              </w:tc>
              <w:tc>
                <w:tcPr>
                  <w:tcW w:w="7592" w:type="dxa"/>
                  <w:noWrap w:val="0"/>
                  <w:tcMar>
                    <w:top w:w="0" w:type="dxa"/>
                    <w:left w:w="57" w:type="dxa"/>
                    <w:bottom w:w="0" w:type="dxa"/>
                    <w:right w:w="57" w:type="dxa"/>
                  </w:tcMar>
                  <w:vAlign w:val="center"/>
                </w:tcPr>
                <w:p w14:paraId="3F613A3E">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宋体"/>
                      <w:b w:val="0"/>
                      <w:bCs/>
                      <w:i w:val="0"/>
                      <w:iCs w:val="0"/>
                      <w:color w:val="auto"/>
                      <w:kern w:val="0"/>
                      <w:sz w:val="21"/>
                      <w:szCs w:val="21"/>
                      <w:highlight w:val="none"/>
                      <w:u w:val="none"/>
                      <w:lang w:val="en-US" w:eastAsia="zh-CN" w:bidi="ar"/>
                    </w:rPr>
                    <w:t>本项目用水由市政给水管网提供，年消</w:t>
                  </w:r>
                  <w:r>
                    <w:rPr>
                      <w:rFonts w:hint="eastAsia" w:ascii="Times New Roman" w:hAnsi="Times New Roman" w:eastAsia="宋体" w:cs="宋体"/>
                      <w:b w:val="0"/>
                      <w:bCs/>
                      <w:i w:val="0"/>
                      <w:iCs w:val="0"/>
                      <w:color w:val="auto"/>
                      <w:kern w:val="0"/>
                      <w:sz w:val="21"/>
                      <w:szCs w:val="21"/>
                      <w:highlight w:val="none"/>
                      <w:u w:val="none"/>
                      <w:shd w:val="clear"/>
                      <w:lang w:val="en-US" w:eastAsia="zh-CN" w:bidi="ar"/>
                    </w:rPr>
                    <w:t>耗新鲜水量</w:t>
                  </w:r>
                  <w:r>
                    <w:rPr>
                      <w:rFonts w:hint="eastAsia" w:cs="宋体"/>
                      <w:b w:val="0"/>
                      <w:bCs/>
                      <w:i w:val="0"/>
                      <w:iCs w:val="0"/>
                      <w:color w:val="auto"/>
                      <w:kern w:val="0"/>
                      <w:sz w:val="21"/>
                      <w:szCs w:val="21"/>
                      <w:highlight w:val="none"/>
                      <w:u w:val="none"/>
                      <w:shd w:val="clear"/>
                      <w:lang w:val="en-US" w:eastAsia="zh-CN" w:bidi="ar"/>
                    </w:rPr>
                    <w:t>145761</w:t>
                  </w:r>
                  <w:r>
                    <w:rPr>
                      <w:rFonts w:hint="eastAsia" w:ascii="Times New Roman" w:hAnsi="Times New Roman" w:eastAsia="宋体" w:cs="宋体"/>
                      <w:b w:val="0"/>
                      <w:bCs/>
                      <w:i w:val="0"/>
                      <w:iCs w:val="0"/>
                      <w:color w:val="auto"/>
                      <w:kern w:val="0"/>
                      <w:sz w:val="21"/>
                      <w:szCs w:val="21"/>
                      <w:highlight w:val="none"/>
                      <w:u w:val="none"/>
                      <w:shd w:val="clear"/>
                      <w:lang w:val="en-US" w:eastAsia="zh-CN" w:bidi="ar"/>
                    </w:rPr>
                    <w:t>t</w:t>
                  </w:r>
                  <w:r>
                    <w:rPr>
                      <w:rFonts w:hint="eastAsia" w:ascii="Times New Roman" w:hAnsi="Times New Roman" w:eastAsia="宋体" w:cs="宋体"/>
                      <w:b w:val="0"/>
                      <w:bCs/>
                      <w:i w:val="0"/>
                      <w:iCs w:val="0"/>
                      <w:color w:val="auto"/>
                      <w:kern w:val="0"/>
                      <w:sz w:val="21"/>
                      <w:szCs w:val="21"/>
                      <w:highlight w:val="none"/>
                      <w:u w:val="none"/>
                      <w:lang w:val="en-US" w:eastAsia="zh-CN" w:bidi="ar"/>
                    </w:rPr>
                    <w:t>。</w:t>
                  </w:r>
                </w:p>
              </w:tc>
              <w:tc>
                <w:tcPr>
                  <w:tcW w:w="534" w:type="dxa"/>
                  <w:noWrap w:val="0"/>
                  <w:tcMar>
                    <w:top w:w="0" w:type="dxa"/>
                    <w:left w:w="57" w:type="dxa"/>
                    <w:bottom w:w="0" w:type="dxa"/>
                    <w:right w:w="57" w:type="dxa"/>
                  </w:tcMar>
                  <w:vAlign w:val="center"/>
                </w:tcPr>
                <w:p w14:paraId="3070FCBA">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新建</w:t>
                  </w:r>
                </w:p>
              </w:tc>
            </w:tr>
            <w:tr w14:paraId="031276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vMerge w:val="continue"/>
                  <w:noWrap w:val="0"/>
                  <w:tcMar>
                    <w:top w:w="0" w:type="dxa"/>
                    <w:left w:w="57" w:type="dxa"/>
                    <w:bottom w:w="0" w:type="dxa"/>
                    <w:right w:w="57" w:type="dxa"/>
                  </w:tcMar>
                  <w:vAlign w:val="center"/>
                </w:tcPr>
                <w:p w14:paraId="0BBFDC18">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619" w:type="dxa"/>
                  <w:noWrap w:val="0"/>
                  <w:tcMar>
                    <w:top w:w="0" w:type="dxa"/>
                    <w:left w:w="57" w:type="dxa"/>
                    <w:bottom w:w="0" w:type="dxa"/>
                    <w:right w:w="57" w:type="dxa"/>
                  </w:tcMar>
                  <w:vAlign w:val="center"/>
                </w:tcPr>
                <w:p w14:paraId="439A4673">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宋体"/>
                      <w:b w:val="0"/>
                      <w:bCs/>
                      <w:i w:val="0"/>
                      <w:iCs w:val="0"/>
                      <w:color w:val="auto"/>
                      <w:kern w:val="0"/>
                      <w:sz w:val="21"/>
                      <w:szCs w:val="21"/>
                      <w:highlight w:val="none"/>
                      <w:u w:val="none"/>
                      <w:lang w:val="en-US" w:eastAsia="zh-CN" w:bidi="ar"/>
                    </w:rPr>
                    <w:t>排水</w:t>
                  </w:r>
                </w:p>
              </w:tc>
              <w:tc>
                <w:tcPr>
                  <w:tcW w:w="7592" w:type="dxa"/>
                  <w:noWrap w:val="0"/>
                  <w:tcMar>
                    <w:top w:w="0" w:type="dxa"/>
                    <w:left w:w="57" w:type="dxa"/>
                    <w:bottom w:w="0" w:type="dxa"/>
                    <w:right w:w="57" w:type="dxa"/>
                  </w:tcMar>
                  <w:vAlign w:val="center"/>
                </w:tcPr>
                <w:p w14:paraId="150E5AD4">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spacing w:val="9"/>
                      <w:sz w:val="20"/>
                      <w:szCs w:val="20"/>
                    </w:rPr>
                    <w:t>项目采取雨污分流。雨水经厂区雨水管网排入市政雨水管网，生活污水经化粪池预处理后经市政污水管网进入</w:t>
                  </w:r>
                  <w:r>
                    <w:rPr>
                      <w:rFonts w:hint="eastAsia"/>
                      <w:spacing w:val="9"/>
                      <w:sz w:val="20"/>
                      <w:szCs w:val="20"/>
                      <w:lang w:eastAsia="zh-CN"/>
                    </w:rPr>
                    <w:t>五河县经济开发区污水处理厂</w:t>
                  </w:r>
                  <w:r>
                    <w:rPr>
                      <w:rFonts w:hint="default"/>
                      <w:spacing w:val="9"/>
                      <w:sz w:val="20"/>
                      <w:szCs w:val="20"/>
                    </w:rPr>
                    <w:t>，处理达标后最终排入淮河，生产废水经</w:t>
                  </w:r>
                  <w:r>
                    <w:rPr>
                      <w:rFonts w:hint="eastAsia"/>
                      <w:spacing w:val="9"/>
                      <w:sz w:val="20"/>
                      <w:szCs w:val="20"/>
                      <w:lang w:eastAsia="zh-CN"/>
                    </w:rPr>
                    <w:t>“隔油+气浮+好氧生化+二级沉淀+过滤”</w:t>
                  </w:r>
                  <w:r>
                    <w:rPr>
                      <w:rFonts w:hint="default"/>
                      <w:spacing w:val="9"/>
                      <w:sz w:val="20"/>
                      <w:szCs w:val="20"/>
                    </w:rPr>
                    <w:t>污水处理</w:t>
                  </w:r>
                  <w:r>
                    <w:rPr>
                      <w:rFonts w:hint="eastAsia"/>
                      <w:spacing w:val="9"/>
                      <w:sz w:val="20"/>
                      <w:szCs w:val="20"/>
                      <w:lang w:val="en-US" w:eastAsia="zh-CN"/>
                    </w:rPr>
                    <w:t>设施处</w:t>
                  </w:r>
                  <w:r>
                    <w:rPr>
                      <w:rFonts w:hint="default"/>
                      <w:spacing w:val="9"/>
                      <w:sz w:val="20"/>
                      <w:szCs w:val="20"/>
                    </w:rPr>
                    <w:t>理后</w:t>
                  </w:r>
                  <w:r>
                    <w:rPr>
                      <w:rFonts w:hint="eastAsia" w:cs="Times New Roman"/>
                      <w:spacing w:val="9"/>
                      <w:sz w:val="20"/>
                      <w:szCs w:val="20"/>
                      <w:lang w:val="en-US" w:eastAsia="zh-CN"/>
                    </w:rPr>
                    <w:t>95%回用于织造用水，5%排入市政管网进入五河县经济开发区污水处理厂处理</w:t>
                  </w:r>
                  <w:r>
                    <w:rPr>
                      <w:rFonts w:hint="default"/>
                      <w:spacing w:val="8"/>
                      <w:sz w:val="20"/>
                      <w:szCs w:val="20"/>
                    </w:rPr>
                    <w:t>。</w:t>
                  </w:r>
                </w:p>
              </w:tc>
              <w:tc>
                <w:tcPr>
                  <w:tcW w:w="534" w:type="dxa"/>
                  <w:noWrap w:val="0"/>
                  <w:tcMar>
                    <w:top w:w="0" w:type="dxa"/>
                    <w:left w:w="57" w:type="dxa"/>
                    <w:bottom w:w="0" w:type="dxa"/>
                    <w:right w:w="57" w:type="dxa"/>
                  </w:tcMar>
                  <w:vAlign w:val="center"/>
                </w:tcPr>
                <w:p w14:paraId="7291BD5E">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新建</w:t>
                  </w:r>
                </w:p>
              </w:tc>
            </w:tr>
            <w:tr w14:paraId="0EC94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vMerge w:val="continue"/>
                  <w:noWrap w:val="0"/>
                  <w:tcMar>
                    <w:top w:w="0" w:type="dxa"/>
                    <w:left w:w="57" w:type="dxa"/>
                    <w:bottom w:w="0" w:type="dxa"/>
                    <w:right w:w="57" w:type="dxa"/>
                  </w:tcMar>
                  <w:vAlign w:val="center"/>
                </w:tcPr>
                <w:p w14:paraId="2C380C15">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619" w:type="dxa"/>
                  <w:noWrap w:val="0"/>
                  <w:tcMar>
                    <w:top w:w="0" w:type="dxa"/>
                    <w:left w:w="57" w:type="dxa"/>
                    <w:bottom w:w="0" w:type="dxa"/>
                    <w:right w:w="57" w:type="dxa"/>
                  </w:tcMar>
                  <w:vAlign w:val="center"/>
                </w:tcPr>
                <w:p w14:paraId="0FE25836">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宋体"/>
                      <w:b w:val="0"/>
                      <w:bCs/>
                      <w:i w:val="0"/>
                      <w:iCs w:val="0"/>
                      <w:color w:val="auto"/>
                      <w:kern w:val="0"/>
                      <w:sz w:val="21"/>
                      <w:szCs w:val="21"/>
                      <w:highlight w:val="none"/>
                      <w:u w:val="none"/>
                      <w:lang w:val="en-US" w:eastAsia="zh-CN" w:bidi="ar"/>
                    </w:rPr>
                    <w:t>供电</w:t>
                  </w:r>
                </w:p>
              </w:tc>
              <w:tc>
                <w:tcPr>
                  <w:tcW w:w="7592" w:type="dxa"/>
                  <w:noWrap w:val="0"/>
                  <w:tcMar>
                    <w:top w:w="0" w:type="dxa"/>
                    <w:left w:w="57" w:type="dxa"/>
                    <w:bottom w:w="0" w:type="dxa"/>
                    <w:right w:w="57" w:type="dxa"/>
                  </w:tcMar>
                  <w:vAlign w:val="center"/>
                </w:tcPr>
                <w:p w14:paraId="7A3DF1C7">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宋体"/>
                      <w:b w:val="0"/>
                      <w:bCs/>
                      <w:i w:val="0"/>
                      <w:iCs w:val="0"/>
                      <w:color w:val="auto"/>
                      <w:kern w:val="0"/>
                      <w:sz w:val="21"/>
                      <w:szCs w:val="21"/>
                      <w:highlight w:val="none"/>
                      <w:u w:val="none"/>
                      <w:lang w:val="en-US" w:eastAsia="zh-CN" w:bidi="ar"/>
                    </w:rPr>
                    <w:t>用电由市政电网接入，供全厂生产使用，</w:t>
                  </w:r>
                  <w:r>
                    <w:rPr>
                      <w:rFonts w:hint="eastAsia" w:ascii="Times New Roman" w:hAnsi="Times New Roman" w:eastAsia="宋体" w:cs="宋体"/>
                      <w:b w:val="0"/>
                      <w:bCs/>
                      <w:i w:val="0"/>
                      <w:iCs w:val="0"/>
                      <w:color w:val="auto"/>
                      <w:kern w:val="0"/>
                      <w:sz w:val="21"/>
                      <w:szCs w:val="21"/>
                      <w:highlight w:val="none"/>
                      <w:u w:val="none"/>
                      <w:shd w:val="clear"/>
                      <w:lang w:val="en-US" w:eastAsia="zh-CN" w:bidi="ar"/>
                    </w:rPr>
                    <w:t>年用电量约2920万</w:t>
                  </w:r>
                  <w:r>
                    <w:rPr>
                      <w:rFonts w:hint="eastAsia" w:cs="宋体"/>
                      <w:b w:val="0"/>
                      <w:bCs/>
                      <w:i w:val="0"/>
                      <w:iCs w:val="0"/>
                      <w:color w:val="auto"/>
                      <w:kern w:val="0"/>
                      <w:sz w:val="21"/>
                      <w:szCs w:val="21"/>
                      <w:highlight w:val="none"/>
                      <w:u w:val="none"/>
                      <w:shd w:val="clear"/>
                      <w:lang w:val="en-US" w:eastAsia="zh-CN" w:bidi="ar"/>
                    </w:rPr>
                    <w:t>kW</w:t>
                  </w:r>
                  <w:r>
                    <w:rPr>
                      <w:rFonts w:hint="eastAsia" w:ascii="Times New Roman" w:hAnsi="Times New Roman" w:eastAsia="宋体" w:cs="宋体"/>
                      <w:b w:val="0"/>
                      <w:bCs/>
                      <w:i w:val="0"/>
                      <w:iCs w:val="0"/>
                      <w:color w:val="auto"/>
                      <w:kern w:val="0"/>
                      <w:sz w:val="21"/>
                      <w:szCs w:val="21"/>
                      <w:highlight w:val="none"/>
                      <w:u w:val="none"/>
                      <w:shd w:val="clear"/>
                      <w:lang w:val="en-US" w:eastAsia="zh-CN" w:bidi="ar"/>
                    </w:rPr>
                    <w:t>h</w:t>
                  </w:r>
                  <w:r>
                    <w:rPr>
                      <w:rFonts w:hint="eastAsia" w:ascii="Times New Roman" w:hAnsi="Times New Roman" w:eastAsia="宋体" w:cs="宋体"/>
                      <w:b w:val="0"/>
                      <w:bCs/>
                      <w:i w:val="0"/>
                      <w:iCs w:val="0"/>
                      <w:color w:val="auto"/>
                      <w:kern w:val="0"/>
                      <w:sz w:val="21"/>
                      <w:szCs w:val="21"/>
                      <w:highlight w:val="none"/>
                      <w:u w:val="none"/>
                      <w:lang w:val="en-US" w:eastAsia="zh-CN" w:bidi="ar"/>
                    </w:rPr>
                    <w:t>。</w:t>
                  </w:r>
                </w:p>
              </w:tc>
              <w:tc>
                <w:tcPr>
                  <w:tcW w:w="534" w:type="dxa"/>
                  <w:noWrap w:val="0"/>
                  <w:tcMar>
                    <w:top w:w="0" w:type="dxa"/>
                    <w:left w:w="57" w:type="dxa"/>
                    <w:bottom w:w="0" w:type="dxa"/>
                    <w:right w:w="57" w:type="dxa"/>
                  </w:tcMar>
                  <w:vAlign w:val="center"/>
                </w:tcPr>
                <w:p w14:paraId="31BF3AA0">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新建</w:t>
                  </w:r>
                </w:p>
              </w:tc>
            </w:tr>
            <w:tr w14:paraId="4100A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vMerge w:val="restart"/>
                  <w:noWrap w:val="0"/>
                  <w:tcMar>
                    <w:top w:w="0" w:type="dxa"/>
                    <w:left w:w="57" w:type="dxa"/>
                    <w:bottom w:w="0" w:type="dxa"/>
                    <w:right w:w="57" w:type="dxa"/>
                  </w:tcMar>
                  <w:vAlign w:val="center"/>
                </w:tcPr>
                <w:p w14:paraId="169B4D0D">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环保工程</w:t>
                  </w:r>
                </w:p>
              </w:tc>
              <w:tc>
                <w:tcPr>
                  <w:tcW w:w="619" w:type="dxa"/>
                  <w:noWrap w:val="0"/>
                  <w:tcMar>
                    <w:top w:w="0" w:type="dxa"/>
                    <w:left w:w="57" w:type="dxa"/>
                    <w:bottom w:w="0" w:type="dxa"/>
                    <w:right w:w="57" w:type="dxa"/>
                  </w:tcMar>
                  <w:vAlign w:val="center"/>
                </w:tcPr>
                <w:p w14:paraId="3DA0E1E2">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宋体"/>
                      <w:b w:val="0"/>
                      <w:bCs/>
                      <w:i w:val="0"/>
                      <w:iCs w:val="0"/>
                      <w:color w:val="auto"/>
                      <w:kern w:val="0"/>
                      <w:sz w:val="21"/>
                      <w:szCs w:val="21"/>
                      <w:highlight w:val="none"/>
                      <w:u w:val="none"/>
                      <w:lang w:val="en-US" w:eastAsia="zh-CN" w:bidi="ar"/>
                    </w:rPr>
                  </w:pPr>
                  <w:r>
                    <w:rPr>
                      <w:rFonts w:hint="eastAsia" w:cs="宋体"/>
                      <w:b w:val="0"/>
                      <w:bCs/>
                      <w:i w:val="0"/>
                      <w:iCs w:val="0"/>
                      <w:color w:val="auto"/>
                      <w:kern w:val="0"/>
                      <w:sz w:val="21"/>
                      <w:szCs w:val="21"/>
                      <w:highlight w:val="none"/>
                      <w:u w:val="none"/>
                      <w:lang w:val="en-US" w:eastAsia="zh-CN" w:bidi="ar"/>
                    </w:rPr>
                    <w:t>废气处理</w:t>
                  </w:r>
                </w:p>
              </w:tc>
              <w:tc>
                <w:tcPr>
                  <w:tcW w:w="7592" w:type="dxa"/>
                  <w:noWrap w:val="0"/>
                  <w:tcMar>
                    <w:top w:w="0" w:type="dxa"/>
                    <w:left w:w="57" w:type="dxa"/>
                    <w:bottom w:w="0" w:type="dxa"/>
                    <w:right w:w="57" w:type="dxa"/>
                  </w:tcMar>
                  <w:vAlign w:val="center"/>
                </w:tcPr>
                <w:p w14:paraId="6419547F">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宋体"/>
                      <w:b w:val="0"/>
                      <w:bCs/>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加弹废气</w:t>
                  </w:r>
                  <w:r>
                    <w:rPr>
                      <w:rFonts w:hint="default" w:ascii="Times New Roman" w:hAnsi="Times New Roman" w:cs="Times New Roman"/>
                      <w:color w:val="auto"/>
                      <w:sz w:val="21"/>
                      <w:szCs w:val="21"/>
                      <w:highlight w:val="none"/>
                    </w:rPr>
                    <w:t>经</w:t>
                  </w:r>
                  <w:r>
                    <w:rPr>
                      <w:rFonts w:hint="default" w:ascii="Times New Roman" w:hAnsi="Times New Roman" w:cs="Times New Roman"/>
                      <w:color w:val="auto"/>
                      <w:sz w:val="21"/>
                      <w:szCs w:val="21"/>
                      <w:highlight w:val="none"/>
                      <w:lang w:val="en-US" w:eastAsia="zh-CN"/>
                    </w:rPr>
                    <w:t>收集后由</w:t>
                  </w:r>
                  <w:r>
                    <w:rPr>
                      <w:rFonts w:hint="eastAsia" w:cs="Times New Roman"/>
                      <w:color w:val="auto"/>
                      <w:sz w:val="21"/>
                      <w:szCs w:val="21"/>
                      <w:highlight w:val="none"/>
                      <w:lang w:val="en-US" w:eastAsia="zh-CN"/>
                    </w:rPr>
                    <w:t>活性炭吸附脱附+催化燃烧装置</w:t>
                  </w:r>
                  <w:r>
                    <w:rPr>
                      <w:rFonts w:hint="default" w:ascii="Times New Roman" w:hAnsi="Times New Roman" w:cs="Times New Roman"/>
                      <w:color w:val="auto"/>
                      <w:sz w:val="21"/>
                      <w:szCs w:val="21"/>
                      <w:highlight w:val="none"/>
                      <w:lang w:val="en-US" w:eastAsia="zh-CN"/>
                    </w:rPr>
                    <w:t>处理后由一根15m高排气筒（</w:t>
                  </w:r>
                  <w:r>
                    <w:rPr>
                      <w:rFonts w:hint="eastAsia" w:cs="Times New Roman"/>
                      <w:color w:val="auto"/>
                      <w:sz w:val="21"/>
                      <w:szCs w:val="21"/>
                      <w:highlight w:val="none"/>
                      <w:lang w:val="en-US" w:eastAsia="zh-CN"/>
                    </w:rPr>
                    <w:t>DA001</w:t>
                  </w:r>
                  <w:r>
                    <w:rPr>
                      <w:rFonts w:hint="default" w:ascii="Times New Roman" w:hAnsi="Times New Roman" w:cs="Times New Roman"/>
                      <w:color w:val="auto"/>
                      <w:sz w:val="21"/>
                      <w:szCs w:val="21"/>
                      <w:highlight w:val="none"/>
                      <w:lang w:val="en-US" w:eastAsia="zh-CN"/>
                    </w:rPr>
                    <w:t>）排放</w:t>
                  </w:r>
                </w:p>
              </w:tc>
              <w:tc>
                <w:tcPr>
                  <w:tcW w:w="534" w:type="dxa"/>
                  <w:noWrap w:val="0"/>
                  <w:tcMar>
                    <w:top w:w="0" w:type="dxa"/>
                    <w:left w:w="57" w:type="dxa"/>
                    <w:bottom w:w="0" w:type="dxa"/>
                    <w:right w:w="57" w:type="dxa"/>
                  </w:tcMar>
                  <w:vAlign w:val="center"/>
                </w:tcPr>
                <w:p w14:paraId="5C6BA8B8">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新建</w:t>
                  </w:r>
                </w:p>
              </w:tc>
            </w:tr>
            <w:tr w14:paraId="168B2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vMerge w:val="continue"/>
                  <w:noWrap w:val="0"/>
                  <w:tcMar>
                    <w:top w:w="0" w:type="dxa"/>
                    <w:left w:w="57" w:type="dxa"/>
                    <w:bottom w:w="0" w:type="dxa"/>
                    <w:right w:w="57" w:type="dxa"/>
                  </w:tcMar>
                  <w:vAlign w:val="center"/>
                </w:tcPr>
                <w:p w14:paraId="3679BB62">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619" w:type="dxa"/>
                  <w:noWrap w:val="0"/>
                  <w:tcMar>
                    <w:top w:w="0" w:type="dxa"/>
                    <w:left w:w="57" w:type="dxa"/>
                    <w:bottom w:w="0" w:type="dxa"/>
                    <w:right w:w="57" w:type="dxa"/>
                  </w:tcMar>
                  <w:vAlign w:val="center"/>
                </w:tcPr>
                <w:p w14:paraId="32B082D7">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废水处理</w:t>
                  </w:r>
                </w:p>
              </w:tc>
              <w:tc>
                <w:tcPr>
                  <w:tcW w:w="7592" w:type="dxa"/>
                  <w:noWrap w:val="0"/>
                  <w:tcMar>
                    <w:top w:w="0" w:type="dxa"/>
                    <w:left w:w="57" w:type="dxa"/>
                    <w:bottom w:w="0" w:type="dxa"/>
                    <w:right w:w="57" w:type="dxa"/>
                  </w:tcMar>
                  <w:vAlign w:val="center"/>
                </w:tcPr>
                <w:p w14:paraId="0402589A">
                  <w:pPr>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spacing w:val="9"/>
                      <w:sz w:val="20"/>
                      <w:szCs w:val="20"/>
                    </w:rPr>
                    <w:t>项目采取雨污分流。雨水经厂区雨水管网排入市政雨水管网，生活污水经化粪池预处理后经市政污水管网进入</w:t>
                  </w:r>
                  <w:r>
                    <w:rPr>
                      <w:rFonts w:hint="eastAsia"/>
                      <w:spacing w:val="9"/>
                      <w:sz w:val="20"/>
                      <w:szCs w:val="20"/>
                      <w:lang w:eastAsia="zh-CN"/>
                    </w:rPr>
                    <w:t>五河县经济开发区污水处理厂</w:t>
                  </w:r>
                  <w:r>
                    <w:rPr>
                      <w:rFonts w:hint="default"/>
                      <w:spacing w:val="9"/>
                      <w:sz w:val="20"/>
                      <w:szCs w:val="20"/>
                    </w:rPr>
                    <w:t>，处理达标后最终排入淮河，生产废水经</w:t>
                  </w:r>
                  <w:r>
                    <w:rPr>
                      <w:rFonts w:hint="eastAsia" w:eastAsia="宋体"/>
                      <w:spacing w:val="9"/>
                      <w:sz w:val="20"/>
                      <w:szCs w:val="20"/>
                      <w:lang w:eastAsia="zh-CN"/>
                    </w:rPr>
                    <w:t>“</w:t>
                  </w:r>
                  <w:r>
                    <w:rPr>
                      <w:rFonts w:hint="eastAsia"/>
                      <w:spacing w:val="9"/>
                      <w:sz w:val="20"/>
                      <w:szCs w:val="20"/>
                      <w:lang w:eastAsia="zh-CN"/>
                    </w:rPr>
                    <w:t>隔油+气浮+好氧生化+二级沉淀+过滤</w:t>
                  </w:r>
                  <w:r>
                    <w:rPr>
                      <w:rFonts w:hint="eastAsia" w:eastAsia="宋体"/>
                      <w:spacing w:val="9"/>
                      <w:sz w:val="20"/>
                      <w:szCs w:val="20"/>
                      <w:lang w:eastAsia="zh-CN"/>
                    </w:rPr>
                    <w:t>”</w:t>
                  </w:r>
                  <w:r>
                    <w:rPr>
                      <w:rFonts w:hint="default"/>
                      <w:spacing w:val="9"/>
                      <w:sz w:val="20"/>
                      <w:szCs w:val="20"/>
                    </w:rPr>
                    <w:t>污水处理</w:t>
                  </w:r>
                  <w:r>
                    <w:rPr>
                      <w:rFonts w:hint="eastAsia" w:ascii="Times New Roman" w:eastAsia="宋体"/>
                      <w:spacing w:val="9"/>
                      <w:sz w:val="20"/>
                      <w:szCs w:val="20"/>
                      <w:lang w:val="en-US" w:eastAsia="zh-CN"/>
                    </w:rPr>
                    <w:t>设施</w:t>
                  </w:r>
                  <w:r>
                    <w:rPr>
                      <w:rFonts w:hint="default"/>
                      <w:spacing w:val="9"/>
                      <w:sz w:val="20"/>
                      <w:szCs w:val="20"/>
                    </w:rPr>
                    <w:t>处理后</w:t>
                  </w:r>
                  <w:r>
                    <w:rPr>
                      <w:rFonts w:hint="eastAsia" w:cs="Times New Roman"/>
                      <w:spacing w:val="9"/>
                      <w:sz w:val="20"/>
                      <w:szCs w:val="20"/>
                      <w:lang w:val="en-US" w:eastAsia="zh-CN"/>
                    </w:rPr>
                    <w:t>95%回用于织造用水，5%排入市政管网进入五河县经济开发区污水处理厂处理</w:t>
                  </w:r>
                  <w:r>
                    <w:rPr>
                      <w:rFonts w:hint="default"/>
                      <w:spacing w:val="8"/>
                      <w:sz w:val="20"/>
                      <w:szCs w:val="20"/>
                    </w:rPr>
                    <w:t>。</w:t>
                  </w:r>
                </w:p>
              </w:tc>
              <w:tc>
                <w:tcPr>
                  <w:tcW w:w="534" w:type="dxa"/>
                  <w:noWrap w:val="0"/>
                  <w:tcMar>
                    <w:top w:w="0" w:type="dxa"/>
                    <w:left w:w="57" w:type="dxa"/>
                    <w:bottom w:w="0" w:type="dxa"/>
                    <w:right w:w="57" w:type="dxa"/>
                  </w:tcMar>
                  <w:vAlign w:val="center"/>
                </w:tcPr>
                <w:p w14:paraId="41E0E8E3">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新建</w:t>
                  </w:r>
                </w:p>
              </w:tc>
            </w:tr>
            <w:tr w14:paraId="435F4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vMerge w:val="continue"/>
                  <w:noWrap w:val="0"/>
                  <w:tcMar>
                    <w:top w:w="0" w:type="dxa"/>
                    <w:left w:w="57" w:type="dxa"/>
                    <w:bottom w:w="0" w:type="dxa"/>
                    <w:right w:w="57" w:type="dxa"/>
                  </w:tcMar>
                  <w:vAlign w:val="center"/>
                </w:tcPr>
                <w:p w14:paraId="01401761">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619" w:type="dxa"/>
                  <w:noWrap w:val="0"/>
                  <w:tcMar>
                    <w:top w:w="0" w:type="dxa"/>
                    <w:left w:w="57" w:type="dxa"/>
                    <w:bottom w:w="0" w:type="dxa"/>
                    <w:right w:w="57" w:type="dxa"/>
                  </w:tcMar>
                  <w:vAlign w:val="center"/>
                </w:tcPr>
                <w:p w14:paraId="333BDE4E">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噪声防治</w:t>
                  </w:r>
                </w:p>
              </w:tc>
              <w:tc>
                <w:tcPr>
                  <w:tcW w:w="7592" w:type="dxa"/>
                  <w:noWrap w:val="0"/>
                  <w:tcMar>
                    <w:top w:w="0" w:type="dxa"/>
                    <w:left w:w="57" w:type="dxa"/>
                    <w:bottom w:w="0" w:type="dxa"/>
                    <w:right w:w="57" w:type="dxa"/>
                  </w:tcMar>
                  <w:vAlign w:val="center"/>
                </w:tcPr>
                <w:p w14:paraId="40B2D249">
                  <w:pPr>
                    <w:pStyle w:val="15"/>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采取选用低噪设备、厂房隔声、</w:t>
                  </w:r>
                  <w:r>
                    <w:rPr>
                      <w:rFonts w:hint="eastAsia" w:ascii="Times New Roman" w:hAnsi="Times New Roman" w:eastAsia="宋体" w:cs="Times New Roman"/>
                      <w:b w:val="0"/>
                      <w:bCs/>
                      <w:color w:val="auto"/>
                      <w:kern w:val="2"/>
                      <w:sz w:val="21"/>
                      <w:szCs w:val="21"/>
                      <w:highlight w:val="none"/>
                      <w:lang w:val="en-US" w:eastAsia="zh-CN" w:bidi="ar-SA"/>
                    </w:rPr>
                    <w:t>消声器、隔音罩</w:t>
                  </w:r>
                  <w:r>
                    <w:rPr>
                      <w:rFonts w:hint="default" w:ascii="Times New Roman" w:hAnsi="Times New Roman" w:eastAsia="宋体" w:cs="Times New Roman"/>
                      <w:b w:val="0"/>
                      <w:bCs/>
                      <w:color w:val="auto"/>
                      <w:kern w:val="2"/>
                      <w:sz w:val="21"/>
                      <w:szCs w:val="21"/>
                      <w:highlight w:val="none"/>
                      <w:lang w:val="en-US" w:eastAsia="zh-CN" w:bidi="ar-SA"/>
                    </w:rPr>
                    <w:t>等降噪措施处理。</w:t>
                  </w:r>
                </w:p>
              </w:tc>
              <w:tc>
                <w:tcPr>
                  <w:tcW w:w="0" w:type="auto"/>
                  <w:noWrap w:val="0"/>
                  <w:tcMar>
                    <w:top w:w="0" w:type="dxa"/>
                    <w:left w:w="57" w:type="dxa"/>
                    <w:bottom w:w="0" w:type="dxa"/>
                    <w:right w:w="57" w:type="dxa"/>
                  </w:tcMar>
                  <w:vAlign w:val="center"/>
                </w:tcPr>
                <w:p w14:paraId="185B7228">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default"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新建</w:t>
                  </w:r>
                </w:p>
              </w:tc>
            </w:tr>
            <w:tr w14:paraId="5AFFC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vMerge w:val="continue"/>
                  <w:noWrap w:val="0"/>
                  <w:tcMar>
                    <w:top w:w="0" w:type="dxa"/>
                    <w:left w:w="57" w:type="dxa"/>
                    <w:bottom w:w="0" w:type="dxa"/>
                    <w:right w:w="57" w:type="dxa"/>
                  </w:tcMar>
                  <w:vAlign w:val="center"/>
                </w:tcPr>
                <w:p w14:paraId="6D6AE2C4">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619" w:type="dxa"/>
                  <w:noWrap w:val="0"/>
                  <w:tcMar>
                    <w:top w:w="0" w:type="dxa"/>
                    <w:left w:w="57" w:type="dxa"/>
                    <w:bottom w:w="0" w:type="dxa"/>
                    <w:right w:w="57" w:type="dxa"/>
                  </w:tcMar>
                  <w:vAlign w:val="center"/>
                </w:tcPr>
                <w:p w14:paraId="7E9C633B">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固废处理</w:t>
                  </w:r>
                </w:p>
              </w:tc>
              <w:tc>
                <w:tcPr>
                  <w:tcW w:w="7592" w:type="dxa"/>
                  <w:noWrap w:val="0"/>
                  <w:tcMar>
                    <w:top w:w="0" w:type="dxa"/>
                    <w:left w:w="57" w:type="dxa"/>
                    <w:bottom w:w="0" w:type="dxa"/>
                    <w:right w:w="57" w:type="dxa"/>
                  </w:tcMar>
                  <w:vAlign w:val="center"/>
                </w:tcPr>
                <w:p w14:paraId="39A6703C">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一般固废</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设置</w:t>
                  </w:r>
                  <w:r>
                    <w:rPr>
                      <w:rFonts w:hint="default" w:ascii="Times New Roman" w:hAnsi="Times New Roman" w:eastAsia="宋体" w:cs="Times New Roman"/>
                      <w:b w:val="0"/>
                      <w:bCs/>
                      <w:color w:val="auto"/>
                      <w:sz w:val="21"/>
                      <w:szCs w:val="21"/>
                      <w:highlight w:val="none"/>
                      <w:lang w:eastAsia="zh-CN"/>
                    </w:rPr>
                    <w:t>一般固废区</w:t>
                  </w:r>
                  <w:r>
                    <w:rPr>
                      <w:rFonts w:hint="eastAsia" w:cs="Times New Roman"/>
                      <w:b w:val="0"/>
                      <w:bCs/>
                      <w:color w:val="auto"/>
                      <w:sz w:val="21"/>
                      <w:szCs w:val="21"/>
                      <w:highlight w:val="none"/>
                      <w:lang w:eastAsia="zh-CN"/>
                    </w:rPr>
                    <w:t>，</w:t>
                  </w:r>
                  <w:r>
                    <w:rPr>
                      <w:rFonts w:hint="eastAsia" w:cs="Times New Roman"/>
                      <w:b w:val="0"/>
                      <w:bCs/>
                      <w:color w:val="auto"/>
                      <w:sz w:val="21"/>
                      <w:szCs w:val="21"/>
                      <w:highlight w:val="none"/>
                      <w:lang w:val="en-US" w:eastAsia="zh-CN"/>
                    </w:rPr>
                    <w:t>位于污水处理站西侧，</w:t>
                  </w:r>
                  <w:r>
                    <w:rPr>
                      <w:rFonts w:hint="eastAsia" w:ascii="Times New Roman" w:hAnsi="Times New Roman" w:eastAsia="宋体" w:cs="Times New Roman"/>
                      <w:b w:val="0"/>
                      <w:bCs/>
                      <w:color w:val="auto"/>
                      <w:sz w:val="21"/>
                      <w:szCs w:val="21"/>
                      <w:highlight w:val="none"/>
                      <w:lang w:val="en-US" w:eastAsia="zh-CN"/>
                    </w:rPr>
                    <w:t>建筑面积约为</w:t>
                  </w:r>
                  <w:r>
                    <w:rPr>
                      <w:rFonts w:hint="eastAsia" w:cs="Times New Roman"/>
                      <w:b w:val="0"/>
                      <w:bCs/>
                      <w:color w:val="auto"/>
                      <w:sz w:val="21"/>
                      <w:szCs w:val="21"/>
                      <w:highlight w:val="none"/>
                      <w:lang w:val="en-US" w:eastAsia="zh-CN"/>
                    </w:rPr>
                    <w:t>2</w:t>
                  </w:r>
                  <w:r>
                    <w:rPr>
                      <w:rFonts w:hint="eastAsia" w:ascii="Times New Roman" w:hAnsi="Times New Roman" w:eastAsia="宋体" w:cs="Times New Roman"/>
                      <w:b w:val="0"/>
                      <w:bCs/>
                      <w:color w:val="auto"/>
                      <w:sz w:val="21"/>
                      <w:szCs w:val="21"/>
                      <w:highlight w:val="none"/>
                      <w:lang w:val="en-US" w:eastAsia="zh-CN"/>
                    </w:rPr>
                    <w:t>0m</w:t>
                  </w:r>
                  <w:r>
                    <w:rPr>
                      <w:rFonts w:hint="eastAsia" w:ascii="Times New Roman" w:hAnsi="Times New Roman" w:eastAsia="宋体" w:cs="Times New Roman"/>
                      <w:b w:val="0"/>
                      <w:bCs/>
                      <w:color w:val="auto"/>
                      <w:sz w:val="21"/>
                      <w:szCs w:val="21"/>
                      <w:highlight w:val="none"/>
                      <w:vertAlign w:val="superscript"/>
                      <w:lang w:val="en-US" w:eastAsia="zh-CN"/>
                    </w:rPr>
                    <w:t>2</w:t>
                  </w:r>
                  <w:r>
                    <w:rPr>
                      <w:rFonts w:hint="eastAsia"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rPr>
                    <w:t>生活垃圾：</w:t>
                  </w:r>
                  <w:r>
                    <w:rPr>
                      <w:rFonts w:hint="eastAsia" w:ascii="Times New Roman" w:hAnsi="Times New Roman" w:eastAsia="宋体" w:cs="Times New Roman"/>
                      <w:b w:val="0"/>
                      <w:bCs/>
                      <w:color w:val="auto"/>
                      <w:sz w:val="21"/>
                      <w:szCs w:val="21"/>
                      <w:highlight w:val="none"/>
                      <w:lang w:val="en-US" w:eastAsia="zh-CN"/>
                    </w:rPr>
                    <w:t>设置生活</w:t>
                  </w:r>
                  <w:r>
                    <w:rPr>
                      <w:rFonts w:hint="default" w:ascii="Times New Roman" w:hAnsi="Times New Roman" w:eastAsia="宋体" w:cs="Times New Roman"/>
                      <w:b w:val="0"/>
                      <w:bCs/>
                      <w:color w:val="auto"/>
                      <w:sz w:val="21"/>
                      <w:szCs w:val="21"/>
                      <w:highlight w:val="none"/>
                    </w:rPr>
                    <w:t>垃圾桶</w:t>
                  </w: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危废暂存间，</w:t>
                  </w:r>
                  <w:r>
                    <w:rPr>
                      <w:rFonts w:hint="eastAsia" w:cs="Times New Roman"/>
                      <w:b w:val="0"/>
                      <w:bCs/>
                      <w:color w:val="auto"/>
                      <w:sz w:val="21"/>
                      <w:szCs w:val="21"/>
                      <w:highlight w:val="none"/>
                      <w:lang w:val="en-US" w:eastAsia="zh-CN"/>
                    </w:rPr>
                    <w:t>位于污水处理站西侧，</w:t>
                  </w:r>
                  <w:r>
                    <w:rPr>
                      <w:rFonts w:hint="eastAsia" w:ascii="Times New Roman" w:hAnsi="Times New Roman" w:eastAsia="宋体" w:cs="Times New Roman"/>
                      <w:b w:val="0"/>
                      <w:bCs/>
                      <w:color w:val="auto"/>
                      <w:sz w:val="21"/>
                      <w:szCs w:val="21"/>
                      <w:highlight w:val="none"/>
                      <w:lang w:val="en-US" w:eastAsia="zh-CN"/>
                    </w:rPr>
                    <w:t>面积约为</w:t>
                  </w:r>
                  <w:r>
                    <w:rPr>
                      <w:rFonts w:hint="eastAsia" w:cs="Times New Roman"/>
                      <w:b w:val="0"/>
                      <w:bCs/>
                      <w:color w:val="auto"/>
                      <w:sz w:val="21"/>
                      <w:szCs w:val="21"/>
                      <w:highlight w:val="none"/>
                      <w:lang w:val="en-US" w:eastAsia="zh-CN"/>
                    </w:rPr>
                    <w:t>30</w:t>
                  </w:r>
                  <w:r>
                    <w:rPr>
                      <w:rFonts w:hint="eastAsia" w:ascii="Times New Roman" w:hAnsi="Times New Roman" w:eastAsia="宋体" w:cs="Times New Roman"/>
                      <w:b w:val="0"/>
                      <w:bCs/>
                      <w:color w:val="auto"/>
                      <w:sz w:val="21"/>
                      <w:szCs w:val="21"/>
                      <w:highlight w:val="none"/>
                      <w:lang w:val="en-US" w:eastAsia="zh-CN"/>
                    </w:rPr>
                    <w:t>m</w:t>
                  </w:r>
                  <w:r>
                    <w:rPr>
                      <w:rFonts w:hint="eastAsia"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lang w:eastAsia="zh-CN"/>
                    </w:rPr>
                    <w:t>设置防腐防渗措施</w:t>
                  </w:r>
                  <w:r>
                    <w:rPr>
                      <w:rFonts w:hint="eastAsia" w:ascii="Times New Roman" w:hAnsi="Times New Roman" w:eastAsia="宋体" w:cs="Times New Roman"/>
                      <w:b w:val="0"/>
                      <w:bCs/>
                      <w:color w:val="auto"/>
                      <w:sz w:val="21"/>
                      <w:szCs w:val="21"/>
                      <w:highlight w:val="none"/>
                      <w:vertAlign w:val="baseline"/>
                      <w:lang w:val="en-US" w:eastAsia="zh-CN"/>
                    </w:rPr>
                    <w:t>。</w:t>
                  </w:r>
                </w:p>
              </w:tc>
              <w:tc>
                <w:tcPr>
                  <w:tcW w:w="0" w:type="auto"/>
                  <w:noWrap w:val="0"/>
                  <w:tcMar>
                    <w:top w:w="0" w:type="dxa"/>
                    <w:left w:w="57" w:type="dxa"/>
                    <w:bottom w:w="0" w:type="dxa"/>
                    <w:right w:w="57" w:type="dxa"/>
                  </w:tcMar>
                  <w:vAlign w:val="center"/>
                </w:tcPr>
                <w:p w14:paraId="62FEB51F">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新建</w:t>
                  </w:r>
                </w:p>
              </w:tc>
            </w:tr>
            <w:tr w14:paraId="52C13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vMerge w:val="continue"/>
                  <w:noWrap w:val="0"/>
                  <w:tcMar>
                    <w:top w:w="0" w:type="dxa"/>
                    <w:left w:w="57" w:type="dxa"/>
                    <w:bottom w:w="0" w:type="dxa"/>
                    <w:right w:w="57" w:type="dxa"/>
                  </w:tcMar>
                  <w:vAlign w:val="center"/>
                </w:tcPr>
                <w:p w14:paraId="4B6C50A6">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619" w:type="dxa"/>
                  <w:noWrap w:val="0"/>
                  <w:tcMar>
                    <w:top w:w="0" w:type="dxa"/>
                    <w:left w:w="57" w:type="dxa"/>
                    <w:bottom w:w="0" w:type="dxa"/>
                    <w:right w:w="57" w:type="dxa"/>
                  </w:tcMar>
                  <w:vAlign w:val="center"/>
                </w:tcPr>
                <w:p w14:paraId="30BD937F">
                  <w:pPr>
                    <w:pStyle w:val="3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color w:val="auto"/>
                      <w:sz w:val="21"/>
                      <w:szCs w:val="21"/>
                      <w:highlight w:val="none"/>
                    </w:rPr>
                  </w:pPr>
                  <w:r>
                    <w:rPr>
                      <w:rFonts w:hint="eastAsia" w:cs="Times New Roman"/>
                      <w:b w:val="0"/>
                      <w:bCs/>
                      <w:color w:val="auto"/>
                      <w:highlight w:val="none"/>
                      <w:lang w:val="en-US" w:eastAsia="zh-CN"/>
                    </w:rPr>
                    <w:t>环境风险</w:t>
                  </w:r>
                </w:p>
              </w:tc>
              <w:tc>
                <w:tcPr>
                  <w:tcW w:w="7592" w:type="dxa"/>
                  <w:noWrap w:val="0"/>
                  <w:tcMar>
                    <w:top w:w="0" w:type="dxa"/>
                    <w:left w:w="57" w:type="dxa"/>
                    <w:bottom w:w="0" w:type="dxa"/>
                    <w:right w:w="57" w:type="dxa"/>
                  </w:tcMar>
                  <w:vAlign w:val="center"/>
                </w:tcPr>
                <w:p w14:paraId="23FE6A2B">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cs="Times New Roman"/>
                      <w:b w:val="0"/>
                      <w:bCs/>
                      <w:color w:val="auto"/>
                      <w:sz w:val="21"/>
                      <w:highlight w:val="none"/>
                      <w:lang w:val="zh-CN" w:bidi="ar"/>
                    </w:rPr>
                    <w:t>单独设置危废暂存间，厂区设置分区防渗；加强安全教育培训和宣传；配备完善的消防措施</w:t>
                  </w:r>
                </w:p>
              </w:tc>
              <w:tc>
                <w:tcPr>
                  <w:tcW w:w="0" w:type="auto"/>
                  <w:noWrap w:val="0"/>
                  <w:tcMar>
                    <w:top w:w="0" w:type="dxa"/>
                    <w:left w:w="57" w:type="dxa"/>
                    <w:bottom w:w="0" w:type="dxa"/>
                    <w:right w:w="57" w:type="dxa"/>
                  </w:tcMar>
                  <w:vAlign w:val="center"/>
                </w:tcPr>
                <w:p w14:paraId="3CD92BFB">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新建</w:t>
                  </w:r>
                </w:p>
              </w:tc>
            </w:tr>
            <w:tr w14:paraId="5276A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vMerge w:val="continue"/>
                  <w:noWrap w:val="0"/>
                  <w:tcMar>
                    <w:top w:w="0" w:type="dxa"/>
                    <w:left w:w="57" w:type="dxa"/>
                    <w:bottom w:w="0" w:type="dxa"/>
                    <w:right w:w="57" w:type="dxa"/>
                  </w:tcMar>
                  <w:vAlign w:val="center"/>
                </w:tcPr>
                <w:p w14:paraId="3DC2943C">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619" w:type="dxa"/>
                  <w:noWrap w:val="0"/>
                  <w:tcMar>
                    <w:top w:w="0" w:type="dxa"/>
                    <w:left w:w="57" w:type="dxa"/>
                    <w:bottom w:w="0" w:type="dxa"/>
                    <w:right w:w="57" w:type="dxa"/>
                  </w:tcMar>
                  <w:vAlign w:val="center"/>
                </w:tcPr>
                <w:p w14:paraId="42FFD58E">
                  <w:pPr>
                    <w:pStyle w:val="3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color w:val="auto"/>
                      <w:sz w:val="21"/>
                      <w:szCs w:val="21"/>
                      <w:highlight w:val="none"/>
                    </w:rPr>
                  </w:pPr>
                  <w:r>
                    <w:rPr>
                      <w:rFonts w:hint="eastAsia"/>
                      <w:b w:val="0"/>
                      <w:bCs/>
                      <w:color w:val="auto"/>
                      <w:highlight w:val="none"/>
                    </w:rPr>
                    <w:t>土壤及地下水</w:t>
                  </w:r>
                </w:p>
              </w:tc>
              <w:tc>
                <w:tcPr>
                  <w:tcW w:w="7592" w:type="dxa"/>
                  <w:noWrap w:val="0"/>
                  <w:tcMar>
                    <w:top w:w="0" w:type="dxa"/>
                    <w:left w:w="57" w:type="dxa"/>
                    <w:bottom w:w="0" w:type="dxa"/>
                    <w:right w:w="57" w:type="dxa"/>
                  </w:tcMar>
                  <w:vAlign w:val="center"/>
                </w:tcPr>
                <w:p w14:paraId="6F14553E">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cs="Times New Roman"/>
                      <w:b w:val="0"/>
                      <w:color w:val="auto"/>
                      <w:kern w:val="2"/>
                      <w:sz w:val="21"/>
                      <w:szCs w:val="24"/>
                      <w:highlight w:val="none"/>
                      <w:lang w:val="en-US" w:eastAsia="zh-CN" w:bidi="ar-SA"/>
                    </w:rPr>
                  </w:pPr>
                  <w:r>
                    <w:rPr>
                      <w:rFonts w:hint="eastAsia" w:ascii="Times New Roman" w:hAnsi="Times New Roman" w:eastAsia="宋体" w:cs="宋体"/>
                      <w:color w:val="auto"/>
                      <w:sz w:val="21"/>
                      <w:szCs w:val="21"/>
                      <w:highlight w:val="none"/>
                      <w:lang w:val="en-US" w:eastAsia="zh-CN"/>
                    </w:rPr>
                    <w:t>落实分区防渗措施，重点防渗区：</w:t>
                  </w:r>
                  <w:r>
                    <w:rPr>
                      <w:rFonts w:hint="default" w:ascii="Times New Roman" w:hAnsi="Times New Roman" w:eastAsia="宋体" w:cs="宋体"/>
                      <w:color w:val="auto"/>
                      <w:sz w:val="21"/>
                      <w:szCs w:val="21"/>
                      <w:highlight w:val="none"/>
                      <w:lang w:val="en-US" w:eastAsia="zh-CN"/>
                    </w:rPr>
                    <w:t>危废暂存间、</w:t>
                  </w:r>
                  <w:r>
                    <w:rPr>
                      <w:rFonts w:hint="eastAsia" w:ascii="Times New Roman" w:hAnsi="Times New Roman" w:eastAsia="宋体" w:cs="宋体"/>
                      <w:color w:val="auto"/>
                      <w:sz w:val="21"/>
                      <w:szCs w:val="21"/>
                      <w:highlight w:val="none"/>
                      <w:lang w:val="en-US" w:eastAsia="zh-CN"/>
                    </w:rPr>
                    <w:t>污水处理站、加弹区、织造区、磨毛区</w:t>
                  </w:r>
                  <w:r>
                    <w:rPr>
                      <w:rFonts w:hint="default" w:ascii="Times New Roman" w:hAnsi="Times New Roman" w:eastAsia="宋体" w:cs="宋体"/>
                      <w:color w:val="auto"/>
                      <w:sz w:val="21"/>
                      <w:szCs w:val="21"/>
                      <w:highlight w:val="none"/>
                      <w:lang w:val="en-US" w:eastAsia="zh-CN"/>
                    </w:rPr>
                    <w:t>等区域</w:t>
                  </w:r>
                  <w:r>
                    <w:rPr>
                      <w:rFonts w:hint="eastAsia" w:ascii="Times New Roman" w:hAnsi="Times New Roman" w:eastAsia="宋体" w:cs="宋体"/>
                      <w:color w:val="auto"/>
                      <w:sz w:val="21"/>
                      <w:szCs w:val="21"/>
                      <w:highlight w:val="none"/>
                      <w:lang w:val="en-US" w:eastAsia="zh-CN"/>
                    </w:rPr>
                    <w:t>；一般防渗区：一般</w:t>
                  </w:r>
                  <w:r>
                    <w:rPr>
                      <w:rFonts w:hint="default" w:ascii="Times New Roman" w:hAnsi="Times New Roman" w:eastAsia="宋体" w:cs="宋体"/>
                      <w:color w:val="auto"/>
                      <w:sz w:val="21"/>
                      <w:szCs w:val="21"/>
                      <w:highlight w:val="none"/>
                      <w:lang w:val="en-US" w:eastAsia="zh-CN"/>
                    </w:rPr>
                    <w:t>固废暂存间</w:t>
                  </w:r>
                  <w:r>
                    <w:rPr>
                      <w:rFonts w:hint="eastAsia" w:ascii="Times New Roman" w:hAnsi="Times New Roman" w:eastAsia="宋体" w:cs="宋体"/>
                      <w:color w:val="auto"/>
                      <w:sz w:val="21"/>
                      <w:szCs w:val="21"/>
                      <w:highlight w:val="none"/>
                      <w:lang w:val="en-US" w:eastAsia="zh-CN"/>
                    </w:rPr>
                    <w:t>、整经区、缝纫裁剪区</w:t>
                  </w:r>
                  <w:r>
                    <w:rPr>
                      <w:rFonts w:hint="default" w:ascii="Times New Roman" w:hAnsi="Times New Roman" w:eastAsia="宋体" w:cs="宋体"/>
                      <w:color w:val="auto"/>
                      <w:sz w:val="21"/>
                      <w:szCs w:val="21"/>
                      <w:highlight w:val="none"/>
                      <w:lang w:val="en-US" w:eastAsia="zh-CN"/>
                    </w:rPr>
                    <w:t>等区域</w:t>
                  </w:r>
                  <w:r>
                    <w:rPr>
                      <w:rFonts w:hint="eastAsia" w:ascii="Times New Roman" w:hAnsi="Times New Roman" w:eastAsia="宋体" w:cs="宋体"/>
                      <w:color w:val="auto"/>
                      <w:sz w:val="21"/>
                      <w:szCs w:val="21"/>
                      <w:highlight w:val="none"/>
                      <w:lang w:val="en-US" w:eastAsia="zh-CN"/>
                    </w:rPr>
                    <w:t>；简单防渗区：</w:t>
                  </w:r>
                  <w:r>
                    <w:rPr>
                      <w:rFonts w:hint="default" w:ascii="Times New Roman" w:hAnsi="Times New Roman" w:eastAsia="宋体" w:cs="宋体"/>
                      <w:color w:val="auto"/>
                      <w:sz w:val="21"/>
                      <w:szCs w:val="21"/>
                      <w:highlight w:val="none"/>
                      <w:lang w:val="en-US" w:eastAsia="zh-CN"/>
                    </w:rPr>
                    <w:t>除重点防渗区和一般防渗区以外的其他区域</w:t>
                  </w:r>
                </w:p>
              </w:tc>
              <w:tc>
                <w:tcPr>
                  <w:tcW w:w="0" w:type="auto"/>
                  <w:noWrap w:val="0"/>
                  <w:tcMar>
                    <w:top w:w="0" w:type="dxa"/>
                    <w:left w:w="57" w:type="dxa"/>
                    <w:bottom w:w="0" w:type="dxa"/>
                    <w:right w:w="57" w:type="dxa"/>
                  </w:tcMar>
                  <w:vAlign w:val="center"/>
                </w:tcPr>
                <w:p w14:paraId="134C823F">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新建</w:t>
                  </w:r>
                </w:p>
              </w:tc>
            </w:tr>
            <w:tr w14:paraId="16863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0" w:type="dxa"/>
                  <w:vMerge w:val="continue"/>
                  <w:noWrap w:val="0"/>
                  <w:tcMar>
                    <w:top w:w="0" w:type="dxa"/>
                    <w:left w:w="57" w:type="dxa"/>
                    <w:bottom w:w="0" w:type="dxa"/>
                    <w:right w:w="57" w:type="dxa"/>
                  </w:tcMar>
                  <w:vAlign w:val="center"/>
                </w:tcPr>
                <w:p w14:paraId="5EB787F6">
                  <w:pPr>
                    <w:pStyle w:val="38"/>
                    <w:keepNext w:val="0"/>
                    <w:keepLines w:val="0"/>
                    <w:pageBreakBefore w:val="0"/>
                    <w:widowControl w:val="0"/>
                    <w:suppressLineNumbers w:val="0"/>
                    <w:kinsoku/>
                    <w:wordWrap/>
                    <w:overflowPunct/>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619" w:type="dxa"/>
                  <w:noWrap w:val="0"/>
                  <w:tcMar>
                    <w:top w:w="0" w:type="dxa"/>
                    <w:left w:w="57" w:type="dxa"/>
                    <w:bottom w:w="0" w:type="dxa"/>
                    <w:right w:w="57" w:type="dxa"/>
                  </w:tcMar>
                  <w:vAlign w:val="center"/>
                </w:tcPr>
                <w:p w14:paraId="6B6B9940">
                  <w:pPr>
                    <w:pStyle w:val="38"/>
                    <w:keepNext w:val="0"/>
                    <w:keepLines w:val="0"/>
                    <w:suppressLineNumbers w:val="0"/>
                    <w:bidi w:val="0"/>
                    <w:spacing w:before="0" w:beforeAutospacing="0" w:after="0" w:afterAutospacing="0"/>
                    <w:ind w:left="0" w:right="0" w:firstLine="0" w:firstLineChars="0"/>
                    <w:rPr>
                      <w:rFonts w:hint="eastAsia"/>
                      <w:b w:val="0"/>
                      <w:bCs/>
                      <w:color w:val="auto"/>
                      <w:highlight w:val="none"/>
                    </w:rPr>
                  </w:pPr>
                  <w:r>
                    <w:rPr>
                      <w:rFonts w:hint="default"/>
                      <w:b w:val="0"/>
                      <w:bCs/>
                      <w:color w:val="auto"/>
                      <w:sz w:val="21"/>
                      <w:szCs w:val="21"/>
                      <w:highlight w:val="none"/>
                    </w:rPr>
                    <w:t>环境风险防范措施</w:t>
                  </w:r>
                </w:p>
              </w:tc>
              <w:tc>
                <w:tcPr>
                  <w:tcW w:w="7592" w:type="dxa"/>
                  <w:noWrap w:val="0"/>
                  <w:tcMar>
                    <w:top w:w="0" w:type="dxa"/>
                    <w:left w:w="57" w:type="dxa"/>
                    <w:bottom w:w="0" w:type="dxa"/>
                    <w:right w:w="57" w:type="dxa"/>
                  </w:tcMar>
                  <w:vAlign w:val="center"/>
                </w:tcPr>
                <w:p w14:paraId="1B9D8DCA">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cs="Times New Roman"/>
                      <w:b w:val="0"/>
                      <w:bCs/>
                      <w:color w:val="auto"/>
                      <w:szCs w:val="24"/>
                      <w:highlight w:val="none"/>
                    </w:rPr>
                  </w:pPr>
                  <w:r>
                    <w:rPr>
                      <w:rFonts w:hint="default"/>
                      <w:b w:val="0"/>
                      <w:bCs/>
                      <w:color w:val="auto"/>
                      <w:highlight w:val="none"/>
                    </w:rPr>
                    <w:t>①对容易引发突发环境事件的危险源、危险区域定期组织进行检查、监控，并采取相应的安全防范措施，预防突发环境事件的发生</w:t>
                  </w:r>
                  <w:r>
                    <w:rPr>
                      <w:rFonts w:hint="eastAsia"/>
                      <w:b w:val="0"/>
                      <w:bCs/>
                      <w:color w:val="auto"/>
                      <w:highlight w:val="none"/>
                    </w:rPr>
                    <w:t>；</w:t>
                  </w:r>
                  <w:r>
                    <w:rPr>
                      <w:rFonts w:hint="default"/>
                      <w:b w:val="0"/>
                      <w:bCs/>
                      <w:color w:val="auto"/>
                      <w:highlight w:val="none"/>
                    </w:rPr>
                    <w:t>②定期进行环境检查。及时发现事故隐患，堵塞事故漏洞，防患于未然</w:t>
                  </w:r>
                  <w:r>
                    <w:rPr>
                      <w:rFonts w:hint="eastAsia"/>
                      <w:b w:val="0"/>
                      <w:bCs/>
                      <w:color w:val="auto"/>
                      <w:highlight w:val="none"/>
                    </w:rPr>
                    <w:t>；</w:t>
                  </w:r>
                  <w:r>
                    <w:rPr>
                      <w:rFonts w:hint="default"/>
                      <w:b w:val="0"/>
                      <w:bCs/>
                      <w:color w:val="auto"/>
                      <w:highlight w:val="none"/>
                    </w:rPr>
                    <w:t>③做好对突发环境事件应急器材的定期检查</w:t>
                  </w:r>
                  <w:r>
                    <w:rPr>
                      <w:rFonts w:hint="eastAsia"/>
                      <w:b w:val="0"/>
                      <w:bCs/>
                      <w:color w:val="auto"/>
                      <w:highlight w:val="none"/>
                    </w:rPr>
                    <w:t>，定期抓好器材的维修鉴定工作，建立环境应急设施维护、更新台账；</w:t>
                  </w:r>
                  <w:r>
                    <w:rPr>
                      <w:rFonts w:hint="default"/>
                      <w:b w:val="0"/>
                      <w:bCs/>
                      <w:color w:val="auto"/>
                      <w:highlight w:val="none"/>
                    </w:rPr>
                    <w:t>④在运营期间组建安全环保管理机构，配备管理人员</w:t>
                  </w:r>
                  <w:r>
                    <w:rPr>
                      <w:rFonts w:hint="eastAsia"/>
                      <w:b w:val="0"/>
                      <w:bCs/>
                      <w:color w:val="auto"/>
                      <w:highlight w:val="none"/>
                    </w:rPr>
                    <w:t>，制定安全、可靠的操作规程和维修规程；</w:t>
                  </w:r>
                  <w:r>
                    <w:rPr>
                      <w:rFonts w:hint="default"/>
                      <w:b w:val="0"/>
                      <w:bCs/>
                      <w:color w:val="auto"/>
                      <w:highlight w:val="none"/>
                    </w:rPr>
                    <w:t>⑤</w:t>
                  </w:r>
                  <w:r>
                    <w:rPr>
                      <w:rFonts w:hint="eastAsia"/>
                      <w:b w:val="0"/>
                      <w:bCs/>
                      <w:color w:val="auto"/>
                      <w:highlight w:val="none"/>
                      <w:lang w:val="en-US" w:eastAsia="zh-CN"/>
                    </w:rPr>
                    <w:t>车间</w:t>
                  </w:r>
                  <w:r>
                    <w:rPr>
                      <w:rFonts w:hint="default"/>
                      <w:b w:val="0"/>
                      <w:bCs/>
                      <w:color w:val="auto"/>
                      <w:highlight w:val="none"/>
                    </w:rPr>
                    <w:t>、仓库附近</w:t>
                  </w:r>
                  <w:r>
                    <w:rPr>
                      <w:rFonts w:hint="eastAsia"/>
                      <w:b w:val="0"/>
                      <w:bCs/>
                      <w:color w:val="auto"/>
                      <w:highlight w:val="none"/>
                      <w:lang w:eastAsia="zh-CN"/>
                    </w:rPr>
                    <w:t>设置</w:t>
                  </w:r>
                  <w:r>
                    <w:rPr>
                      <w:rFonts w:hint="default"/>
                      <w:b w:val="0"/>
                      <w:bCs/>
                      <w:color w:val="auto"/>
                      <w:highlight w:val="none"/>
                    </w:rPr>
                    <w:t>警示牌，严禁烟火，并建立一套完善的安全管理制度</w:t>
                  </w:r>
                  <w:r>
                    <w:rPr>
                      <w:rFonts w:hint="default" w:ascii="Times New Roman" w:hAnsi="Times New Roman" w:cs="Times New Roman"/>
                      <w:b w:val="0"/>
                      <w:bCs/>
                      <w:color w:val="auto"/>
                      <w:highlight w:val="none"/>
                      <w:lang w:eastAsia="zh-CN"/>
                    </w:rPr>
                    <w:t>；</w:t>
                  </w:r>
                  <w:r>
                    <w:rPr>
                      <w:rFonts w:hint="default" w:ascii="Times New Roman" w:hAnsi="Times New Roman" w:cs="Times New Roman"/>
                      <w:b w:val="0"/>
                      <w:bCs/>
                      <w:color w:val="auto"/>
                      <w:highlight w:val="none"/>
                      <w:lang w:eastAsia="zh-CN"/>
                    </w:rPr>
                    <w:fldChar w:fldCharType="begin"/>
                  </w:r>
                  <w:r>
                    <w:rPr>
                      <w:rFonts w:hint="default" w:ascii="Times New Roman" w:hAnsi="Times New Roman" w:cs="Times New Roman"/>
                      <w:b w:val="0"/>
                      <w:bCs/>
                      <w:color w:val="auto"/>
                      <w:highlight w:val="none"/>
                      <w:lang w:eastAsia="zh-CN"/>
                    </w:rPr>
                    <w:instrText xml:space="preserve"> = 6 \* GB3 \* MERGEFORMAT </w:instrText>
                  </w:r>
                  <w:r>
                    <w:rPr>
                      <w:rFonts w:hint="default" w:ascii="Times New Roman" w:hAnsi="Times New Roman" w:cs="Times New Roman"/>
                      <w:b w:val="0"/>
                      <w:bCs/>
                      <w:color w:val="auto"/>
                      <w:highlight w:val="none"/>
                      <w:lang w:eastAsia="zh-CN"/>
                    </w:rPr>
                    <w:fldChar w:fldCharType="separate"/>
                  </w:r>
                  <w:r>
                    <w:rPr>
                      <w:rFonts w:hint="default" w:ascii="Times New Roman" w:hAnsi="Times New Roman" w:cs="Times New Roman"/>
                      <w:b w:val="0"/>
                      <w:bCs/>
                      <w:color w:val="auto"/>
                      <w:highlight w:val="none"/>
                    </w:rPr>
                    <w:t>⑥</w:t>
                  </w:r>
                  <w:r>
                    <w:rPr>
                      <w:rFonts w:hint="default" w:ascii="Times New Roman" w:hAnsi="Times New Roman" w:cs="Times New Roman"/>
                      <w:b w:val="0"/>
                      <w:bCs/>
                      <w:color w:val="auto"/>
                      <w:highlight w:val="none"/>
                      <w:lang w:eastAsia="zh-CN"/>
                    </w:rPr>
                    <w:fldChar w:fldCharType="end"/>
                  </w:r>
                  <w:r>
                    <w:rPr>
                      <w:rFonts w:hint="default" w:ascii="Times New Roman" w:hAnsi="Times New Roman" w:cs="Times New Roman"/>
                      <w:b w:val="0"/>
                      <w:bCs/>
                      <w:color w:val="auto"/>
                      <w:highlight w:val="none"/>
                      <w:lang w:val="en-US" w:eastAsia="zh-CN"/>
                    </w:rPr>
                    <w:t>厂区雨水总排口、污水总排口设置闸阀</w:t>
                  </w:r>
                  <w:r>
                    <w:rPr>
                      <w:rFonts w:hint="eastAsia" w:cs="Times New Roman"/>
                      <w:b w:val="0"/>
                      <w:bCs/>
                      <w:color w:val="auto"/>
                      <w:highlight w:val="none"/>
                      <w:lang w:val="en-US" w:eastAsia="zh-CN"/>
                    </w:rPr>
                    <w:t>。</w:t>
                  </w:r>
                </w:p>
              </w:tc>
              <w:tc>
                <w:tcPr>
                  <w:tcW w:w="0" w:type="auto"/>
                  <w:noWrap w:val="0"/>
                  <w:tcMar>
                    <w:top w:w="0" w:type="dxa"/>
                    <w:left w:w="57" w:type="dxa"/>
                    <w:bottom w:w="0" w:type="dxa"/>
                    <w:right w:w="57" w:type="dxa"/>
                  </w:tcMar>
                  <w:vAlign w:val="center"/>
                </w:tcPr>
                <w:p w14:paraId="06727FB8">
                  <w:pPr>
                    <w:keepNext w:val="0"/>
                    <w:keepLines w:val="0"/>
                    <w:pageBreakBefore w:val="0"/>
                    <w:widowControl/>
                    <w:suppressLineNumbers w:val="0"/>
                    <w:kinsoku/>
                    <w:wordWrap/>
                    <w:overflowPunct/>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新建</w:t>
                  </w:r>
                </w:p>
              </w:tc>
            </w:tr>
          </w:tbl>
          <w:p w14:paraId="4F37829C">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leftChars="0" w:right="0" w:firstLine="482" w:firstLineChars="200"/>
              <w:textAlignment w:val="auto"/>
              <w:rPr>
                <w:rFonts w:hint="default" w:ascii="Times New Roman" w:hAnsi="Times New Roman" w:eastAsia="宋体" w:cs="Times New Roman"/>
                <w:color w:val="auto"/>
                <w:highlight w:val="none"/>
              </w:rPr>
            </w:pPr>
            <w:r>
              <w:rPr>
                <w:rFonts w:hint="eastAsia" w:cs="Times New Roman"/>
                <w:color w:val="auto"/>
                <w:highlight w:val="none"/>
                <w:lang w:val="en-US" w:eastAsia="zh-CN"/>
              </w:rPr>
              <w:t>五</w:t>
            </w:r>
            <w:r>
              <w:rPr>
                <w:rFonts w:hint="default" w:ascii="Times New Roman" w:hAnsi="Times New Roman" w:eastAsia="宋体" w:cs="Times New Roman"/>
                <w:color w:val="auto"/>
                <w:highlight w:val="none"/>
              </w:rPr>
              <w:t>、</w:t>
            </w:r>
            <w:r>
              <w:rPr>
                <w:rFonts w:hint="eastAsia" w:cs="Times New Roman"/>
                <w:color w:val="auto"/>
                <w:highlight w:val="none"/>
                <w:lang w:eastAsia="zh-CN"/>
              </w:rPr>
              <w:t>本项目</w:t>
            </w:r>
            <w:r>
              <w:rPr>
                <w:rFonts w:hint="default" w:ascii="Times New Roman" w:hAnsi="Times New Roman" w:eastAsia="宋体" w:cs="Times New Roman"/>
                <w:color w:val="auto"/>
                <w:highlight w:val="none"/>
                <w:lang w:val="en-US" w:eastAsia="zh-CN"/>
              </w:rPr>
              <w:t>产品方案及规模</w:t>
            </w:r>
          </w:p>
          <w:p w14:paraId="30249CE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项目</w:t>
            </w:r>
            <w:r>
              <w:rPr>
                <w:rFonts w:hint="eastAsia" w:cs="Times New Roman"/>
                <w:color w:val="auto"/>
                <w:highlight w:val="none"/>
                <w:lang w:val="en-US" w:eastAsia="zh-CN"/>
              </w:rPr>
              <w:t>建成</w:t>
            </w:r>
            <w:r>
              <w:rPr>
                <w:rFonts w:hint="eastAsia" w:ascii="Times New Roman" w:hAnsi="Times New Roman" w:eastAsia="宋体" w:cs="Times New Roman"/>
                <w:color w:val="auto"/>
                <w:highlight w:val="none"/>
                <w:lang w:val="en-US" w:eastAsia="zh-CN"/>
              </w:rPr>
              <w:t>后，</w:t>
            </w:r>
            <w:r>
              <w:rPr>
                <w:rFonts w:hint="default" w:ascii="Times New Roman" w:hAnsi="Times New Roman" w:eastAsia="宋体" w:cs="Times New Roman"/>
                <w:color w:val="auto"/>
                <w:highlight w:val="none"/>
                <w:lang w:val="en-US" w:eastAsia="zh-CN"/>
              </w:rPr>
              <w:t>可达到年产</w:t>
            </w:r>
            <w:r>
              <w:rPr>
                <w:rFonts w:hint="eastAsia" w:ascii="Times New Roman" w:hAnsi="Times New Roman" w:eastAsia="宋体" w:cs="Times New Roman"/>
                <w:color w:val="auto"/>
                <w:highlight w:val="none"/>
                <w:lang w:val="en-US" w:eastAsia="zh-CN"/>
              </w:rPr>
              <w:t>化纤布80</w:t>
            </w:r>
            <w:r>
              <w:rPr>
                <w:rFonts w:hint="default" w:ascii="Times New Roman" w:hAnsi="Times New Roman" w:eastAsia="宋体" w:cs="Times New Roman"/>
                <w:color w:val="auto"/>
                <w:highlight w:val="none"/>
                <w:lang w:val="en-US" w:eastAsia="zh-CN"/>
              </w:rPr>
              <w:t>00</w:t>
            </w:r>
            <w:r>
              <w:rPr>
                <w:rFonts w:hint="eastAsia" w:ascii="Times New Roman" w:hAnsi="Times New Roman" w:eastAsia="宋体" w:cs="Times New Roman"/>
                <w:color w:val="auto"/>
                <w:highlight w:val="none"/>
                <w:lang w:val="en-US" w:eastAsia="zh-CN"/>
              </w:rPr>
              <w:t>万米，其中3000万米用于生产汽车内饰，3</w:t>
            </w:r>
            <w:r>
              <w:rPr>
                <w:rFonts w:hint="default" w:ascii="Times New Roman" w:hAnsi="Times New Roman" w:eastAsia="宋体" w:cs="Times New Roman"/>
                <w:color w:val="auto"/>
                <w:highlight w:val="none"/>
                <w:lang w:val="en-US" w:eastAsia="zh-CN"/>
              </w:rPr>
              <w:t>00</w:t>
            </w:r>
            <w:r>
              <w:rPr>
                <w:rFonts w:hint="eastAsia" w:ascii="Times New Roman" w:hAnsi="Times New Roman" w:eastAsia="宋体" w:cs="Times New Roman"/>
                <w:color w:val="auto"/>
                <w:highlight w:val="none"/>
                <w:lang w:val="en-US" w:eastAsia="zh-CN"/>
              </w:rPr>
              <w:t>0万米用于生产家居服饰</w:t>
            </w:r>
            <w:r>
              <w:rPr>
                <w:rFonts w:hint="eastAsia" w:cs="Times New Roman"/>
                <w:color w:val="auto"/>
                <w:highlight w:val="none"/>
                <w:lang w:val="en-US" w:eastAsia="zh-CN"/>
              </w:rPr>
              <w:t>，剩余2000万米用于外售</w:t>
            </w:r>
            <w:r>
              <w:rPr>
                <w:rFonts w:hint="eastAsia" w:ascii="Times New Roman" w:hAnsi="Times New Roman" w:eastAsia="宋体" w:cs="Times New Roman"/>
                <w:color w:val="auto"/>
                <w:highlight w:val="none"/>
                <w:lang w:val="en-US" w:eastAsia="zh-CN"/>
              </w:rPr>
              <w:t>的生产规模</w:t>
            </w:r>
            <w:r>
              <w:rPr>
                <w:rFonts w:hint="default" w:ascii="Times New Roman" w:hAnsi="Times New Roman" w:eastAsia="宋体" w:cs="Times New Roman"/>
                <w:color w:val="auto"/>
                <w:highlight w:val="none"/>
                <w:lang w:val="en-US" w:eastAsia="zh-CN"/>
              </w:rPr>
              <w:t>，产品方案见下表。</w:t>
            </w:r>
          </w:p>
          <w:p w14:paraId="6E6C558B">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w:t>
            </w:r>
            <w:r>
              <w:rPr>
                <w:rFonts w:hint="default"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产品</w:t>
            </w:r>
            <w:r>
              <w:rPr>
                <w:rFonts w:hint="default" w:ascii="Times New Roman" w:hAnsi="Times New Roman" w:eastAsia="宋体" w:cs="Times New Roman"/>
                <w:color w:val="auto"/>
                <w:highlight w:val="none"/>
              </w:rPr>
              <w:t>方案</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05"/>
              <w:gridCol w:w="1617"/>
              <w:gridCol w:w="1617"/>
              <w:gridCol w:w="1458"/>
              <w:gridCol w:w="1125"/>
              <w:gridCol w:w="992"/>
              <w:gridCol w:w="1964"/>
            </w:tblGrid>
            <w:tr w14:paraId="4E470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2" w:type="pct"/>
                  <w:noWrap w:val="0"/>
                  <w:vAlign w:val="center"/>
                </w:tcPr>
                <w:p w14:paraId="095DAE20">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871" w:type="pct"/>
                  <w:noWrap w:val="0"/>
                  <w:vAlign w:val="center"/>
                </w:tcPr>
                <w:p w14:paraId="6F468425">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产品名称</w:t>
                  </w:r>
                </w:p>
              </w:tc>
              <w:tc>
                <w:tcPr>
                  <w:tcW w:w="871" w:type="pct"/>
                  <w:noWrap w:val="0"/>
                  <w:vAlign w:val="center"/>
                </w:tcPr>
                <w:p w14:paraId="134F5D20">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产品名称</w:t>
                  </w:r>
                </w:p>
              </w:tc>
              <w:tc>
                <w:tcPr>
                  <w:tcW w:w="785" w:type="pct"/>
                  <w:noWrap w:val="0"/>
                  <w:vAlign w:val="center"/>
                </w:tcPr>
                <w:p w14:paraId="3850CEDB">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产品规格</w:t>
                  </w:r>
                </w:p>
              </w:tc>
              <w:tc>
                <w:tcPr>
                  <w:tcW w:w="606" w:type="pct"/>
                  <w:noWrap w:val="0"/>
                  <w:vAlign w:val="center"/>
                </w:tcPr>
                <w:p w14:paraId="4CD44D5A">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lang w:val="en-US" w:eastAsia="zh-CN"/>
                    </w:rPr>
                    <w:t>设计年产量</w:t>
                  </w:r>
                </w:p>
              </w:tc>
              <w:tc>
                <w:tcPr>
                  <w:tcW w:w="534" w:type="pct"/>
                  <w:noWrap w:val="0"/>
                  <w:vAlign w:val="center"/>
                </w:tcPr>
                <w:p w14:paraId="09C72905">
                  <w:pPr>
                    <w:pStyle w:val="41"/>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单位</w:t>
                  </w:r>
                </w:p>
              </w:tc>
              <w:tc>
                <w:tcPr>
                  <w:tcW w:w="1057" w:type="pct"/>
                  <w:noWrap w:val="0"/>
                  <w:vAlign w:val="center"/>
                </w:tcPr>
                <w:p w14:paraId="25AB6A69">
                  <w:pPr>
                    <w:pStyle w:val="41"/>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w:t>
                  </w:r>
                </w:p>
              </w:tc>
            </w:tr>
            <w:tr w14:paraId="35E08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2" w:type="pct"/>
                  <w:shd w:val="clear" w:color="auto" w:fill="auto"/>
                  <w:noWrap w:val="0"/>
                  <w:vAlign w:val="center"/>
                </w:tcPr>
                <w:p w14:paraId="4B803768">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w:t>
                  </w:r>
                </w:p>
              </w:tc>
              <w:tc>
                <w:tcPr>
                  <w:tcW w:w="871" w:type="pct"/>
                  <w:vMerge w:val="restart"/>
                  <w:noWrap w:val="0"/>
                  <w:vAlign w:val="center"/>
                </w:tcPr>
                <w:p w14:paraId="5BE4A6FF">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化纤布</w:t>
                  </w:r>
                </w:p>
              </w:tc>
              <w:tc>
                <w:tcPr>
                  <w:tcW w:w="871" w:type="pct"/>
                  <w:noWrap w:val="0"/>
                  <w:vAlign w:val="center"/>
                </w:tcPr>
                <w:p w14:paraId="69ED448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化纤布</w:t>
                  </w:r>
                </w:p>
              </w:tc>
              <w:tc>
                <w:tcPr>
                  <w:tcW w:w="785" w:type="pct"/>
                  <w:noWrap w:val="0"/>
                  <w:vAlign w:val="center"/>
                </w:tcPr>
                <w:p w14:paraId="4443BD0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606" w:type="pct"/>
                  <w:noWrap w:val="0"/>
                  <w:vAlign w:val="center"/>
                </w:tcPr>
                <w:p w14:paraId="1CE490DC">
                  <w:pPr>
                    <w:keepNext w:val="0"/>
                    <w:keepLines w:val="0"/>
                    <w:suppressLineNumbers w:val="0"/>
                    <w:spacing w:before="0" w:beforeAutospacing="0" w:after="0" w:afterAutospacing="0" w:line="240" w:lineRule="auto"/>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000</w:t>
                  </w:r>
                </w:p>
              </w:tc>
              <w:tc>
                <w:tcPr>
                  <w:tcW w:w="534" w:type="pct"/>
                  <w:noWrap w:val="0"/>
                  <w:vAlign w:val="center"/>
                </w:tcPr>
                <w:p w14:paraId="1AB333F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万米</w:t>
                  </w:r>
                </w:p>
              </w:tc>
              <w:tc>
                <w:tcPr>
                  <w:tcW w:w="1057" w:type="pct"/>
                  <w:noWrap w:val="0"/>
                  <w:vAlign w:val="center"/>
                </w:tcPr>
                <w:p w14:paraId="56F4B79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143BF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2" w:type="pct"/>
                  <w:shd w:val="clear" w:color="auto" w:fill="auto"/>
                  <w:noWrap w:val="0"/>
                  <w:vAlign w:val="center"/>
                </w:tcPr>
                <w:p w14:paraId="5C0E5941">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2</w:t>
                  </w:r>
                </w:p>
              </w:tc>
              <w:tc>
                <w:tcPr>
                  <w:tcW w:w="871" w:type="pct"/>
                  <w:vMerge w:val="continue"/>
                  <w:noWrap w:val="0"/>
                  <w:vAlign w:val="center"/>
                </w:tcPr>
                <w:p w14:paraId="36927838">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lang w:val="en-US" w:eastAsia="zh-CN"/>
                    </w:rPr>
                  </w:pPr>
                </w:p>
              </w:tc>
              <w:tc>
                <w:tcPr>
                  <w:tcW w:w="871" w:type="pct"/>
                  <w:noWrap w:val="0"/>
                  <w:vAlign w:val="center"/>
                </w:tcPr>
                <w:p w14:paraId="68572D2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color w:val="auto"/>
                      <w:kern w:val="0"/>
                      <w:sz w:val="21"/>
                      <w:szCs w:val="21"/>
                      <w:u w:val="none"/>
                      <w:lang w:val="en-US" w:eastAsia="zh-CN"/>
                    </w:rPr>
                    <w:t>汽车内饰</w:t>
                  </w:r>
                </w:p>
              </w:tc>
              <w:tc>
                <w:tcPr>
                  <w:tcW w:w="785" w:type="pct"/>
                  <w:noWrap w:val="0"/>
                  <w:vAlign w:val="center"/>
                </w:tcPr>
                <w:p w14:paraId="59E5240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606" w:type="pct"/>
                  <w:noWrap w:val="0"/>
                  <w:vAlign w:val="center"/>
                </w:tcPr>
                <w:p w14:paraId="7629840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3000</w:t>
                  </w:r>
                </w:p>
              </w:tc>
              <w:tc>
                <w:tcPr>
                  <w:tcW w:w="534" w:type="pct"/>
                  <w:noWrap w:val="0"/>
                  <w:vAlign w:val="center"/>
                </w:tcPr>
                <w:p w14:paraId="3E1D7277">
                  <w:pPr>
                    <w:keepNext w:val="0"/>
                    <w:keepLines w:val="0"/>
                    <w:suppressLineNumbers w:val="0"/>
                    <w:spacing w:before="0" w:beforeAutospacing="0" w:after="0" w:afterAutospacing="0" w:line="240" w:lineRule="auto"/>
                    <w:ind w:left="0" w:right="0"/>
                    <w:jc w:val="center"/>
                    <w:rPr>
                      <w:rFonts w:hint="eastAsia"/>
                      <w:b w:val="0"/>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万米</w:t>
                  </w:r>
                </w:p>
              </w:tc>
              <w:tc>
                <w:tcPr>
                  <w:tcW w:w="1057" w:type="pct"/>
                  <w:noWrap w:val="0"/>
                  <w:vAlign w:val="center"/>
                </w:tcPr>
                <w:p w14:paraId="35025B25">
                  <w:pPr>
                    <w:keepNext w:val="0"/>
                    <w:keepLines w:val="0"/>
                    <w:suppressLineNumbers w:val="0"/>
                    <w:spacing w:before="0" w:beforeAutospacing="0" w:after="0" w:afterAutospacing="0" w:line="240" w:lineRule="auto"/>
                    <w:ind w:left="0" w:right="0"/>
                    <w:jc w:val="center"/>
                    <w:rPr>
                      <w:rFonts w:hint="default"/>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2ADCA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72" w:type="pct"/>
                  <w:shd w:val="clear" w:color="auto" w:fill="auto"/>
                  <w:noWrap w:val="0"/>
                  <w:vAlign w:val="center"/>
                </w:tcPr>
                <w:p w14:paraId="587A6D15">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3</w:t>
                  </w:r>
                </w:p>
              </w:tc>
              <w:tc>
                <w:tcPr>
                  <w:tcW w:w="871" w:type="pct"/>
                  <w:vMerge w:val="continue"/>
                  <w:noWrap w:val="0"/>
                  <w:vAlign w:val="center"/>
                </w:tcPr>
                <w:p w14:paraId="6536A5C7">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lang w:val="en-US" w:eastAsia="zh-CN"/>
                    </w:rPr>
                  </w:pPr>
                </w:p>
              </w:tc>
              <w:tc>
                <w:tcPr>
                  <w:tcW w:w="871" w:type="pct"/>
                  <w:noWrap w:val="0"/>
                  <w:vAlign w:val="center"/>
                </w:tcPr>
                <w:p w14:paraId="05A0F9E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color w:val="auto"/>
                      <w:kern w:val="0"/>
                      <w:sz w:val="21"/>
                      <w:szCs w:val="21"/>
                      <w:u w:val="none"/>
                      <w:lang w:val="en-US" w:eastAsia="zh-CN"/>
                    </w:rPr>
                    <w:t>家居服饰</w:t>
                  </w:r>
                </w:p>
              </w:tc>
              <w:tc>
                <w:tcPr>
                  <w:tcW w:w="785" w:type="pct"/>
                  <w:noWrap w:val="0"/>
                  <w:vAlign w:val="center"/>
                </w:tcPr>
                <w:p w14:paraId="0EBB9ED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606" w:type="pct"/>
                  <w:noWrap w:val="0"/>
                  <w:vAlign w:val="center"/>
                </w:tcPr>
                <w:p w14:paraId="283A04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3000</w:t>
                  </w:r>
                </w:p>
              </w:tc>
              <w:tc>
                <w:tcPr>
                  <w:tcW w:w="534" w:type="pct"/>
                  <w:noWrap w:val="0"/>
                  <w:vAlign w:val="center"/>
                </w:tcPr>
                <w:p w14:paraId="0BD3F3A8">
                  <w:pPr>
                    <w:keepNext w:val="0"/>
                    <w:keepLines w:val="0"/>
                    <w:suppressLineNumbers w:val="0"/>
                    <w:spacing w:before="0" w:beforeAutospacing="0" w:after="0" w:afterAutospacing="0" w:line="240" w:lineRule="auto"/>
                    <w:ind w:left="0" w:right="0"/>
                    <w:jc w:val="center"/>
                    <w:rPr>
                      <w:rFonts w:hint="eastAsia"/>
                      <w:b w:val="0"/>
                      <w:bCs/>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万米</w:t>
                  </w:r>
                </w:p>
              </w:tc>
              <w:tc>
                <w:tcPr>
                  <w:tcW w:w="1057" w:type="pct"/>
                  <w:noWrap w:val="0"/>
                  <w:vAlign w:val="center"/>
                </w:tcPr>
                <w:p w14:paraId="7712C24E">
                  <w:pPr>
                    <w:keepNext w:val="0"/>
                    <w:keepLines w:val="0"/>
                    <w:suppressLineNumbers w:val="0"/>
                    <w:spacing w:before="0" w:beforeAutospacing="0" w:after="0" w:afterAutospacing="0" w:line="240" w:lineRule="auto"/>
                    <w:ind w:left="0" w:right="0"/>
                    <w:jc w:val="center"/>
                    <w:rPr>
                      <w:rFonts w:hint="default"/>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bl>
          <w:p w14:paraId="46F5D37E">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eastAsia="宋体" w:cs="Times New Roman"/>
                <w:color w:val="auto"/>
                <w:highlight w:val="none"/>
              </w:rPr>
            </w:pPr>
            <w:r>
              <w:rPr>
                <w:rFonts w:hint="eastAsia" w:cs="Times New Roman"/>
                <w:color w:val="auto"/>
                <w:highlight w:val="none"/>
                <w:lang w:val="en-US" w:eastAsia="zh-CN"/>
              </w:rPr>
              <w:t>六</w:t>
            </w:r>
            <w:r>
              <w:rPr>
                <w:rFonts w:hint="default" w:ascii="Times New Roman" w:hAnsi="Times New Roman" w:eastAsia="宋体" w:cs="Times New Roman"/>
                <w:color w:val="auto"/>
                <w:highlight w:val="none"/>
              </w:rPr>
              <w:t>、</w:t>
            </w:r>
            <w:r>
              <w:rPr>
                <w:rFonts w:hint="eastAsia" w:cs="Times New Roman"/>
                <w:color w:val="auto"/>
                <w:highlight w:val="none"/>
                <w:lang w:eastAsia="zh-CN"/>
              </w:rPr>
              <w:t>本项目</w:t>
            </w:r>
            <w:r>
              <w:rPr>
                <w:rFonts w:hint="default" w:ascii="Times New Roman" w:hAnsi="Times New Roman" w:eastAsia="宋体" w:cs="Times New Roman"/>
                <w:color w:val="auto"/>
                <w:highlight w:val="none"/>
              </w:rPr>
              <w:t>主要设备</w:t>
            </w:r>
          </w:p>
          <w:p w14:paraId="0ADCE6D9">
            <w:pPr>
              <w:pStyle w:val="42"/>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根据建设单位提供，</w:t>
            </w:r>
            <w:r>
              <w:rPr>
                <w:rFonts w:hint="default" w:ascii="Times New Roman" w:hAnsi="Times New Roman" w:eastAsia="宋体" w:cs="Times New Roman"/>
                <w:b w:val="0"/>
                <w:bCs w:val="0"/>
                <w:color w:val="auto"/>
                <w:highlight w:val="none"/>
                <w:lang w:eastAsia="zh-CN"/>
              </w:rPr>
              <w:t>项目</w:t>
            </w:r>
            <w:r>
              <w:rPr>
                <w:rFonts w:hint="default" w:ascii="Times New Roman" w:hAnsi="Times New Roman" w:eastAsia="宋体" w:cs="Times New Roman"/>
                <w:b w:val="0"/>
                <w:bCs w:val="0"/>
                <w:color w:val="auto"/>
                <w:highlight w:val="none"/>
              </w:rPr>
              <w:t>主要设备见下表。</w:t>
            </w:r>
          </w:p>
          <w:p w14:paraId="36E7C31C">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jc w:val="center"/>
              <w:textAlignment w:val="auto"/>
              <w:rPr>
                <w:rFonts w:hint="eastAsia" w:ascii="宋体" w:hAnsi="宋体"/>
                <w:b/>
                <w:color w:val="auto"/>
                <w:sz w:val="24"/>
                <w:highlight w:val="none"/>
              </w:rPr>
            </w:pPr>
            <w:r>
              <w:rPr>
                <w:rFonts w:hint="default" w:ascii="Times New Roman" w:hAnsi="Times New Roman" w:eastAsia="宋体" w:cs="Times New Roman"/>
                <w:color w:val="auto"/>
                <w:highlight w:val="none"/>
              </w:rPr>
              <w:t>表2-</w:t>
            </w:r>
            <w:r>
              <w:rPr>
                <w:rFonts w:hint="default" w:ascii="Times New Roman" w:hAnsi="Times New Roman" w:eastAsia="宋体" w:cs="Times New Roman"/>
                <w:color w:val="auto"/>
                <w:highlight w:val="none"/>
                <w:lang w:val="en-US" w:eastAsia="zh-CN"/>
              </w:rPr>
              <w:t>5</w:t>
            </w:r>
            <w:r>
              <w:rPr>
                <w:rFonts w:hint="eastAsia" w:cs="Times New Roman"/>
                <w:color w:val="auto"/>
                <w:highlight w:val="none"/>
                <w:lang w:val="en-US" w:eastAsia="zh-CN"/>
              </w:rPr>
              <w:t>本项目</w:t>
            </w:r>
            <w:r>
              <w:rPr>
                <w:rFonts w:hint="eastAsia" w:ascii="宋体" w:hAnsi="宋体"/>
                <w:b/>
                <w:color w:val="auto"/>
                <w:sz w:val="24"/>
                <w:highlight w:val="none"/>
              </w:rPr>
              <w:t>主要生产设备一览表</w:t>
            </w:r>
          </w:p>
          <w:tbl>
            <w:tblPr>
              <w:tblStyle w:val="26"/>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7"/>
              <w:gridCol w:w="2493"/>
              <w:gridCol w:w="2897"/>
              <w:gridCol w:w="815"/>
              <w:gridCol w:w="867"/>
              <w:gridCol w:w="1509"/>
            </w:tblGrid>
            <w:tr w14:paraId="2F39F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376" w:type="pct"/>
                  <w:tcBorders>
                    <w:top w:val="single" w:color="auto" w:sz="12" w:space="0"/>
                    <w:bottom w:val="single" w:color="auto" w:sz="4" w:space="0"/>
                    <w:right w:val="single" w:color="auto" w:sz="4" w:space="0"/>
                    <w:tl2br w:val="nil"/>
                  </w:tcBorders>
                  <w:shd w:val="clear" w:color="auto" w:fill="FFFFFF"/>
                  <w:noWrap w:val="0"/>
                  <w:vAlign w:val="center"/>
                </w:tcPr>
                <w:p w14:paraId="55AE4F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cs="宋体"/>
                      <w:b/>
                      <w:bCs w:val="0"/>
                      <w:color w:val="auto"/>
                      <w:sz w:val="21"/>
                      <w:szCs w:val="21"/>
                      <w:highlight w:val="none"/>
                    </w:rPr>
                  </w:pPr>
                  <w:r>
                    <w:rPr>
                      <w:rFonts w:hint="eastAsia" w:ascii="Times New Roman" w:hAnsi="Times New Roman" w:eastAsia="宋体" w:cs="宋体"/>
                      <w:b/>
                      <w:bCs w:val="0"/>
                      <w:color w:val="auto"/>
                      <w:sz w:val="21"/>
                      <w:szCs w:val="21"/>
                      <w:highlight w:val="none"/>
                    </w:rPr>
                    <w:t>序号</w:t>
                  </w:r>
                </w:p>
              </w:tc>
              <w:tc>
                <w:tcPr>
                  <w:tcW w:w="1344" w:type="pct"/>
                  <w:tcBorders>
                    <w:top w:val="single" w:color="auto" w:sz="12" w:space="0"/>
                    <w:left w:val="single" w:color="auto" w:sz="4" w:space="0"/>
                    <w:bottom w:val="single" w:color="auto" w:sz="4" w:space="0"/>
                    <w:right w:val="single" w:color="auto" w:sz="4" w:space="0"/>
                  </w:tcBorders>
                  <w:shd w:val="clear" w:color="auto" w:fill="FFFFFF"/>
                  <w:noWrap w:val="0"/>
                  <w:vAlign w:val="center"/>
                </w:tcPr>
                <w:p w14:paraId="2684A9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cs="宋体"/>
                      <w:b/>
                      <w:bCs w:val="0"/>
                      <w:color w:val="auto"/>
                      <w:sz w:val="21"/>
                      <w:szCs w:val="21"/>
                      <w:highlight w:val="none"/>
                    </w:rPr>
                  </w:pPr>
                  <w:r>
                    <w:rPr>
                      <w:rFonts w:hint="eastAsia" w:ascii="Times New Roman" w:hAnsi="Times New Roman" w:eastAsia="宋体" w:cs="宋体"/>
                      <w:b/>
                      <w:bCs w:val="0"/>
                      <w:color w:val="auto"/>
                      <w:sz w:val="21"/>
                      <w:szCs w:val="21"/>
                      <w:highlight w:val="none"/>
                    </w:rPr>
                    <w:t>名称</w:t>
                  </w:r>
                </w:p>
              </w:tc>
              <w:tc>
                <w:tcPr>
                  <w:tcW w:w="1561" w:type="pct"/>
                  <w:tcBorders>
                    <w:top w:val="single" w:color="auto" w:sz="12" w:space="0"/>
                    <w:left w:val="single" w:color="auto" w:sz="4" w:space="0"/>
                    <w:right w:val="single" w:color="auto" w:sz="4" w:space="0"/>
                  </w:tcBorders>
                  <w:shd w:val="clear" w:color="auto" w:fill="FFFFFF"/>
                  <w:noWrap w:val="0"/>
                  <w:vAlign w:val="center"/>
                </w:tcPr>
                <w:p w14:paraId="7AF5E5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宋体"/>
                      <w:b/>
                      <w:bCs w:val="0"/>
                      <w:color w:val="auto"/>
                      <w:sz w:val="21"/>
                      <w:szCs w:val="21"/>
                      <w:highlight w:val="none"/>
                      <w:lang w:val="en-US" w:eastAsia="zh-CN"/>
                    </w:rPr>
                  </w:pPr>
                  <w:r>
                    <w:rPr>
                      <w:rFonts w:hint="eastAsia" w:ascii="Times New Roman" w:hAnsi="Times New Roman" w:eastAsia="宋体" w:cs="宋体"/>
                      <w:b/>
                      <w:bCs w:val="0"/>
                      <w:color w:val="auto"/>
                      <w:sz w:val="21"/>
                      <w:szCs w:val="21"/>
                      <w:highlight w:val="none"/>
                      <w:lang w:val="en-US" w:eastAsia="zh-CN"/>
                    </w:rPr>
                    <w:t>型号</w:t>
                  </w:r>
                </w:p>
              </w:tc>
              <w:tc>
                <w:tcPr>
                  <w:tcW w:w="439" w:type="pct"/>
                  <w:tcBorders>
                    <w:top w:val="single" w:color="auto" w:sz="12" w:space="0"/>
                    <w:left w:val="single" w:color="auto" w:sz="4" w:space="0"/>
                    <w:bottom w:val="single" w:color="auto" w:sz="4" w:space="0"/>
                    <w:right w:val="single" w:color="auto" w:sz="4" w:space="0"/>
                  </w:tcBorders>
                  <w:shd w:val="clear" w:color="auto" w:fill="FFFFFF"/>
                  <w:noWrap w:val="0"/>
                  <w:vAlign w:val="center"/>
                </w:tcPr>
                <w:p w14:paraId="00FB35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宋体"/>
                      <w:b/>
                      <w:bCs w:val="0"/>
                      <w:color w:val="auto"/>
                      <w:sz w:val="21"/>
                      <w:szCs w:val="21"/>
                      <w:highlight w:val="none"/>
                      <w:lang w:val="en-US" w:eastAsia="zh-CN"/>
                    </w:rPr>
                  </w:pPr>
                  <w:r>
                    <w:rPr>
                      <w:rFonts w:hint="eastAsia" w:ascii="Times New Roman" w:hAnsi="Times New Roman" w:eastAsia="宋体" w:cs="宋体"/>
                      <w:b/>
                      <w:bCs w:val="0"/>
                      <w:color w:val="auto"/>
                      <w:sz w:val="21"/>
                      <w:szCs w:val="21"/>
                      <w:highlight w:val="none"/>
                      <w:lang w:val="en-US" w:eastAsia="zh-CN"/>
                    </w:rPr>
                    <w:t>数量</w:t>
                  </w:r>
                </w:p>
              </w:tc>
              <w:tc>
                <w:tcPr>
                  <w:tcW w:w="467" w:type="pct"/>
                  <w:tcBorders>
                    <w:top w:val="single" w:color="auto" w:sz="12" w:space="0"/>
                    <w:left w:val="single" w:color="auto" w:sz="4" w:space="0"/>
                    <w:bottom w:val="single" w:color="auto" w:sz="4" w:space="0"/>
                    <w:right w:val="single" w:color="auto" w:sz="4" w:space="0"/>
                  </w:tcBorders>
                  <w:shd w:val="clear" w:color="auto" w:fill="FFFFFF"/>
                  <w:noWrap w:val="0"/>
                  <w:vAlign w:val="center"/>
                </w:tcPr>
                <w:p w14:paraId="7C04CB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cs="宋体"/>
                      <w:b/>
                      <w:bCs w:val="0"/>
                      <w:color w:val="auto"/>
                      <w:sz w:val="21"/>
                      <w:szCs w:val="21"/>
                      <w:highlight w:val="none"/>
                    </w:rPr>
                  </w:pPr>
                  <w:r>
                    <w:rPr>
                      <w:rFonts w:hint="eastAsia" w:ascii="Times New Roman" w:hAnsi="Times New Roman" w:eastAsia="宋体" w:cs="宋体"/>
                      <w:b/>
                      <w:bCs w:val="0"/>
                      <w:color w:val="auto"/>
                      <w:sz w:val="21"/>
                      <w:szCs w:val="21"/>
                      <w:highlight w:val="none"/>
                    </w:rPr>
                    <w:t>单位</w:t>
                  </w:r>
                </w:p>
              </w:tc>
              <w:tc>
                <w:tcPr>
                  <w:tcW w:w="811" w:type="pct"/>
                  <w:tcBorders>
                    <w:top w:val="single" w:color="auto" w:sz="12" w:space="0"/>
                    <w:left w:val="single" w:color="auto" w:sz="4" w:space="0"/>
                    <w:bottom w:val="single" w:color="auto" w:sz="4" w:space="0"/>
                  </w:tcBorders>
                  <w:shd w:val="clear" w:color="auto" w:fill="FFFFFF"/>
                  <w:noWrap w:val="0"/>
                  <w:vAlign w:val="center"/>
                </w:tcPr>
                <w:p w14:paraId="3EE3E3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宋体"/>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rPr>
                    <w:t>备注</w:t>
                  </w:r>
                </w:p>
              </w:tc>
            </w:tr>
            <w:tr w14:paraId="7AC07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5000" w:type="pct"/>
                  <w:gridSpan w:val="6"/>
                  <w:tcBorders>
                    <w:top w:val="single" w:color="auto" w:sz="4" w:space="0"/>
                    <w:bottom w:val="single" w:color="auto" w:sz="4" w:space="0"/>
                  </w:tcBorders>
                  <w:shd w:val="clear" w:color="auto" w:fill="FFFFFF"/>
                  <w:noWrap w:val="0"/>
                  <w:vAlign w:val="center"/>
                </w:tcPr>
                <w:p w14:paraId="44F717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lang w:val="en-US" w:eastAsia="zh-CN"/>
                    </w:rPr>
                  </w:pPr>
                  <w:r>
                    <w:rPr>
                      <w:rFonts w:hint="eastAsia"/>
                      <w:b/>
                      <w:bCs/>
                      <w:color w:val="auto"/>
                      <w:sz w:val="21"/>
                      <w:szCs w:val="21"/>
                      <w:highlight w:val="none"/>
                      <w:lang w:val="en-US" w:eastAsia="zh-CN"/>
                    </w:rPr>
                    <w:t>纺织设备</w:t>
                  </w:r>
                </w:p>
              </w:tc>
            </w:tr>
            <w:tr w14:paraId="6F1DE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376" w:type="pct"/>
                  <w:tcBorders>
                    <w:top w:val="single" w:color="auto" w:sz="4" w:space="0"/>
                    <w:bottom w:val="single" w:color="auto" w:sz="4" w:space="0"/>
                    <w:right w:val="single" w:color="auto" w:sz="4" w:space="0"/>
                  </w:tcBorders>
                  <w:shd w:val="clear" w:color="auto" w:fill="auto"/>
                  <w:noWrap w:val="0"/>
                  <w:vAlign w:val="center"/>
                </w:tcPr>
                <w:p w14:paraId="0FECCF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134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3E44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电子喷水多臂织机</w:t>
                  </w:r>
                </w:p>
              </w:tc>
              <w:tc>
                <w:tcPr>
                  <w:tcW w:w="156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BA522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290型</w:t>
                  </w:r>
                </w:p>
              </w:tc>
              <w:tc>
                <w:tcPr>
                  <w:tcW w:w="43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78F1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800</w:t>
                  </w:r>
                </w:p>
              </w:tc>
              <w:tc>
                <w:tcPr>
                  <w:tcW w:w="4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94C9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 w:val="21"/>
                      <w:szCs w:val="21"/>
                      <w:highlight w:val="none"/>
                    </w:rPr>
                    <w:t>台</w:t>
                  </w:r>
                </w:p>
              </w:tc>
              <w:tc>
                <w:tcPr>
                  <w:tcW w:w="811" w:type="pct"/>
                  <w:vMerge w:val="restart"/>
                  <w:tcBorders>
                    <w:top w:val="single" w:color="auto" w:sz="4" w:space="0"/>
                    <w:left w:val="single" w:color="auto" w:sz="4" w:space="0"/>
                  </w:tcBorders>
                  <w:shd w:val="clear" w:color="auto" w:fill="FFFFFF"/>
                  <w:noWrap w:val="0"/>
                  <w:vAlign w:val="center"/>
                </w:tcPr>
                <w:p w14:paraId="5BD0FD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val="0"/>
                      <w:color w:val="auto"/>
                      <w:kern w:val="2"/>
                      <w:sz w:val="21"/>
                      <w:szCs w:val="21"/>
                      <w:highlight w:val="none"/>
                      <w:lang w:val="en-US" w:eastAsia="zh-CN" w:bidi="ar-SA"/>
                    </w:rPr>
                  </w:pPr>
                  <w:r>
                    <w:rPr>
                      <w:rFonts w:hint="eastAsia" w:cs="宋体"/>
                      <w:b w:val="0"/>
                      <w:color w:val="auto"/>
                      <w:kern w:val="2"/>
                      <w:sz w:val="21"/>
                      <w:szCs w:val="21"/>
                      <w:highlight w:val="none"/>
                      <w:lang w:val="en-US" w:eastAsia="zh-CN" w:bidi="ar-SA"/>
                    </w:rPr>
                    <w:t>织造工序</w:t>
                  </w:r>
                </w:p>
              </w:tc>
            </w:tr>
            <w:tr w14:paraId="0349E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376" w:type="pct"/>
                  <w:tcBorders>
                    <w:top w:val="single" w:color="auto" w:sz="4" w:space="0"/>
                    <w:bottom w:val="single" w:color="auto" w:sz="4" w:space="0"/>
                    <w:right w:val="single" w:color="auto" w:sz="4" w:space="0"/>
                  </w:tcBorders>
                  <w:shd w:val="clear" w:color="auto" w:fill="auto"/>
                  <w:noWrap w:val="0"/>
                  <w:vAlign w:val="center"/>
                </w:tcPr>
                <w:p w14:paraId="1E3FDE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34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0012E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kern w:val="2"/>
                      <w:sz w:val="21"/>
                      <w:szCs w:val="21"/>
                      <w:lang w:val="en-US" w:eastAsia="zh-CN" w:bidi="ar"/>
                    </w:rPr>
                    <w:t>全自动穿综机</w:t>
                  </w:r>
                </w:p>
              </w:tc>
              <w:tc>
                <w:tcPr>
                  <w:tcW w:w="156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92C41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2"/>
                      <w:sz w:val="21"/>
                      <w:szCs w:val="21"/>
                      <w:lang w:val="en-US" w:eastAsia="zh-CN" w:bidi="ar"/>
                    </w:rPr>
                    <w:t>/</w:t>
                  </w:r>
                </w:p>
              </w:tc>
              <w:tc>
                <w:tcPr>
                  <w:tcW w:w="43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8F0A0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2"/>
                      <w:sz w:val="21"/>
                      <w:szCs w:val="21"/>
                      <w:lang w:val="en-US" w:eastAsia="zh-CN" w:bidi="ar"/>
                    </w:rPr>
                    <w:t>2</w:t>
                  </w:r>
                </w:p>
              </w:tc>
              <w:tc>
                <w:tcPr>
                  <w:tcW w:w="4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5D0563">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Times New Roman" w:hAnsi="Times New Roman" w:eastAsia="宋体" w:cs="宋体"/>
                      <w:b w:val="0"/>
                      <w:color w:val="auto"/>
                      <w:kern w:val="2"/>
                      <w:sz w:val="21"/>
                      <w:szCs w:val="21"/>
                      <w:highlight w:val="none"/>
                      <w:lang w:val="en-US" w:eastAsia="zh-CN" w:bidi="ar-SA"/>
                    </w:rPr>
                  </w:pPr>
                  <w:r>
                    <w:rPr>
                      <w:rFonts w:hint="eastAsia" w:ascii="宋体" w:hAnsi="宋体" w:eastAsia="宋体" w:cs="宋体"/>
                      <w:b w:val="0"/>
                      <w:kern w:val="2"/>
                      <w:sz w:val="21"/>
                      <w:szCs w:val="21"/>
                      <w:lang w:val="en-US" w:eastAsia="zh-CN" w:bidi="ar"/>
                    </w:rPr>
                    <w:t>台</w:t>
                  </w:r>
                </w:p>
              </w:tc>
              <w:tc>
                <w:tcPr>
                  <w:tcW w:w="811" w:type="pct"/>
                  <w:vMerge w:val="continue"/>
                  <w:tcBorders>
                    <w:left w:val="single" w:color="auto" w:sz="4" w:space="0"/>
                    <w:bottom w:val="single" w:color="auto" w:sz="4" w:space="0"/>
                  </w:tcBorders>
                  <w:shd w:val="clear" w:color="auto" w:fill="FFFFFF"/>
                  <w:noWrap w:val="0"/>
                  <w:vAlign w:val="center"/>
                </w:tcPr>
                <w:p w14:paraId="563DE0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val="0"/>
                      <w:color w:val="auto"/>
                      <w:kern w:val="2"/>
                      <w:sz w:val="21"/>
                      <w:szCs w:val="21"/>
                      <w:highlight w:val="none"/>
                      <w:lang w:val="en-US" w:eastAsia="zh-CN" w:bidi="ar-SA"/>
                    </w:rPr>
                  </w:pPr>
                </w:p>
              </w:tc>
            </w:tr>
            <w:tr w14:paraId="57449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376" w:type="pct"/>
                  <w:tcBorders>
                    <w:top w:val="single" w:color="auto" w:sz="4" w:space="0"/>
                    <w:bottom w:val="single" w:color="auto" w:sz="4" w:space="0"/>
                    <w:right w:val="single" w:color="auto" w:sz="4" w:space="0"/>
                  </w:tcBorders>
                  <w:shd w:val="clear" w:color="auto" w:fill="auto"/>
                  <w:noWrap w:val="0"/>
                  <w:vAlign w:val="center"/>
                </w:tcPr>
                <w:p w14:paraId="059CF1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134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B875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新型v1000型加弹机</w:t>
                  </w:r>
                </w:p>
              </w:tc>
              <w:tc>
                <w:tcPr>
                  <w:tcW w:w="156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39E7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1000型</w:t>
                  </w:r>
                </w:p>
              </w:tc>
              <w:tc>
                <w:tcPr>
                  <w:tcW w:w="43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12BEE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12</w:t>
                  </w:r>
                </w:p>
              </w:tc>
              <w:tc>
                <w:tcPr>
                  <w:tcW w:w="4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E1AD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 w:val="21"/>
                      <w:szCs w:val="21"/>
                      <w:highlight w:val="none"/>
                    </w:rPr>
                    <w:t>台</w:t>
                  </w:r>
                </w:p>
              </w:tc>
              <w:tc>
                <w:tcPr>
                  <w:tcW w:w="811" w:type="pct"/>
                  <w:tcBorders>
                    <w:top w:val="single" w:color="auto" w:sz="4" w:space="0"/>
                    <w:left w:val="single" w:color="auto" w:sz="4" w:space="0"/>
                    <w:bottom w:val="single" w:color="auto" w:sz="4" w:space="0"/>
                  </w:tcBorders>
                  <w:shd w:val="clear" w:color="auto" w:fill="FFFFFF"/>
                  <w:noWrap w:val="0"/>
                  <w:vAlign w:val="center"/>
                </w:tcPr>
                <w:p w14:paraId="3D1EE3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val="0"/>
                      <w:color w:val="auto"/>
                      <w:kern w:val="2"/>
                      <w:sz w:val="21"/>
                      <w:szCs w:val="21"/>
                      <w:highlight w:val="none"/>
                      <w:lang w:val="en-US" w:eastAsia="zh-CN" w:bidi="ar-SA"/>
                    </w:rPr>
                  </w:pPr>
                  <w:r>
                    <w:rPr>
                      <w:rFonts w:hint="eastAsia" w:cs="宋体"/>
                      <w:b w:val="0"/>
                      <w:color w:val="auto"/>
                      <w:kern w:val="2"/>
                      <w:sz w:val="21"/>
                      <w:szCs w:val="21"/>
                      <w:highlight w:val="none"/>
                      <w:lang w:val="en-US" w:eastAsia="zh-CN" w:bidi="ar-SA"/>
                    </w:rPr>
                    <w:t>加弹工序</w:t>
                  </w:r>
                </w:p>
              </w:tc>
            </w:tr>
            <w:tr w14:paraId="6353D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376" w:type="pct"/>
                  <w:tcBorders>
                    <w:top w:val="single" w:color="auto" w:sz="4" w:space="0"/>
                    <w:bottom w:val="single" w:color="auto" w:sz="4" w:space="0"/>
                    <w:right w:val="single" w:color="auto" w:sz="4" w:space="0"/>
                  </w:tcBorders>
                  <w:shd w:val="clear" w:color="auto" w:fill="auto"/>
                  <w:noWrap w:val="0"/>
                  <w:vAlign w:val="center"/>
                </w:tcPr>
                <w:p w14:paraId="6565AA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134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49D0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高速整经机器</w:t>
                  </w:r>
                </w:p>
              </w:tc>
              <w:tc>
                <w:tcPr>
                  <w:tcW w:w="156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539FB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510型</w:t>
                  </w:r>
                </w:p>
              </w:tc>
              <w:tc>
                <w:tcPr>
                  <w:tcW w:w="43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DB526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4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101A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 w:val="21"/>
                      <w:szCs w:val="21"/>
                      <w:highlight w:val="none"/>
                    </w:rPr>
                    <w:t>台</w:t>
                  </w:r>
                </w:p>
              </w:tc>
              <w:tc>
                <w:tcPr>
                  <w:tcW w:w="811" w:type="pct"/>
                  <w:tcBorders>
                    <w:top w:val="single" w:color="auto" w:sz="4" w:space="0"/>
                    <w:left w:val="single" w:color="auto" w:sz="4" w:space="0"/>
                    <w:bottom w:val="single" w:color="auto" w:sz="4" w:space="0"/>
                  </w:tcBorders>
                  <w:shd w:val="clear" w:color="auto" w:fill="FFFFFF"/>
                  <w:noWrap w:val="0"/>
                  <w:vAlign w:val="center"/>
                </w:tcPr>
                <w:p w14:paraId="53DB7D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val="0"/>
                      <w:color w:val="auto"/>
                      <w:kern w:val="2"/>
                      <w:sz w:val="21"/>
                      <w:szCs w:val="21"/>
                      <w:highlight w:val="none"/>
                      <w:lang w:val="en-US" w:eastAsia="zh-CN" w:bidi="ar-SA"/>
                    </w:rPr>
                  </w:pPr>
                  <w:r>
                    <w:rPr>
                      <w:rFonts w:hint="eastAsia" w:cs="宋体"/>
                      <w:b w:val="0"/>
                      <w:color w:val="auto"/>
                      <w:kern w:val="2"/>
                      <w:sz w:val="21"/>
                      <w:szCs w:val="21"/>
                      <w:highlight w:val="none"/>
                      <w:lang w:val="en-US" w:eastAsia="zh-CN" w:bidi="ar-SA"/>
                    </w:rPr>
                    <w:t>整经工序</w:t>
                  </w:r>
                </w:p>
              </w:tc>
            </w:tr>
            <w:tr w14:paraId="0BC73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atLeast"/>
                <w:jc w:val="center"/>
              </w:trPr>
              <w:tc>
                <w:tcPr>
                  <w:tcW w:w="376" w:type="pct"/>
                  <w:tcBorders>
                    <w:top w:val="single" w:color="auto" w:sz="4" w:space="0"/>
                    <w:bottom w:val="single" w:color="auto" w:sz="4" w:space="0"/>
                    <w:right w:val="single" w:color="auto" w:sz="4" w:space="0"/>
                  </w:tcBorders>
                  <w:shd w:val="clear" w:color="auto" w:fill="auto"/>
                  <w:noWrap w:val="0"/>
                  <w:vAlign w:val="center"/>
                </w:tcPr>
                <w:p w14:paraId="4308BB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134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F172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磨毛机</w:t>
                  </w:r>
                </w:p>
              </w:tc>
              <w:tc>
                <w:tcPr>
                  <w:tcW w:w="156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6B011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815型</w:t>
                  </w:r>
                </w:p>
              </w:tc>
              <w:tc>
                <w:tcPr>
                  <w:tcW w:w="43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51C2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4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C541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 w:val="21"/>
                      <w:szCs w:val="21"/>
                      <w:highlight w:val="none"/>
                    </w:rPr>
                    <w:t>台</w:t>
                  </w:r>
                </w:p>
              </w:tc>
              <w:tc>
                <w:tcPr>
                  <w:tcW w:w="811" w:type="pct"/>
                  <w:tcBorders>
                    <w:top w:val="single" w:color="auto" w:sz="4" w:space="0"/>
                    <w:left w:val="single" w:color="auto" w:sz="4" w:space="0"/>
                    <w:bottom w:val="single" w:color="auto" w:sz="4" w:space="0"/>
                  </w:tcBorders>
                  <w:shd w:val="clear" w:color="auto" w:fill="FFFFFF"/>
                  <w:noWrap w:val="0"/>
                  <w:vAlign w:val="center"/>
                </w:tcPr>
                <w:p w14:paraId="1B4CCC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val="0"/>
                      <w:color w:val="auto"/>
                      <w:kern w:val="2"/>
                      <w:sz w:val="21"/>
                      <w:szCs w:val="21"/>
                      <w:highlight w:val="none"/>
                      <w:lang w:val="en-US" w:eastAsia="zh-CN" w:bidi="ar-SA"/>
                    </w:rPr>
                  </w:pPr>
                  <w:r>
                    <w:rPr>
                      <w:rFonts w:hint="eastAsia" w:cs="宋体"/>
                      <w:b w:val="0"/>
                      <w:color w:val="auto"/>
                      <w:kern w:val="2"/>
                      <w:sz w:val="21"/>
                      <w:szCs w:val="21"/>
                      <w:highlight w:val="none"/>
                      <w:lang w:val="en-US" w:eastAsia="zh-CN" w:bidi="ar-SA"/>
                    </w:rPr>
                    <w:t>磨毛工序</w:t>
                  </w:r>
                </w:p>
              </w:tc>
            </w:tr>
            <w:tr w14:paraId="7F425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376" w:type="pct"/>
                  <w:tcBorders>
                    <w:top w:val="single" w:color="auto" w:sz="4" w:space="0"/>
                    <w:bottom w:val="single" w:color="auto" w:sz="4" w:space="0"/>
                    <w:right w:val="single" w:color="auto" w:sz="4" w:space="0"/>
                  </w:tcBorders>
                  <w:shd w:val="clear" w:color="auto" w:fill="auto"/>
                  <w:noWrap w:val="0"/>
                  <w:vAlign w:val="center"/>
                </w:tcPr>
                <w:p w14:paraId="6A16A6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134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AB3C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退卷机</w:t>
                  </w:r>
                </w:p>
              </w:tc>
              <w:tc>
                <w:tcPr>
                  <w:tcW w:w="156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8D0E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43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3F71C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4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27CB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 w:val="21"/>
                      <w:szCs w:val="21"/>
                      <w:highlight w:val="none"/>
                    </w:rPr>
                    <w:t>台</w:t>
                  </w:r>
                </w:p>
              </w:tc>
              <w:tc>
                <w:tcPr>
                  <w:tcW w:w="811" w:type="pct"/>
                  <w:vMerge w:val="restart"/>
                  <w:tcBorders>
                    <w:top w:val="single" w:color="auto" w:sz="4" w:space="0"/>
                    <w:left w:val="single" w:color="auto" w:sz="4" w:space="0"/>
                  </w:tcBorders>
                  <w:shd w:val="clear" w:color="auto" w:fill="FFFFFF"/>
                  <w:noWrap w:val="0"/>
                  <w:vAlign w:val="center"/>
                </w:tcPr>
                <w:p w14:paraId="595CE0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辅助设备</w:t>
                  </w:r>
                </w:p>
              </w:tc>
            </w:tr>
            <w:tr w14:paraId="732D0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376" w:type="pct"/>
                  <w:tcBorders>
                    <w:top w:val="single" w:color="auto" w:sz="4" w:space="0"/>
                    <w:bottom w:val="single" w:color="auto" w:sz="4" w:space="0"/>
                    <w:right w:val="single" w:color="auto" w:sz="4" w:space="0"/>
                  </w:tcBorders>
                  <w:shd w:val="clear" w:color="auto" w:fill="auto"/>
                  <w:noWrap w:val="0"/>
                  <w:vAlign w:val="center"/>
                </w:tcPr>
                <w:p w14:paraId="18FB4D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134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D59F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打卷机</w:t>
                  </w:r>
                </w:p>
              </w:tc>
              <w:tc>
                <w:tcPr>
                  <w:tcW w:w="156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8BE4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43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A0DC3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4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2291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 w:val="21"/>
                      <w:szCs w:val="21"/>
                      <w:highlight w:val="none"/>
                    </w:rPr>
                    <w:t>台</w:t>
                  </w:r>
                </w:p>
              </w:tc>
              <w:tc>
                <w:tcPr>
                  <w:tcW w:w="811" w:type="pct"/>
                  <w:vMerge w:val="continue"/>
                  <w:tcBorders>
                    <w:left w:val="single" w:color="auto" w:sz="4" w:space="0"/>
                    <w:bottom w:val="single" w:color="auto" w:sz="4" w:space="0"/>
                  </w:tcBorders>
                  <w:shd w:val="clear" w:color="auto" w:fill="FFFFFF"/>
                  <w:noWrap w:val="0"/>
                  <w:vAlign w:val="center"/>
                </w:tcPr>
                <w:p w14:paraId="59981E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val="0"/>
                      <w:color w:val="auto"/>
                      <w:kern w:val="2"/>
                      <w:sz w:val="21"/>
                      <w:szCs w:val="21"/>
                      <w:highlight w:val="none"/>
                      <w:lang w:val="en-US" w:eastAsia="zh-CN" w:bidi="ar-SA"/>
                    </w:rPr>
                  </w:pPr>
                </w:p>
              </w:tc>
            </w:tr>
            <w:tr w14:paraId="59E13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376" w:type="pct"/>
                  <w:tcBorders>
                    <w:top w:val="single" w:color="auto" w:sz="4" w:space="0"/>
                    <w:bottom w:val="single" w:color="auto" w:sz="4" w:space="0"/>
                    <w:right w:val="single" w:color="auto" w:sz="4" w:space="0"/>
                  </w:tcBorders>
                  <w:shd w:val="clear" w:color="auto" w:fill="FFFFFF"/>
                  <w:noWrap w:val="0"/>
                  <w:vAlign w:val="center"/>
                </w:tcPr>
                <w:p w14:paraId="04F9DCF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val="0"/>
                      <w:color w:val="auto"/>
                      <w:kern w:val="2"/>
                      <w:sz w:val="21"/>
                      <w:szCs w:val="21"/>
                      <w:highlight w:val="none"/>
                      <w:lang w:val="en-US" w:eastAsia="zh-CN" w:bidi="ar-SA"/>
                    </w:rPr>
                  </w:pPr>
                  <w:r>
                    <w:rPr>
                      <w:rFonts w:hint="eastAsia" w:cs="宋体"/>
                      <w:b w:val="0"/>
                      <w:color w:val="auto"/>
                      <w:kern w:val="2"/>
                      <w:sz w:val="21"/>
                      <w:szCs w:val="21"/>
                      <w:highlight w:val="none"/>
                      <w:lang w:val="en-US" w:eastAsia="zh-CN" w:bidi="ar-SA"/>
                    </w:rPr>
                    <w:t>8</w:t>
                  </w:r>
                </w:p>
              </w:tc>
              <w:tc>
                <w:tcPr>
                  <w:tcW w:w="134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8376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val="0"/>
                      <w:color w:val="auto"/>
                      <w:sz w:val="21"/>
                      <w:szCs w:val="21"/>
                      <w:highlight w:val="none"/>
                      <w:lang w:val="en-US" w:eastAsia="zh-CN"/>
                    </w:rPr>
                  </w:pPr>
                  <w:r>
                    <w:rPr>
                      <w:rFonts w:hint="eastAsia" w:cs="宋体"/>
                      <w:b w:val="0"/>
                      <w:color w:val="auto"/>
                      <w:sz w:val="21"/>
                      <w:szCs w:val="21"/>
                      <w:highlight w:val="none"/>
                      <w:lang w:val="en-US" w:eastAsia="zh-CN"/>
                    </w:rPr>
                    <w:t>缝纫机</w:t>
                  </w:r>
                </w:p>
              </w:tc>
              <w:tc>
                <w:tcPr>
                  <w:tcW w:w="156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B829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val="0"/>
                      <w:color w:val="auto"/>
                      <w:sz w:val="21"/>
                      <w:szCs w:val="21"/>
                      <w:highlight w:val="none"/>
                    </w:rPr>
                  </w:pPr>
                  <w:r>
                    <w:rPr>
                      <w:rFonts w:hint="eastAsia" w:ascii="Times New Roman" w:hAnsi="Times New Roman" w:eastAsia="宋体" w:cs="Times New Roman"/>
                      <w:color w:val="auto"/>
                      <w:kern w:val="2"/>
                      <w:sz w:val="21"/>
                      <w:szCs w:val="21"/>
                      <w:lang w:val="en-US" w:eastAsia="zh-CN" w:bidi="ar-SA"/>
                    </w:rPr>
                    <w:t>/</w:t>
                  </w:r>
                </w:p>
              </w:tc>
              <w:tc>
                <w:tcPr>
                  <w:tcW w:w="43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8BA8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val="0"/>
                      <w:color w:val="auto"/>
                      <w:sz w:val="21"/>
                      <w:szCs w:val="21"/>
                      <w:highlight w:val="none"/>
                      <w:lang w:val="en-US" w:eastAsia="zh-CN"/>
                    </w:rPr>
                  </w:pPr>
                  <w:r>
                    <w:rPr>
                      <w:rFonts w:hint="eastAsia" w:cs="宋体"/>
                      <w:b w:val="0"/>
                      <w:color w:val="auto"/>
                      <w:sz w:val="21"/>
                      <w:szCs w:val="21"/>
                      <w:highlight w:val="none"/>
                      <w:lang w:val="en-US" w:eastAsia="zh-CN"/>
                    </w:rPr>
                    <w:t>20</w:t>
                  </w:r>
                </w:p>
              </w:tc>
              <w:tc>
                <w:tcPr>
                  <w:tcW w:w="4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7F95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val="0"/>
                      <w:color w:val="auto"/>
                      <w:sz w:val="21"/>
                      <w:szCs w:val="21"/>
                      <w:highlight w:val="none"/>
                    </w:rPr>
                  </w:pPr>
                  <w:r>
                    <w:rPr>
                      <w:rFonts w:hint="eastAsia" w:ascii="Times New Roman" w:hAnsi="Times New Roman" w:eastAsia="宋体" w:cs="宋体"/>
                      <w:b w:val="0"/>
                      <w:color w:val="auto"/>
                      <w:sz w:val="21"/>
                      <w:szCs w:val="21"/>
                      <w:highlight w:val="none"/>
                    </w:rPr>
                    <w:t>台</w:t>
                  </w:r>
                </w:p>
              </w:tc>
              <w:tc>
                <w:tcPr>
                  <w:tcW w:w="811" w:type="pct"/>
                  <w:tcBorders>
                    <w:top w:val="single" w:color="auto" w:sz="4" w:space="0"/>
                    <w:left w:val="single" w:color="auto" w:sz="4" w:space="0"/>
                    <w:bottom w:val="single" w:color="auto" w:sz="4" w:space="0"/>
                  </w:tcBorders>
                  <w:shd w:val="clear" w:color="auto" w:fill="FFFFFF"/>
                  <w:noWrap w:val="0"/>
                  <w:vAlign w:val="center"/>
                </w:tcPr>
                <w:p w14:paraId="795EA6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lang w:val="en-US" w:eastAsia="zh-CN"/>
                    </w:rPr>
                  </w:pPr>
                  <w:r>
                    <w:rPr>
                      <w:rFonts w:hint="eastAsia" w:cs="宋体"/>
                      <w:b w:val="0"/>
                      <w:color w:val="auto"/>
                      <w:kern w:val="2"/>
                      <w:sz w:val="21"/>
                      <w:szCs w:val="21"/>
                      <w:highlight w:val="none"/>
                      <w:lang w:val="en-US" w:eastAsia="zh-CN" w:bidi="ar-SA"/>
                    </w:rPr>
                    <w:t>缝纫工序</w:t>
                  </w:r>
                </w:p>
              </w:tc>
            </w:tr>
            <w:tr w14:paraId="55CAA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5000" w:type="pct"/>
                  <w:gridSpan w:val="6"/>
                  <w:tcBorders>
                    <w:top w:val="single" w:color="auto" w:sz="4" w:space="0"/>
                    <w:bottom w:val="single" w:color="auto" w:sz="4" w:space="0"/>
                  </w:tcBorders>
                  <w:shd w:val="clear" w:color="auto" w:fill="FFFFFF"/>
                  <w:noWrap w:val="0"/>
                  <w:vAlign w:val="center"/>
                </w:tcPr>
                <w:p w14:paraId="0A900A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highlight w:val="none"/>
                      <w:lang w:val="en-US" w:eastAsia="zh-CN"/>
                    </w:rPr>
                  </w:pPr>
                  <w:r>
                    <w:rPr>
                      <w:rFonts w:hint="eastAsia" w:cs="宋体"/>
                      <w:b/>
                      <w:bCs/>
                      <w:color w:val="auto"/>
                      <w:sz w:val="21"/>
                      <w:szCs w:val="21"/>
                      <w:highlight w:val="none"/>
                      <w:lang w:val="en-US" w:eastAsia="zh-CN"/>
                    </w:rPr>
                    <w:t>公用设备</w:t>
                  </w:r>
                </w:p>
              </w:tc>
            </w:tr>
            <w:tr w14:paraId="787EF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376" w:type="pct"/>
                  <w:tcBorders>
                    <w:top w:val="single" w:color="auto" w:sz="4" w:space="0"/>
                    <w:bottom w:val="single" w:color="auto" w:sz="4" w:space="0"/>
                    <w:right w:val="single" w:color="auto" w:sz="4" w:space="0"/>
                  </w:tcBorders>
                  <w:shd w:val="clear" w:color="auto" w:fill="FFFFFF"/>
                  <w:noWrap w:val="0"/>
                  <w:vAlign w:val="center"/>
                </w:tcPr>
                <w:p w14:paraId="5151525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val="0"/>
                      <w:color w:val="auto"/>
                      <w:sz w:val="21"/>
                      <w:szCs w:val="21"/>
                      <w:highlight w:val="none"/>
                      <w:lang w:val="en-US" w:eastAsia="zh-CN"/>
                    </w:rPr>
                  </w:pPr>
                  <w:r>
                    <w:rPr>
                      <w:rFonts w:hint="eastAsia" w:cs="宋体"/>
                      <w:b w:val="0"/>
                      <w:color w:val="auto"/>
                      <w:sz w:val="21"/>
                      <w:szCs w:val="21"/>
                      <w:highlight w:val="none"/>
                      <w:lang w:val="en-US" w:eastAsia="zh-CN"/>
                    </w:rPr>
                    <w:t>9</w:t>
                  </w:r>
                </w:p>
              </w:tc>
              <w:tc>
                <w:tcPr>
                  <w:tcW w:w="134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A28A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宋体"/>
                      <w:b w:val="0"/>
                      <w:color w:val="auto"/>
                      <w:sz w:val="21"/>
                      <w:szCs w:val="21"/>
                      <w:highlight w:val="none"/>
                      <w:lang w:val="en-US" w:eastAsia="zh-CN"/>
                    </w:rPr>
                  </w:pPr>
                  <w:r>
                    <w:rPr>
                      <w:rFonts w:hint="eastAsia" w:cs="宋体"/>
                      <w:b w:val="0"/>
                      <w:color w:val="auto"/>
                      <w:sz w:val="21"/>
                      <w:szCs w:val="21"/>
                      <w:highlight w:val="none"/>
                      <w:lang w:val="en-US" w:eastAsia="zh-CN"/>
                    </w:rPr>
                    <w:t>叉车</w:t>
                  </w:r>
                </w:p>
              </w:tc>
              <w:tc>
                <w:tcPr>
                  <w:tcW w:w="156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94F8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宋体"/>
                      <w:b w:val="0"/>
                      <w:color w:val="auto"/>
                      <w:sz w:val="21"/>
                      <w:szCs w:val="21"/>
                      <w:highlight w:val="none"/>
                    </w:rPr>
                  </w:pPr>
                  <w:r>
                    <w:rPr>
                      <w:rFonts w:hint="eastAsia" w:ascii="Times New Roman" w:hAnsi="Times New Roman" w:eastAsia="宋体" w:cs="Times New Roman"/>
                      <w:color w:val="auto"/>
                      <w:kern w:val="2"/>
                      <w:sz w:val="21"/>
                      <w:szCs w:val="21"/>
                      <w:lang w:val="en-US" w:eastAsia="zh-CN" w:bidi="ar-SA"/>
                    </w:rPr>
                    <w:t>/</w:t>
                  </w:r>
                </w:p>
              </w:tc>
              <w:tc>
                <w:tcPr>
                  <w:tcW w:w="43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D9DD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val="0"/>
                      <w:color w:val="auto"/>
                      <w:sz w:val="21"/>
                      <w:szCs w:val="21"/>
                      <w:highlight w:val="none"/>
                      <w:lang w:val="en-US" w:eastAsia="zh-CN"/>
                    </w:rPr>
                  </w:pPr>
                  <w:r>
                    <w:rPr>
                      <w:rFonts w:hint="eastAsia" w:cs="宋体"/>
                      <w:b w:val="0"/>
                      <w:color w:val="auto"/>
                      <w:sz w:val="21"/>
                      <w:szCs w:val="21"/>
                      <w:highlight w:val="none"/>
                      <w:lang w:val="en-US" w:eastAsia="zh-CN"/>
                    </w:rPr>
                    <w:t>4</w:t>
                  </w:r>
                </w:p>
              </w:tc>
              <w:tc>
                <w:tcPr>
                  <w:tcW w:w="4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8CE9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cs="宋体"/>
                      <w:b w:val="0"/>
                      <w:color w:val="auto"/>
                      <w:sz w:val="21"/>
                      <w:szCs w:val="21"/>
                      <w:highlight w:val="none"/>
                      <w:lang w:val="en-US" w:eastAsia="zh-CN"/>
                    </w:rPr>
                  </w:pPr>
                  <w:r>
                    <w:rPr>
                      <w:rFonts w:hint="eastAsia" w:ascii="Times New Roman" w:hAnsi="Times New Roman" w:eastAsia="宋体" w:cs="宋体"/>
                      <w:b w:val="0"/>
                      <w:color w:val="auto"/>
                      <w:sz w:val="21"/>
                      <w:szCs w:val="21"/>
                      <w:highlight w:val="none"/>
                    </w:rPr>
                    <w:t>台</w:t>
                  </w:r>
                </w:p>
              </w:tc>
              <w:tc>
                <w:tcPr>
                  <w:tcW w:w="811" w:type="pct"/>
                  <w:tcBorders>
                    <w:top w:val="single" w:color="auto" w:sz="4" w:space="0"/>
                    <w:left w:val="single" w:color="auto" w:sz="4" w:space="0"/>
                    <w:bottom w:val="single" w:color="auto" w:sz="4" w:space="0"/>
                  </w:tcBorders>
                  <w:shd w:val="clear" w:color="auto" w:fill="FFFFFF"/>
                  <w:noWrap w:val="0"/>
                  <w:vAlign w:val="center"/>
                </w:tcPr>
                <w:p w14:paraId="62EDB6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val="0"/>
                      <w:color w:val="auto"/>
                      <w:sz w:val="21"/>
                      <w:szCs w:val="21"/>
                      <w:highlight w:val="none"/>
                      <w:lang w:val="en-US" w:eastAsia="zh-CN"/>
                    </w:rPr>
                  </w:pPr>
                  <w:r>
                    <w:rPr>
                      <w:rFonts w:hint="eastAsia" w:cs="Times New Roman"/>
                      <w:b w:val="0"/>
                      <w:color w:val="auto"/>
                      <w:kern w:val="2"/>
                      <w:sz w:val="21"/>
                      <w:szCs w:val="21"/>
                      <w:highlight w:val="none"/>
                      <w:lang w:val="en-US" w:eastAsia="zh-CN" w:bidi="ar-SA"/>
                    </w:rPr>
                    <w:t>辅助设备</w:t>
                  </w:r>
                </w:p>
              </w:tc>
            </w:tr>
            <w:tr w14:paraId="70FE2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376" w:type="pct"/>
                  <w:tcBorders>
                    <w:top w:val="single" w:color="auto" w:sz="4" w:space="0"/>
                    <w:bottom w:val="single" w:color="auto" w:sz="4" w:space="0"/>
                    <w:right w:val="single" w:color="auto" w:sz="4" w:space="0"/>
                  </w:tcBorders>
                  <w:shd w:val="clear" w:color="auto" w:fill="FFFFFF"/>
                  <w:noWrap w:val="0"/>
                  <w:vAlign w:val="center"/>
                </w:tcPr>
                <w:p w14:paraId="582228F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val="0"/>
                      <w:color w:val="auto"/>
                      <w:kern w:val="2"/>
                      <w:sz w:val="21"/>
                      <w:szCs w:val="21"/>
                      <w:highlight w:val="none"/>
                      <w:lang w:val="en-US" w:eastAsia="zh-CN" w:bidi="ar-SA"/>
                    </w:rPr>
                  </w:pPr>
                  <w:r>
                    <w:rPr>
                      <w:rFonts w:hint="eastAsia" w:cs="宋体"/>
                      <w:b w:val="0"/>
                      <w:color w:val="auto"/>
                      <w:kern w:val="2"/>
                      <w:sz w:val="21"/>
                      <w:szCs w:val="21"/>
                      <w:highlight w:val="none"/>
                      <w:lang w:val="en-US" w:eastAsia="zh-CN" w:bidi="ar-SA"/>
                    </w:rPr>
                    <w:t>10</w:t>
                  </w:r>
                </w:p>
              </w:tc>
              <w:tc>
                <w:tcPr>
                  <w:tcW w:w="134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5981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仿宋"/>
                      <w:color w:val="auto"/>
                      <w:kern w:val="2"/>
                      <w:sz w:val="21"/>
                      <w:szCs w:val="21"/>
                      <w:highlight w:val="none"/>
                      <w:lang w:val="en-US" w:eastAsia="zh-CN" w:bidi="ar-SA"/>
                    </w:rPr>
                  </w:pPr>
                  <w:r>
                    <w:rPr>
                      <w:rFonts w:hint="eastAsia" w:cs="宋体"/>
                      <w:b w:val="0"/>
                      <w:color w:val="auto"/>
                      <w:sz w:val="21"/>
                      <w:szCs w:val="21"/>
                      <w:highlight w:val="none"/>
                      <w:lang w:val="en-US" w:eastAsia="zh-CN"/>
                    </w:rPr>
                    <w:t>空压机</w:t>
                  </w:r>
                </w:p>
              </w:tc>
              <w:tc>
                <w:tcPr>
                  <w:tcW w:w="156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5B990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仿宋"/>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43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9C76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val="0"/>
                      <w:color w:val="auto"/>
                      <w:sz w:val="21"/>
                      <w:szCs w:val="21"/>
                      <w:highlight w:val="none"/>
                      <w:lang w:val="en-US" w:eastAsia="zh-CN"/>
                    </w:rPr>
                  </w:pPr>
                  <w:r>
                    <w:rPr>
                      <w:rFonts w:hint="eastAsia" w:cs="宋体"/>
                      <w:b w:val="0"/>
                      <w:color w:val="auto"/>
                      <w:sz w:val="21"/>
                      <w:szCs w:val="21"/>
                      <w:highlight w:val="none"/>
                      <w:lang w:val="en-US" w:eastAsia="zh-CN"/>
                    </w:rPr>
                    <w:t>5</w:t>
                  </w:r>
                </w:p>
              </w:tc>
              <w:tc>
                <w:tcPr>
                  <w:tcW w:w="4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F93B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val="0"/>
                      <w:color w:val="auto"/>
                      <w:sz w:val="21"/>
                      <w:szCs w:val="21"/>
                      <w:highlight w:val="none"/>
                      <w:lang w:val="en-US" w:eastAsia="zh-CN"/>
                    </w:rPr>
                  </w:pPr>
                  <w:r>
                    <w:rPr>
                      <w:rFonts w:hint="eastAsia" w:ascii="Times New Roman" w:hAnsi="Times New Roman" w:eastAsia="宋体" w:cs="宋体"/>
                      <w:b w:val="0"/>
                      <w:color w:val="auto"/>
                      <w:sz w:val="21"/>
                      <w:szCs w:val="21"/>
                      <w:highlight w:val="none"/>
                    </w:rPr>
                    <w:t>台</w:t>
                  </w:r>
                </w:p>
              </w:tc>
              <w:tc>
                <w:tcPr>
                  <w:tcW w:w="811" w:type="pct"/>
                  <w:tcBorders>
                    <w:top w:val="single" w:color="auto" w:sz="4" w:space="0"/>
                    <w:left w:val="single" w:color="auto" w:sz="4" w:space="0"/>
                    <w:bottom w:val="single" w:color="auto" w:sz="4" w:space="0"/>
                  </w:tcBorders>
                  <w:shd w:val="clear" w:color="auto" w:fill="FFFFFF"/>
                  <w:noWrap w:val="0"/>
                  <w:vAlign w:val="center"/>
                </w:tcPr>
                <w:p w14:paraId="0EF46C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宋体"/>
                      <w:b w:val="0"/>
                      <w:color w:val="auto"/>
                      <w:sz w:val="21"/>
                      <w:szCs w:val="21"/>
                      <w:highlight w:val="none"/>
                      <w:lang w:val="en-US" w:eastAsia="zh-CN"/>
                    </w:rPr>
                  </w:pPr>
                  <w:r>
                    <w:rPr>
                      <w:rFonts w:hint="eastAsia" w:cs="Times New Roman"/>
                      <w:b w:val="0"/>
                      <w:color w:val="auto"/>
                      <w:kern w:val="2"/>
                      <w:sz w:val="21"/>
                      <w:szCs w:val="21"/>
                      <w:highlight w:val="none"/>
                      <w:lang w:val="en-US" w:eastAsia="zh-CN" w:bidi="ar-SA"/>
                    </w:rPr>
                    <w:t>辅助设备</w:t>
                  </w:r>
                </w:p>
              </w:tc>
            </w:tr>
            <w:tr w14:paraId="2069D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376" w:type="pct"/>
                  <w:tcBorders>
                    <w:top w:val="single" w:color="auto" w:sz="4" w:space="0"/>
                    <w:bottom w:val="single" w:color="auto" w:sz="12" w:space="0"/>
                    <w:right w:val="single" w:color="auto" w:sz="4" w:space="0"/>
                  </w:tcBorders>
                  <w:shd w:val="clear" w:color="auto" w:fill="FFFFFF"/>
                  <w:noWrap w:val="0"/>
                  <w:vAlign w:val="center"/>
                </w:tcPr>
                <w:p w14:paraId="545E6B1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val="0"/>
                      <w:color w:val="auto"/>
                      <w:kern w:val="2"/>
                      <w:sz w:val="21"/>
                      <w:szCs w:val="21"/>
                      <w:highlight w:val="none"/>
                      <w:lang w:val="en-US" w:eastAsia="zh-CN" w:bidi="ar-SA"/>
                    </w:rPr>
                  </w:pPr>
                  <w:r>
                    <w:rPr>
                      <w:rFonts w:hint="eastAsia" w:cs="宋体"/>
                      <w:b w:val="0"/>
                      <w:color w:val="auto"/>
                      <w:kern w:val="2"/>
                      <w:sz w:val="21"/>
                      <w:szCs w:val="21"/>
                      <w:highlight w:val="none"/>
                      <w:lang w:val="en-US" w:eastAsia="zh-CN" w:bidi="ar-SA"/>
                    </w:rPr>
                    <w:t>11</w:t>
                  </w:r>
                </w:p>
              </w:tc>
              <w:tc>
                <w:tcPr>
                  <w:tcW w:w="1344" w:type="pct"/>
                  <w:tcBorders>
                    <w:top w:val="single" w:color="auto" w:sz="4" w:space="0"/>
                    <w:left w:val="single" w:color="auto" w:sz="4" w:space="0"/>
                    <w:bottom w:val="single" w:color="auto" w:sz="12" w:space="0"/>
                    <w:right w:val="single" w:color="auto" w:sz="4" w:space="0"/>
                  </w:tcBorders>
                  <w:shd w:val="clear" w:color="auto" w:fill="auto"/>
                  <w:noWrap w:val="0"/>
                  <w:vAlign w:val="center"/>
                </w:tcPr>
                <w:p w14:paraId="598D70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仿宋"/>
                      <w:color w:val="auto"/>
                      <w:sz w:val="21"/>
                      <w:szCs w:val="21"/>
                      <w:highlight w:val="none"/>
                      <w:lang w:val="en-US" w:eastAsia="zh-CN"/>
                    </w:rPr>
                  </w:pPr>
                  <w:r>
                    <w:rPr>
                      <w:rFonts w:hint="eastAsia" w:cs="仿宋"/>
                      <w:color w:val="auto"/>
                      <w:sz w:val="21"/>
                      <w:szCs w:val="21"/>
                      <w:highlight w:val="none"/>
                      <w:lang w:val="en-US" w:eastAsia="zh-CN"/>
                    </w:rPr>
                    <w:t>风机</w:t>
                  </w:r>
                </w:p>
              </w:tc>
              <w:tc>
                <w:tcPr>
                  <w:tcW w:w="1561" w:type="pct"/>
                  <w:tcBorders>
                    <w:top w:val="single" w:color="auto" w:sz="4" w:space="0"/>
                    <w:left w:val="single" w:color="auto" w:sz="4" w:space="0"/>
                    <w:bottom w:val="single" w:color="auto" w:sz="12" w:space="0"/>
                    <w:right w:val="single" w:color="auto" w:sz="4" w:space="0"/>
                  </w:tcBorders>
                  <w:shd w:val="clear" w:color="auto" w:fill="auto"/>
                  <w:noWrap w:val="0"/>
                  <w:vAlign w:val="center"/>
                </w:tcPr>
                <w:p w14:paraId="08B75D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仿宋"/>
                      <w:color w:val="auto"/>
                      <w:sz w:val="21"/>
                      <w:szCs w:val="21"/>
                      <w:highlight w:val="none"/>
                    </w:rPr>
                  </w:pPr>
                  <w:r>
                    <w:rPr>
                      <w:rFonts w:hint="eastAsia" w:ascii="Times New Roman" w:hAnsi="Times New Roman" w:eastAsia="宋体" w:cs="Times New Roman"/>
                      <w:color w:val="auto"/>
                      <w:kern w:val="2"/>
                      <w:sz w:val="21"/>
                      <w:szCs w:val="21"/>
                      <w:lang w:val="en-US" w:eastAsia="zh-CN" w:bidi="ar-SA"/>
                    </w:rPr>
                    <w:t>/</w:t>
                  </w:r>
                </w:p>
              </w:tc>
              <w:tc>
                <w:tcPr>
                  <w:tcW w:w="439" w:type="pct"/>
                  <w:tcBorders>
                    <w:top w:val="single" w:color="auto" w:sz="4" w:space="0"/>
                    <w:left w:val="single" w:color="auto" w:sz="4" w:space="0"/>
                    <w:bottom w:val="single" w:color="auto" w:sz="12" w:space="0"/>
                    <w:right w:val="single" w:color="auto" w:sz="4" w:space="0"/>
                  </w:tcBorders>
                  <w:shd w:val="clear" w:color="auto" w:fill="FFFFFF"/>
                  <w:noWrap w:val="0"/>
                  <w:vAlign w:val="center"/>
                </w:tcPr>
                <w:p w14:paraId="068777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val="0"/>
                      <w:color w:val="auto"/>
                      <w:sz w:val="21"/>
                      <w:szCs w:val="21"/>
                      <w:highlight w:val="none"/>
                      <w:lang w:val="en-US" w:eastAsia="zh-CN"/>
                    </w:rPr>
                  </w:pPr>
                  <w:r>
                    <w:rPr>
                      <w:rFonts w:hint="eastAsia" w:cs="宋体"/>
                      <w:b w:val="0"/>
                      <w:color w:val="auto"/>
                      <w:sz w:val="21"/>
                      <w:szCs w:val="21"/>
                      <w:highlight w:val="none"/>
                      <w:lang w:val="en-US" w:eastAsia="zh-CN"/>
                    </w:rPr>
                    <w:t>1</w:t>
                  </w:r>
                </w:p>
              </w:tc>
              <w:tc>
                <w:tcPr>
                  <w:tcW w:w="467" w:type="pct"/>
                  <w:tcBorders>
                    <w:top w:val="single" w:color="auto" w:sz="4" w:space="0"/>
                    <w:left w:val="single" w:color="auto" w:sz="4" w:space="0"/>
                    <w:bottom w:val="single" w:color="auto" w:sz="12" w:space="0"/>
                    <w:right w:val="single" w:color="auto" w:sz="4" w:space="0"/>
                  </w:tcBorders>
                  <w:shd w:val="clear" w:color="auto" w:fill="FFFFFF"/>
                  <w:noWrap w:val="0"/>
                  <w:vAlign w:val="center"/>
                </w:tcPr>
                <w:p w14:paraId="659006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宋体"/>
                      <w:b w:val="0"/>
                      <w:color w:val="auto"/>
                      <w:sz w:val="21"/>
                      <w:szCs w:val="21"/>
                      <w:highlight w:val="none"/>
                      <w:lang w:val="en-US" w:eastAsia="zh-CN"/>
                    </w:rPr>
                  </w:pPr>
                  <w:r>
                    <w:rPr>
                      <w:rFonts w:hint="eastAsia" w:cs="宋体"/>
                      <w:b w:val="0"/>
                      <w:color w:val="auto"/>
                      <w:sz w:val="21"/>
                      <w:szCs w:val="21"/>
                      <w:highlight w:val="none"/>
                      <w:lang w:val="en-US" w:eastAsia="zh-CN"/>
                    </w:rPr>
                    <w:t>台</w:t>
                  </w:r>
                </w:p>
              </w:tc>
              <w:tc>
                <w:tcPr>
                  <w:tcW w:w="811" w:type="pct"/>
                  <w:tcBorders>
                    <w:top w:val="single" w:color="auto" w:sz="4" w:space="0"/>
                    <w:left w:val="single" w:color="auto" w:sz="4" w:space="0"/>
                    <w:bottom w:val="single" w:color="auto" w:sz="12" w:space="0"/>
                  </w:tcBorders>
                  <w:shd w:val="clear" w:color="auto" w:fill="FFFFFF"/>
                  <w:noWrap w:val="0"/>
                  <w:vAlign w:val="center"/>
                </w:tcPr>
                <w:p w14:paraId="1074F2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环保设备</w:t>
                  </w:r>
                </w:p>
              </w:tc>
            </w:tr>
          </w:tbl>
          <w:p w14:paraId="6259C6E5">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Style w:val="29"/>
                <w:rFonts w:hint="default" w:ascii="Times New Roman" w:hAnsi="Times New Roman" w:eastAsia="宋体" w:cs="宋体"/>
                <w:color w:val="auto"/>
                <w:sz w:val="24"/>
                <w:szCs w:val="24"/>
                <w:highlight w:val="none"/>
              </w:rPr>
            </w:pPr>
            <w:r>
              <w:rPr>
                <w:rStyle w:val="29"/>
                <w:rFonts w:hint="default" w:ascii="Times New Roman" w:hAnsi="Times New Roman" w:eastAsia="宋体" w:cs="宋体"/>
                <w:color w:val="auto"/>
                <w:sz w:val="24"/>
                <w:szCs w:val="24"/>
                <w:highlight w:val="none"/>
              </w:rPr>
              <w:t>产能匹配性分析：</w:t>
            </w:r>
          </w:p>
          <w:p w14:paraId="23053445">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Style w:val="29"/>
                <w:rFonts w:hint="default" w:ascii="Times New Roman" w:hAnsi="Times New Roman" w:eastAsia="宋体" w:cs="宋体"/>
                <w:color w:val="auto"/>
                <w:sz w:val="24"/>
                <w:szCs w:val="24"/>
                <w:highlight w:val="none"/>
              </w:rPr>
            </w:pPr>
            <w:r>
              <w:rPr>
                <w:rFonts w:hint="eastAsia"/>
                <w:spacing w:val="-1"/>
                <w:lang w:eastAsia="zh-CN"/>
              </w:rPr>
              <w:t>根据</w:t>
            </w:r>
            <w:r>
              <w:rPr>
                <w:rFonts w:hint="default"/>
                <w:spacing w:val="-1"/>
              </w:rPr>
              <w:t>本项目生产工艺分析，项目产能限制因素为织造工序，本项目为喷水织造工艺（使用电子多臂喷水织机进行生产）。本项目产能匹配性分析详见下表。</w:t>
            </w:r>
          </w:p>
          <w:p w14:paraId="455A5717">
            <w:pPr>
              <w:pStyle w:val="36"/>
              <w:keepNext w:val="0"/>
              <w:keepLines w:val="0"/>
              <w:suppressLineNumbers w:val="0"/>
              <w:bidi w:val="0"/>
              <w:spacing w:before="0" w:beforeAutospacing="0" w:after="0" w:afterAutospacing="0"/>
              <w:ind w:left="0" w:right="0"/>
              <w:jc w:val="center"/>
              <w:rPr>
                <w:rFonts w:hint="eastAsia"/>
                <w:color w:val="auto"/>
                <w:highlight w:val="none"/>
                <w:lang w:val="en-US" w:eastAsia="zh-CN"/>
              </w:rPr>
            </w:pPr>
            <w:r>
              <w:rPr>
                <w:rFonts w:hint="eastAsia" w:cs="Times New Roman"/>
                <w:color w:val="auto"/>
                <w:highlight w:val="none"/>
                <w:lang w:val="en-US" w:eastAsia="zh-CN"/>
              </w:rPr>
              <w:t>表2-6设备</w:t>
            </w:r>
            <w:r>
              <w:rPr>
                <w:rFonts w:hint="eastAsia"/>
                <w:color w:val="auto"/>
                <w:highlight w:val="none"/>
                <w:lang w:val="en-US" w:eastAsia="zh-CN"/>
              </w:rPr>
              <w:t>产能匹配一览表</w:t>
            </w:r>
          </w:p>
          <w:tbl>
            <w:tblPr>
              <w:tblStyle w:val="2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1082"/>
              <w:gridCol w:w="1604"/>
              <w:gridCol w:w="1693"/>
              <w:gridCol w:w="1602"/>
              <w:gridCol w:w="1615"/>
            </w:tblGrid>
            <w:tr w14:paraId="6D94A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pct"/>
                  <w:tcBorders>
                    <w:tl2br w:val="nil"/>
                    <w:tr2bl w:val="nil"/>
                  </w:tcBorders>
                  <w:vAlign w:val="center"/>
                </w:tcPr>
                <w:p w14:paraId="4F1F6E86">
                  <w:pPr>
                    <w:pStyle w:val="38"/>
                    <w:keepNext w:val="0"/>
                    <w:keepLines w:val="0"/>
                    <w:suppressLineNumbers w:val="0"/>
                    <w:bidi w:val="0"/>
                    <w:spacing w:before="0" w:beforeAutospacing="0" w:after="0" w:afterAutospacing="0"/>
                    <w:ind w:left="0" w:right="0"/>
                    <w:jc w:val="center"/>
                    <w:rPr>
                      <w:rFonts w:hint="eastAsia"/>
                      <w:b/>
                      <w:bCs/>
                      <w:color w:val="auto"/>
                      <w:highlight w:val="none"/>
                      <w:lang w:val="en-US" w:eastAsia="zh-CN"/>
                    </w:rPr>
                  </w:pPr>
                  <w:r>
                    <w:rPr>
                      <w:rFonts w:hint="eastAsia"/>
                      <w:b/>
                      <w:bCs/>
                      <w:color w:val="auto"/>
                      <w:highlight w:val="none"/>
                      <w:lang w:val="en-US" w:eastAsia="zh-CN"/>
                    </w:rPr>
                    <w:t>设备名称</w:t>
                  </w:r>
                </w:p>
              </w:tc>
              <w:tc>
                <w:tcPr>
                  <w:tcW w:w="583" w:type="pct"/>
                  <w:tcBorders>
                    <w:tl2br w:val="nil"/>
                    <w:tr2bl w:val="nil"/>
                  </w:tcBorders>
                  <w:vAlign w:val="center"/>
                </w:tcPr>
                <w:p w14:paraId="666E7D32">
                  <w:pPr>
                    <w:pStyle w:val="38"/>
                    <w:keepNext w:val="0"/>
                    <w:keepLines w:val="0"/>
                    <w:suppressLineNumbers w:val="0"/>
                    <w:bidi w:val="0"/>
                    <w:spacing w:before="0" w:beforeAutospacing="0" w:after="0" w:afterAutospacing="0"/>
                    <w:ind w:left="0" w:right="0"/>
                    <w:jc w:val="center"/>
                    <w:rPr>
                      <w:rFonts w:hint="default"/>
                      <w:b/>
                      <w:bCs/>
                      <w:color w:val="auto"/>
                      <w:highlight w:val="none"/>
                      <w:lang w:val="en-US" w:eastAsia="zh-CN"/>
                    </w:rPr>
                  </w:pPr>
                  <w:r>
                    <w:rPr>
                      <w:rFonts w:hint="eastAsia"/>
                      <w:b/>
                      <w:bCs/>
                      <w:color w:val="auto"/>
                      <w:highlight w:val="none"/>
                      <w:lang w:val="en-US" w:eastAsia="zh-CN"/>
                    </w:rPr>
                    <w:t>数量</w:t>
                  </w:r>
                </w:p>
              </w:tc>
              <w:tc>
                <w:tcPr>
                  <w:tcW w:w="864" w:type="pct"/>
                  <w:tcBorders>
                    <w:tl2br w:val="nil"/>
                    <w:tr2bl w:val="nil"/>
                  </w:tcBorders>
                  <w:vAlign w:val="center"/>
                </w:tcPr>
                <w:p w14:paraId="5F07FE08">
                  <w:pPr>
                    <w:pStyle w:val="38"/>
                    <w:keepNext w:val="0"/>
                    <w:keepLines w:val="0"/>
                    <w:suppressLineNumbers w:val="0"/>
                    <w:bidi w:val="0"/>
                    <w:spacing w:before="0" w:beforeAutospacing="0" w:after="0" w:afterAutospacing="0"/>
                    <w:ind w:left="0" w:right="0"/>
                    <w:jc w:val="center"/>
                    <w:rPr>
                      <w:rFonts w:hint="default"/>
                      <w:b/>
                      <w:bCs/>
                      <w:color w:val="auto"/>
                      <w:highlight w:val="none"/>
                      <w:lang w:val="en-US" w:eastAsia="zh-CN"/>
                    </w:rPr>
                  </w:pPr>
                  <w:r>
                    <w:rPr>
                      <w:rFonts w:hint="eastAsia"/>
                      <w:b/>
                      <w:bCs/>
                      <w:color w:val="auto"/>
                      <w:highlight w:val="none"/>
                      <w:lang w:val="en-US" w:eastAsia="zh-CN"/>
                    </w:rPr>
                    <w:t>单台设备工作能力（m/h）</w:t>
                  </w:r>
                </w:p>
              </w:tc>
              <w:tc>
                <w:tcPr>
                  <w:tcW w:w="912" w:type="pct"/>
                  <w:tcBorders>
                    <w:tl2br w:val="nil"/>
                    <w:tr2bl w:val="nil"/>
                  </w:tcBorders>
                  <w:vAlign w:val="center"/>
                </w:tcPr>
                <w:p w14:paraId="28D2346B">
                  <w:pPr>
                    <w:pStyle w:val="38"/>
                    <w:keepNext w:val="0"/>
                    <w:keepLines w:val="0"/>
                    <w:suppressLineNumbers w:val="0"/>
                    <w:bidi w:val="0"/>
                    <w:spacing w:before="0" w:beforeAutospacing="0" w:after="0" w:afterAutospacing="0"/>
                    <w:ind w:left="0" w:right="0"/>
                    <w:jc w:val="center"/>
                    <w:rPr>
                      <w:rFonts w:hint="default"/>
                      <w:b/>
                      <w:bCs/>
                      <w:color w:val="auto"/>
                      <w:highlight w:val="none"/>
                      <w:lang w:val="en-US" w:eastAsia="zh-CN"/>
                    </w:rPr>
                  </w:pPr>
                  <w:r>
                    <w:rPr>
                      <w:rFonts w:hint="eastAsia"/>
                      <w:b/>
                      <w:bCs/>
                      <w:color w:val="auto"/>
                      <w:highlight w:val="none"/>
                      <w:lang w:val="en-US" w:eastAsia="zh-CN"/>
                    </w:rPr>
                    <w:t>年工作时长（h/a）</w:t>
                  </w:r>
                </w:p>
              </w:tc>
              <w:tc>
                <w:tcPr>
                  <w:tcW w:w="863" w:type="pct"/>
                  <w:tcBorders>
                    <w:tl2br w:val="nil"/>
                    <w:tr2bl w:val="nil"/>
                  </w:tcBorders>
                  <w:vAlign w:val="center"/>
                </w:tcPr>
                <w:p w14:paraId="4F656083">
                  <w:pPr>
                    <w:pStyle w:val="38"/>
                    <w:keepNext w:val="0"/>
                    <w:keepLines w:val="0"/>
                    <w:suppressLineNumbers w:val="0"/>
                    <w:bidi w:val="0"/>
                    <w:spacing w:before="0" w:beforeAutospacing="0" w:after="0" w:afterAutospacing="0"/>
                    <w:ind w:left="0" w:right="0"/>
                    <w:jc w:val="center"/>
                    <w:rPr>
                      <w:rFonts w:hint="default"/>
                      <w:b/>
                      <w:bCs/>
                      <w:color w:val="auto"/>
                      <w:highlight w:val="none"/>
                      <w:lang w:val="en-US" w:eastAsia="zh-CN"/>
                    </w:rPr>
                  </w:pPr>
                  <w:r>
                    <w:rPr>
                      <w:rFonts w:hint="eastAsia"/>
                      <w:b/>
                      <w:bCs/>
                      <w:color w:val="auto"/>
                      <w:highlight w:val="none"/>
                      <w:lang w:val="en-US" w:eastAsia="zh-CN"/>
                    </w:rPr>
                    <w:t>可达产能（万米）</w:t>
                  </w:r>
                </w:p>
              </w:tc>
              <w:tc>
                <w:tcPr>
                  <w:tcW w:w="870" w:type="pct"/>
                  <w:tcBorders>
                    <w:tl2br w:val="nil"/>
                    <w:tr2bl w:val="nil"/>
                  </w:tcBorders>
                  <w:vAlign w:val="center"/>
                </w:tcPr>
                <w:p w14:paraId="17DF9878">
                  <w:pPr>
                    <w:pStyle w:val="38"/>
                    <w:keepNext w:val="0"/>
                    <w:keepLines w:val="0"/>
                    <w:suppressLineNumbers w:val="0"/>
                    <w:bidi w:val="0"/>
                    <w:spacing w:before="0" w:beforeAutospacing="0" w:after="0" w:afterAutospacing="0"/>
                    <w:ind w:left="0" w:right="0"/>
                    <w:jc w:val="center"/>
                    <w:rPr>
                      <w:rFonts w:hint="default"/>
                      <w:b/>
                      <w:bCs/>
                      <w:color w:val="auto"/>
                      <w:highlight w:val="none"/>
                      <w:lang w:val="en-US" w:eastAsia="zh-CN"/>
                    </w:rPr>
                  </w:pPr>
                  <w:r>
                    <w:rPr>
                      <w:rFonts w:hint="eastAsia"/>
                      <w:b/>
                      <w:bCs/>
                      <w:color w:val="auto"/>
                      <w:highlight w:val="none"/>
                      <w:lang w:val="en-US" w:eastAsia="zh-CN"/>
                    </w:rPr>
                    <w:t>环评设计产能（</w:t>
                  </w:r>
                  <w:r>
                    <w:rPr>
                      <w:rFonts w:hint="eastAsia" w:ascii="Times New Roman" w:eastAsia="宋体"/>
                      <w:b/>
                      <w:bCs/>
                      <w:color w:val="auto"/>
                      <w:highlight w:val="none"/>
                      <w:lang w:val="en-US" w:eastAsia="zh-CN"/>
                    </w:rPr>
                    <w:t>万米</w:t>
                  </w:r>
                  <w:r>
                    <w:rPr>
                      <w:rFonts w:hint="eastAsia"/>
                      <w:b/>
                      <w:bCs/>
                      <w:color w:val="auto"/>
                      <w:highlight w:val="none"/>
                      <w:lang w:val="en-US" w:eastAsia="zh-CN"/>
                    </w:rPr>
                    <w:t>）</w:t>
                  </w:r>
                </w:p>
              </w:tc>
            </w:tr>
            <w:tr w14:paraId="1608B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pct"/>
                  <w:tcBorders>
                    <w:tl2br w:val="nil"/>
                    <w:tr2bl w:val="nil"/>
                  </w:tcBorders>
                  <w:vAlign w:val="center"/>
                </w:tcPr>
                <w:p w14:paraId="00C5BCFC">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宋体"/>
                      <w:b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电子喷水多臂织机</w:t>
                  </w:r>
                </w:p>
              </w:tc>
              <w:tc>
                <w:tcPr>
                  <w:tcW w:w="583" w:type="pct"/>
                  <w:tcBorders>
                    <w:tl2br w:val="nil"/>
                    <w:tr2bl w:val="nil"/>
                  </w:tcBorders>
                  <w:vAlign w:val="center"/>
                </w:tcPr>
                <w:p w14:paraId="1483B6D6">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宋体"/>
                      <w:b w:val="0"/>
                      <w:color w:val="auto"/>
                      <w:sz w:val="21"/>
                      <w:szCs w:val="21"/>
                      <w:highlight w:val="none"/>
                      <w:lang w:val="en-US" w:eastAsia="zh-CN"/>
                    </w:rPr>
                  </w:pPr>
                  <w:r>
                    <w:rPr>
                      <w:rFonts w:hint="eastAsia" w:cs="宋体"/>
                      <w:b w:val="0"/>
                      <w:color w:val="auto"/>
                      <w:sz w:val="21"/>
                      <w:szCs w:val="21"/>
                      <w:highlight w:val="none"/>
                      <w:lang w:val="en-US" w:eastAsia="zh-CN"/>
                    </w:rPr>
                    <w:t>800</w:t>
                  </w:r>
                </w:p>
              </w:tc>
              <w:tc>
                <w:tcPr>
                  <w:tcW w:w="864" w:type="pct"/>
                  <w:tcBorders>
                    <w:tl2br w:val="nil"/>
                    <w:tr2bl w:val="nil"/>
                  </w:tcBorders>
                  <w:vAlign w:val="center"/>
                </w:tcPr>
                <w:p w14:paraId="10D36A55">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宋体"/>
                      <w:b w:val="0"/>
                      <w:color w:val="auto"/>
                      <w:sz w:val="21"/>
                      <w:szCs w:val="21"/>
                      <w:highlight w:val="none"/>
                      <w:lang w:val="en-US" w:eastAsia="zh-CN"/>
                    </w:rPr>
                  </w:pPr>
                  <w:r>
                    <w:rPr>
                      <w:rFonts w:hint="eastAsia" w:cs="宋体"/>
                      <w:b w:val="0"/>
                      <w:color w:val="auto"/>
                      <w:sz w:val="21"/>
                      <w:szCs w:val="21"/>
                      <w:highlight w:val="none"/>
                      <w:lang w:val="en-US" w:eastAsia="zh-CN"/>
                    </w:rPr>
                    <w:t>16</w:t>
                  </w:r>
                </w:p>
              </w:tc>
              <w:tc>
                <w:tcPr>
                  <w:tcW w:w="912" w:type="pct"/>
                  <w:tcBorders>
                    <w:tl2br w:val="nil"/>
                    <w:tr2bl w:val="nil"/>
                  </w:tcBorders>
                  <w:vAlign w:val="center"/>
                </w:tcPr>
                <w:p w14:paraId="3D829DE1">
                  <w:pPr>
                    <w:pStyle w:val="38"/>
                    <w:keepNext w:val="0"/>
                    <w:keepLines w:val="0"/>
                    <w:suppressLineNumbers w:val="0"/>
                    <w:bidi w:val="0"/>
                    <w:spacing w:before="0" w:beforeAutospacing="0" w:after="0" w:afterAutospacing="0"/>
                    <w:ind w:left="0" w:right="0"/>
                    <w:jc w:val="center"/>
                    <w:rPr>
                      <w:rFonts w:hint="default"/>
                      <w:b w:val="0"/>
                      <w:bCs/>
                      <w:color w:val="auto"/>
                      <w:highlight w:val="none"/>
                      <w:lang w:val="en-US" w:eastAsia="zh-CN"/>
                    </w:rPr>
                  </w:pPr>
                  <w:r>
                    <w:rPr>
                      <w:rFonts w:hint="eastAsia"/>
                      <w:b w:val="0"/>
                      <w:bCs/>
                      <w:color w:val="auto"/>
                      <w:highlight w:val="none"/>
                      <w:lang w:val="en-US" w:eastAsia="zh-CN"/>
                    </w:rPr>
                    <w:t>7200</w:t>
                  </w:r>
                </w:p>
              </w:tc>
              <w:tc>
                <w:tcPr>
                  <w:tcW w:w="863" w:type="pct"/>
                  <w:tcBorders>
                    <w:tl2br w:val="nil"/>
                    <w:tr2bl w:val="nil"/>
                  </w:tcBorders>
                  <w:vAlign w:val="center"/>
                </w:tcPr>
                <w:p w14:paraId="2B75D45D">
                  <w:pPr>
                    <w:pStyle w:val="38"/>
                    <w:keepNext w:val="0"/>
                    <w:keepLines w:val="0"/>
                    <w:suppressLineNumbers w:val="0"/>
                    <w:bidi w:val="0"/>
                    <w:spacing w:before="0" w:beforeAutospacing="0" w:after="0" w:afterAutospacing="0"/>
                    <w:ind w:left="0" w:right="0"/>
                    <w:jc w:val="center"/>
                    <w:rPr>
                      <w:rFonts w:hint="default"/>
                      <w:b w:val="0"/>
                      <w:bCs/>
                      <w:color w:val="auto"/>
                      <w:highlight w:val="none"/>
                      <w:lang w:val="en-US" w:eastAsia="zh-CN"/>
                    </w:rPr>
                  </w:pPr>
                  <w:r>
                    <w:rPr>
                      <w:rFonts w:hint="eastAsia"/>
                      <w:b w:val="0"/>
                      <w:bCs/>
                      <w:color w:val="auto"/>
                      <w:highlight w:val="none"/>
                      <w:lang w:val="en-US" w:eastAsia="zh-CN"/>
                    </w:rPr>
                    <w:t>9216</w:t>
                  </w:r>
                </w:p>
              </w:tc>
              <w:tc>
                <w:tcPr>
                  <w:tcW w:w="870" w:type="pct"/>
                  <w:tcBorders>
                    <w:tl2br w:val="nil"/>
                    <w:tr2bl w:val="nil"/>
                  </w:tcBorders>
                  <w:vAlign w:val="center"/>
                </w:tcPr>
                <w:p w14:paraId="39E730BF">
                  <w:pPr>
                    <w:pStyle w:val="38"/>
                    <w:keepNext w:val="0"/>
                    <w:keepLines w:val="0"/>
                    <w:suppressLineNumbers w:val="0"/>
                    <w:bidi w:val="0"/>
                    <w:spacing w:before="0" w:beforeAutospacing="0" w:after="0" w:afterAutospacing="0"/>
                    <w:ind w:left="0" w:right="0"/>
                    <w:jc w:val="center"/>
                    <w:rPr>
                      <w:rFonts w:hint="default"/>
                      <w:b w:val="0"/>
                      <w:bCs/>
                      <w:color w:val="auto"/>
                      <w:highlight w:val="none"/>
                      <w:lang w:val="en-US" w:eastAsia="zh-CN"/>
                    </w:rPr>
                  </w:pPr>
                  <w:r>
                    <w:rPr>
                      <w:rFonts w:hint="eastAsia"/>
                      <w:b w:val="0"/>
                      <w:bCs/>
                      <w:color w:val="auto"/>
                      <w:highlight w:val="none"/>
                      <w:lang w:val="en-US" w:eastAsia="zh-CN"/>
                    </w:rPr>
                    <w:t>8000</w:t>
                  </w:r>
                </w:p>
              </w:tc>
            </w:tr>
            <w:tr w14:paraId="594D7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pct"/>
                  <w:tcBorders>
                    <w:tl2br w:val="nil"/>
                    <w:tr2bl w:val="nil"/>
                  </w:tcBorders>
                  <w:vAlign w:val="center"/>
                </w:tcPr>
                <w:p w14:paraId="18D4FB18">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加弹机</w:t>
                  </w:r>
                </w:p>
              </w:tc>
              <w:tc>
                <w:tcPr>
                  <w:tcW w:w="583" w:type="pct"/>
                  <w:tcBorders>
                    <w:tl2br w:val="nil"/>
                    <w:tr2bl w:val="nil"/>
                  </w:tcBorders>
                  <w:vAlign w:val="center"/>
                </w:tcPr>
                <w:p w14:paraId="291EFF7A">
                  <w:pPr>
                    <w:keepNext w:val="0"/>
                    <w:keepLines w:val="0"/>
                    <w:suppressLineNumbers w:val="0"/>
                    <w:bidi w:val="0"/>
                    <w:spacing w:before="0" w:beforeAutospacing="0" w:after="0" w:afterAutospacing="0"/>
                    <w:ind w:left="0" w:leftChars="0" w:right="0" w:rightChars="0"/>
                    <w:jc w:val="center"/>
                    <w:rPr>
                      <w:rFonts w:hint="default" w:cs="宋体"/>
                      <w:b w:val="0"/>
                      <w:color w:val="auto"/>
                      <w:sz w:val="21"/>
                      <w:szCs w:val="21"/>
                      <w:highlight w:val="none"/>
                      <w:lang w:val="en-US" w:eastAsia="zh-CN"/>
                    </w:rPr>
                  </w:pPr>
                  <w:r>
                    <w:rPr>
                      <w:rFonts w:hint="eastAsia" w:cs="宋体"/>
                      <w:b w:val="0"/>
                      <w:color w:val="auto"/>
                      <w:sz w:val="21"/>
                      <w:szCs w:val="21"/>
                      <w:highlight w:val="none"/>
                      <w:lang w:val="en-US" w:eastAsia="zh-CN"/>
                    </w:rPr>
                    <w:t>12</w:t>
                  </w:r>
                </w:p>
              </w:tc>
              <w:tc>
                <w:tcPr>
                  <w:tcW w:w="864" w:type="pct"/>
                  <w:tcBorders>
                    <w:tl2br w:val="nil"/>
                    <w:tr2bl w:val="nil"/>
                  </w:tcBorders>
                  <w:vAlign w:val="center"/>
                </w:tcPr>
                <w:p w14:paraId="5C80CABE">
                  <w:pPr>
                    <w:keepNext w:val="0"/>
                    <w:keepLines w:val="0"/>
                    <w:suppressLineNumbers w:val="0"/>
                    <w:bidi w:val="0"/>
                    <w:spacing w:before="0" w:beforeAutospacing="0" w:after="0" w:afterAutospacing="0"/>
                    <w:ind w:left="0" w:leftChars="0" w:right="0" w:rightChars="0"/>
                    <w:jc w:val="center"/>
                    <w:rPr>
                      <w:rFonts w:hint="default" w:cs="宋体"/>
                      <w:b w:val="0"/>
                      <w:color w:val="auto"/>
                      <w:sz w:val="21"/>
                      <w:szCs w:val="21"/>
                      <w:highlight w:val="none"/>
                      <w:lang w:val="en-US" w:eastAsia="zh-CN"/>
                    </w:rPr>
                  </w:pPr>
                  <w:r>
                    <w:rPr>
                      <w:rFonts w:hint="eastAsia" w:cs="宋体"/>
                      <w:b w:val="0"/>
                      <w:color w:val="auto"/>
                      <w:sz w:val="21"/>
                      <w:szCs w:val="21"/>
                      <w:highlight w:val="none"/>
                      <w:lang w:val="en-US" w:eastAsia="zh-CN"/>
                    </w:rPr>
                    <w:t>1000</w:t>
                  </w:r>
                </w:p>
              </w:tc>
              <w:tc>
                <w:tcPr>
                  <w:tcW w:w="912" w:type="pct"/>
                  <w:tcBorders>
                    <w:tl2br w:val="nil"/>
                    <w:tr2bl w:val="nil"/>
                  </w:tcBorders>
                  <w:vAlign w:val="center"/>
                </w:tcPr>
                <w:p w14:paraId="0FB663D7">
                  <w:pPr>
                    <w:pStyle w:val="38"/>
                    <w:keepNext w:val="0"/>
                    <w:keepLines w:val="0"/>
                    <w:suppressLineNumbers w:val="0"/>
                    <w:bidi w:val="0"/>
                    <w:spacing w:before="0" w:beforeAutospacing="0" w:after="0" w:afterAutospacing="0"/>
                    <w:ind w:left="0" w:right="0"/>
                    <w:jc w:val="center"/>
                    <w:rPr>
                      <w:rFonts w:hint="default"/>
                      <w:b w:val="0"/>
                      <w:bCs/>
                      <w:color w:val="auto"/>
                      <w:highlight w:val="none"/>
                      <w:lang w:val="en-US" w:eastAsia="zh-CN"/>
                    </w:rPr>
                  </w:pPr>
                  <w:r>
                    <w:rPr>
                      <w:rFonts w:hint="eastAsia"/>
                      <w:b w:val="0"/>
                      <w:bCs/>
                      <w:color w:val="auto"/>
                      <w:highlight w:val="none"/>
                      <w:lang w:val="en-US" w:eastAsia="zh-CN"/>
                    </w:rPr>
                    <w:t>7200</w:t>
                  </w:r>
                </w:p>
              </w:tc>
              <w:tc>
                <w:tcPr>
                  <w:tcW w:w="863" w:type="pct"/>
                  <w:tcBorders>
                    <w:tl2br w:val="nil"/>
                    <w:tr2bl w:val="nil"/>
                  </w:tcBorders>
                  <w:vAlign w:val="center"/>
                </w:tcPr>
                <w:p w14:paraId="0E8F1671">
                  <w:pPr>
                    <w:pStyle w:val="38"/>
                    <w:keepNext w:val="0"/>
                    <w:keepLines w:val="0"/>
                    <w:suppressLineNumbers w:val="0"/>
                    <w:bidi w:val="0"/>
                    <w:spacing w:before="0" w:beforeAutospacing="0" w:after="0" w:afterAutospacing="0"/>
                    <w:ind w:left="0" w:right="0"/>
                    <w:jc w:val="center"/>
                    <w:rPr>
                      <w:rFonts w:hint="default"/>
                      <w:b w:val="0"/>
                      <w:bCs/>
                      <w:color w:val="auto"/>
                      <w:highlight w:val="none"/>
                      <w:lang w:val="en-US" w:eastAsia="zh-CN"/>
                    </w:rPr>
                  </w:pPr>
                  <w:r>
                    <w:rPr>
                      <w:rFonts w:hint="eastAsia"/>
                      <w:b w:val="0"/>
                      <w:bCs/>
                      <w:color w:val="auto"/>
                      <w:highlight w:val="none"/>
                      <w:lang w:val="en-US" w:eastAsia="zh-CN"/>
                    </w:rPr>
                    <w:t>8640</w:t>
                  </w:r>
                </w:p>
              </w:tc>
              <w:tc>
                <w:tcPr>
                  <w:tcW w:w="870" w:type="pct"/>
                  <w:tcBorders>
                    <w:tl2br w:val="nil"/>
                    <w:tr2bl w:val="nil"/>
                  </w:tcBorders>
                  <w:vAlign w:val="center"/>
                </w:tcPr>
                <w:p w14:paraId="6B0ECB43">
                  <w:pPr>
                    <w:pStyle w:val="38"/>
                    <w:keepNext w:val="0"/>
                    <w:keepLines w:val="0"/>
                    <w:suppressLineNumbers w:val="0"/>
                    <w:bidi w:val="0"/>
                    <w:spacing w:before="0" w:beforeAutospacing="0" w:after="0" w:afterAutospacing="0"/>
                    <w:ind w:left="0" w:right="0"/>
                    <w:jc w:val="center"/>
                    <w:rPr>
                      <w:rFonts w:hint="default"/>
                      <w:b w:val="0"/>
                      <w:bCs/>
                      <w:color w:val="auto"/>
                      <w:highlight w:val="none"/>
                      <w:lang w:val="en-US" w:eastAsia="zh-CN"/>
                    </w:rPr>
                  </w:pPr>
                  <w:r>
                    <w:rPr>
                      <w:rFonts w:hint="eastAsia"/>
                      <w:b w:val="0"/>
                      <w:bCs/>
                      <w:color w:val="auto"/>
                      <w:highlight w:val="none"/>
                      <w:lang w:val="en-US" w:eastAsia="zh-CN"/>
                    </w:rPr>
                    <w:t>8000</w:t>
                  </w:r>
                </w:p>
              </w:tc>
            </w:tr>
          </w:tbl>
          <w:p w14:paraId="34D2EAD9">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leftChars="0" w:right="0" w:firstLine="482" w:firstLineChars="200"/>
              <w:textAlignment w:val="auto"/>
              <w:rPr>
                <w:rFonts w:hint="default" w:ascii="Times New Roman" w:hAnsi="Times New Roman" w:eastAsia="宋体" w:cs="Times New Roman"/>
                <w:color w:val="auto"/>
                <w:highlight w:val="none"/>
              </w:rPr>
            </w:pPr>
            <w:r>
              <w:rPr>
                <w:rFonts w:hint="eastAsia" w:cs="Times New Roman"/>
                <w:color w:val="auto"/>
                <w:highlight w:val="none"/>
                <w:lang w:val="en-US" w:eastAsia="zh-CN"/>
              </w:rPr>
              <w:t>七</w:t>
            </w:r>
            <w:r>
              <w:rPr>
                <w:rFonts w:hint="default" w:ascii="Times New Roman" w:hAnsi="Times New Roman" w:eastAsia="宋体" w:cs="Times New Roman"/>
                <w:color w:val="auto"/>
                <w:highlight w:val="none"/>
              </w:rPr>
              <w:t>、</w:t>
            </w:r>
            <w:r>
              <w:rPr>
                <w:rFonts w:hint="eastAsia" w:cs="Times New Roman"/>
                <w:color w:val="auto"/>
                <w:highlight w:val="none"/>
                <w:lang w:eastAsia="zh-CN"/>
              </w:rPr>
              <w:t>本项目</w:t>
            </w:r>
            <w:r>
              <w:rPr>
                <w:rFonts w:hint="default" w:ascii="Times New Roman" w:hAnsi="Times New Roman" w:eastAsia="宋体" w:cs="Times New Roman"/>
                <w:color w:val="auto"/>
                <w:highlight w:val="none"/>
              </w:rPr>
              <w:t>原辅材料和能源消耗</w:t>
            </w:r>
          </w:p>
          <w:p w14:paraId="67D01C4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highlight w:val="none"/>
              </w:rPr>
              <w:t>根据建设单位提供，</w:t>
            </w:r>
            <w:r>
              <w:rPr>
                <w:rFonts w:hint="default" w:ascii="Times New Roman" w:hAnsi="Times New Roman" w:eastAsia="宋体" w:cs="Times New Roman"/>
                <w:color w:val="auto"/>
                <w:highlight w:val="none"/>
                <w:lang w:eastAsia="zh-CN"/>
              </w:rPr>
              <w:t>项目</w:t>
            </w:r>
            <w:r>
              <w:rPr>
                <w:rFonts w:hint="default" w:ascii="Times New Roman" w:hAnsi="Times New Roman" w:eastAsia="宋体" w:cs="Times New Roman"/>
                <w:color w:val="auto"/>
                <w:highlight w:val="none"/>
              </w:rPr>
              <w:t>主要原辅材料和能源消耗见下表。</w:t>
            </w:r>
          </w:p>
          <w:p w14:paraId="704C4761">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w:t>
            </w:r>
            <w:r>
              <w:rPr>
                <w:rFonts w:hint="eastAsia" w:cs="Times New Roman"/>
                <w:color w:val="auto"/>
                <w:highlight w:val="none"/>
                <w:lang w:val="en-US" w:eastAsia="zh-CN"/>
              </w:rPr>
              <w:t>7</w:t>
            </w:r>
            <w:r>
              <w:rPr>
                <w:rFonts w:hint="eastAsia" w:cs="Times New Roman"/>
                <w:color w:val="auto"/>
                <w:highlight w:val="none"/>
                <w:lang w:eastAsia="zh-CN"/>
              </w:rPr>
              <w:t>本项目</w:t>
            </w:r>
            <w:r>
              <w:rPr>
                <w:rFonts w:hint="default" w:ascii="Times New Roman" w:hAnsi="Times New Roman" w:eastAsia="宋体" w:cs="Times New Roman"/>
                <w:color w:val="auto"/>
                <w:highlight w:val="none"/>
                <w:lang w:eastAsia="zh-CN"/>
              </w:rPr>
              <w:t>主要</w:t>
            </w:r>
            <w:r>
              <w:rPr>
                <w:rFonts w:hint="default" w:ascii="Times New Roman" w:hAnsi="Times New Roman" w:eastAsia="宋体" w:cs="Times New Roman"/>
                <w:color w:val="auto"/>
                <w:highlight w:val="none"/>
              </w:rPr>
              <w:t>原辅材料</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消耗指标</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59"/>
              <w:gridCol w:w="1428"/>
              <w:gridCol w:w="817"/>
              <w:gridCol w:w="966"/>
              <w:gridCol w:w="1120"/>
              <w:gridCol w:w="1120"/>
              <w:gridCol w:w="1120"/>
              <w:gridCol w:w="1122"/>
              <w:gridCol w:w="1126"/>
            </w:tblGrid>
            <w:tr w14:paraId="10C1D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80" w:hRule="atLeast"/>
                <w:jc w:val="center"/>
              </w:trPr>
              <w:tc>
                <w:tcPr>
                  <w:tcW w:w="247" w:type="pct"/>
                  <w:noWrap w:val="0"/>
                  <w:tcMar>
                    <w:top w:w="0" w:type="dxa"/>
                    <w:left w:w="57" w:type="dxa"/>
                    <w:bottom w:w="0" w:type="dxa"/>
                    <w:right w:w="57" w:type="dxa"/>
                  </w:tcMar>
                  <w:vAlign w:val="center"/>
                </w:tcPr>
                <w:p w14:paraId="0EB2A1AA">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769" w:type="pct"/>
                  <w:noWrap w:val="0"/>
                  <w:tcMar>
                    <w:top w:w="0" w:type="dxa"/>
                    <w:left w:w="57" w:type="dxa"/>
                    <w:bottom w:w="0" w:type="dxa"/>
                    <w:right w:w="57" w:type="dxa"/>
                  </w:tcMar>
                  <w:vAlign w:val="center"/>
                </w:tcPr>
                <w:p w14:paraId="4A0A278F">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440" w:type="pct"/>
                  <w:noWrap w:val="0"/>
                  <w:tcMar>
                    <w:top w:w="0" w:type="dxa"/>
                    <w:left w:w="57" w:type="dxa"/>
                    <w:bottom w:w="0" w:type="dxa"/>
                    <w:right w:w="57" w:type="dxa"/>
                  </w:tcMar>
                  <w:vAlign w:val="center"/>
                </w:tcPr>
                <w:p w14:paraId="14C44B22">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单位</w:t>
                  </w:r>
                </w:p>
              </w:tc>
              <w:tc>
                <w:tcPr>
                  <w:tcW w:w="520" w:type="pct"/>
                  <w:noWrap w:val="0"/>
                  <w:tcMar>
                    <w:top w:w="0" w:type="dxa"/>
                    <w:left w:w="57" w:type="dxa"/>
                    <w:bottom w:w="0" w:type="dxa"/>
                    <w:right w:w="57" w:type="dxa"/>
                  </w:tcMar>
                  <w:vAlign w:val="center"/>
                </w:tcPr>
                <w:p w14:paraId="75FF00D2">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lang w:val="en-US" w:eastAsia="zh-CN"/>
                    </w:rPr>
                    <w:t>使用</w:t>
                  </w:r>
                  <w:r>
                    <w:rPr>
                      <w:rFonts w:hint="default" w:ascii="Times New Roman" w:hAnsi="Times New Roman" w:eastAsia="宋体" w:cs="Times New Roman"/>
                      <w:color w:val="auto"/>
                      <w:sz w:val="21"/>
                      <w:szCs w:val="21"/>
                      <w:highlight w:val="none"/>
                      <w:lang w:eastAsia="zh-CN"/>
                    </w:rPr>
                    <w:t>量</w:t>
                  </w:r>
                </w:p>
              </w:tc>
              <w:tc>
                <w:tcPr>
                  <w:tcW w:w="603" w:type="pct"/>
                  <w:noWrap w:val="0"/>
                  <w:tcMar>
                    <w:top w:w="0" w:type="dxa"/>
                    <w:left w:w="57" w:type="dxa"/>
                    <w:bottom w:w="0" w:type="dxa"/>
                    <w:right w:w="57" w:type="dxa"/>
                  </w:tcMar>
                  <w:vAlign w:val="center"/>
                </w:tcPr>
                <w:p w14:paraId="3D619DA0">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最大贮存量</w:t>
                  </w:r>
                </w:p>
              </w:tc>
              <w:tc>
                <w:tcPr>
                  <w:tcW w:w="603" w:type="pct"/>
                  <w:noWrap w:val="0"/>
                  <w:tcMar>
                    <w:top w:w="0" w:type="dxa"/>
                    <w:left w:w="57" w:type="dxa"/>
                    <w:bottom w:w="0" w:type="dxa"/>
                    <w:right w:w="57" w:type="dxa"/>
                  </w:tcMar>
                  <w:vAlign w:val="center"/>
                </w:tcPr>
                <w:p w14:paraId="43A38871">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leftChars="0" w:right="0" w:rightChars="0"/>
                    <w:textAlignment w:val="auto"/>
                    <w:rPr>
                      <w:rFonts w:hint="eastAsia" w:ascii="Times New Roman" w:hAnsi="Times New Roman" w:eastAsia="宋体" w:cs="宋体"/>
                      <w:b/>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状态</w:t>
                  </w:r>
                </w:p>
              </w:tc>
              <w:tc>
                <w:tcPr>
                  <w:tcW w:w="603" w:type="pct"/>
                  <w:noWrap w:val="0"/>
                  <w:tcMar>
                    <w:top w:w="0" w:type="dxa"/>
                    <w:left w:w="57" w:type="dxa"/>
                    <w:bottom w:w="0" w:type="dxa"/>
                    <w:right w:w="57" w:type="dxa"/>
                  </w:tcMar>
                  <w:vAlign w:val="center"/>
                </w:tcPr>
                <w:p w14:paraId="0B93D36C">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leftChars="0" w:right="0" w:rightChars="0"/>
                    <w:jc w:val="center"/>
                    <w:textAlignment w:val="auto"/>
                    <w:rPr>
                      <w:rFonts w:hint="eastAsia" w:ascii="Times New Roman" w:hAnsi="Times New Roman" w:eastAsia="宋体" w:cs="宋体"/>
                      <w:b/>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包装方式</w:t>
                  </w:r>
                </w:p>
              </w:tc>
              <w:tc>
                <w:tcPr>
                  <w:tcW w:w="604" w:type="pct"/>
                  <w:noWrap w:val="0"/>
                  <w:tcMar>
                    <w:top w:w="0" w:type="dxa"/>
                    <w:left w:w="57" w:type="dxa"/>
                    <w:bottom w:w="0" w:type="dxa"/>
                    <w:right w:w="57" w:type="dxa"/>
                  </w:tcMar>
                  <w:vAlign w:val="center"/>
                </w:tcPr>
                <w:p w14:paraId="0DAA2369">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leftChars="0" w:right="0" w:rightChars="0"/>
                    <w:textAlignment w:val="auto"/>
                    <w:rPr>
                      <w:rFonts w:hint="eastAsia" w:ascii="Times New Roman" w:hAnsi="Times New Roman" w:eastAsia="宋体" w:cs="宋体"/>
                      <w:b/>
                      <w:bCs/>
                      <w:color w:val="auto"/>
                      <w:sz w:val="21"/>
                      <w:szCs w:val="21"/>
                      <w:highlight w:val="none"/>
                      <w:lang w:val="en-US" w:eastAsia="zh-CN"/>
                    </w:rPr>
                  </w:pPr>
                  <w:r>
                    <w:rPr>
                      <w:rFonts w:hint="eastAsia" w:ascii="Times New Roman" w:hAnsi="Times New Roman" w:eastAsia="宋体" w:cs="宋体"/>
                      <w:b/>
                      <w:bCs/>
                      <w:color w:val="auto"/>
                      <w:sz w:val="21"/>
                      <w:szCs w:val="21"/>
                      <w:highlight w:val="none"/>
                      <w:lang w:val="en-US" w:eastAsia="zh-CN"/>
                    </w:rPr>
                    <w:t>存储位置</w:t>
                  </w:r>
                </w:p>
              </w:tc>
              <w:tc>
                <w:tcPr>
                  <w:tcW w:w="606" w:type="pct"/>
                  <w:noWrap w:val="0"/>
                  <w:tcMar>
                    <w:top w:w="0" w:type="dxa"/>
                    <w:left w:w="57" w:type="dxa"/>
                    <w:bottom w:w="0" w:type="dxa"/>
                    <w:right w:w="57" w:type="dxa"/>
                  </w:tcMar>
                  <w:vAlign w:val="center"/>
                </w:tcPr>
                <w:p w14:paraId="47293DB1">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leftChars="0" w:right="0" w:rightChars="0"/>
                    <w:textAlignment w:val="auto"/>
                    <w:rPr>
                      <w:rFonts w:hint="default" w:ascii="Times New Roman" w:hAnsi="Times New Roman" w:eastAsia="宋体" w:cs="宋体"/>
                      <w:b/>
                      <w:bCs/>
                      <w:color w:val="auto"/>
                      <w:sz w:val="21"/>
                      <w:szCs w:val="21"/>
                      <w:highlight w:val="none"/>
                      <w:lang w:val="en-US" w:eastAsia="zh-CN"/>
                    </w:rPr>
                  </w:pPr>
                  <w:r>
                    <w:rPr>
                      <w:rFonts w:hint="eastAsia" w:cs="宋体"/>
                      <w:b/>
                      <w:bCs/>
                      <w:color w:val="auto"/>
                      <w:sz w:val="21"/>
                      <w:szCs w:val="21"/>
                      <w:highlight w:val="none"/>
                      <w:lang w:val="en-US" w:eastAsia="zh-CN"/>
                    </w:rPr>
                    <w:t>生产工序</w:t>
                  </w:r>
                </w:p>
              </w:tc>
            </w:tr>
            <w:tr w14:paraId="0536B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7" w:type="pct"/>
                  <w:noWrap w:val="0"/>
                  <w:tcMar>
                    <w:top w:w="0" w:type="dxa"/>
                    <w:left w:w="57" w:type="dxa"/>
                    <w:bottom w:w="0" w:type="dxa"/>
                    <w:right w:w="57" w:type="dxa"/>
                  </w:tcMar>
                  <w:vAlign w:val="center"/>
                </w:tcPr>
                <w:p w14:paraId="7E2AC2ED">
                  <w:pPr>
                    <w:pStyle w:val="38"/>
                    <w:keepNext w:val="0"/>
                    <w:keepLines w:val="0"/>
                    <w:pageBreakBefore w:val="0"/>
                    <w:suppressLineNumbers w:val="0"/>
                    <w:kinsoku/>
                    <w:wordWrap/>
                    <w:overflowPunct/>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69" w:type="pct"/>
                  <w:shd w:val="clear" w:color="auto" w:fill="auto"/>
                  <w:noWrap w:val="0"/>
                  <w:tcMar>
                    <w:top w:w="0" w:type="dxa"/>
                    <w:left w:w="57" w:type="dxa"/>
                    <w:bottom w:w="0" w:type="dxa"/>
                    <w:right w:w="57" w:type="dxa"/>
                  </w:tcMar>
                  <w:vAlign w:val="center"/>
                </w:tcPr>
                <w:p w14:paraId="36CD96A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POY预取向丝</w:t>
                  </w:r>
                </w:p>
              </w:tc>
              <w:tc>
                <w:tcPr>
                  <w:tcW w:w="440" w:type="pct"/>
                  <w:shd w:val="clear" w:color="auto" w:fill="auto"/>
                  <w:noWrap w:val="0"/>
                  <w:tcMar>
                    <w:top w:w="0" w:type="dxa"/>
                    <w:left w:w="57" w:type="dxa"/>
                    <w:bottom w:w="0" w:type="dxa"/>
                    <w:right w:w="57" w:type="dxa"/>
                  </w:tcMar>
                  <w:vAlign w:val="center"/>
                </w:tcPr>
                <w:p w14:paraId="1646C04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吨</w:t>
                  </w:r>
                </w:p>
              </w:tc>
              <w:tc>
                <w:tcPr>
                  <w:tcW w:w="520" w:type="pct"/>
                  <w:shd w:val="clear" w:color="auto" w:fill="auto"/>
                  <w:noWrap w:val="0"/>
                  <w:tcMar>
                    <w:top w:w="0" w:type="dxa"/>
                    <w:left w:w="57" w:type="dxa"/>
                    <w:bottom w:w="0" w:type="dxa"/>
                    <w:right w:w="57" w:type="dxa"/>
                  </w:tcMar>
                  <w:vAlign w:val="center"/>
                </w:tcPr>
                <w:p w14:paraId="44E7BB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cs="宋体"/>
                      <w:color w:val="auto"/>
                      <w:sz w:val="21"/>
                      <w:szCs w:val="21"/>
                      <w:highlight w:val="none"/>
                      <w:lang w:val="en-US" w:eastAsia="zh-CN"/>
                    </w:rPr>
                    <w:t>12000</w:t>
                  </w:r>
                </w:p>
              </w:tc>
              <w:tc>
                <w:tcPr>
                  <w:tcW w:w="603" w:type="pct"/>
                  <w:shd w:val="clear" w:color="auto" w:fill="auto"/>
                  <w:noWrap w:val="0"/>
                  <w:tcMar>
                    <w:top w:w="0" w:type="dxa"/>
                    <w:left w:w="57" w:type="dxa"/>
                    <w:bottom w:w="0" w:type="dxa"/>
                    <w:right w:w="57" w:type="dxa"/>
                  </w:tcMar>
                  <w:vAlign w:val="center"/>
                </w:tcPr>
                <w:p w14:paraId="6558A23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1000</w:t>
                  </w:r>
                </w:p>
              </w:tc>
              <w:tc>
                <w:tcPr>
                  <w:tcW w:w="603" w:type="pct"/>
                  <w:shd w:val="clear" w:color="auto" w:fill="auto"/>
                  <w:noWrap w:val="0"/>
                  <w:tcMar>
                    <w:top w:w="0" w:type="dxa"/>
                    <w:left w:w="57" w:type="dxa"/>
                    <w:bottom w:w="0" w:type="dxa"/>
                    <w:right w:w="57" w:type="dxa"/>
                  </w:tcMar>
                  <w:vAlign w:val="center"/>
                </w:tcPr>
                <w:p w14:paraId="20F8CB1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固态</w:t>
                  </w:r>
                </w:p>
              </w:tc>
              <w:tc>
                <w:tcPr>
                  <w:tcW w:w="603" w:type="pct"/>
                  <w:shd w:val="clear" w:color="auto" w:fill="auto"/>
                  <w:noWrap w:val="0"/>
                  <w:tcMar>
                    <w:top w:w="0" w:type="dxa"/>
                    <w:left w:w="57" w:type="dxa"/>
                    <w:bottom w:w="0" w:type="dxa"/>
                    <w:right w:w="57" w:type="dxa"/>
                  </w:tcMar>
                  <w:vAlign w:val="center"/>
                </w:tcPr>
                <w:p w14:paraId="249ECB3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散装</w:t>
                  </w:r>
                </w:p>
              </w:tc>
              <w:tc>
                <w:tcPr>
                  <w:tcW w:w="604" w:type="pct"/>
                  <w:shd w:val="clear" w:color="auto" w:fill="auto"/>
                  <w:noWrap w:val="0"/>
                  <w:tcMar>
                    <w:top w:w="0" w:type="dxa"/>
                    <w:left w:w="57" w:type="dxa"/>
                    <w:bottom w:w="0" w:type="dxa"/>
                    <w:right w:w="57" w:type="dxa"/>
                  </w:tcMar>
                  <w:vAlign w:val="center"/>
                </w:tcPr>
                <w:p w14:paraId="3763CED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1#车间</w:t>
                  </w:r>
                </w:p>
              </w:tc>
              <w:tc>
                <w:tcPr>
                  <w:tcW w:w="606" w:type="pct"/>
                  <w:vMerge w:val="restart"/>
                  <w:shd w:val="clear" w:color="auto" w:fill="auto"/>
                  <w:noWrap w:val="0"/>
                  <w:tcMar>
                    <w:top w:w="0" w:type="dxa"/>
                    <w:left w:w="57" w:type="dxa"/>
                    <w:bottom w:w="0" w:type="dxa"/>
                    <w:right w:w="57" w:type="dxa"/>
                  </w:tcMar>
                  <w:vAlign w:val="center"/>
                </w:tcPr>
                <w:p w14:paraId="135932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加弹</w:t>
                  </w:r>
                </w:p>
              </w:tc>
            </w:tr>
            <w:tr w14:paraId="574F9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7" w:type="pct"/>
                  <w:shd w:val="clear" w:color="auto" w:fill="auto"/>
                  <w:noWrap w:val="0"/>
                  <w:tcMar>
                    <w:top w:w="0" w:type="dxa"/>
                    <w:left w:w="57" w:type="dxa"/>
                    <w:bottom w:w="0" w:type="dxa"/>
                    <w:right w:w="57" w:type="dxa"/>
                  </w:tcMar>
                  <w:vAlign w:val="center"/>
                </w:tcPr>
                <w:p w14:paraId="3E4B1A53">
                  <w:pPr>
                    <w:pStyle w:val="38"/>
                    <w:keepNext w:val="0"/>
                    <w:keepLines w:val="0"/>
                    <w:pageBreakBefore w:val="0"/>
                    <w:suppressLineNumbers w:val="0"/>
                    <w:kinsoku/>
                    <w:wordWrap/>
                    <w:overflowPunct/>
                    <w:bidi w:val="0"/>
                    <w:spacing w:before="0" w:beforeAutospacing="0" w:after="0" w:afterAutospacing="0"/>
                    <w:ind w:left="0" w:leftChars="0" w:right="0" w:rightChars="0" w:firstLine="0" w:firstLineChars="0"/>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769" w:type="pct"/>
                  <w:shd w:val="clear" w:color="auto" w:fill="auto"/>
                  <w:noWrap w:val="0"/>
                  <w:tcMar>
                    <w:top w:w="0" w:type="dxa"/>
                    <w:left w:w="57" w:type="dxa"/>
                    <w:bottom w:w="0" w:type="dxa"/>
                    <w:right w:w="57" w:type="dxa"/>
                  </w:tcMar>
                  <w:vAlign w:val="center"/>
                </w:tcPr>
                <w:p w14:paraId="44EA14A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防飞溅油剂</w:t>
                  </w:r>
                </w:p>
              </w:tc>
              <w:tc>
                <w:tcPr>
                  <w:tcW w:w="440" w:type="pct"/>
                  <w:shd w:val="clear" w:color="auto" w:fill="auto"/>
                  <w:noWrap w:val="0"/>
                  <w:tcMar>
                    <w:top w:w="0" w:type="dxa"/>
                    <w:left w:w="57" w:type="dxa"/>
                    <w:bottom w:w="0" w:type="dxa"/>
                    <w:right w:w="57" w:type="dxa"/>
                  </w:tcMar>
                  <w:vAlign w:val="center"/>
                </w:tcPr>
                <w:p w14:paraId="4FBF46F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吨</w:t>
                  </w:r>
                </w:p>
              </w:tc>
              <w:tc>
                <w:tcPr>
                  <w:tcW w:w="520" w:type="pct"/>
                  <w:shd w:val="clear" w:color="auto" w:fill="auto"/>
                  <w:noWrap w:val="0"/>
                  <w:tcMar>
                    <w:top w:w="0" w:type="dxa"/>
                    <w:left w:w="57" w:type="dxa"/>
                    <w:bottom w:w="0" w:type="dxa"/>
                    <w:right w:w="57" w:type="dxa"/>
                  </w:tcMar>
                  <w:vAlign w:val="center"/>
                </w:tcPr>
                <w:p w14:paraId="67B80B8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宋体"/>
                      <w:color w:val="auto"/>
                      <w:sz w:val="21"/>
                      <w:szCs w:val="21"/>
                      <w:highlight w:val="none"/>
                      <w:lang w:val="en-US" w:eastAsia="zh-CN"/>
                    </w:rPr>
                    <w:t>8</w:t>
                  </w:r>
                </w:p>
              </w:tc>
              <w:tc>
                <w:tcPr>
                  <w:tcW w:w="603" w:type="pct"/>
                  <w:shd w:val="clear" w:color="auto" w:fill="auto"/>
                  <w:noWrap w:val="0"/>
                  <w:tcMar>
                    <w:top w:w="0" w:type="dxa"/>
                    <w:left w:w="57" w:type="dxa"/>
                    <w:bottom w:w="0" w:type="dxa"/>
                    <w:right w:w="57" w:type="dxa"/>
                  </w:tcMar>
                  <w:vAlign w:val="center"/>
                </w:tcPr>
                <w:p w14:paraId="530AF5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603" w:type="pct"/>
                  <w:shd w:val="clear" w:color="auto" w:fill="auto"/>
                  <w:noWrap w:val="0"/>
                  <w:tcMar>
                    <w:top w:w="0" w:type="dxa"/>
                    <w:left w:w="57" w:type="dxa"/>
                    <w:bottom w:w="0" w:type="dxa"/>
                    <w:right w:w="57" w:type="dxa"/>
                  </w:tcMar>
                  <w:vAlign w:val="center"/>
                </w:tcPr>
                <w:p w14:paraId="66CB1E9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液态</w:t>
                  </w:r>
                </w:p>
              </w:tc>
              <w:tc>
                <w:tcPr>
                  <w:tcW w:w="603" w:type="pct"/>
                  <w:shd w:val="clear" w:color="auto" w:fill="auto"/>
                  <w:noWrap w:val="0"/>
                  <w:tcMar>
                    <w:top w:w="0" w:type="dxa"/>
                    <w:left w:w="57" w:type="dxa"/>
                    <w:bottom w:w="0" w:type="dxa"/>
                    <w:right w:w="57" w:type="dxa"/>
                  </w:tcMar>
                  <w:vAlign w:val="center"/>
                </w:tcPr>
                <w:p w14:paraId="7C90808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桶装，</w:t>
                  </w:r>
                  <w:r>
                    <w:rPr>
                      <w:rFonts w:hint="eastAsia" w:cs="宋体"/>
                      <w:color w:val="auto"/>
                      <w:sz w:val="21"/>
                      <w:szCs w:val="21"/>
                      <w:highlight w:val="none"/>
                      <w:lang w:val="en-US" w:eastAsia="zh-CN"/>
                    </w:rPr>
                    <w:t>1吨</w:t>
                  </w:r>
                  <w:r>
                    <w:rPr>
                      <w:rFonts w:hint="eastAsia" w:ascii="Times New Roman" w:hAnsi="Times New Roman" w:eastAsia="宋体" w:cs="宋体"/>
                      <w:color w:val="auto"/>
                      <w:sz w:val="21"/>
                      <w:szCs w:val="21"/>
                      <w:highlight w:val="none"/>
                      <w:lang w:val="en-US" w:eastAsia="zh-CN"/>
                    </w:rPr>
                    <w:t>/桶</w:t>
                  </w:r>
                </w:p>
              </w:tc>
              <w:tc>
                <w:tcPr>
                  <w:tcW w:w="604" w:type="pct"/>
                  <w:shd w:val="clear" w:color="auto" w:fill="auto"/>
                  <w:noWrap w:val="0"/>
                  <w:tcMar>
                    <w:top w:w="0" w:type="dxa"/>
                    <w:left w:w="57" w:type="dxa"/>
                    <w:bottom w:w="0" w:type="dxa"/>
                    <w:right w:w="57" w:type="dxa"/>
                  </w:tcMar>
                  <w:vAlign w:val="center"/>
                </w:tcPr>
                <w:p w14:paraId="6FFE4F3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2#车间仓库</w:t>
                  </w:r>
                </w:p>
              </w:tc>
              <w:tc>
                <w:tcPr>
                  <w:tcW w:w="606" w:type="pct"/>
                  <w:vMerge w:val="continue"/>
                  <w:shd w:val="clear" w:color="auto" w:fill="auto"/>
                  <w:noWrap w:val="0"/>
                  <w:tcMar>
                    <w:top w:w="0" w:type="dxa"/>
                    <w:left w:w="57" w:type="dxa"/>
                    <w:bottom w:w="0" w:type="dxa"/>
                    <w:right w:w="57" w:type="dxa"/>
                  </w:tcMar>
                  <w:vAlign w:val="center"/>
                </w:tcPr>
                <w:p w14:paraId="2DA4A44B">
                  <w:pPr>
                    <w:keepNext w:val="0"/>
                    <w:keepLines w:val="0"/>
                    <w:suppressLineNumbers w:val="0"/>
                    <w:spacing w:before="0" w:beforeAutospacing="0" w:after="0" w:afterAutospacing="0"/>
                    <w:ind w:left="0" w:leftChars="0" w:right="0" w:rightChars="0"/>
                    <w:jc w:val="center"/>
                    <w:rPr>
                      <w:rFonts w:hint="eastAsia" w:cs="宋体"/>
                      <w:color w:val="auto"/>
                      <w:sz w:val="21"/>
                      <w:szCs w:val="21"/>
                      <w:highlight w:val="none"/>
                      <w:lang w:val="en-US" w:eastAsia="zh-CN"/>
                    </w:rPr>
                  </w:pPr>
                </w:p>
              </w:tc>
            </w:tr>
            <w:tr w14:paraId="720EE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7" w:type="pct"/>
                  <w:noWrap w:val="0"/>
                  <w:tcMar>
                    <w:top w:w="0" w:type="dxa"/>
                    <w:left w:w="57" w:type="dxa"/>
                    <w:bottom w:w="0" w:type="dxa"/>
                    <w:right w:w="57" w:type="dxa"/>
                  </w:tcMar>
                  <w:vAlign w:val="center"/>
                </w:tcPr>
                <w:p w14:paraId="3A6C605E">
                  <w:pPr>
                    <w:pStyle w:val="38"/>
                    <w:keepNext w:val="0"/>
                    <w:keepLines w:val="0"/>
                    <w:pageBreakBefore w:val="0"/>
                    <w:suppressLineNumbers w:val="0"/>
                    <w:kinsoku/>
                    <w:wordWrap/>
                    <w:overflowPunct/>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3</w:t>
                  </w:r>
                </w:p>
              </w:tc>
              <w:tc>
                <w:tcPr>
                  <w:tcW w:w="769" w:type="pct"/>
                  <w:shd w:val="clear" w:color="auto" w:fill="auto"/>
                  <w:noWrap w:val="0"/>
                  <w:tcMar>
                    <w:top w:w="0" w:type="dxa"/>
                    <w:left w:w="57" w:type="dxa"/>
                    <w:bottom w:w="0" w:type="dxa"/>
                    <w:right w:w="57" w:type="dxa"/>
                  </w:tcMar>
                  <w:vAlign w:val="center"/>
                </w:tcPr>
                <w:p w14:paraId="15C4641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机油</w:t>
                  </w:r>
                </w:p>
              </w:tc>
              <w:tc>
                <w:tcPr>
                  <w:tcW w:w="440" w:type="pct"/>
                  <w:shd w:val="clear" w:color="auto" w:fill="auto"/>
                  <w:noWrap w:val="0"/>
                  <w:tcMar>
                    <w:top w:w="0" w:type="dxa"/>
                    <w:left w:w="57" w:type="dxa"/>
                    <w:bottom w:w="0" w:type="dxa"/>
                    <w:right w:w="57" w:type="dxa"/>
                  </w:tcMar>
                  <w:vAlign w:val="center"/>
                </w:tcPr>
                <w:p w14:paraId="2D57D7D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吨</w:t>
                  </w:r>
                </w:p>
              </w:tc>
              <w:tc>
                <w:tcPr>
                  <w:tcW w:w="520" w:type="pct"/>
                  <w:shd w:val="clear" w:color="auto" w:fill="auto"/>
                  <w:noWrap w:val="0"/>
                  <w:tcMar>
                    <w:top w:w="0" w:type="dxa"/>
                    <w:left w:w="57" w:type="dxa"/>
                    <w:bottom w:w="0" w:type="dxa"/>
                    <w:right w:w="57" w:type="dxa"/>
                  </w:tcMar>
                  <w:vAlign w:val="center"/>
                </w:tcPr>
                <w:p w14:paraId="166723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cs="宋体"/>
                      <w:color w:val="auto"/>
                      <w:sz w:val="21"/>
                      <w:szCs w:val="21"/>
                      <w:highlight w:val="none"/>
                      <w:lang w:val="en-US" w:eastAsia="zh-CN"/>
                    </w:rPr>
                    <w:t>2</w:t>
                  </w:r>
                </w:p>
              </w:tc>
              <w:tc>
                <w:tcPr>
                  <w:tcW w:w="603" w:type="pct"/>
                  <w:shd w:val="clear" w:color="auto" w:fill="auto"/>
                  <w:noWrap w:val="0"/>
                  <w:tcMar>
                    <w:top w:w="0" w:type="dxa"/>
                    <w:left w:w="57" w:type="dxa"/>
                    <w:bottom w:w="0" w:type="dxa"/>
                    <w:right w:w="57" w:type="dxa"/>
                  </w:tcMar>
                  <w:vAlign w:val="center"/>
                </w:tcPr>
                <w:p w14:paraId="5DA68D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cs="宋体"/>
                      <w:color w:val="auto"/>
                      <w:sz w:val="21"/>
                      <w:szCs w:val="21"/>
                      <w:highlight w:val="none"/>
                      <w:lang w:val="en-US" w:eastAsia="zh-CN"/>
                    </w:rPr>
                    <w:t>0.34</w:t>
                  </w:r>
                </w:p>
              </w:tc>
              <w:tc>
                <w:tcPr>
                  <w:tcW w:w="603" w:type="pct"/>
                  <w:shd w:val="clear" w:color="auto" w:fill="auto"/>
                  <w:noWrap w:val="0"/>
                  <w:tcMar>
                    <w:top w:w="0" w:type="dxa"/>
                    <w:left w:w="57" w:type="dxa"/>
                    <w:bottom w:w="0" w:type="dxa"/>
                    <w:right w:w="57" w:type="dxa"/>
                  </w:tcMar>
                  <w:vAlign w:val="center"/>
                </w:tcPr>
                <w:p w14:paraId="239C9D0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液态</w:t>
                  </w:r>
                </w:p>
              </w:tc>
              <w:tc>
                <w:tcPr>
                  <w:tcW w:w="603" w:type="pct"/>
                  <w:shd w:val="clear" w:color="auto" w:fill="auto"/>
                  <w:noWrap w:val="0"/>
                  <w:tcMar>
                    <w:top w:w="0" w:type="dxa"/>
                    <w:left w:w="57" w:type="dxa"/>
                    <w:bottom w:w="0" w:type="dxa"/>
                    <w:right w:w="57" w:type="dxa"/>
                  </w:tcMar>
                  <w:vAlign w:val="center"/>
                </w:tcPr>
                <w:p w14:paraId="467A126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桶装，170</w:t>
                  </w:r>
                  <w:r>
                    <w:rPr>
                      <w:rFonts w:hint="eastAsia" w:cs="宋体"/>
                      <w:color w:val="auto"/>
                      <w:sz w:val="21"/>
                      <w:szCs w:val="21"/>
                      <w:highlight w:val="none"/>
                      <w:lang w:val="en-US" w:eastAsia="zh-CN"/>
                    </w:rPr>
                    <w:t>kg</w:t>
                  </w:r>
                  <w:r>
                    <w:rPr>
                      <w:rFonts w:hint="eastAsia" w:ascii="Times New Roman" w:hAnsi="Times New Roman" w:eastAsia="宋体" w:cs="宋体"/>
                      <w:color w:val="auto"/>
                      <w:sz w:val="21"/>
                      <w:szCs w:val="21"/>
                      <w:highlight w:val="none"/>
                      <w:lang w:val="en-US" w:eastAsia="zh-CN"/>
                    </w:rPr>
                    <w:t>/桶</w:t>
                  </w:r>
                </w:p>
              </w:tc>
              <w:tc>
                <w:tcPr>
                  <w:tcW w:w="604" w:type="pct"/>
                  <w:shd w:val="clear" w:color="auto" w:fill="auto"/>
                  <w:noWrap w:val="0"/>
                  <w:tcMar>
                    <w:top w:w="0" w:type="dxa"/>
                    <w:left w:w="57" w:type="dxa"/>
                    <w:bottom w:w="0" w:type="dxa"/>
                    <w:right w:w="57" w:type="dxa"/>
                  </w:tcMar>
                  <w:vAlign w:val="center"/>
                </w:tcPr>
                <w:p w14:paraId="3CCB54C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2#车间仓库</w:t>
                  </w:r>
                </w:p>
              </w:tc>
              <w:tc>
                <w:tcPr>
                  <w:tcW w:w="606" w:type="pct"/>
                  <w:shd w:val="clear" w:color="auto" w:fill="auto"/>
                  <w:noWrap w:val="0"/>
                  <w:tcMar>
                    <w:top w:w="0" w:type="dxa"/>
                    <w:left w:w="57" w:type="dxa"/>
                    <w:bottom w:w="0" w:type="dxa"/>
                    <w:right w:w="57" w:type="dxa"/>
                  </w:tcMar>
                  <w:vAlign w:val="center"/>
                </w:tcPr>
                <w:p w14:paraId="421DDCB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sz w:val="21"/>
                      <w:szCs w:val="21"/>
                      <w:highlight w:val="none"/>
                      <w:lang w:val="en-US" w:eastAsia="zh-CN"/>
                    </w:rPr>
                  </w:pPr>
                  <w:r>
                    <w:rPr>
                      <w:rFonts w:hint="eastAsia" w:cs="宋体"/>
                      <w:b w:val="0"/>
                      <w:bCs/>
                      <w:color w:val="auto"/>
                      <w:sz w:val="21"/>
                      <w:szCs w:val="21"/>
                      <w:highlight w:val="none"/>
                      <w:lang w:val="en-US" w:eastAsia="zh-CN"/>
                    </w:rPr>
                    <w:t>维护</w:t>
                  </w:r>
                </w:p>
              </w:tc>
            </w:tr>
            <w:tr w14:paraId="75FE9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7" w:type="pct"/>
                  <w:shd w:val="clear" w:color="auto" w:fill="auto"/>
                  <w:noWrap w:val="0"/>
                  <w:tcMar>
                    <w:top w:w="0" w:type="dxa"/>
                    <w:left w:w="57" w:type="dxa"/>
                    <w:bottom w:w="0" w:type="dxa"/>
                    <w:right w:w="57" w:type="dxa"/>
                  </w:tcMar>
                  <w:vAlign w:val="center"/>
                </w:tcPr>
                <w:p w14:paraId="2C6A2DBC">
                  <w:pPr>
                    <w:pStyle w:val="38"/>
                    <w:keepNext w:val="0"/>
                    <w:keepLines w:val="0"/>
                    <w:pageBreakBefore w:val="0"/>
                    <w:suppressLineNumbers w:val="0"/>
                    <w:kinsoku/>
                    <w:wordWrap/>
                    <w:overflowPunct/>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769" w:type="pct"/>
                  <w:shd w:val="clear" w:color="auto" w:fill="auto"/>
                  <w:noWrap w:val="0"/>
                  <w:tcMar>
                    <w:top w:w="0" w:type="dxa"/>
                    <w:left w:w="57" w:type="dxa"/>
                    <w:bottom w:w="0" w:type="dxa"/>
                    <w:right w:w="57" w:type="dxa"/>
                  </w:tcMar>
                  <w:vAlign w:val="center"/>
                </w:tcPr>
                <w:p w14:paraId="2EE7F948">
                  <w:pPr>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电</w:t>
                  </w:r>
                </w:p>
              </w:tc>
              <w:tc>
                <w:tcPr>
                  <w:tcW w:w="440" w:type="pct"/>
                  <w:shd w:val="clear" w:color="auto" w:fill="auto"/>
                  <w:noWrap w:val="0"/>
                  <w:tcMar>
                    <w:top w:w="0" w:type="dxa"/>
                    <w:left w:w="57" w:type="dxa"/>
                    <w:bottom w:w="0" w:type="dxa"/>
                    <w:right w:w="57" w:type="dxa"/>
                  </w:tcMar>
                  <w:vAlign w:val="center"/>
                </w:tcPr>
                <w:p w14:paraId="24AE9C9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万</w:t>
                  </w:r>
                  <w:r>
                    <w:rPr>
                      <w:rFonts w:hint="eastAsia" w:cs="宋体"/>
                      <w:color w:val="auto"/>
                      <w:sz w:val="21"/>
                      <w:szCs w:val="21"/>
                      <w:highlight w:val="none"/>
                      <w:lang w:val="en-US" w:eastAsia="zh-CN"/>
                    </w:rPr>
                    <w:t>kW</w:t>
                  </w:r>
                  <w:r>
                    <w:rPr>
                      <w:rFonts w:hint="default" w:ascii="Times New Roman" w:hAnsi="Times New Roman" w:eastAsia="宋体" w:cs="宋体"/>
                      <w:color w:val="auto"/>
                      <w:sz w:val="21"/>
                      <w:szCs w:val="21"/>
                      <w:highlight w:val="none"/>
                      <w:lang w:val="en-US" w:eastAsia="zh-CN"/>
                    </w:rPr>
                    <w:t>·h</w:t>
                  </w:r>
                </w:p>
              </w:tc>
              <w:tc>
                <w:tcPr>
                  <w:tcW w:w="520" w:type="pct"/>
                  <w:shd w:val="clear" w:color="auto" w:fill="auto"/>
                  <w:noWrap w:val="0"/>
                  <w:tcMar>
                    <w:top w:w="0" w:type="dxa"/>
                    <w:left w:w="57" w:type="dxa"/>
                    <w:bottom w:w="0" w:type="dxa"/>
                    <w:right w:w="57" w:type="dxa"/>
                  </w:tcMar>
                  <w:vAlign w:val="center"/>
                </w:tcPr>
                <w:p w14:paraId="0C448EB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2920</w:t>
                  </w:r>
                </w:p>
              </w:tc>
              <w:tc>
                <w:tcPr>
                  <w:tcW w:w="603" w:type="pct"/>
                  <w:shd w:val="clear" w:color="auto" w:fill="auto"/>
                  <w:noWrap w:val="0"/>
                  <w:tcMar>
                    <w:top w:w="0" w:type="dxa"/>
                    <w:left w:w="57" w:type="dxa"/>
                    <w:bottom w:w="0" w:type="dxa"/>
                    <w:right w:w="57" w:type="dxa"/>
                  </w:tcMar>
                  <w:vAlign w:val="center"/>
                </w:tcPr>
                <w:p w14:paraId="236C8A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w:t>
                  </w:r>
                </w:p>
              </w:tc>
              <w:tc>
                <w:tcPr>
                  <w:tcW w:w="603" w:type="pct"/>
                  <w:shd w:val="clear" w:color="auto" w:fill="auto"/>
                  <w:noWrap w:val="0"/>
                  <w:tcMar>
                    <w:top w:w="0" w:type="dxa"/>
                    <w:left w:w="57" w:type="dxa"/>
                    <w:bottom w:w="0" w:type="dxa"/>
                    <w:right w:w="57" w:type="dxa"/>
                  </w:tcMar>
                  <w:vAlign w:val="center"/>
                </w:tcPr>
                <w:p w14:paraId="387ED7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w:t>
                  </w:r>
                </w:p>
              </w:tc>
              <w:tc>
                <w:tcPr>
                  <w:tcW w:w="603" w:type="pct"/>
                  <w:shd w:val="clear" w:color="auto" w:fill="auto"/>
                  <w:noWrap w:val="0"/>
                  <w:tcMar>
                    <w:top w:w="0" w:type="dxa"/>
                    <w:left w:w="57" w:type="dxa"/>
                    <w:bottom w:w="0" w:type="dxa"/>
                    <w:right w:w="57" w:type="dxa"/>
                  </w:tcMar>
                  <w:vAlign w:val="center"/>
                </w:tcPr>
                <w:p w14:paraId="1CC624D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w:t>
                  </w:r>
                </w:p>
              </w:tc>
              <w:tc>
                <w:tcPr>
                  <w:tcW w:w="604" w:type="pct"/>
                  <w:shd w:val="clear" w:color="auto" w:fill="auto"/>
                  <w:noWrap w:val="0"/>
                  <w:tcMar>
                    <w:top w:w="0" w:type="dxa"/>
                    <w:left w:w="57" w:type="dxa"/>
                    <w:bottom w:w="0" w:type="dxa"/>
                    <w:right w:w="57" w:type="dxa"/>
                  </w:tcMar>
                  <w:vAlign w:val="center"/>
                </w:tcPr>
                <w:p w14:paraId="0EA138E2">
                  <w:pPr>
                    <w:keepNext w:val="0"/>
                    <w:keepLines w:val="0"/>
                    <w:pageBreakBefore w:val="0"/>
                    <w:suppressLineNumbers w:val="0"/>
                    <w:kinsoku/>
                    <w:wordWrap/>
                    <w:overflowPunct/>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市政电网</w:t>
                  </w:r>
                </w:p>
              </w:tc>
              <w:tc>
                <w:tcPr>
                  <w:tcW w:w="606" w:type="pct"/>
                  <w:shd w:val="clear" w:color="auto" w:fill="auto"/>
                  <w:noWrap w:val="0"/>
                  <w:tcMar>
                    <w:top w:w="0" w:type="dxa"/>
                    <w:left w:w="57" w:type="dxa"/>
                    <w:bottom w:w="0" w:type="dxa"/>
                    <w:right w:w="57" w:type="dxa"/>
                  </w:tcMar>
                  <w:vAlign w:val="center"/>
                </w:tcPr>
                <w:p w14:paraId="1D169723">
                  <w:pPr>
                    <w:keepNext w:val="0"/>
                    <w:keepLines w:val="0"/>
                    <w:pageBreakBefore w:val="0"/>
                    <w:suppressLineNumbers w:val="0"/>
                    <w:kinsoku/>
                    <w:wordWrap/>
                    <w:overflowPunct/>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w:t>
                  </w:r>
                </w:p>
              </w:tc>
            </w:tr>
            <w:tr w14:paraId="67039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7" w:type="pct"/>
                  <w:shd w:val="clear" w:color="auto" w:fill="auto"/>
                  <w:noWrap w:val="0"/>
                  <w:tcMar>
                    <w:top w:w="0" w:type="dxa"/>
                    <w:left w:w="57" w:type="dxa"/>
                    <w:bottom w:w="0" w:type="dxa"/>
                    <w:right w:w="57" w:type="dxa"/>
                  </w:tcMar>
                  <w:vAlign w:val="center"/>
                </w:tcPr>
                <w:p w14:paraId="56D199A1">
                  <w:pPr>
                    <w:pStyle w:val="38"/>
                    <w:keepNext w:val="0"/>
                    <w:keepLines w:val="0"/>
                    <w:pageBreakBefore w:val="0"/>
                    <w:suppressLineNumbers w:val="0"/>
                    <w:kinsoku/>
                    <w:wordWrap/>
                    <w:overflowPunct/>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769" w:type="pct"/>
                  <w:shd w:val="clear" w:color="auto" w:fill="auto"/>
                  <w:noWrap w:val="0"/>
                  <w:tcMar>
                    <w:top w:w="0" w:type="dxa"/>
                    <w:left w:w="57" w:type="dxa"/>
                    <w:bottom w:w="0" w:type="dxa"/>
                    <w:right w:w="57" w:type="dxa"/>
                  </w:tcMar>
                  <w:vAlign w:val="center"/>
                </w:tcPr>
                <w:p w14:paraId="18A0CFCE">
                  <w:pPr>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水</w:t>
                  </w:r>
                </w:p>
              </w:tc>
              <w:tc>
                <w:tcPr>
                  <w:tcW w:w="440" w:type="pct"/>
                  <w:shd w:val="clear" w:color="auto" w:fill="auto"/>
                  <w:noWrap w:val="0"/>
                  <w:tcMar>
                    <w:top w:w="0" w:type="dxa"/>
                    <w:left w:w="57" w:type="dxa"/>
                    <w:bottom w:w="0" w:type="dxa"/>
                    <w:right w:w="57" w:type="dxa"/>
                  </w:tcMar>
                  <w:vAlign w:val="center"/>
                </w:tcPr>
                <w:p w14:paraId="3137A4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t</w:t>
                  </w:r>
                </w:p>
              </w:tc>
              <w:tc>
                <w:tcPr>
                  <w:tcW w:w="520" w:type="pct"/>
                  <w:shd w:val="clear" w:color="auto" w:fill="auto"/>
                  <w:noWrap w:val="0"/>
                  <w:tcMar>
                    <w:top w:w="0" w:type="dxa"/>
                    <w:left w:w="57" w:type="dxa"/>
                    <w:bottom w:w="0" w:type="dxa"/>
                    <w:right w:w="57" w:type="dxa"/>
                  </w:tcMar>
                  <w:vAlign w:val="center"/>
                </w:tcPr>
                <w:p w14:paraId="57D1015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145761</w:t>
                  </w:r>
                </w:p>
              </w:tc>
              <w:tc>
                <w:tcPr>
                  <w:tcW w:w="603" w:type="pct"/>
                  <w:shd w:val="clear" w:color="auto" w:fill="auto"/>
                  <w:noWrap w:val="0"/>
                  <w:tcMar>
                    <w:top w:w="0" w:type="dxa"/>
                    <w:left w:w="57" w:type="dxa"/>
                    <w:bottom w:w="0" w:type="dxa"/>
                    <w:right w:w="57" w:type="dxa"/>
                  </w:tcMar>
                  <w:vAlign w:val="center"/>
                </w:tcPr>
                <w:p w14:paraId="5898CFA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w:t>
                  </w:r>
                </w:p>
              </w:tc>
              <w:tc>
                <w:tcPr>
                  <w:tcW w:w="603" w:type="pct"/>
                  <w:shd w:val="clear" w:color="auto" w:fill="auto"/>
                  <w:noWrap w:val="0"/>
                  <w:tcMar>
                    <w:top w:w="0" w:type="dxa"/>
                    <w:left w:w="57" w:type="dxa"/>
                    <w:bottom w:w="0" w:type="dxa"/>
                    <w:right w:w="57" w:type="dxa"/>
                  </w:tcMar>
                  <w:vAlign w:val="center"/>
                </w:tcPr>
                <w:p w14:paraId="2448965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w:t>
                  </w:r>
                </w:p>
              </w:tc>
              <w:tc>
                <w:tcPr>
                  <w:tcW w:w="603" w:type="pct"/>
                  <w:shd w:val="clear" w:color="auto" w:fill="auto"/>
                  <w:noWrap w:val="0"/>
                  <w:tcMar>
                    <w:top w:w="0" w:type="dxa"/>
                    <w:left w:w="57" w:type="dxa"/>
                    <w:bottom w:w="0" w:type="dxa"/>
                    <w:right w:w="57" w:type="dxa"/>
                  </w:tcMar>
                  <w:vAlign w:val="center"/>
                </w:tcPr>
                <w:p w14:paraId="5563478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rPr>
                    <w:t>/</w:t>
                  </w:r>
                </w:p>
              </w:tc>
              <w:tc>
                <w:tcPr>
                  <w:tcW w:w="604" w:type="pct"/>
                  <w:shd w:val="clear" w:color="auto" w:fill="auto"/>
                  <w:noWrap w:val="0"/>
                  <w:tcMar>
                    <w:top w:w="0" w:type="dxa"/>
                    <w:left w:w="57" w:type="dxa"/>
                    <w:bottom w:w="0" w:type="dxa"/>
                    <w:right w:w="57" w:type="dxa"/>
                  </w:tcMar>
                  <w:vAlign w:val="center"/>
                </w:tcPr>
                <w:p w14:paraId="02E33F25">
                  <w:pPr>
                    <w:keepNext w:val="0"/>
                    <w:keepLines w:val="0"/>
                    <w:pageBreakBefore w:val="0"/>
                    <w:suppressLineNumbers w:val="0"/>
                    <w:kinsoku/>
                    <w:wordWrap/>
                    <w:overflowPunct/>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市政管网</w:t>
                  </w:r>
                </w:p>
              </w:tc>
              <w:tc>
                <w:tcPr>
                  <w:tcW w:w="606" w:type="pct"/>
                  <w:shd w:val="clear" w:color="auto" w:fill="auto"/>
                  <w:noWrap w:val="0"/>
                  <w:tcMar>
                    <w:top w:w="0" w:type="dxa"/>
                    <w:left w:w="57" w:type="dxa"/>
                    <w:bottom w:w="0" w:type="dxa"/>
                    <w:right w:w="57" w:type="dxa"/>
                  </w:tcMar>
                  <w:vAlign w:val="center"/>
                </w:tcPr>
                <w:p w14:paraId="35EE1077">
                  <w:pPr>
                    <w:keepNext w:val="0"/>
                    <w:keepLines w:val="0"/>
                    <w:pageBreakBefore w:val="0"/>
                    <w:suppressLineNumbers w:val="0"/>
                    <w:kinsoku/>
                    <w:wordWrap/>
                    <w:overflowPunct/>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w:t>
                  </w:r>
                </w:p>
              </w:tc>
            </w:tr>
          </w:tbl>
          <w:p w14:paraId="66499714">
            <w:pPr>
              <w:pStyle w:val="3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表2-</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val="en-US" w:eastAsia="zh-CN"/>
              </w:rPr>
              <w:t>主要原辅材料</w:t>
            </w:r>
            <w:r>
              <w:rPr>
                <w:rFonts w:hint="eastAsia" w:cs="Times New Roman"/>
                <w:color w:val="auto"/>
                <w:highlight w:val="none"/>
                <w:lang w:val="en-US" w:eastAsia="zh-CN"/>
              </w:rPr>
              <w:t>理化性质</w:t>
            </w:r>
            <w:r>
              <w:rPr>
                <w:rFonts w:hint="default" w:ascii="Times New Roman" w:hAnsi="Times New Roman" w:eastAsia="宋体" w:cs="Times New Roman"/>
                <w:color w:val="auto"/>
                <w:highlight w:val="none"/>
                <w:lang w:val="en-US" w:eastAsia="zh-CN"/>
              </w:rPr>
              <w:t>一览表</w:t>
            </w:r>
          </w:p>
          <w:tbl>
            <w:tblPr>
              <w:tblStyle w:val="27"/>
              <w:tblW w:w="0" w:type="auto"/>
              <w:tblInd w:w="0" w:type="dxa"/>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43"/>
              <w:gridCol w:w="1228"/>
              <w:gridCol w:w="7144"/>
            </w:tblGrid>
            <w:tr w14:paraId="7822C326">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3" w:type="dxa"/>
                  <w:tcBorders>
                    <w:top w:val="single" w:color="000000" w:sz="12" w:space="0"/>
                  </w:tcBorders>
                  <w:shd w:val="clear" w:color="auto" w:fill="auto"/>
                  <w:vAlign w:val="center"/>
                </w:tcPr>
                <w:p w14:paraId="7F47BE55">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leftChars="0" w:right="0" w:rightChars="0"/>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名称</w:t>
                  </w:r>
                </w:p>
              </w:tc>
              <w:tc>
                <w:tcPr>
                  <w:tcW w:w="1228" w:type="dxa"/>
                  <w:tcBorders>
                    <w:top w:val="single" w:color="000000" w:sz="12" w:space="0"/>
                  </w:tcBorders>
                  <w:shd w:val="clear" w:color="auto" w:fill="auto"/>
                  <w:vAlign w:val="center"/>
                </w:tcPr>
                <w:p w14:paraId="442C62C1">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leftChars="0" w:right="0" w:rightChars="0"/>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w:t>
                  </w:r>
                </w:p>
              </w:tc>
              <w:tc>
                <w:tcPr>
                  <w:tcW w:w="7144" w:type="dxa"/>
                  <w:tcBorders>
                    <w:top w:val="single" w:color="000000" w:sz="12" w:space="0"/>
                  </w:tcBorders>
                  <w:shd w:val="clear" w:color="auto" w:fill="auto"/>
                  <w:vAlign w:val="center"/>
                </w:tcPr>
                <w:p w14:paraId="4F1AC9AB">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leftChars="0" w:right="0" w:rightChars="0"/>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理化性质</w:t>
                  </w:r>
                </w:p>
              </w:tc>
            </w:tr>
            <w:tr w14:paraId="286DF362">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3" w:type="dxa"/>
                  <w:shd w:val="clear" w:color="auto" w:fill="auto"/>
                  <w:vAlign w:val="center"/>
                </w:tcPr>
                <w:p w14:paraId="6A98DD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宋体"/>
                      <w:b w:val="0"/>
                      <w:bCs w:val="0"/>
                      <w:color w:val="auto"/>
                      <w:kern w:val="2"/>
                      <w:sz w:val="21"/>
                      <w:szCs w:val="21"/>
                      <w:highlight w:val="none"/>
                      <w:lang w:val="en-US" w:eastAsia="zh-CN" w:bidi="ar-SA"/>
                    </w:rPr>
                  </w:pPr>
                  <w:r>
                    <w:rPr>
                      <w:rFonts w:hint="eastAsia" w:ascii="Times New Roman" w:hAnsi="Times New Roman" w:eastAsia="宋体" w:cs="宋体"/>
                      <w:b w:val="0"/>
                      <w:bCs w:val="0"/>
                      <w:color w:val="auto"/>
                      <w:sz w:val="21"/>
                      <w:szCs w:val="21"/>
                      <w:highlight w:val="none"/>
                      <w:lang w:val="en-US" w:eastAsia="zh-CN"/>
                    </w:rPr>
                    <w:t>1</w:t>
                  </w:r>
                </w:p>
              </w:tc>
              <w:tc>
                <w:tcPr>
                  <w:tcW w:w="1228" w:type="dxa"/>
                  <w:shd w:val="clear" w:color="auto" w:fill="auto"/>
                  <w:vAlign w:val="center"/>
                </w:tcPr>
                <w:p w14:paraId="2FFEDE7E">
                  <w:pPr>
                    <w:pStyle w:val="56"/>
                    <w:keepNext w:val="0"/>
                    <w:keepLines w:val="0"/>
                    <w:suppressLineNumbers w:val="0"/>
                    <w:spacing w:before="65" w:beforeAutospacing="0" w:after="0" w:afterAutospacing="0" w:line="228" w:lineRule="auto"/>
                    <w:ind w:left="0" w:right="0"/>
                    <w:jc w:val="center"/>
                    <w:rPr>
                      <w:rFonts w:hint="eastAsia"/>
                      <w:spacing w:val="6"/>
                      <w:sz w:val="20"/>
                      <w:szCs w:val="20"/>
                      <w:lang w:val="en-US" w:eastAsia="zh-CN"/>
                    </w:rPr>
                  </w:pPr>
                  <w:r>
                    <w:rPr>
                      <w:rFonts w:hint="eastAsia"/>
                      <w:spacing w:val="6"/>
                      <w:sz w:val="20"/>
                      <w:szCs w:val="20"/>
                      <w:lang w:val="en-US" w:eastAsia="en-US"/>
                    </w:rPr>
                    <w:t>油剂</w:t>
                  </w:r>
                </w:p>
              </w:tc>
              <w:tc>
                <w:tcPr>
                  <w:tcW w:w="7144" w:type="dxa"/>
                  <w:shd w:val="clear" w:color="auto" w:fill="auto"/>
                  <w:vAlign w:val="center"/>
                </w:tcPr>
                <w:p w14:paraId="6FF3E3A7">
                  <w:pPr>
                    <w:pStyle w:val="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38" w:lineRule="auto"/>
                    <w:ind w:left="0" w:right="0" w:rightChars="0"/>
                    <w:jc w:val="center"/>
                    <w:textAlignment w:val="auto"/>
                    <w:rPr>
                      <w:rFonts w:hint="default" w:ascii="Times New Roman" w:hAnsi="Times New Roman"/>
                      <w:spacing w:val="2"/>
                      <w:sz w:val="21"/>
                      <w:szCs w:val="21"/>
                      <w:lang w:val="en-US" w:eastAsia="en-US"/>
                    </w:rPr>
                  </w:pPr>
                  <w:r>
                    <w:rPr>
                      <w:rFonts w:hint="default" w:ascii="Times New Roman" w:hAnsi="Times New Roman"/>
                      <w:spacing w:val="2"/>
                      <w:sz w:val="21"/>
                      <w:szCs w:val="21"/>
                      <w:lang w:val="en-US" w:eastAsia="en-US"/>
                    </w:rPr>
                    <w:t>油剂主要由</w:t>
                  </w:r>
                  <w:r>
                    <w:rPr>
                      <w:rFonts w:hint="eastAsia" w:ascii="Times New Roman" w:hAnsi="Times New Roman"/>
                      <w:spacing w:val="2"/>
                      <w:sz w:val="21"/>
                      <w:szCs w:val="21"/>
                      <w:lang w:val="en-US" w:eastAsia="zh-CN"/>
                    </w:rPr>
                    <w:t>80~90</w:t>
                  </w:r>
                  <w:r>
                    <w:rPr>
                      <w:rFonts w:hint="default" w:ascii="Times New Roman" w:hAnsi="Times New Roman"/>
                      <w:spacing w:val="2"/>
                      <w:sz w:val="21"/>
                      <w:szCs w:val="21"/>
                      <w:lang w:val="en-US" w:eastAsia="en-US"/>
                    </w:rPr>
                    <w:t>%矿物油、</w:t>
                  </w:r>
                  <w:r>
                    <w:rPr>
                      <w:rFonts w:hint="eastAsia" w:ascii="Times New Roman" w:hAnsi="Times New Roman"/>
                      <w:spacing w:val="2"/>
                      <w:sz w:val="21"/>
                      <w:szCs w:val="21"/>
                      <w:lang w:val="en-US" w:eastAsia="zh-CN"/>
                    </w:rPr>
                    <w:t>10~20</w:t>
                  </w:r>
                  <w:r>
                    <w:rPr>
                      <w:rFonts w:hint="default" w:ascii="Times New Roman" w:hAnsi="Times New Roman"/>
                      <w:spacing w:val="2"/>
                      <w:sz w:val="21"/>
                      <w:szCs w:val="21"/>
                      <w:lang w:val="en-US" w:eastAsia="en-US"/>
                    </w:rPr>
                    <w:t>%</w:t>
                  </w:r>
                  <w:r>
                    <w:rPr>
                      <w:rFonts w:hint="eastAsia" w:ascii="Times New Roman" w:hAnsi="Times New Roman"/>
                      <w:spacing w:val="2"/>
                      <w:sz w:val="21"/>
                      <w:szCs w:val="21"/>
                      <w:lang w:val="en-US" w:eastAsia="zh-CN"/>
                    </w:rPr>
                    <w:t>的乳化剂（</w:t>
                  </w:r>
                  <w:r>
                    <w:rPr>
                      <w:rFonts w:hint="eastAsia" w:ascii="Times New Roman" w:hAnsi="Times New Roman"/>
                      <w:spacing w:val="2"/>
                      <w:sz w:val="21"/>
                      <w:szCs w:val="21"/>
                      <w:lang w:eastAsia="zh-CN"/>
                    </w:rPr>
                    <w:t>山梨醇酐单油酸酯</w:t>
                  </w:r>
                  <w:r>
                    <w:rPr>
                      <w:rFonts w:hint="eastAsia" w:ascii="Times New Roman" w:hAnsi="Times New Roman"/>
                      <w:spacing w:val="2"/>
                      <w:sz w:val="21"/>
                      <w:szCs w:val="21"/>
                      <w:lang w:val="en-US" w:eastAsia="zh-CN"/>
                    </w:rPr>
                    <w:t>）</w:t>
                  </w:r>
                  <w:r>
                    <w:rPr>
                      <w:rFonts w:hint="default" w:ascii="Times New Roman" w:hAnsi="Times New Roman"/>
                      <w:spacing w:val="2"/>
                      <w:sz w:val="21"/>
                      <w:szCs w:val="21"/>
                      <w:lang w:val="en-US" w:eastAsia="en-US"/>
                    </w:rPr>
                    <w:t>组成。外观为无色透明油状液体，闪点&gt;130℃。存放在室温条件下。避免热、火焰和火花。禁止与强氧化剂、自由基产生物、强碱、过氧化物、无机酸配比使用。</w:t>
                  </w:r>
                </w:p>
                <w:p w14:paraId="44D4B068">
                  <w:pPr>
                    <w:pStyle w:val="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38" w:lineRule="auto"/>
                    <w:ind w:left="0" w:right="0" w:rightChars="0"/>
                    <w:jc w:val="center"/>
                    <w:textAlignment w:val="auto"/>
                    <w:rPr>
                      <w:rFonts w:hint="default" w:ascii="Times New Roman" w:hAnsi="Times New Roman"/>
                      <w:spacing w:val="2"/>
                      <w:sz w:val="21"/>
                      <w:szCs w:val="21"/>
                      <w:lang w:val="en-US" w:eastAsia="en-US"/>
                    </w:rPr>
                  </w:pPr>
                  <w:r>
                    <w:rPr>
                      <w:rFonts w:hint="default" w:ascii="Times New Roman" w:hAnsi="Times New Roman"/>
                      <w:spacing w:val="2"/>
                      <w:sz w:val="21"/>
                      <w:szCs w:val="21"/>
                      <w:lang w:val="en-US" w:eastAsia="en-US"/>
                    </w:rPr>
                    <w:t>矿物油：CAS号8042-47-5，又名液体石蜡、白矿油，无色透明油状黏性液体，密度0.831~0.883，闪点164～223°C，没有固定沸点。</w:t>
                  </w:r>
                </w:p>
                <w:p w14:paraId="3678CEED">
                  <w:pPr>
                    <w:pStyle w:val="5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38" w:lineRule="auto"/>
                    <w:ind w:left="0" w:right="0" w:rightChars="0"/>
                    <w:jc w:val="center"/>
                    <w:textAlignment w:val="auto"/>
                    <w:rPr>
                      <w:rFonts w:hint="eastAsia"/>
                      <w:spacing w:val="6"/>
                      <w:sz w:val="20"/>
                      <w:szCs w:val="20"/>
                      <w:lang w:val="en-US" w:eastAsia="zh-CN"/>
                    </w:rPr>
                  </w:pPr>
                  <w:r>
                    <w:rPr>
                      <w:rFonts w:hint="eastAsia" w:ascii="Times New Roman" w:hAnsi="Times New Roman"/>
                      <w:spacing w:val="2"/>
                      <w:sz w:val="21"/>
                      <w:szCs w:val="21"/>
                      <w:lang w:eastAsia="zh-CN"/>
                    </w:rPr>
                    <w:t>山梨醇酐单油酸酯</w:t>
                  </w:r>
                  <w:r>
                    <w:rPr>
                      <w:rFonts w:hint="default" w:ascii="Times New Roman" w:hAnsi="Times New Roman"/>
                      <w:spacing w:val="2"/>
                      <w:sz w:val="21"/>
                      <w:szCs w:val="21"/>
                      <w:lang w:val="en-US" w:eastAsia="en-US"/>
                    </w:rPr>
                    <w:t>：CAS号</w:t>
                  </w:r>
                  <w:r>
                    <w:rPr>
                      <w:rFonts w:hint="eastAsia" w:ascii="Times New Roman" w:hAnsi="Times New Roman"/>
                      <w:spacing w:val="2"/>
                      <w:sz w:val="21"/>
                      <w:szCs w:val="21"/>
                      <w:lang w:val="en-US" w:eastAsia="zh-CN"/>
                    </w:rPr>
                    <w:t>1338-43-8</w:t>
                  </w:r>
                  <w:r>
                    <w:rPr>
                      <w:rFonts w:hint="default" w:ascii="Times New Roman" w:hAnsi="Times New Roman"/>
                      <w:spacing w:val="2"/>
                      <w:sz w:val="21"/>
                      <w:szCs w:val="21"/>
                      <w:lang w:val="en-US" w:eastAsia="en-US"/>
                    </w:rPr>
                    <w:t>，</w:t>
                  </w:r>
                  <w:r>
                    <w:rPr>
                      <w:rFonts w:hint="eastAsia" w:ascii="Times New Roman" w:hAnsi="Times New Roman"/>
                      <w:spacing w:val="2"/>
                      <w:sz w:val="21"/>
                      <w:szCs w:val="21"/>
                      <w:lang w:eastAsia="zh-CN"/>
                    </w:rPr>
                    <w:t>山梨醇酐单油酸酯的外观呈琥珀色粘稠油状液体或浅黄至棕黄色小珠状或片状硬质蜡状固体，具有特殊的异味，但味道柔和。这种物质不溶于水，是一种广泛应用的表面活性剂。它具有良好的乳化、润湿、分散和渗透等性能，被广泛应用于化妆品、食品、医药、农药和纺织品等领域</w:t>
                  </w:r>
                </w:p>
              </w:tc>
            </w:tr>
            <w:tr w14:paraId="03DA3DEA">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3" w:type="dxa"/>
                  <w:tcBorders>
                    <w:bottom w:val="single" w:color="auto" w:sz="12" w:space="0"/>
                  </w:tcBorders>
                  <w:shd w:val="clear" w:color="auto" w:fill="auto"/>
                  <w:vAlign w:val="center"/>
                </w:tcPr>
                <w:p w14:paraId="1CECE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宋体"/>
                      <w:b w:val="0"/>
                      <w:bCs w:val="0"/>
                      <w:color w:val="auto"/>
                      <w:sz w:val="21"/>
                      <w:szCs w:val="21"/>
                      <w:highlight w:val="none"/>
                      <w:lang w:val="en-US" w:eastAsia="zh-CN"/>
                    </w:rPr>
                  </w:pPr>
                  <w:r>
                    <w:rPr>
                      <w:rFonts w:hint="eastAsia" w:cs="宋体"/>
                      <w:b w:val="0"/>
                      <w:bCs w:val="0"/>
                      <w:color w:val="auto"/>
                      <w:sz w:val="21"/>
                      <w:szCs w:val="21"/>
                      <w:highlight w:val="none"/>
                      <w:lang w:val="en-US" w:eastAsia="zh-CN"/>
                    </w:rPr>
                    <w:t>2</w:t>
                  </w:r>
                </w:p>
              </w:tc>
              <w:tc>
                <w:tcPr>
                  <w:tcW w:w="1228" w:type="dxa"/>
                  <w:tcBorders>
                    <w:bottom w:val="single" w:color="auto" w:sz="12" w:space="0"/>
                  </w:tcBorders>
                  <w:shd w:val="clear" w:color="auto" w:fill="auto"/>
                  <w:vAlign w:val="center"/>
                </w:tcPr>
                <w:p w14:paraId="16A082B6">
                  <w:pPr>
                    <w:pStyle w:val="56"/>
                    <w:keepNext w:val="0"/>
                    <w:keepLines w:val="0"/>
                    <w:suppressLineNumbers w:val="0"/>
                    <w:spacing w:before="65" w:beforeAutospacing="0" w:after="0" w:afterAutospacing="0" w:line="228" w:lineRule="auto"/>
                    <w:ind w:left="0" w:right="0"/>
                    <w:jc w:val="center"/>
                    <w:rPr>
                      <w:rFonts w:hint="eastAsia" w:ascii="Times New Roman" w:hAnsi="Times New Roman" w:eastAsia="宋体" w:cs="Times New Roman"/>
                      <w:b w:val="0"/>
                      <w:bCs w:val="0"/>
                      <w:color w:val="auto"/>
                      <w:sz w:val="21"/>
                      <w:szCs w:val="21"/>
                      <w:highlight w:val="none"/>
                      <w:lang w:val="en-US" w:eastAsia="zh-CN"/>
                    </w:rPr>
                  </w:pPr>
                  <w:r>
                    <w:rPr>
                      <w:rFonts w:hint="eastAsia"/>
                      <w:spacing w:val="6"/>
                      <w:sz w:val="20"/>
                      <w:szCs w:val="20"/>
                      <w:lang w:eastAsia="zh-CN"/>
                    </w:rPr>
                    <w:t>机油</w:t>
                  </w:r>
                </w:p>
              </w:tc>
              <w:tc>
                <w:tcPr>
                  <w:tcW w:w="7144" w:type="dxa"/>
                  <w:tcBorders>
                    <w:bottom w:val="single" w:color="auto" w:sz="12" w:space="0"/>
                  </w:tcBorders>
                  <w:shd w:val="clear" w:color="auto" w:fill="auto"/>
                  <w:vAlign w:val="center"/>
                </w:tcPr>
                <w:p w14:paraId="7ABA88DD">
                  <w:pPr>
                    <w:pStyle w:val="56"/>
                    <w:keepNext w:val="0"/>
                    <w:keepLines w:val="0"/>
                    <w:suppressLineNumbers w:val="0"/>
                    <w:spacing w:before="40" w:beforeAutospacing="0" w:after="0" w:afterAutospacing="0" w:line="237" w:lineRule="auto"/>
                    <w:ind w:left="0" w:right="98" w:rightChars="0"/>
                    <w:jc w:val="center"/>
                    <w:rPr>
                      <w:rFonts w:hint="default" w:ascii="宋体" w:hAnsi="宋体" w:eastAsia="宋体" w:cs="宋体"/>
                      <w:b w:val="0"/>
                      <w:bCs w:val="0"/>
                      <w:spacing w:val="1"/>
                      <w:kern w:val="2"/>
                      <w:sz w:val="20"/>
                      <w:szCs w:val="20"/>
                      <w:lang w:val="en-US" w:eastAsia="en-US" w:bidi="ar-SA"/>
                    </w:rPr>
                  </w:pPr>
                  <w:r>
                    <w:rPr>
                      <w:rFonts w:hint="default" w:ascii="Times New Roman" w:hAnsi="Times New Roman"/>
                      <w:spacing w:val="2"/>
                      <w:sz w:val="21"/>
                      <w:szCs w:val="21"/>
                      <w:lang w:eastAsia="zh-CN"/>
                    </w:rPr>
                    <w:t>油状液体，淡黄色至褐色，无气味或略带异味，分子量230~500，相对密度（水=1）＜1，不溶于水，可燃，闪点120~340℃</w:t>
                  </w:r>
                  <w:r>
                    <w:rPr>
                      <w:rFonts w:hint="eastAsia" w:ascii="Times New Roman" w:hAnsi="Times New Roman"/>
                      <w:spacing w:val="2"/>
                      <w:sz w:val="21"/>
                      <w:szCs w:val="21"/>
                      <w:lang w:eastAsia="zh-CN"/>
                    </w:rPr>
                    <w:t>，</w:t>
                  </w:r>
                  <w:r>
                    <w:rPr>
                      <w:rFonts w:hint="default" w:ascii="Times New Roman" w:hAnsi="Times New Roman"/>
                      <w:spacing w:val="2"/>
                      <w:sz w:val="21"/>
                      <w:szCs w:val="21"/>
                      <w:lang w:eastAsia="zh-CN"/>
                    </w:rPr>
                    <w:t>自燃点300~350℃</w:t>
                  </w:r>
                  <w:r>
                    <w:rPr>
                      <w:rFonts w:hint="eastAsia" w:ascii="Times New Roman" w:hAnsi="Times New Roman"/>
                      <w:spacing w:val="2"/>
                      <w:sz w:val="21"/>
                      <w:szCs w:val="21"/>
                      <w:lang w:eastAsia="zh-CN"/>
                    </w:rPr>
                    <w:t>，</w:t>
                  </w:r>
                  <w:r>
                    <w:rPr>
                      <w:rFonts w:hint="default" w:ascii="Times New Roman" w:hAnsi="Times New Roman"/>
                      <w:spacing w:val="2"/>
                      <w:sz w:val="21"/>
                      <w:szCs w:val="21"/>
                      <w:lang w:eastAsia="zh-CN"/>
                    </w:rPr>
                    <w:t>遇明火、高热可燃，主要起润滑、辅助冷却、</w:t>
                  </w:r>
                  <w:r>
                    <w:rPr>
                      <w:rFonts w:hint="default" w:ascii="Times New Roman" w:hAnsi="Times New Roman"/>
                      <w:spacing w:val="2"/>
                      <w:sz w:val="21"/>
                      <w:szCs w:val="21"/>
                      <w:lang w:eastAsia="zh-CN"/>
                    </w:rPr>
                    <w:fldChar w:fldCharType="begin"/>
                  </w:r>
                  <w:r>
                    <w:rPr>
                      <w:rFonts w:hint="default" w:ascii="Times New Roman" w:hAnsi="Times New Roman"/>
                      <w:spacing w:val="2"/>
                      <w:sz w:val="21"/>
                      <w:szCs w:val="21"/>
                      <w:lang w:eastAsia="zh-CN"/>
                    </w:rPr>
                    <w:instrText xml:space="preserve"> HYPERLINK "https://baike.baidu.com/item/%E9%98%B2%E9%94%88/4591680" </w:instrText>
                  </w:r>
                  <w:r>
                    <w:rPr>
                      <w:rFonts w:hint="default" w:ascii="Times New Roman" w:hAnsi="Times New Roman"/>
                      <w:spacing w:val="2"/>
                      <w:sz w:val="21"/>
                      <w:szCs w:val="21"/>
                      <w:lang w:eastAsia="zh-CN"/>
                    </w:rPr>
                    <w:fldChar w:fldCharType="separate"/>
                  </w:r>
                  <w:r>
                    <w:rPr>
                      <w:rFonts w:hint="default" w:ascii="Times New Roman" w:hAnsi="Times New Roman"/>
                      <w:spacing w:val="2"/>
                      <w:sz w:val="21"/>
                      <w:szCs w:val="21"/>
                      <w:lang w:eastAsia="zh-CN"/>
                    </w:rPr>
                    <w:t>防锈</w:t>
                  </w:r>
                  <w:r>
                    <w:rPr>
                      <w:rFonts w:hint="default" w:ascii="Times New Roman" w:hAnsi="Times New Roman"/>
                      <w:spacing w:val="2"/>
                      <w:sz w:val="21"/>
                      <w:szCs w:val="21"/>
                      <w:lang w:eastAsia="zh-CN"/>
                    </w:rPr>
                    <w:fldChar w:fldCharType="end"/>
                  </w:r>
                  <w:r>
                    <w:rPr>
                      <w:rFonts w:hint="default" w:ascii="Times New Roman" w:hAnsi="Times New Roman"/>
                      <w:spacing w:val="2"/>
                      <w:sz w:val="21"/>
                      <w:szCs w:val="21"/>
                      <w:lang w:eastAsia="zh-CN"/>
                    </w:rPr>
                    <w:t>、清洁、</w:t>
                  </w:r>
                  <w:r>
                    <w:rPr>
                      <w:rFonts w:hint="default" w:ascii="Times New Roman" w:hAnsi="Times New Roman"/>
                      <w:spacing w:val="2"/>
                      <w:sz w:val="21"/>
                      <w:szCs w:val="21"/>
                      <w:lang w:eastAsia="zh-CN"/>
                    </w:rPr>
                    <w:fldChar w:fldCharType="begin"/>
                  </w:r>
                  <w:r>
                    <w:rPr>
                      <w:rFonts w:hint="default" w:ascii="Times New Roman" w:hAnsi="Times New Roman"/>
                      <w:spacing w:val="2"/>
                      <w:sz w:val="21"/>
                      <w:szCs w:val="21"/>
                      <w:lang w:eastAsia="zh-CN"/>
                    </w:rPr>
                    <w:instrText xml:space="preserve"> HYPERLINK "https://baike.baidu.com/item/%E5%AF%86%E5%B0%81/7558996" </w:instrText>
                  </w:r>
                  <w:r>
                    <w:rPr>
                      <w:rFonts w:hint="default" w:ascii="Times New Roman" w:hAnsi="Times New Roman"/>
                      <w:spacing w:val="2"/>
                      <w:sz w:val="21"/>
                      <w:szCs w:val="21"/>
                      <w:lang w:eastAsia="zh-CN"/>
                    </w:rPr>
                    <w:fldChar w:fldCharType="separate"/>
                  </w:r>
                  <w:r>
                    <w:rPr>
                      <w:rFonts w:hint="default" w:ascii="Times New Roman" w:hAnsi="Times New Roman"/>
                      <w:spacing w:val="2"/>
                      <w:sz w:val="21"/>
                      <w:szCs w:val="21"/>
                      <w:lang w:eastAsia="zh-CN"/>
                    </w:rPr>
                    <w:t>密封</w:t>
                  </w:r>
                  <w:r>
                    <w:rPr>
                      <w:rFonts w:hint="default" w:ascii="Times New Roman" w:hAnsi="Times New Roman"/>
                      <w:spacing w:val="2"/>
                      <w:sz w:val="21"/>
                      <w:szCs w:val="21"/>
                      <w:lang w:eastAsia="zh-CN"/>
                    </w:rPr>
                    <w:fldChar w:fldCharType="end"/>
                  </w:r>
                  <w:r>
                    <w:rPr>
                      <w:rFonts w:hint="default" w:ascii="Times New Roman" w:hAnsi="Times New Roman"/>
                      <w:spacing w:val="2"/>
                      <w:sz w:val="21"/>
                      <w:szCs w:val="21"/>
                      <w:lang w:eastAsia="zh-CN"/>
                    </w:rPr>
                    <w:t>和缓冲等作用。</w:t>
                  </w:r>
                </w:p>
              </w:tc>
            </w:tr>
          </w:tbl>
          <w:p w14:paraId="1A604829">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六、劳动定员</w:t>
            </w:r>
            <w:r>
              <w:rPr>
                <w:rFonts w:hint="default" w:ascii="Times New Roman" w:hAnsi="Times New Roman" w:eastAsia="宋体" w:cs="Times New Roman"/>
                <w:color w:val="auto"/>
                <w:highlight w:val="none"/>
                <w:lang w:eastAsia="zh-CN"/>
              </w:rPr>
              <w:t>和工作制度</w:t>
            </w:r>
          </w:p>
          <w:p w14:paraId="5920D976">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劳动定员</w:t>
            </w:r>
          </w:p>
          <w:p w14:paraId="3AB1545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劳动</w:t>
            </w:r>
            <w:r>
              <w:rPr>
                <w:rFonts w:hint="default" w:ascii="Times New Roman" w:hAnsi="Times New Roman" w:cs="Times New Roman"/>
                <w:color w:val="auto"/>
                <w:highlight w:val="none"/>
              </w:rPr>
              <w:t>定员为</w:t>
            </w:r>
            <w:r>
              <w:rPr>
                <w:rFonts w:hint="eastAsia" w:cs="Times New Roman"/>
                <w:color w:val="auto"/>
                <w:highlight w:val="none"/>
                <w:lang w:val="en-US" w:eastAsia="zh-CN"/>
              </w:rPr>
              <w:t>10</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人</w:t>
            </w:r>
            <w:r>
              <w:rPr>
                <w:rFonts w:hint="default" w:ascii="Times New Roman" w:hAnsi="Times New Roman" w:cs="Times New Roman"/>
                <w:color w:val="auto"/>
                <w:highlight w:val="none"/>
                <w:lang w:val="en-US" w:eastAsia="zh-CN"/>
              </w:rPr>
              <w:t>，厂区</w:t>
            </w:r>
            <w:r>
              <w:rPr>
                <w:rFonts w:hint="eastAsia" w:cs="Times New Roman"/>
                <w:color w:val="auto"/>
                <w:highlight w:val="none"/>
                <w:lang w:val="en-US" w:eastAsia="zh-CN"/>
              </w:rPr>
              <w:t>不提供食宿</w:t>
            </w:r>
            <w:r>
              <w:rPr>
                <w:rFonts w:hint="default" w:ascii="Times New Roman" w:hAnsi="Times New Roman" w:cs="Times New Roman"/>
                <w:color w:val="auto"/>
                <w:highlight w:val="none"/>
                <w:lang w:eastAsia="zh-CN"/>
              </w:rPr>
              <w:t>。</w:t>
            </w:r>
          </w:p>
          <w:p w14:paraId="6FC29427">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工作制度</w:t>
            </w:r>
          </w:p>
          <w:p w14:paraId="64DD1BC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项目全年有效生产天数为300天，工作制度实行</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班制，每班工作8小时。</w:t>
            </w:r>
          </w:p>
          <w:p w14:paraId="393EFCF8">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七、厂区平面布置</w:t>
            </w:r>
          </w:p>
          <w:p w14:paraId="14E3F0DE">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项目位于</w:t>
            </w:r>
            <w:r>
              <w:rPr>
                <w:rFonts w:hint="eastAsia" w:cs="Times New Roman"/>
                <w:color w:val="auto"/>
                <w:kern w:val="0"/>
                <w:sz w:val="24"/>
                <w:szCs w:val="24"/>
                <w:highlight w:val="none"/>
                <w:lang w:val="en-US" w:eastAsia="zh-CN" w:bidi="ar"/>
              </w:rPr>
              <w:t>安徽省蚌埠市五河县开发区彩虹大道与兴潼路交口西80米</w:t>
            </w:r>
            <w:r>
              <w:rPr>
                <w:rFonts w:hint="eastAsia" w:ascii="Times New Roman" w:hAnsi="Times New Roman" w:eastAsia="宋体" w:cs="Times New Roman"/>
                <w:color w:val="auto"/>
                <w:kern w:val="0"/>
                <w:sz w:val="24"/>
                <w:szCs w:val="24"/>
                <w:highlight w:val="none"/>
                <w:lang w:val="en-US" w:eastAsia="zh-CN" w:bidi="ar"/>
              </w:rPr>
              <w:t>。厂区呈矩形布置</w:t>
            </w:r>
            <w:r>
              <w:rPr>
                <w:rFonts w:hint="eastAsia" w:ascii="Times New Roman" w:hAnsi="Times New Roman" w:eastAsia="宋体" w:cs="Times New Roman"/>
                <w:color w:val="auto"/>
                <w:kern w:val="0"/>
                <w:sz w:val="24"/>
                <w:szCs w:val="24"/>
                <w:highlight w:val="none"/>
                <w:lang w:val="zh-CN" w:eastAsia="zh-CN" w:bidi="ar"/>
              </w:rPr>
              <w:t>，</w:t>
            </w:r>
            <w:r>
              <w:rPr>
                <w:rFonts w:hint="eastAsia" w:ascii="Times New Roman" w:hAnsi="Times New Roman" w:eastAsia="宋体" w:cs="Times New Roman"/>
                <w:color w:val="auto"/>
                <w:kern w:val="0"/>
                <w:sz w:val="24"/>
                <w:szCs w:val="24"/>
                <w:highlight w:val="none"/>
                <w:lang w:val="en-US" w:eastAsia="zh-CN" w:bidi="ar"/>
              </w:rPr>
              <w:t>分为东西两部分。</w:t>
            </w:r>
            <w:r>
              <w:rPr>
                <w:rFonts w:hint="eastAsia" w:ascii="Times New Roman" w:hAnsi="Times New Roman" w:eastAsia="宋体" w:cs="Times New Roman"/>
                <w:color w:val="auto"/>
                <w:kern w:val="0"/>
                <w:sz w:val="24"/>
                <w:szCs w:val="24"/>
                <w:highlight w:val="none"/>
                <w:lang w:val="zh-CN" w:eastAsia="zh-CN" w:bidi="ar"/>
              </w:rPr>
              <w:t>厂区</w:t>
            </w:r>
            <w:r>
              <w:rPr>
                <w:rFonts w:hint="eastAsia" w:cs="Times New Roman"/>
                <w:color w:val="auto"/>
                <w:kern w:val="0"/>
                <w:sz w:val="24"/>
                <w:szCs w:val="24"/>
                <w:highlight w:val="none"/>
                <w:lang w:val="en-US" w:eastAsia="zh-CN" w:bidi="ar"/>
              </w:rPr>
              <w:t>东</w:t>
            </w:r>
            <w:r>
              <w:rPr>
                <w:rFonts w:hint="eastAsia" w:ascii="Times New Roman" w:hAnsi="Times New Roman" w:eastAsia="宋体" w:cs="Times New Roman"/>
                <w:color w:val="auto"/>
                <w:kern w:val="0"/>
                <w:sz w:val="24"/>
                <w:szCs w:val="24"/>
                <w:highlight w:val="none"/>
                <w:lang w:val="en-US" w:eastAsia="zh-CN" w:bidi="ar"/>
              </w:rPr>
              <w:t>部</w:t>
            </w:r>
            <w:r>
              <w:rPr>
                <w:rFonts w:hint="eastAsia" w:ascii="Times New Roman" w:hAnsi="Times New Roman" w:eastAsia="宋体" w:cs="Times New Roman"/>
                <w:color w:val="auto"/>
                <w:kern w:val="0"/>
                <w:sz w:val="24"/>
                <w:szCs w:val="24"/>
                <w:highlight w:val="none"/>
                <w:lang w:val="zh-CN" w:eastAsia="zh-CN" w:bidi="ar"/>
              </w:rPr>
              <w:t>为</w:t>
            </w:r>
            <w:r>
              <w:rPr>
                <w:rFonts w:hint="eastAsia" w:cs="Times New Roman"/>
                <w:color w:val="auto"/>
                <w:kern w:val="0"/>
                <w:sz w:val="24"/>
                <w:szCs w:val="24"/>
                <w:highlight w:val="none"/>
                <w:lang w:val="en-US" w:eastAsia="zh-CN" w:bidi="ar"/>
              </w:rPr>
              <w:t>1#厂房</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西</w:t>
            </w:r>
            <w:r>
              <w:rPr>
                <w:rFonts w:hint="eastAsia" w:ascii="Times New Roman" w:hAnsi="Times New Roman" w:eastAsia="宋体" w:cs="Times New Roman"/>
                <w:color w:val="auto"/>
                <w:kern w:val="0"/>
                <w:sz w:val="24"/>
                <w:szCs w:val="24"/>
                <w:highlight w:val="none"/>
                <w:lang w:val="en-US" w:eastAsia="zh-CN" w:bidi="ar"/>
              </w:rPr>
              <w:t>部为</w:t>
            </w:r>
            <w:r>
              <w:rPr>
                <w:rFonts w:hint="eastAsia" w:cs="Times New Roman"/>
                <w:color w:val="auto"/>
                <w:kern w:val="0"/>
                <w:sz w:val="24"/>
                <w:szCs w:val="24"/>
                <w:highlight w:val="none"/>
                <w:lang w:val="en-US" w:eastAsia="zh-CN" w:bidi="ar"/>
              </w:rPr>
              <w:t>2#厂房、综合楼、污水处理站</w:t>
            </w:r>
            <w:r>
              <w:rPr>
                <w:rFonts w:hint="eastAsia" w:ascii="Times New Roman" w:hAnsi="Times New Roman" w:eastAsia="宋体" w:cs="Times New Roman"/>
                <w:color w:val="auto"/>
                <w:kern w:val="0"/>
                <w:sz w:val="24"/>
                <w:szCs w:val="24"/>
                <w:highlight w:val="none"/>
                <w:lang w:val="zh-CN" w:eastAsia="zh-CN" w:bidi="ar"/>
              </w:rPr>
              <w:t>。厂区共设有</w:t>
            </w:r>
            <w:r>
              <w:rPr>
                <w:rFonts w:hint="eastAsia" w:cs="Times New Roman"/>
                <w:color w:val="auto"/>
                <w:kern w:val="0"/>
                <w:sz w:val="24"/>
                <w:szCs w:val="24"/>
                <w:highlight w:val="none"/>
                <w:lang w:val="en-US" w:eastAsia="zh-CN" w:bidi="ar"/>
              </w:rPr>
              <w:t>1</w:t>
            </w:r>
            <w:r>
              <w:rPr>
                <w:rFonts w:hint="eastAsia" w:ascii="Times New Roman" w:hAnsi="Times New Roman" w:eastAsia="宋体" w:cs="Times New Roman"/>
                <w:color w:val="auto"/>
                <w:kern w:val="0"/>
                <w:sz w:val="24"/>
                <w:szCs w:val="24"/>
                <w:highlight w:val="none"/>
                <w:lang w:val="zh-CN" w:eastAsia="zh-CN" w:bidi="ar"/>
              </w:rPr>
              <w:t>个出入口，位于厂区</w:t>
            </w:r>
            <w:r>
              <w:rPr>
                <w:rFonts w:hint="eastAsia" w:ascii="Times New Roman" w:hAnsi="Times New Roman" w:eastAsia="宋体" w:cs="Times New Roman"/>
                <w:color w:val="auto"/>
                <w:kern w:val="0"/>
                <w:sz w:val="24"/>
                <w:szCs w:val="24"/>
                <w:highlight w:val="none"/>
                <w:lang w:val="en-US" w:eastAsia="zh-CN" w:bidi="ar"/>
              </w:rPr>
              <w:t>北</w:t>
            </w:r>
            <w:r>
              <w:rPr>
                <w:rFonts w:hint="eastAsia" w:ascii="Times New Roman" w:hAnsi="Times New Roman" w:eastAsia="宋体" w:cs="Times New Roman"/>
                <w:color w:val="auto"/>
                <w:kern w:val="0"/>
                <w:sz w:val="24"/>
                <w:szCs w:val="24"/>
                <w:highlight w:val="none"/>
                <w:lang w:val="zh-CN" w:eastAsia="zh-CN" w:bidi="ar"/>
              </w:rPr>
              <w:t>侧，物流条件便利。厂区主要建筑物周围设有环形道路，道路宽度约5米，路网能够满足交通及消防要求。</w:t>
            </w:r>
            <w:r>
              <w:rPr>
                <w:rStyle w:val="67"/>
                <w:rFonts w:hint="default" w:cs="Times New Roman"/>
                <w:snapToGrid w:val="0"/>
                <w:color w:val="auto"/>
                <w:sz w:val="24"/>
                <w:highlight w:val="none"/>
              </w:rPr>
              <w:t>因此，项目厂区平面布局较合理。</w:t>
            </w:r>
          </w:p>
          <w:p w14:paraId="2C2D0AB8">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八、公用工程</w:t>
            </w:r>
          </w:p>
          <w:p w14:paraId="5A2486E9">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给水</w:t>
            </w:r>
          </w:p>
          <w:p w14:paraId="3A033673">
            <w:pPr>
              <w:pStyle w:val="42"/>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（一）给水</w:t>
            </w:r>
          </w:p>
          <w:p w14:paraId="5DC529E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项目用水</w:t>
            </w:r>
            <w:r>
              <w:rPr>
                <w:rFonts w:hint="eastAsia" w:cs="Times New Roman"/>
                <w:color w:val="auto"/>
                <w:highlight w:val="none"/>
                <w:lang w:val="en-US" w:eastAsia="zh-CN"/>
              </w:rPr>
              <w:t>由</w:t>
            </w:r>
            <w:r>
              <w:rPr>
                <w:rFonts w:hint="default" w:ascii="Times New Roman" w:hAnsi="Times New Roman" w:cs="Times New Roman"/>
                <w:color w:val="auto"/>
                <w:sz w:val="24"/>
                <w:highlight w:val="none"/>
              </w:rPr>
              <w:t>当地自来水管网</w:t>
            </w:r>
            <w:r>
              <w:rPr>
                <w:rFonts w:hint="eastAsia" w:ascii="Times New Roman" w:hAnsi="Times New Roman" w:cs="Times New Roman"/>
                <w:color w:val="auto"/>
                <w:sz w:val="24"/>
                <w:highlight w:val="none"/>
                <w:lang w:val="en-US" w:eastAsia="zh-CN"/>
              </w:rPr>
              <w:t>供给</w:t>
            </w:r>
            <w:r>
              <w:rPr>
                <w:rFonts w:hint="default" w:ascii="Times New Roman" w:hAnsi="Times New Roman" w:cs="Times New Roman"/>
                <w:color w:val="auto"/>
                <w:highlight w:val="none"/>
              </w:rPr>
              <w:t>。</w:t>
            </w:r>
            <w:r>
              <w:rPr>
                <w:rFonts w:hint="default"/>
                <w:color w:val="auto"/>
                <w:highlight w:val="none"/>
              </w:rPr>
              <w:t>项目</w:t>
            </w:r>
            <w:r>
              <w:rPr>
                <w:rFonts w:hint="eastAsia"/>
                <w:color w:val="auto"/>
                <w:highlight w:val="none"/>
                <w:lang w:val="en-US" w:eastAsia="zh-CN"/>
              </w:rPr>
              <w:t>用</w:t>
            </w:r>
            <w:r>
              <w:rPr>
                <w:rFonts w:hint="default"/>
                <w:color w:val="auto"/>
                <w:highlight w:val="none"/>
              </w:rPr>
              <w:t>水主要包括职工的生活用水</w:t>
            </w:r>
            <w:r>
              <w:rPr>
                <w:rFonts w:hint="eastAsia"/>
                <w:color w:val="auto"/>
                <w:highlight w:val="none"/>
                <w:lang w:val="en-US" w:eastAsia="zh-CN"/>
              </w:rPr>
              <w:t>和</w:t>
            </w:r>
            <w:r>
              <w:rPr>
                <w:rFonts w:hint="default" w:ascii="宋体" w:hAnsi="宋体" w:eastAsia="宋体" w:cs="宋体"/>
                <w:snapToGrid w:val="0"/>
                <w:color w:val="000000"/>
                <w:spacing w:val="-1"/>
                <w:kern w:val="0"/>
                <w:sz w:val="24"/>
                <w:szCs w:val="24"/>
                <w:lang w:val="en-US" w:eastAsia="en-US" w:bidi="ar-SA"/>
              </w:rPr>
              <w:t>喷水织机废水、磨毛废水、厂房设备清洁废水</w:t>
            </w:r>
            <w:r>
              <w:rPr>
                <w:rFonts w:hint="eastAsia"/>
                <w:color w:val="auto"/>
                <w:highlight w:val="none"/>
                <w:lang w:eastAsia="zh-CN"/>
              </w:rPr>
              <w:t>。</w:t>
            </w:r>
          </w:p>
          <w:p w14:paraId="44A7120A">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生活用水</w:t>
            </w:r>
          </w:p>
          <w:p w14:paraId="7A6B465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生活用水是指员工办公</w:t>
            </w:r>
            <w:r>
              <w:rPr>
                <w:rFonts w:hint="default" w:ascii="Times New Roman" w:hAnsi="Times New Roman" w:eastAsia="宋体" w:cs="Times New Roman"/>
                <w:color w:val="auto"/>
                <w:highlight w:val="none"/>
                <w:lang w:eastAsia="zh-CN"/>
              </w:rPr>
              <w:t>生活</w:t>
            </w:r>
            <w:r>
              <w:rPr>
                <w:rFonts w:hint="default" w:ascii="Times New Roman" w:hAnsi="Times New Roman" w:eastAsia="宋体" w:cs="Times New Roman"/>
                <w:color w:val="auto"/>
                <w:highlight w:val="none"/>
              </w:rPr>
              <w:t>用水，</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劳动</w:t>
            </w:r>
            <w:r>
              <w:rPr>
                <w:rFonts w:hint="default" w:ascii="Times New Roman" w:hAnsi="Times New Roman" w:cs="Times New Roman"/>
                <w:color w:val="auto"/>
                <w:highlight w:val="none"/>
              </w:rPr>
              <w:t>定员为</w:t>
            </w:r>
            <w:r>
              <w:rPr>
                <w:rFonts w:hint="eastAsia" w:cs="Times New Roman"/>
                <w:color w:val="auto"/>
                <w:highlight w:val="none"/>
                <w:lang w:val="en-US" w:eastAsia="zh-CN"/>
              </w:rPr>
              <w:t>10</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人</w:t>
            </w:r>
            <w:r>
              <w:rPr>
                <w:rFonts w:hint="default" w:ascii="Times New Roman" w:hAnsi="Times New Roman" w:eastAsia="宋体" w:cs="Times New Roman"/>
                <w:color w:val="auto"/>
                <w:highlight w:val="none"/>
              </w:rPr>
              <w:t>，</w:t>
            </w:r>
            <w:r>
              <w:rPr>
                <w:rStyle w:val="67"/>
                <w:rFonts w:hint="eastAsia"/>
                <w:color w:val="auto"/>
                <w:highlight w:val="none"/>
                <w:lang w:val="en-US" w:eastAsia="zh-CN"/>
              </w:rPr>
              <w:t>根据《安徽省行业用水定额》（DB34/T679-2025）</w:t>
            </w:r>
            <w:r>
              <w:rPr>
                <w:rStyle w:val="67"/>
                <w:rFonts w:hint="eastAsia" w:eastAsia="宋体"/>
                <w:color w:val="auto"/>
                <w:highlight w:val="none"/>
                <w:lang w:val="en-US" w:eastAsia="zh-CN"/>
              </w:rPr>
              <w:t>员工</w:t>
            </w:r>
            <w:r>
              <w:rPr>
                <w:rFonts w:hint="default"/>
                <w:color w:val="auto"/>
                <w:highlight w:val="none"/>
              </w:rPr>
              <w:t>生活</w:t>
            </w:r>
            <w:r>
              <w:rPr>
                <w:rStyle w:val="67"/>
                <w:rFonts w:hint="default"/>
                <w:color w:val="auto"/>
                <w:highlight w:val="none"/>
              </w:rPr>
              <w:t>用水</w:t>
            </w:r>
            <w:r>
              <w:rPr>
                <w:rStyle w:val="67"/>
                <w:rFonts w:hint="eastAsia" w:eastAsia="宋体"/>
                <w:color w:val="auto"/>
                <w:highlight w:val="none"/>
                <w:lang w:val="en-US" w:eastAsia="zh-CN"/>
              </w:rPr>
              <w:t>量</w:t>
            </w:r>
            <w:r>
              <w:rPr>
                <w:rStyle w:val="67"/>
                <w:rFonts w:hint="default"/>
                <w:color w:val="auto"/>
                <w:highlight w:val="none"/>
              </w:rPr>
              <w:t>按</w:t>
            </w:r>
            <w:r>
              <w:rPr>
                <w:rStyle w:val="67"/>
                <w:rFonts w:hint="eastAsia"/>
                <w:color w:val="auto"/>
                <w:highlight w:val="none"/>
                <w:lang w:val="en-US" w:eastAsia="zh-CN"/>
              </w:rPr>
              <w:t>15m</w:t>
            </w:r>
            <w:r>
              <w:rPr>
                <w:rStyle w:val="67"/>
                <w:rFonts w:hint="eastAsia"/>
                <w:color w:val="auto"/>
                <w:highlight w:val="none"/>
                <w:vertAlign w:val="superscript"/>
                <w:lang w:val="en-US" w:eastAsia="zh-CN"/>
              </w:rPr>
              <w:t>3</w:t>
            </w:r>
            <w:r>
              <w:rPr>
                <w:rStyle w:val="67"/>
                <w:rFonts w:hint="default"/>
                <w:color w:val="auto"/>
                <w:highlight w:val="none"/>
              </w:rPr>
              <w:t>/人</w:t>
            </w:r>
            <w:r>
              <w:rPr>
                <w:rStyle w:val="67"/>
                <w:rFonts w:hint="eastAsia"/>
                <w:color w:val="auto"/>
                <w:highlight w:val="none"/>
                <w:lang w:val="en-US" w:eastAsia="zh-CN"/>
              </w:rPr>
              <w:t>a</w:t>
            </w:r>
            <w:r>
              <w:rPr>
                <w:rStyle w:val="67"/>
                <w:rFonts w:hint="default"/>
                <w:color w:val="auto"/>
                <w:highlight w:val="none"/>
              </w:rPr>
              <w:t>计，</w:t>
            </w:r>
            <w:r>
              <w:rPr>
                <w:rFonts w:hint="default" w:ascii="Times New Roman" w:hAnsi="Times New Roman" w:eastAsia="宋体" w:cs="Times New Roman"/>
                <w:color w:val="auto"/>
                <w:highlight w:val="none"/>
                <w:lang w:eastAsia="zh-CN"/>
              </w:rPr>
              <w:t>年</w:t>
            </w:r>
            <w:r>
              <w:rPr>
                <w:rFonts w:hint="default" w:ascii="Times New Roman" w:hAnsi="Times New Roman" w:eastAsia="宋体" w:cs="Times New Roman"/>
                <w:color w:val="auto"/>
                <w:highlight w:val="none"/>
              </w:rPr>
              <w:t>用水量为</w:t>
            </w:r>
            <w:r>
              <w:rPr>
                <w:rFonts w:hint="eastAsia" w:cs="Times New Roman"/>
                <w:color w:val="auto"/>
                <w:highlight w:val="none"/>
                <w:lang w:val="en-US" w:eastAsia="zh-CN"/>
              </w:rPr>
              <w:t>1500</w:t>
            </w:r>
            <w:r>
              <w:rPr>
                <w:rFonts w:hint="default" w:ascii="Times New Roman" w:hAnsi="Times New Roman" w:eastAsia="宋体" w:cs="Times New Roman"/>
                <w:color w:val="auto"/>
                <w:highlight w:val="none"/>
              </w:rPr>
              <w:t>t/a</w:t>
            </w:r>
            <w:r>
              <w:rPr>
                <w:rFonts w:hint="default" w:ascii="Times New Roman" w:hAnsi="Times New Roman" w:eastAsia="宋体" w:cs="Times New Roman"/>
                <w:color w:val="auto"/>
                <w:highlight w:val="none"/>
                <w:lang w:eastAsia="zh-CN"/>
              </w:rPr>
              <w:t>（</w:t>
            </w:r>
            <w:r>
              <w:rPr>
                <w:rFonts w:hint="eastAsia" w:cs="Times New Roman"/>
                <w:color w:val="auto"/>
                <w:highlight w:val="none"/>
                <w:lang w:val="en-US" w:eastAsia="zh-CN"/>
              </w:rPr>
              <w:t>5t/d</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w:t>
            </w:r>
          </w:p>
          <w:p w14:paraId="63969E3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rPr>
            </w:pP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w:t>
            </w:r>
            <w:r>
              <w:rPr>
                <w:rFonts w:hint="eastAsia" w:ascii="宋体" w:hAnsi="宋体" w:cs="宋体"/>
                <w:snapToGrid w:val="0"/>
                <w:color w:val="000000"/>
                <w:spacing w:val="-4"/>
                <w:kern w:val="0"/>
                <w:sz w:val="24"/>
                <w:szCs w:val="24"/>
                <w:lang w:val="en-US" w:eastAsia="zh-CN" w:bidi="ar-SA"/>
              </w:rPr>
              <w:t>生产</w:t>
            </w:r>
            <w:r>
              <w:rPr>
                <w:rFonts w:hint="eastAsia" w:ascii="宋体" w:hAnsi="宋体" w:eastAsia="宋体" w:cs="宋体"/>
                <w:snapToGrid w:val="0"/>
                <w:color w:val="000000"/>
                <w:spacing w:val="-4"/>
                <w:kern w:val="0"/>
                <w:sz w:val="24"/>
                <w:szCs w:val="24"/>
                <w:lang w:val="en-US" w:eastAsia="zh-CN" w:bidi="ar-SA"/>
              </w:rPr>
              <w:t>用</w:t>
            </w:r>
            <w:r>
              <w:rPr>
                <w:rFonts w:hint="default" w:ascii="宋体" w:hAnsi="宋体" w:eastAsia="宋体" w:cs="宋体"/>
                <w:snapToGrid w:val="0"/>
                <w:color w:val="000000"/>
                <w:spacing w:val="-4"/>
                <w:kern w:val="0"/>
                <w:sz w:val="24"/>
                <w:szCs w:val="24"/>
                <w:lang w:val="en-US" w:eastAsia="en-US" w:bidi="ar-SA"/>
              </w:rPr>
              <w:t>水</w:t>
            </w:r>
          </w:p>
          <w:p w14:paraId="1B316554">
            <w:pPr>
              <w:keepNext w:val="0"/>
              <w:keepLines w:val="0"/>
              <w:pageBreakBefore w:val="0"/>
              <w:widowControl w:val="0"/>
              <w:suppressLineNumbers w:val="0"/>
              <w:kinsoku/>
              <w:wordWrap/>
              <w:overflowPunct/>
              <w:topLinePunct w:val="0"/>
              <w:autoSpaceDE w:val="0"/>
              <w:autoSpaceDN w:val="0"/>
              <w:bidi w:val="0"/>
              <w:adjustRightInd w:val="0"/>
              <w:snapToGrid w:val="0"/>
              <w:spacing w:before="29" w:beforeAutospacing="0" w:after="0" w:afterAutospacing="0" w:line="218" w:lineRule="auto"/>
              <w:ind w:left="530" w:right="0"/>
              <w:jc w:val="left"/>
              <w:textAlignment w:val="baseline"/>
              <w:rPr>
                <w:rFonts w:hint="default" w:ascii="Arial" w:hAnsi="Arial" w:eastAsia="Arial" w:cs="Arial"/>
                <w:snapToGrid w:val="0"/>
                <w:color w:val="000000"/>
                <w:kern w:val="0"/>
                <w:sz w:val="24"/>
                <w:szCs w:val="24"/>
                <w:lang w:eastAsia="en-US"/>
              </w:rPr>
            </w:pPr>
            <w:r>
              <w:rPr>
                <w:rFonts w:hint="eastAsia" w:ascii="宋体" w:hAnsi="宋体" w:cs="宋体"/>
                <w:snapToGrid w:val="0"/>
                <w:color w:val="000000"/>
                <w:spacing w:val="-2"/>
                <w:kern w:val="0"/>
                <w:sz w:val="24"/>
                <w:szCs w:val="24"/>
                <w:lang w:val="en-US" w:eastAsia="zh-CN" w:bidi="ar-SA"/>
              </w:rPr>
              <w:t>①</w:t>
            </w:r>
            <w:r>
              <w:rPr>
                <w:rFonts w:hint="default" w:ascii="宋体" w:hAnsi="宋体" w:eastAsia="宋体" w:cs="宋体"/>
                <w:snapToGrid w:val="0"/>
                <w:color w:val="000000"/>
                <w:spacing w:val="-2"/>
                <w:kern w:val="0"/>
                <w:sz w:val="24"/>
                <w:szCs w:val="24"/>
                <w:lang w:val="en-US" w:eastAsia="en-US" w:bidi="ar-SA"/>
              </w:rPr>
              <w:t>磨毛</w:t>
            </w:r>
            <w:r>
              <w:rPr>
                <w:rFonts w:hint="eastAsia" w:ascii="宋体" w:hAnsi="宋体" w:eastAsia="宋体" w:cs="宋体"/>
                <w:snapToGrid w:val="0"/>
                <w:color w:val="000000"/>
                <w:spacing w:val="-2"/>
                <w:kern w:val="0"/>
                <w:sz w:val="24"/>
                <w:szCs w:val="24"/>
                <w:lang w:val="en-US" w:eastAsia="zh-CN" w:bidi="ar-SA"/>
              </w:rPr>
              <w:t>用</w:t>
            </w:r>
            <w:r>
              <w:rPr>
                <w:rFonts w:hint="default" w:ascii="宋体" w:hAnsi="宋体" w:eastAsia="宋体" w:cs="宋体"/>
                <w:snapToGrid w:val="0"/>
                <w:color w:val="000000"/>
                <w:spacing w:val="-2"/>
                <w:kern w:val="0"/>
                <w:sz w:val="24"/>
                <w:szCs w:val="24"/>
                <w:lang w:val="en-US" w:eastAsia="en-US" w:bidi="ar-SA"/>
              </w:rPr>
              <w:t>水</w:t>
            </w:r>
          </w:p>
          <w:p w14:paraId="1A11ABD9">
            <w:pPr>
              <w:keepNext w:val="0"/>
              <w:keepLines w:val="0"/>
              <w:pageBreakBefore w:val="0"/>
              <w:widowControl w:val="0"/>
              <w:suppressLineNumbers w:val="0"/>
              <w:kinsoku/>
              <w:wordWrap/>
              <w:overflowPunct/>
              <w:topLinePunct w:val="0"/>
              <w:autoSpaceDE w:val="0"/>
              <w:autoSpaceDN w:val="0"/>
              <w:bidi w:val="0"/>
              <w:adjustRightInd w:val="0"/>
              <w:snapToGrid w:val="0"/>
              <w:spacing w:before="197" w:beforeAutospacing="0" w:after="0" w:afterAutospacing="0" w:line="401" w:lineRule="auto"/>
              <w:ind w:left="105" w:right="27" w:firstLine="486"/>
              <w:jc w:val="left"/>
              <w:textAlignment w:val="baseline"/>
              <w:rPr>
                <w:rFonts w:hint="default" w:ascii="Times New Roman" w:hAnsi="Times New Roman" w:eastAsia="宋体" w:cs="宋体"/>
                <w:snapToGrid w:val="0"/>
                <w:color w:val="000000"/>
                <w:spacing w:val="-7"/>
                <w:kern w:val="0"/>
                <w:sz w:val="24"/>
                <w:szCs w:val="24"/>
                <w:lang w:val="en-US" w:eastAsia="en-US" w:bidi="ar-SA"/>
              </w:rPr>
            </w:pPr>
            <w:r>
              <w:rPr>
                <w:rFonts w:hint="default" w:ascii="Times New Roman" w:hAnsi="Times New Roman" w:eastAsia="宋体" w:cs="宋体"/>
                <w:snapToGrid w:val="0"/>
                <w:color w:val="000000"/>
                <w:spacing w:val="-7"/>
                <w:kern w:val="0"/>
                <w:sz w:val="24"/>
                <w:szCs w:val="24"/>
                <w:lang w:val="en-US" w:eastAsia="en-US" w:bidi="ar-SA"/>
              </w:rPr>
              <w:t>每台磨毛机用水量约为3t/d，本项目共设置</w:t>
            </w:r>
            <w:r>
              <w:rPr>
                <w:rFonts w:hint="eastAsia" w:ascii="Times New Roman" w:hAnsi="Times New Roman" w:eastAsia="宋体" w:cs="宋体"/>
                <w:snapToGrid w:val="0"/>
                <w:color w:val="000000"/>
                <w:spacing w:val="-7"/>
                <w:kern w:val="0"/>
                <w:sz w:val="24"/>
                <w:szCs w:val="24"/>
                <w:lang w:val="en-US" w:eastAsia="zh-CN" w:bidi="ar-SA"/>
              </w:rPr>
              <w:t>1</w:t>
            </w:r>
            <w:r>
              <w:rPr>
                <w:rFonts w:hint="default" w:ascii="Times New Roman" w:hAnsi="Times New Roman" w:eastAsia="宋体" w:cs="宋体"/>
                <w:snapToGrid w:val="0"/>
                <w:color w:val="000000"/>
                <w:spacing w:val="-7"/>
                <w:kern w:val="0"/>
                <w:sz w:val="24"/>
                <w:szCs w:val="24"/>
                <w:lang w:val="en-US" w:eastAsia="en-US" w:bidi="ar-SA"/>
              </w:rPr>
              <w:t>台磨毛机，则磨毛用水量为</w:t>
            </w:r>
            <w:r>
              <w:rPr>
                <w:rFonts w:hint="eastAsia" w:ascii="Times New Roman" w:hAnsi="Times New Roman" w:eastAsia="宋体" w:cs="宋体"/>
                <w:snapToGrid w:val="0"/>
                <w:color w:val="000000"/>
                <w:spacing w:val="-7"/>
                <w:kern w:val="0"/>
                <w:sz w:val="24"/>
                <w:szCs w:val="24"/>
                <w:lang w:val="en-US" w:eastAsia="zh-CN" w:bidi="ar-SA"/>
              </w:rPr>
              <w:t>3</w:t>
            </w:r>
            <w:r>
              <w:rPr>
                <w:rFonts w:hint="default" w:ascii="Times New Roman" w:hAnsi="Times New Roman" w:eastAsia="宋体" w:cs="宋体"/>
                <w:snapToGrid w:val="0"/>
                <w:color w:val="000000"/>
                <w:spacing w:val="-7"/>
                <w:kern w:val="0"/>
                <w:sz w:val="24"/>
                <w:szCs w:val="24"/>
                <w:lang w:val="en-US" w:eastAsia="en-US" w:bidi="ar-SA"/>
              </w:rPr>
              <w:t>t/d（</w:t>
            </w:r>
            <w:r>
              <w:rPr>
                <w:rFonts w:hint="eastAsia" w:cs="宋体"/>
                <w:snapToGrid w:val="0"/>
                <w:color w:val="000000"/>
                <w:spacing w:val="-7"/>
                <w:kern w:val="0"/>
                <w:sz w:val="24"/>
                <w:szCs w:val="24"/>
                <w:lang w:val="en-US" w:eastAsia="zh-CN" w:bidi="ar-SA"/>
              </w:rPr>
              <w:t>9</w:t>
            </w:r>
            <w:r>
              <w:rPr>
                <w:rFonts w:hint="default" w:ascii="Times New Roman" w:hAnsi="Times New Roman" w:eastAsia="宋体" w:cs="宋体"/>
                <w:snapToGrid w:val="0"/>
                <w:color w:val="000000"/>
                <w:spacing w:val="-7"/>
                <w:kern w:val="0"/>
                <w:sz w:val="24"/>
                <w:szCs w:val="24"/>
                <w:lang w:val="en-US" w:eastAsia="en-US" w:bidi="ar-SA"/>
              </w:rPr>
              <w:t>00t/a），</w:t>
            </w:r>
            <w:r>
              <w:rPr>
                <w:rFonts w:hint="eastAsia" w:cs="宋体"/>
                <w:snapToGrid w:val="0"/>
                <w:color w:val="000000"/>
                <w:spacing w:val="-7"/>
                <w:kern w:val="0"/>
                <w:sz w:val="24"/>
                <w:szCs w:val="24"/>
                <w:lang w:val="en-US" w:eastAsia="zh-CN" w:bidi="ar-SA"/>
              </w:rPr>
              <w:t>产污系数为90%，</w:t>
            </w:r>
            <w:r>
              <w:rPr>
                <w:rFonts w:hint="default" w:ascii="Times New Roman" w:hAnsi="Times New Roman" w:eastAsia="宋体" w:cs="宋体"/>
                <w:snapToGrid w:val="0"/>
                <w:color w:val="000000"/>
                <w:spacing w:val="-7"/>
                <w:kern w:val="0"/>
                <w:sz w:val="24"/>
                <w:szCs w:val="24"/>
                <w:lang w:val="en-US" w:eastAsia="en-US" w:bidi="ar-SA"/>
              </w:rPr>
              <w:t>废水产生量约为</w:t>
            </w:r>
            <w:r>
              <w:rPr>
                <w:rFonts w:hint="eastAsia" w:ascii="Times New Roman" w:hAnsi="Times New Roman" w:eastAsia="宋体" w:cs="宋体"/>
                <w:snapToGrid w:val="0"/>
                <w:color w:val="000000"/>
                <w:spacing w:val="-7"/>
                <w:kern w:val="0"/>
                <w:sz w:val="24"/>
                <w:szCs w:val="24"/>
                <w:lang w:val="en-US" w:eastAsia="zh-CN" w:bidi="ar-SA"/>
              </w:rPr>
              <w:t>2.7</w:t>
            </w:r>
            <w:r>
              <w:rPr>
                <w:rFonts w:hint="default" w:ascii="Times New Roman" w:hAnsi="Times New Roman" w:eastAsia="宋体" w:cs="宋体"/>
                <w:snapToGrid w:val="0"/>
                <w:color w:val="000000"/>
                <w:spacing w:val="-7"/>
                <w:kern w:val="0"/>
                <w:sz w:val="24"/>
                <w:szCs w:val="24"/>
                <w:lang w:val="en-US" w:eastAsia="en-US" w:bidi="ar-SA"/>
              </w:rPr>
              <w:t>t/d（</w:t>
            </w:r>
            <w:r>
              <w:rPr>
                <w:rFonts w:hint="eastAsia" w:ascii="Times New Roman" w:hAnsi="Times New Roman" w:eastAsia="宋体" w:cs="宋体"/>
                <w:snapToGrid w:val="0"/>
                <w:color w:val="000000"/>
                <w:spacing w:val="-7"/>
                <w:kern w:val="0"/>
                <w:sz w:val="24"/>
                <w:szCs w:val="24"/>
                <w:lang w:val="en-US" w:eastAsia="zh-CN" w:bidi="ar-SA"/>
              </w:rPr>
              <w:t>810</w:t>
            </w:r>
            <w:r>
              <w:rPr>
                <w:rFonts w:hint="default" w:ascii="Times New Roman" w:hAnsi="Times New Roman" w:eastAsia="宋体" w:cs="宋体"/>
                <w:snapToGrid w:val="0"/>
                <w:color w:val="000000"/>
                <w:spacing w:val="-7"/>
                <w:kern w:val="0"/>
                <w:sz w:val="24"/>
                <w:szCs w:val="24"/>
                <w:lang w:val="en-US" w:eastAsia="en-US" w:bidi="ar-SA"/>
              </w:rPr>
              <w:t>t/a）。</w:t>
            </w:r>
            <w:r>
              <w:rPr>
                <w:rFonts w:hint="default" w:ascii="Times New Roman" w:hAnsi="Times New Roman" w:eastAsia="宋体" w:cs="宋体"/>
                <w:snapToGrid w:val="0"/>
                <w:color w:val="000000"/>
                <w:spacing w:val="-2"/>
                <w:kern w:val="0"/>
                <w:sz w:val="24"/>
                <w:szCs w:val="24"/>
                <w:lang w:val="en-US" w:eastAsia="en-US" w:bidi="ar-SA"/>
              </w:rPr>
              <w:t>收集后排入厂区内生产废水处理设施。</w:t>
            </w:r>
          </w:p>
          <w:p w14:paraId="7E75D0BC">
            <w:pPr>
              <w:keepNext w:val="0"/>
              <w:keepLines w:val="0"/>
              <w:pageBreakBefore w:val="0"/>
              <w:widowControl w:val="0"/>
              <w:suppressLineNumbers w:val="0"/>
              <w:kinsoku/>
              <w:wordWrap/>
              <w:overflowPunct/>
              <w:topLinePunct w:val="0"/>
              <w:autoSpaceDE w:val="0"/>
              <w:autoSpaceDN w:val="0"/>
              <w:bidi w:val="0"/>
              <w:adjustRightInd w:val="0"/>
              <w:snapToGrid w:val="0"/>
              <w:spacing w:before="34" w:beforeAutospacing="0" w:after="0" w:afterAutospacing="0" w:line="218" w:lineRule="auto"/>
              <w:ind w:left="590" w:right="0"/>
              <w:jc w:val="left"/>
              <w:textAlignment w:val="baseline"/>
              <w:rPr>
                <w:rFonts w:hint="default" w:ascii="Times New Roman" w:hAnsi="Times New Roman" w:eastAsia="宋体" w:cs="宋体"/>
                <w:snapToGrid w:val="0"/>
                <w:color w:val="000000"/>
                <w:kern w:val="0"/>
                <w:sz w:val="24"/>
                <w:szCs w:val="24"/>
                <w:lang w:val="en-US" w:eastAsia="en-US" w:bidi="ar-SA"/>
              </w:rPr>
            </w:pPr>
            <w:r>
              <w:rPr>
                <w:rFonts w:hint="eastAsia" w:cs="宋体"/>
                <w:snapToGrid w:val="0"/>
                <w:color w:val="000000"/>
                <w:spacing w:val="-1"/>
                <w:kern w:val="0"/>
                <w:sz w:val="24"/>
                <w:szCs w:val="24"/>
                <w:lang w:val="en-US" w:eastAsia="zh-CN" w:bidi="ar-SA"/>
              </w:rPr>
              <w:t>②</w:t>
            </w:r>
            <w:r>
              <w:rPr>
                <w:rFonts w:hint="default" w:ascii="Times New Roman" w:hAnsi="Times New Roman" w:eastAsia="宋体" w:cs="宋体"/>
                <w:snapToGrid w:val="0"/>
                <w:color w:val="000000"/>
                <w:spacing w:val="-1"/>
                <w:kern w:val="0"/>
                <w:sz w:val="24"/>
                <w:szCs w:val="24"/>
                <w:lang w:val="en-US" w:eastAsia="en-US" w:bidi="ar-SA"/>
              </w:rPr>
              <w:t>厂房设备清洁</w:t>
            </w:r>
            <w:r>
              <w:rPr>
                <w:rFonts w:hint="eastAsia" w:ascii="Times New Roman" w:hAnsi="Times New Roman" w:eastAsia="宋体" w:cs="宋体"/>
                <w:snapToGrid w:val="0"/>
                <w:color w:val="000000"/>
                <w:spacing w:val="-1"/>
                <w:kern w:val="0"/>
                <w:sz w:val="24"/>
                <w:szCs w:val="24"/>
                <w:lang w:val="en-US" w:eastAsia="zh-CN" w:bidi="ar-SA"/>
              </w:rPr>
              <w:t>用</w:t>
            </w:r>
            <w:r>
              <w:rPr>
                <w:rFonts w:hint="default" w:ascii="Times New Roman" w:hAnsi="Times New Roman" w:eastAsia="宋体" w:cs="宋体"/>
                <w:snapToGrid w:val="0"/>
                <w:color w:val="000000"/>
                <w:spacing w:val="-1"/>
                <w:kern w:val="0"/>
                <w:sz w:val="24"/>
                <w:szCs w:val="24"/>
                <w:lang w:val="en-US" w:eastAsia="en-US" w:bidi="ar-SA"/>
              </w:rPr>
              <w:t>水</w:t>
            </w:r>
          </w:p>
          <w:p w14:paraId="7110FCF4">
            <w:pPr>
              <w:keepNext w:val="0"/>
              <w:keepLines w:val="0"/>
              <w:pageBreakBefore w:val="0"/>
              <w:widowControl w:val="0"/>
              <w:suppressLineNumbers w:val="0"/>
              <w:kinsoku/>
              <w:wordWrap/>
              <w:overflowPunct/>
              <w:topLinePunct w:val="0"/>
              <w:autoSpaceDE w:val="0"/>
              <w:autoSpaceDN w:val="0"/>
              <w:bidi w:val="0"/>
              <w:adjustRightInd w:val="0"/>
              <w:snapToGrid w:val="0"/>
              <w:spacing w:before="202" w:beforeAutospacing="0" w:after="0" w:afterAutospacing="0" w:line="387" w:lineRule="auto"/>
              <w:ind w:left="114" w:right="108" w:firstLine="478"/>
              <w:jc w:val="left"/>
              <w:textAlignment w:val="baseline"/>
              <w:rPr>
                <w:rFonts w:hint="default" w:ascii="宋体" w:hAnsi="宋体" w:eastAsia="宋体" w:cs="宋体"/>
                <w:snapToGrid w:val="0"/>
                <w:color w:val="000000"/>
                <w:kern w:val="0"/>
                <w:sz w:val="24"/>
                <w:szCs w:val="24"/>
                <w:lang w:val="en-US" w:eastAsia="en-US" w:bidi="ar-SA"/>
              </w:rPr>
            </w:pPr>
            <w:r>
              <w:rPr>
                <w:rFonts w:hint="default" w:ascii="Times New Roman" w:hAnsi="Times New Roman" w:eastAsia="宋体" w:cs="宋体"/>
                <w:snapToGrid w:val="0"/>
                <w:color w:val="000000"/>
                <w:spacing w:val="-2"/>
                <w:kern w:val="0"/>
                <w:sz w:val="24"/>
                <w:szCs w:val="24"/>
                <w:lang w:val="en-US" w:eastAsia="en-US" w:bidi="ar-SA"/>
              </w:rPr>
              <w:t>根据建设单位提供资料，本项目厂房设备清洁用</w:t>
            </w:r>
            <w:r>
              <w:rPr>
                <w:rFonts w:hint="default" w:ascii="Times New Roman" w:hAnsi="Times New Roman" w:eastAsia="宋体" w:cs="宋体"/>
                <w:snapToGrid w:val="0"/>
                <w:color w:val="000000"/>
                <w:spacing w:val="-3"/>
                <w:kern w:val="0"/>
                <w:sz w:val="24"/>
                <w:szCs w:val="24"/>
                <w:lang w:val="en-US" w:eastAsia="en-US" w:bidi="ar-SA"/>
              </w:rPr>
              <w:t>水量约</w:t>
            </w:r>
            <w:r>
              <w:rPr>
                <w:rFonts w:hint="default" w:ascii="Times New Roman" w:hAnsi="Times New Roman" w:eastAsia="宋体" w:cs="Times New Roman"/>
                <w:snapToGrid w:val="0"/>
                <w:color w:val="000000"/>
                <w:spacing w:val="-3"/>
                <w:kern w:val="0"/>
                <w:sz w:val="24"/>
                <w:szCs w:val="24"/>
                <w:lang w:val="en-US" w:eastAsia="en-US" w:bidi="ar-SA"/>
              </w:rPr>
              <w:t>3.0t/d</w:t>
            </w:r>
            <w:r>
              <w:rPr>
                <w:rFonts w:hint="eastAsia" w:ascii="Times New Roman" w:hAnsi="Times New Roman" w:eastAsia="宋体" w:cs="宋体"/>
                <w:snapToGrid w:val="0"/>
                <w:color w:val="000000"/>
                <w:spacing w:val="-3"/>
                <w:kern w:val="0"/>
                <w:sz w:val="24"/>
                <w:szCs w:val="24"/>
                <w:lang w:val="en-US" w:eastAsia="zh-CN" w:bidi="ar-SA"/>
              </w:rPr>
              <w:t>（</w:t>
            </w:r>
            <w:r>
              <w:rPr>
                <w:rFonts w:hint="default" w:ascii="Times New Roman" w:hAnsi="Times New Roman" w:eastAsia="宋体" w:cs="Times New Roman"/>
                <w:snapToGrid w:val="0"/>
                <w:color w:val="000000"/>
                <w:spacing w:val="-3"/>
                <w:kern w:val="0"/>
                <w:sz w:val="24"/>
                <w:szCs w:val="24"/>
                <w:lang w:val="en-US" w:eastAsia="en-US" w:bidi="ar-SA"/>
              </w:rPr>
              <w:t>900t/a</w:t>
            </w:r>
            <w:r>
              <w:rPr>
                <w:rFonts w:hint="eastAsia" w:ascii="Times New Roman" w:hAnsi="Times New Roman" w:eastAsia="宋体" w:cs="宋体"/>
                <w:snapToGrid w:val="0"/>
                <w:color w:val="000000"/>
                <w:spacing w:val="-3"/>
                <w:kern w:val="0"/>
                <w:sz w:val="24"/>
                <w:szCs w:val="24"/>
                <w:lang w:val="en-US" w:eastAsia="zh-CN" w:bidi="ar-SA"/>
              </w:rPr>
              <w:t>）</w:t>
            </w:r>
            <w:r>
              <w:rPr>
                <w:rFonts w:hint="default" w:ascii="Times New Roman" w:hAnsi="Times New Roman" w:eastAsia="宋体" w:cs="宋体"/>
                <w:snapToGrid w:val="0"/>
                <w:color w:val="000000"/>
                <w:spacing w:val="-3"/>
                <w:kern w:val="0"/>
                <w:sz w:val="24"/>
                <w:szCs w:val="24"/>
                <w:lang w:val="en-US" w:eastAsia="en-US" w:bidi="ar-SA"/>
              </w:rPr>
              <w:t>，</w:t>
            </w:r>
            <w:r>
              <w:rPr>
                <w:rFonts w:hint="eastAsia" w:cs="宋体"/>
                <w:snapToGrid w:val="0"/>
                <w:color w:val="000000"/>
                <w:spacing w:val="-7"/>
                <w:kern w:val="0"/>
                <w:sz w:val="24"/>
                <w:szCs w:val="24"/>
                <w:lang w:val="en-US" w:eastAsia="zh-CN" w:bidi="ar-SA"/>
              </w:rPr>
              <w:t>产污系数为90%，</w:t>
            </w:r>
            <w:r>
              <w:rPr>
                <w:rFonts w:hint="default" w:ascii="Times New Roman" w:hAnsi="Times New Roman" w:eastAsia="宋体" w:cs="宋体"/>
                <w:snapToGrid w:val="0"/>
                <w:color w:val="000000"/>
                <w:spacing w:val="-7"/>
                <w:kern w:val="0"/>
                <w:sz w:val="24"/>
                <w:szCs w:val="24"/>
                <w:lang w:val="en-US" w:eastAsia="en-US" w:bidi="ar-SA"/>
              </w:rPr>
              <w:t>废水产生量约为</w:t>
            </w:r>
            <w:r>
              <w:rPr>
                <w:rFonts w:hint="eastAsia" w:ascii="Times New Roman" w:hAnsi="Times New Roman" w:eastAsia="宋体" w:cs="宋体"/>
                <w:snapToGrid w:val="0"/>
                <w:color w:val="000000"/>
                <w:spacing w:val="-7"/>
                <w:kern w:val="0"/>
                <w:sz w:val="24"/>
                <w:szCs w:val="24"/>
                <w:lang w:val="en-US" w:eastAsia="zh-CN" w:bidi="ar-SA"/>
              </w:rPr>
              <w:t>2.7</w:t>
            </w:r>
            <w:r>
              <w:rPr>
                <w:rFonts w:hint="default" w:ascii="Times New Roman" w:hAnsi="Times New Roman" w:eastAsia="宋体" w:cs="宋体"/>
                <w:snapToGrid w:val="0"/>
                <w:color w:val="000000"/>
                <w:spacing w:val="-7"/>
                <w:kern w:val="0"/>
                <w:sz w:val="24"/>
                <w:szCs w:val="24"/>
                <w:lang w:val="en-US" w:eastAsia="en-US" w:bidi="ar-SA"/>
              </w:rPr>
              <w:t>t/d（</w:t>
            </w:r>
            <w:r>
              <w:rPr>
                <w:rFonts w:hint="eastAsia" w:ascii="Times New Roman" w:hAnsi="Times New Roman" w:eastAsia="宋体" w:cs="宋体"/>
                <w:snapToGrid w:val="0"/>
                <w:color w:val="000000"/>
                <w:spacing w:val="-7"/>
                <w:kern w:val="0"/>
                <w:sz w:val="24"/>
                <w:szCs w:val="24"/>
                <w:lang w:val="en-US" w:eastAsia="zh-CN" w:bidi="ar-SA"/>
              </w:rPr>
              <w:t>810</w:t>
            </w:r>
            <w:r>
              <w:rPr>
                <w:rFonts w:hint="default" w:ascii="Times New Roman" w:hAnsi="Times New Roman" w:eastAsia="宋体" w:cs="宋体"/>
                <w:snapToGrid w:val="0"/>
                <w:color w:val="000000"/>
                <w:spacing w:val="-7"/>
                <w:kern w:val="0"/>
                <w:sz w:val="24"/>
                <w:szCs w:val="24"/>
                <w:lang w:val="en-US" w:eastAsia="en-US" w:bidi="ar-SA"/>
              </w:rPr>
              <w:t>t/a）。</w:t>
            </w:r>
            <w:r>
              <w:rPr>
                <w:rFonts w:hint="default" w:ascii="Times New Roman" w:hAnsi="Times New Roman" w:eastAsia="宋体" w:cs="宋体"/>
                <w:snapToGrid w:val="0"/>
                <w:color w:val="000000"/>
                <w:spacing w:val="-2"/>
                <w:kern w:val="0"/>
                <w:sz w:val="24"/>
                <w:szCs w:val="24"/>
                <w:lang w:val="en-US" w:eastAsia="en-US" w:bidi="ar-SA"/>
              </w:rPr>
              <w:t>收集后排入厂区内生产废水处理设施。</w:t>
            </w:r>
          </w:p>
          <w:p w14:paraId="052E5DC6">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③</w:t>
            </w:r>
            <w:r>
              <w:rPr>
                <w:rFonts w:hint="eastAsia" w:ascii="Times New Roman" w:hAnsi="Times New Roman" w:eastAsia="宋体" w:cs="Times New Roman"/>
                <w:color w:val="auto"/>
                <w:highlight w:val="none"/>
                <w:lang w:val="en-US" w:eastAsia="zh-CN"/>
              </w:rPr>
              <w:t>织造用水</w:t>
            </w:r>
          </w:p>
          <w:p w14:paraId="4D03FBA8">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根据纺织行业设备运行经验以及企业提供资料，一台喷水织机用水量约为2.5t/d，本项目共设置800台喷水织机，则喷水织机总用水量约为2000t/d</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600000</w:t>
            </w:r>
            <w:r>
              <w:rPr>
                <w:rFonts w:hint="default" w:ascii="Times New Roman" w:hAnsi="Times New Roman" w:eastAsia="宋体" w:cs="Times New Roman"/>
                <w:color w:val="auto"/>
                <w:highlight w:val="none"/>
                <w:lang w:val="en-US" w:eastAsia="en-US"/>
              </w:rPr>
              <w:t>t/a</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en-US"/>
              </w:rPr>
              <w:t>，织机用水循环使用，每天的废水约20%损耗或进入坯布，其余80%废水进入污水处理站处理后回用，废水产生量为1600t/d（480000t/a）。根据下文水平衡分析可知，</w:t>
            </w:r>
            <w:r>
              <w:rPr>
                <w:rFonts w:hint="eastAsia" w:cs="Times New Roman"/>
                <w:color w:val="auto"/>
                <w:highlight w:val="none"/>
                <w:lang w:val="en-US" w:eastAsia="zh-CN"/>
              </w:rPr>
              <w:t>生产废水</w:t>
            </w:r>
            <w:r>
              <w:rPr>
                <w:rFonts w:hint="default" w:ascii="Times New Roman" w:hAnsi="Times New Roman" w:eastAsia="宋体" w:cs="Times New Roman"/>
                <w:color w:val="auto"/>
                <w:highlight w:val="none"/>
                <w:lang w:val="en-US" w:eastAsia="en-US"/>
              </w:rPr>
              <w:t>收集后经一体化污水处理设备处理后</w:t>
            </w:r>
            <w:r>
              <w:rPr>
                <w:rFonts w:hint="eastAsia" w:cs="Times New Roman"/>
                <w:color w:val="auto"/>
                <w:highlight w:val="none"/>
                <w:lang w:val="en-US" w:eastAsia="zh-CN"/>
              </w:rPr>
              <w:t>95%</w:t>
            </w:r>
            <w:r>
              <w:rPr>
                <w:rFonts w:hint="default" w:ascii="Times New Roman" w:hAnsi="Times New Roman" w:eastAsia="宋体" w:cs="Times New Roman"/>
                <w:color w:val="auto"/>
                <w:highlight w:val="none"/>
                <w:lang w:val="en-US" w:eastAsia="en-US"/>
              </w:rPr>
              <w:t>回用于生产，约</w:t>
            </w:r>
            <w:r>
              <w:rPr>
                <w:rFonts w:hint="eastAsia" w:cs="Times New Roman"/>
                <w:color w:val="auto"/>
                <w:highlight w:val="none"/>
                <w:lang w:val="en-US" w:eastAsia="zh-CN"/>
              </w:rPr>
              <w:t>1525.13</w:t>
            </w:r>
            <w:r>
              <w:rPr>
                <w:rFonts w:hint="default" w:ascii="Times New Roman" w:hAnsi="Times New Roman" w:eastAsia="宋体" w:cs="Times New Roman"/>
                <w:color w:val="auto"/>
                <w:highlight w:val="none"/>
                <w:lang w:val="en-US" w:eastAsia="en-US"/>
              </w:rPr>
              <w:t>t/d（</w:t>
            </w:r>
            <w:r>
              <w:rPr>
                <w:rFonts w:hint="eastAsia" w:cs="Times New Roman"/>
                <w:color w:val="auto"/>
                <w:highlight w:val="none"/>
                <w:lang w:val="en-US" w:eastAsia="zh-CN"/>
              </w:rPr>
              <w:t>457539</w:t>
            </w:r>
            <w:r>
              <w:rPr>
                <w:rFonts w:hint="default" w:ascii="Times New Roman" w:hAnsi="Times New Roman" w:eastAsia="宋体" w:cs="Times New Roman"/>
                <w:color w:val="auto"/>
                <w:highlight w:val="none"/>
                <w:lang w:val="en-US" w:eastAsia="en-US"/>
              </w:rPr>
              <w:t>t/a）。回用水来源于经污水处理站处理的喷水织机废水、</w:t>
            </w:r>
            <w:r>
              <w:rPr>
                <w:rFonts w:hint="eastAsia" w:ascii="Times New Roman" w:hAnsi="Times New Roman" w:eastAsia="宋体" w:cs="Times New Roman"/>
                <w:color w:val="auto"/>
                <w:highlight w:val="none"/>
                <w:lang w:val="en-US" w:eastAsia="zh-CN"/>
              </w:rPr>
              <w:t>磨毛废</w:t>
            </w:r>
            <w:r>
              <w:rPr>
                <w:rFonts w:hint="default" w:ascii="Times New Roman" w:hAnsi="Times New Roman" w:eastAsia="宋体" w:cs="Times New Roman"/>
                <w:color w:val="auto"/>
                <w:highlight w:val="none"/>
                <w:lang w:val="en-US" w:eastAsia="en-US"/>
              </w:rPr>
              <w:t>水</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en-US"/>
              </w:rPr>
              <w:t>厂房设备清洁废水。则喷水织机新鲜水补充量为</w:t>
            </w:r>
            <w:r>
              <w:rPr>
                <w:rFonts w:hint="eastAsia" w:cs="Times New Roman"/>
                <w:color w:val="auto"/>
                <w:highlight w:val="none"/>
                <w:lang w:val="en-US" w:eastAsia="zh-CN"/>
              </w:rPr>
              <w:t>474.87</w:t>
            </w:r>
            <w:r>
              <w:rPr>
                <w:rFonts w:hint="default" w:ascii="Times New Roman" w:hAnsi="Times New Roman" w:eastAsia="宋体" w:cs="Times New Roman"/>
                <w:color w:val="auto"/>
                <w:highlight w:val="none"/>
                <w:lang w:val="en-US" w:eastAsia="en-US"/>
              </w:rPr>
              <w:t>t/d（</w:t>
            </w:r>
            <w:r>
              <w:rPr>
                <w:rFonts w:hint="eastAsia" w:cs="Times New Roman"/>
                <w:color w:val="auto"/>
                <w:highlight w:val="none"/>
                <w:lang w:val="en-US" w:eastAsia="zh-CN"/>
              </w:rPr>
              <w:t>142461</w:t>
            </w:r>
            <w:r>
              <w:rPr>
                <w:rFonts w:hint="default" w:ascii="Times New Roman" w:hAnsi="Times New Roman" w:eastAsia="宋体" w:cs="Times New Roman"/>
                <w:color w:val="auto"/>
                <w:highlight w:val="none"/>
                <w:lang w:val="en-US" w:eastAsia="en-US"/>
              </w:rPr>
              <w:t>t/a）。</w:t>
            </w:r>
          </w:p>
          <w:p w14:paraId="4C9CF47D">
            <w:pPr>
              <w:pStyle w:val="42"/>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综上，本项目总用水量为485.87</w:t>
            </w:r>
            <w:r>
              <w:rPr>
                <w:rFonts w:hint="eastAsia" w:ascii="Times New Roman" w:hAnsi="Times New Roman" w:eastAsia="宋体" w:cs="Times New Roman"/>
                <w:color w:val="auto"/>
                <w:highlight w:val="none"/>
                <w:lang w:val="en-US" w:eastAsia="zh-CN"/>
              </w:rPr>
              <w:t>t/</w:t>
            </w:r>
            <w:r>
              <w:rPr>
                <w:rFonts w:hint="eastAsia" w:cs="Times New Roman"/>
                <w:color w:val="auto"/>
                <w:highlight w:val="none"/>
                <w:lang w:val="en-US" w:eastAsia="zh-CN"/>
              </w:rPr>
              <w:t>d</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145761</w:t>
            </w:r>
            <w:r>
              <w:rPr>
                <w:rFonts w:hint="eastAsia" w:ascii="Times New Roman" w:hAnsi="Times New Roman" w:eastAsia="宋体" w:cs="Times New Roman"/>
                <w:color w:val="auto"/>
                <w:highlight w:val="none"/>
                <w:lang w:val="en-US" w:eastAsia="zh-CN"/>
              </w:rPr>
              <w:t>t/</w:t>
            </w:r>
            <w:r>
              <w:rPr>
                <w:rFonts w:hint="eastAsia" w:cs="Times New Roman"/>
                <w:color w:val="auto"/>
                <w:highlight w:val="none"/>
                <w:lang w:val="en-US" w:eastAsia="zh-CN"/>
              </w:rPr>
              <w:t>a</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w:t>
            </w:r>
          </w:p>
          <w:p w14:paraId="5D99A113">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排水</w:t>
            </w:r>
          </w:p>
          <w:p w14:paraId="027E6CBC">
            <w:pPr>
              <w:pStyle w:val="42"/>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（二）</w:t>
            </w:r>
            <w:r>
              <w:rPr>
                <w:rFonts w:hint="default" w:ascii="Times New Roman" w:hAnsi="Times New Roman" w:cs="Times New Roman"/>
                <w:color w:val="auto"/>
                <w:highlight w:val="none"/>
                <w:lang w:eastAsia="zh-CN"/>
              </w:rPr>
              <w:t>排水</w:t>
            </w:r>
          </w:p>
          <w:p w14:paraId="09DBCDD6">
            <w:pPr>
              <w:pStyle w:val="42"/>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项目排水采用雨污分流制。</w:t>
            </w:r>
            <w:r>
              <w:rPr>
                <w:rFonts w:hint="eastAsia" w:cs="Times New Roman"/>
                <w:color w:val="auto"/>
                <w:highlight w:val="none"/>
                <w:lang w:val="en-US" w:eastAsia="zh-CN"/>
              </w:rPr>
              <w:t>雨水经雨水管道最终排入</w:t>
            </w:r>
            <w:r>
              <w:rPr>
                <w:rFonts w:hint="eastAsia" w:cs="宋体"/>
                <w:b w:val="0"/>
                <w:bCs w:val="0"/>
                <w:color w:val="auto"/>
                <w:highlight w:val="none"/>
                <w:lang w:val="en-US" w:eastAsia="zh-CN"/>
              </w:rPr>
              <w:t>淮</w:t>
            </w:r>
            <w:r>
              <w:rPr>
                <w:rFonts w:hint="default" w:ascii="Times New Roman" w:hAnsi="Times New Roman" w:eastAsia="宋体" w:cs="宋体"/>
                <w:b w:val="0"/>
                <w:bCs w:val="0"/>
                <w:color w:val="auto"/>
                <w:highlight w:val="none"/>
                <w:lang w:val="en-US" w:eastAsia="zh-CN"/>
              </w:rPr>
              <w:t>河</w:t>
            </w:r>
            <w:r>
              <w:rPr>
                <w:rFonts w:hint="eastAsia" w:ascii="Times New Roman" w:hAnsi="Times New Roman" w:eastAsia="宋体" w:cs="宋体"/>
                <w:b w:val="0"/>
                <w:bCs w:val="0"/>
                <w:color w:val="auto"/>
                <w:highlight w:val="none"/>
                <w:lang w:val="en-US" w:eastAsia="zh-CN"/>
              </w:rPr>
              <w:t>；</w:t>
            </w:r>
            <w:r>
              <w:rPr>
                <w:rFonts w:hint="eastAsia" w:cs="Times New Roman"/>
                <w:color w:val="auto"/>
                <w:highlight w:val="none"/>
                <w:lang w:val="en-US" w:eastAsia="zh-CN"/>
              </w:rPr>
              <w:t>本</w:t>
            </w:r>
            <w:r>
              <w:rPr>
                <w:rFonts w:hint="default" w:ascii="Times New Roman" w:hAnsi="Times New Roman" w:cs="Times New Roman"/>
                <w:color w:val="auto"/>
                <w:highlight w:val="none"/>
              </w:rPr>
              <w:t>项目废水</w:t>
            </w:r>
            <w:r>
              <w:rPr>
                <w:rFonts w:hint="eastAsia" w:cs="Times New Roman"/>
                <w:color w:val="auto"/>
                <w:highlight w:val="none"/>
                <w:lang w:val="en-US" w:eastAsia="zh-CN"/>
              </w:rPr>
              <w:t>主要</w:t>
            </w:r>
            <w:r>
              <w:rPr>
                <w:rFonts w:hint="default" w:ascii="Times New Roman" w:hAnsi="Times New Roman" w:cs="Times New Roman"/>
                <w:color w:val="auto"/>
                <w:highlight w:val="none"/>
              </w:rPr>
              <w:t>为生活污水</w:t>
            </w:r>
            <w:r>
              <w:rPr>
                <w:rFonts w:hint="eastAsia" w:cs="Times New Roman"/>
                <w:color w:val="auto"/>
                <w:highlight w:val="none"/>
                <w:lang w:val="en-US" w:eastAsia="zh-CN"/>
              </w:rPr>
              <w:t>和</w:t>
            </w:r>
            <w:r>
              <w:rPr>
                <w:rFonts w:hint="default" w:ascii="Times New Roman" w:hAnsi="Times New Roman" w:cs="Times New Roman"/>
                <w:color w:val="auto"/>
                <w:highlight w:val="none"/>
                <w:lang w:val="en-US" w:eastAsia="zh-CN"/>
              </w:rPr>
              <w:t>。</w:t>
            </w:r>
          </w:p>
          <w:p w14:paraId="24AC574C">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（1）生活废水</w:t>
            </w:r>
          </w:p>
          <w:p w14:paraId="06AD1FE8">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①</w:t>
            </w:r>
            <w:r>
              <w:rPr>
                <w:rFonts w:hint="default" w:ascii="Times New Roman" w:hAnsi="Times New Roman" w:eastAsia="宋体" w:cs="Times New Roman"/>
                <w:color w:val="auto"/>
                <w:highlight w:val="none"/>
              </w:rPr>
              <w:t>项目生活用水量为</w:t>
            </w:r>
            <w:r>
              <w:rPr>
                <w:rFonts w:hint="eastAsia" w:cs="Times New Roman"/>
                <w:color w:val="auto"/>
                <w:highlight w:val="none"/>
                <w:lang w:val="en-US" w:eastAsia="zh-CN"/>
              </w:rPr>
              <w:t>1500</w:t>
            </w:r>
            <w:r>
              <w:rPr>
                <w:rFonts w:hint="default" w:ascii="Times New Roman" w:hAnsi="Times New Roman" w:eastAsia="宋体" w:cs="Times New Roman"/>
                <w:color w:val="auto"/>
                <w:highlight w:val="none"/>
              </w:rPr>
              <w:t>t/a</w:t>
            </w:r>
            <w:r>
              <w:rPr>
                <w:rFonts w:hint="default" w:ascii="Times New Roman" w:hAnsi="Times New Roman" w:eastAsia="宋体" w:cs="Times New Roman"/>
                <w:color w:val="auto"/>
                <w:highlight w:val="none"/>
                <w:lang w:eastAsia="zh-CN"/>
              </w:rPr>
              <w:t>（</w:t>
            </w:r>
            <w:r>
              <w:rPr>
                <w:rFonts w:hint="eastAsia" w:cs="Times New Roman"/>
                <w:color w:val="auto"/>
                <w:highlight w:val="none"/>
                <w:lang w:val="en-US" w:eastAsia="zh-CN"/>
              </w:rPr>
              <w:t>5t/d</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生活用水</w:t>
            </w:r>
            <w:r>
              <w:rPr>
                <w:rFonts w:hint="default" w:ascii="Times New Roman" w:hAnsi="Times New Roman" w:eastAsia="宋体" w:cs="Times New Roman"/>
                <w:color w:val="auto"/>
                <w:highlight w:val="none"/>
              </w:rPr>
              <w:t>产污系数按0.8计，则生活污水的产生量为</w:t>
            </w:r>
            <w:r>
              <w:rPr>
                <w:rFonts w:hint="eastAsia" w:cs="Times New Roman"/>
                <w:color w:val="auto"/>
                <w:highlight w:val="none"/>
                <w:lang w:val="en-US" w:eastAsia="zh-CN"/>
              </w:rPr>
              <w:t>1200t</w:t>
            </w:r>
            <w:r>
              <w:rPr>
                <w:rFonts w:hint="default" w:ascii="Times New Roman" w:hAnsi="Times New Roman" w:eastAsia="宋体" w:cs="Times New Roman"/>
                <w:color w:val="auto"/>
                <w:highlight w:val="none"/>
              </w:rPr>
              <w:t>/a（</w:t>
            </w:r>
            <w:r>
              <w:rPr>
                <w:rFonts w:hint="eastAsia" w:cs="Times New Roman"/>
                <w:color w:val="auto"/>
                <w:highlight w:val="none"/>
                <w:lang w:val="en-US" w:eastAsia="zh-CN"/>
              </w:rPr>
              <w:t>4</w:t>
            </w:r>
            <w:r>
              <w:rPr>
                <w:rFonts w:hint="default" w:ascii="Times New Roman" w:hAnsi="Times New Roman" w:eastAsia="宋体" w:cs="Times New Roman"/>
                <w:color w:val="auto"/>
                <w:highlight w:val="none"/>
              </w:rPr>
              <w:t>t/d），</w:t>
            </w:r>
            <w:r>
              <w:rPr>
                <w:rFonts w:hint="default" w:ascii="Times New Roman" w:hAnsi="Times New Roman" w:eastAsia="宋体" w:cs="Times New Roman"/>
                <w:color w:val="auto"/>
                <w:highlight w:val="none"/>
                <w:lang w:val="en-US" w:eastAsia="zh-CN"/>
              </w:rPr>
              <w:t>生活污水经化粪池</w:t>
            </w:r>
            <w:r>
              <w:rPr>
                <w:rFonts w:hint="eastAsia" w:cs="Times New Roman"/>
                <w:color w:val="auto"/>
                <w:highlight w:val="none"/>
                <w:lang w:val="en-US" w:eastAsia="zh-CN"/>
              </w:rPr>
              <w:t>收集</w:t>
            </w:r>
            <w:r>
              <w:rPr>
                <w:rFonts w:hint="default" w:ascii="Times New Roman" w:hAnsi="Times New Roman" w:eastAsia="宋体" w:cs="Times New Roman"/>
                <w:color w:val="auto"/>
                <w:highlight w:val="none"/>
                <w:lang w:val="en-US" w:eastAsia="zh-CN"/>
              </w:rPr>
              <w:t>后经市政污水管网排入</w:t>
            </w:r>
            <w:r>
              <w:rPr>
                <w:rFonts w:hint="eastAsia" w:cs="Times New Roman"/>
                <w:color w:val="auto"/>
                <w:highlight w:val="none"/>
                <w:lang w:val="en-US" w:eastAsia="zh-CN"/>
              </w:rPr>
              <w:t>五河经济开发区污水处理厂</w:t>
            </w:r>
            <w:r>
              <w:rPr>
                <w:rFonts w:hint="default" w:ascii="Times New Roman" w:hAnsi="Times New Roman" w:eastAsia="宋体" w:cs="Times New Roman"/>
                <w:color w:val="auto"/>
                <w:highlight w:val="none"/>
                <w:lang w:val="en-US" w:eastAsia="zh-CN"/>
              </w:rPr>
              <w:t>。</w:t>
            </w:r>
          </w:p>
          <w:p w14:paraId="21F95F2E">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（2）生产废水</w:t>
            </w:r>
          </w:p>
          <w:p w14:paraId="5F5728E4">
            <w:pPr>
              <w:keepNext w:val="0"/>
              <w:keepLines w:val="0"/>
              <w:pageBreakBefore w:val="0"/>
              <w:widowControl w:val="0"/>
              <w:suppressLineNumbers w:val="0"/>
              <w:kinsoku/>
              <w:wordWrap/>
              <w:overflowPunct/>
              <w:topLinePunct w:val="0"/>
              <w:autoSpaceDE w:val="0"/>
              <w:autoSpaceDN w:val="0"/>
              <w:bidi w:val="0"/>
              <w:adjustRightInd w:val="0"/>
              <w:snapToGrid w:val="0"/>
              <w:spacing w:before="29" w:beforeAutospacing="0" w:after="0" w:afterAutospacing="0" w:line="218" w:lineRule="auto"/>
              <w:ind w:left="530" w:right="0"/>
              <w:jc w:val="left"/>
              <w:textAlignment w:val="baseline"/>
              <w:rPr>
                <w:rFonts w:hint="default" w:ascii="Arial" w:hAnsi="Arial" w:eastAsia="Arial" w:cs="Arial"/>
                <w:snapToGrid w:val="0"/>
                <w:color w:val="000000"/>
                <w:kern w:val="0"/>
                <w:sz w:val="24"/>
                <w:szCs w:val="24"/>
                <w:lang w:eastAsia="en-US"/>
              </w:rPr>
            </w:pPr>
            <w:r>
              <w:rPr>
                <w:rFonts w:hint="eastAsia" w:ascii="宋体" w:hAnsi="宋体" w:cs="宋体"/>
                <w:snapToGrid w:val="0"/>
                <w:color w:val="000000"/>
                <w:spacing w:val="-2"/>
                <w:kern w:val="0"/>
                <w:sz w:val="24"/>
                <w:szCs w:val="24"/>
                <w:lang w:val="en-US" w:eastAsia="zh-CN" w:bidi="ar-SA"/>
              </w:rPr>
              <w:t>①</w:t>
            </w:r>
            <w:r>
              <w:rPr>
                <w:rFonts w:hint="default" w:ascii="宋体" w:hAnsi="宋体" w:eastAsia="宋体" w:cs="宋体"/>
                <w:snapToGrid w:val="0"/>
                <w:color w:val="000000"/>
                <w:spacing w:val="-2"/>
                <w:kern w:val="0"/>
                <w:sz w:val="24"/>
                <w:szCs w:val="24"/>
                <w:lang w:val="en-US" w:eastAsia="en-US" w:bidi="ar-SA"/>
              </w:rPr>
              <w:t>磨毛</w:t>
            </w:r>
            <w:r>
              <w:rPr>
                <w:rFonts w:hint="eastAsia" w:ascii="宋体" w:hAnsi="宋体" w:eastAsia="宋体" w:cs="宋体"/>
                <w:snapToGrid w:val="0"/>
                <w:color w:val="000000"/>
                <w:spacing w:val="-2"/>
                <w:kern w:val="0"/>
                <w:sz w:val="24"/>
                <w:szCs w:val="24"/>
                <w:lang w:val="en-US" w:eastAsia="zh-CN" w:bidi="ar-SA"/>
              </w:rPr>
              <w:t>用</w:t>
            </w:r>
            <w:r>
              <w:rPr>
                <w:rFonts w:hint="default" w:ascii="宋体" w:hAnsi="宋体" w:eastAsia="宋体" w:cs="宋体"/>
                <w:snapToGrid w:val="0"/>
                <w:color w:val="000000"/>
                <w:spacing w:val="-2"/>
                <w:kern w:val="0"/>
                <w:sz w:val="24"/>
                <w:szCs w:val="24"/>
                <w:lang w:val="en-US" w:eastAsia="en-US" w:bidi="ar-SA"/>
              </w:rPr>
              <w:t>水</w:t>
            </w:r>
          </w:p>
          <w:p w14:paraId="286589D6">
            <w:pPr>
              <w:keepNext w:val="0"/>
              <w:keepLines w:val="0"/>
              <w:pageBreakBefore w:val="0"/>
              <w:widowControl w:val="0"/>
              <w:suppressLineNumbers w:val="0"/>
              <w:kinsoku/>
              <w:wordWrap/>
              <w:overflowPunct/>
              <w:topLinePunct w:val="0"/>
              <w:autoSpaceDE w:val="0"/>
              <w:autoSpaceDN w:val="0"/>
              <w:bidi w:val="0"/>
              <w:adjustRightInd w:val="0"/>
              <w:snapToGrid w:val="0"/>
              <w:spacing w:before="197" w:beforeAutospacing="0" w:after="0" w:afterAutospacing="0" w:line="401" w:lineRule="auto"/>
              <w:ind w:left="105" w:right="27" w:firstLine="486"/>
              <w:jc w:val="left"/>
              <w:textAlignment w:val="baseline"/>
              <w:rPr>
                <w:rFonts w:hint="default" w:ascii="Times New Roman" w:hAnsi="Times New Roman" w:eastAsia="宋体" w:cs="宋体"/>
                <w:snapToGrid w:val="0"/>
                <w:color w:val="000000"/>
                <w:spacing w:val="-7"/>
                <w:kern w:val="0"/>
                <w:sz w:val="24"/>
                <w:szCs w:val="24"/>
                <w:lang w:val="en-US" w:eastAsia="en-US" w:bidi="ar-SA"/>
              </w:rPr>
            </w:pPr>
            <w:r>
              <w:rPr>
                <w:rFonts w:hint="default" w:ascii="Times New Roman" w:hAnsi="Times New Roman" w:eastAsia="宋体" w:cs="宋体"/>
                <w:snapToGrid w:val="0"/>
                <w:color w:val="000000"/>
                <w:spacing w:val="-7"/>
                <w:kern w:val="0"/>
                <w:sz w:val="24"/>
                <w:szCs w:val="24"/>
                <w:lang w:val="en-US" w:eastAsia="en-US" w:bidi="ar-SA"/>
              </w:rPr>
              <w:t>每台磨毛机用水量约为3t/d，本项目共设置</w:t>
            </w:r>
            <w:r>
              <w:rPr>
                <w:rFonts w:hint="eastAsia" w:ascii="Times New Roman" w:hAnsi="Times New Roman" w:eastAsia="宋体" w:cs="宋体"/>
                <w:snapToGrid w:val="0"/>
                <w:color w:val="000000"/>
                <w:spacing w:val="-7"/>
                <w:kern w:val="0"/>
                <w:sz w:val="24"/>
                <w:szCs w:val="24"/>
                <w:lang w:val="en-US" w:eastAsia="zh-CN" w:bidi="ar-SA"/>
              </w:rPr>
              <w:t>1</w:t>
            </w:r>
            <w:r>
              <w:rPr>
                <w:rFonts w:hint="default" w:ascii="Times New Roman" w:hAnsi="Times New Roman" w:eastAsia="宋体" w:cs="宋体"/>
                <w:snapToGrid w:val="0"/>
                <w:color w:val="000000"/>
                <w:spacing w:val="-7"/>
                <w:kern w:val="0"/>
                <w:sz w:val="24"/>
                <w:szCs w:val="24"/>
                <w:lang w:val="en-US" w:eastAsia="en-US" w:bidi="ar-SA"/>
              </w:rPr>
              <w:t>台磨毛机，则磨毛用水量为</w:t>
            </w:r>
            <w:r>
              <w:rPr>
                <w:rFonts w:hint="eastAsia" w:ascii="Times New Roman" w:hAnsi="Times New Roman" w:eastAsia="宋体" w:cs="宋体"/>
                <w:snapToGrid w:val="0"/>
                <w:color w:val="000000"/>
                <w:spacing w:val="-7"/>
                <w:kern w:val="0"/>
                <w:sz w:val="24"/>
                <w:szCs w:val="24"/>
                <w:lang w:val="en-US" w:eastAsia="zh-CN" w:bidi="ar-SA"/>
              </w:rPr>
              <w:t>3</w:t>
            </w:r>
            <w:r>
              <w:rPr>
                <w:rFonts w:hint="default" w:ascii="Times New Roman" w:hAnsi="Times New Roman" w:eastAsia="宋体" w:cs="宋体"/>
                <w:snapToGrid w:val="0"/>
                <w:color w:val="000000"/>
                <w:spacing w:val="-7"/>
                <w:kern w:val="0"/>
                <w:sz w:val="24"/>
                <w:szCs w:val="24"/>
                <w:lang w:val="en-US" w:eastAsia="en-US" w:bidi="ar-SA"/>
              </w:rPr>
              <w:t>t/d（</w:t>
            </w:r>
            <w:r>
              <w:rPr>
                <w:rFonts w:hint="eastAsia" w:cs="宋体"/>
                <w:snapToGrid w:val="0"/>
                <w:color w:val="000000"/>
                <w:spacing w:val="-7"/>
                <w:kern w:val="0"/>
                <w:sz w:val="24"/>
                <w:szCs w:val="24"/>
                <w:lang w:val="en-US" w:eastAsia="zh-CN" w:bidi="ar-SA"/>
              </w:rPr>
              <w:t>9</w:t>
            </w:r>
            <w:r>
              <w:rPr>
                <w:rFonts w:hint="default" w:ascii="Times New Roman" w:hAnsi="Times New Roman" w:eastAsia="宋体" w:cs="宋体"/>
                <w:snapToGrid w:val="0"/>
                <w:color w:val="000000"/>
                <w:spacing w:val="-7"/>
                <w:kern w:val="0"/>
                <w:sz w:val="24"/>
                <w:szCs w:val="24"/>
                <w:lang w:val="en-US" w:eastAsia="en-US" w:bidi="ar-SA"/>
              </w:rPr>
              <w:t>00t/a），</w:t>
            </w:r>
            <w:r>
              <w:rPr>
                <w:rFonts w:hint="eastAsia" w:cs="宋体"/>
                <w:snapToGrid w:val="0"/>
                <w:color w:val="000000"/>
                <w:spacing w:val="-7"/>
                <w:kern w:val="0"/>
                <w:sz w:val="24"/>
                <w:szCs w:val="24"/>
                <w:lang w:val="en-US" w:eastAsia="zh-CN" w:bidi="ar-SA"/>
              </w:rPr>
              <w:t>产污系数为90%，</w:t>
            </w:r>
            <w:r>
              <w:rPr>
                <w:rFonts w:hint="default" w:ascii="Times New Roman" w:hAnsi="Times New Roman" w:eastAsia="宋体" w:cs="宋体"/>
                <w:snapToGrid w:val="0"/>
                <w:color w:val="000000"/>
                <w:spacing w:val="-7"/>
                <w:kern w:val="0"/>
                <w:sz w:val="24"/>
                <w:szCs w:val="24"/>
                <w:lang w:val="en-US" w:eastAsia="en-US" w:bidi="ar-SA"/>
              </w:rPr>
              <w:t>废水产生量约为</w:t>
            </w:r>
            <w:r>
              <w:rPr>
                <w:rFonts w:hint="eastAsia" w:ascii="Times New Roman" w:hAnsi="Times New Roman" w:eastAsia="宋体" w:cs="宋体"/>
                <w:snapToGrid w:val="0"/>
                <w:color w:val="000000"/>
                <w:spacing w:val="-7"/>
                <w:kern w:val="0"/>
                <w:sz w:val="24"/>
                <w:szCs w:val="24"/>
                <w:lang w:val="en-US" w:eastAsia="zh-CN" w:bidi="ar-SA"/>
              </w:rPr>
              <w:t>2.7</w:t>
            </w:r>
            <w:r>
              <w:rPr>
                <w:rFonts w:hint="default" w:ascii="Times New Roman" w:hAnsi="Times New Roman" w:eastAsia="宋体" w:cs="宋体"/>
                <w:snapToGrid w:val="0"/>
                <w:color w:val="000000"/>
                <w:spacing w:val="-7"/>
                <w:kern w:val="0"/>
                <w:sz w:val="24"/>
                <w:szCs w:val="24"/>
                <w:lang w:val="en-US" w:eastAsia="en-US" w:bidi="ar-SA"/>
              </w:rPr>
              <w:t>t/d（</w:t>
            </w:r>
            <w:r>
              <w:rPr>
                <w:rFonts w:hint="eastAsia" w:ascii="Times New Roman" w:hAnsi="Times New Roman" w:eastAsia="宋体" w:cs="宋体"/>
                <w:snapToGrid w:val="0"/>
                <w:color w:val="000000"/>
                <w:spacing w:val="-7"/>
                <w:kern w:val="0"/>
                <w:sz w:val="24"/>
                <w:szCs w:val="24"/>
                <w:lang w:val="en-US" w:eastAsia="zh-CN" w:bidi="ar-SA"/>
              </w:rPr>
              <w:t>810</w:t>
            </w:r>
            <w:r>
              <w:rPr>
                <w:rFonts w:hint="default" w:ascii="Times New Roman" w:hAnsi="Times New Roman" w:eastAsia="宋体" w:cs="宋体"/>
                <w:snapToGrid w:val="0"/>
                <w:color w:val="000000"/>
                <w:spacing w:val="-7"/>
                <w:kern w:val="0"/>
                <w:sz w:val="24"/>
                <w:szCs w:val="24"/>
                <w:lang w:val="en-US" w:eastAsia="en-US" w:bidi="ar-SA"/>
              </w:rPr>
              <w:t>t/a）。</w:t>
            </w:r>
            <w:r>
              <w:rPr>
                <w:rFonts w:hint="default" w:ascii="Times New Roman" w:hAnsi="Times New Roman" w:eastAsia="宋体" w:cs="宋体"/>
                <w:snapToGrid w:val="0"/>
                <w:color w:val="000000"/>
                <w:spacing w:val="-2"/>
                <w:kern w:val="0"/>
                <w:sz w:val="24"/>
                <w:szCs w:val="24"/>
                <w:lang w:val="en-US" w:eastAsia="en-US" w:bidi="ar-SA"/>
              </w:rPr>
              <w:t>收集后排入厂区内生产废水处理设施。</w:t>
            </w:r>
          </w:p>
          <w:p w14:paraId="2EF46ED2">
            <w:pPr>
              <w:keepNext w:val="0"/>
              <w:keepLines w:val="0"/>
              <w:pageBreakBefore w:val="0"/>
              <w:widowControl w:val="0"/>
              <w:suppressLineNumbers w:val="0"/>
              <w:kinsoku/>
              <w:wordWrap/>
              <w:overflowPunct/>
              <w:topLinePunct w:val="0"/>
              <w:autoSpaceDE w:val="0"/>
              <w:autoSpaceDN w:val="0"/>
              <w:bidi w:val="0"/>
              <w:adjustRightInd w:val="0"/>
              <w:snapToGrid w:val="0"/>
              <w:spacing w:before="34" w:beforeAutospacing="0" w:after="0" w:afterAutospacing="0" w:line="218" w:lineRule="auto"/>
              <w:ind w:left="590" w:right="0"/>
              <w:jc w:val="left"/>
              <w:textAlignment w:val="baseline"/>
              <w:rPr>
                <w:rFonts w:hint="default" w:ascii="Times New Roman" w:hAnsi="Times New Roman" w:eastAsia="宋体" w:cs="宋体"/>
                <w:snapToGrid w:val="0"/>
                <w:color w:val="000000"/>
                <w:kern w:val="0"/>
                <w:sz w:val="24"/>
                <w:szCs w:val="24"/>
                <w:lang w:val="en-US" w:eastAsia="en-US" w:bidi="ar-SA"/>
              </w:rPr>
            </w:pPr>
            <w:r>
              <w:rPr>
                <w:rFonts w:hint="eastAsia" w:cs="宋体"/>
                <w:snapToGrid w:val="0"/>
                <w:color w:val="000000"/>
                <w:spacing w:val="-1"/>
                <w:kern w:val="0"/>
                <w:sz w:val="24"/>
                <w:szCs w:val="24"/>
                <w:lang w:val="en-US" w:eastAsia="zh-CN" w:bidi="ar-SA"/>
              </w:rPr>
              <w:t>②</w:t>
            </w:r>
            <w:r>
              <w:rPr>
                <w:rFonts w:hint="default" w:ascii="Times New Roman" w:hAnsi="Times New Roman" w:eastAsia="宋体" w:cs="宋体"/>
                <w:snapToGrid w:val="0"/>
                <w:color w:val="000000"/>
                <w:spacing w:val="-1"/>
                <w:kern w:val="0"/>
                <w:sz w:val="24"/>
                <w:szCs w:val="24"/>
                <w:lang w:val="en-US" w:eastAsia="en-US" w:bidi="ar-SA"/>
              </w:rPr>
              <w:t>厂房设备清洁</w:t>
            </w:r>
            <w:r>
              <w:rPr>
                <w:rFonts w:hint="eastAsia" w:ascii="Times New Roman" w:hAnsi="Times New Roman" w:eastAsia="宋体" w:cs="宋体"/>
                <w:snapToGrid w:val="0"/>
                <w:color w:val="000000"/>
                <w:spacing w:val="-1"/>
                <w:kern w:val="0"/>
                <w:sz w:val="24"/>
                <w:szCs w:val="24"/>
                <w:lang w:val="en-US" w:eastAsia="zh-CN" w:bidi="ar-SA"/>
              </w:rPr>
              <w:t>用</w:t>
            </w:r>
            <w:r>
              <w:rPr>
                <w:rFonts w:hint="default" w:ascii="Times New Roman" w:hAnsi="Times New Roman" w:eastAsia="宋体" w:cs="宋体"/>
                <w:snapToGrid w:val="0"/>
                <w:color w:val="000000"/>
                <w:spacing w:val="-1"/>
                <w:kern w:val="0"/>
                <w:sz w:val="24"/>
                <w:szCs w:val="24"/>
                <w:lang w:val="en-US" w:eastAsia="en-US" w:bidi="ar-SA"/>
              </w:rPr>
              <w:t>水</w:t>
            </w:r>
          </w:p>
          <w:p w14:paraId="12D553DD">
            <w:pPr>
              <w:keepNext w:val="0"/>
              <w:keepLines w:val="0"/>
              <w:pageBreakBefore w:val="0"/>
              <w:widowControl w:val="0"/>
              <w:suppressLineNumbers w:val="0"/>
              <w:kinsoku/>
              <w:wordWrap/>
              <w:overflowPunct/>
              <w:topLinePunct w:val="0"/>
              <w:autoSpaceDE w:val="0"/>
              <w:autoSpaceDN w:val="0"/>
              <w:bidi w:val="0"/>
              <w:adjustRightInd w:val="0"/>
              <w:snapToGrid w:val="0"/>
              <w:spacing w:before="202" w:beforeAutospacing="0" w:after="0" w:afterAutospacing="0" w:line="387" w:lineRule="auto"/>
              <w:ind w:left="114" w:right="108" w:firstLine="478"/>
              <w:jc w:val="left"/>
              <w:textAlignment w:val="baseline"/>
              <w:rPr>
                <w:rFonts w:hint="default" w:ascii="宋体" w:hAnsi="宋体" w:eastAsia="宋体" w:cs="宋体"/>
                <w:snapToGrid w:val="0"/>
                <w:color w:val="000000"/>
                <w:kern w:val="0"/>
                <w:sz w:val="24"/>
                <w:szCs w:val="24"/>
                <w:lang w:val="en-US" w:eastAsia="en-US" w:bidi="ar-SA"/>
              </w:rPr>
            </w:pPr>
            <w:r>
              <w:rPr>
                <w:rFonts w:hint="default" w:ascii="Times New Roman" w:hAnsi="Times New Roman" w:eastAsia="宋体" w:cs="宋体"/>
                <w:snapToGrid w:val="0"/>
                <w:color w:val="000000"/>
                <w:spacing w:val="-2"/>
                <w:kern w:val="0"/>
                <w:sz w:val="24"/>
                <w:szCs w:val="24"/>
                <w:lang w:val="en-US" w:eastAsia="en-US" w:bidi="ar-SA"/>
              </w:rPr>
              <w:t>根据建设单位提供资料，本项目厂房设备清洁用</w:t>
            </w:r>
            <w:r>
              <w:rPr>
                <w:rFonts w:hint="default" w:ascii="Times New Roman" w:hAnsi="Times New Roman" w:eastAsia="宋体" w:cs="宋体"/>
                <w:snapToGrid w:val="0"/>
                <w:color w:val="000000"/>
                <w:spacing w:val="-3"/>
                <w:kern w:val="0"/>
                <w:sz w:val="24"/>
                <w:szCs w:val="24"/>
                <w:lang w:val="en-US" w:eastAsia="en-US" w:bidi="ar-SA"/>
              </w:rPr>
              <w:t>水量约</w:t>
            </w:r>
            <w:r>
              <w:rPr>
                <w:rFonts w:hint="default" w:ascii="Times New Roman" w:hAnsi="Times New Roman" w:eastAsia="宋体" w:cs="Times New Roman"/>
                <w:snapToGrid w:val="0"/>
                <w:color w:val="000000"/>
                <w:spacing w:val="-3"/>
                <w:kern w:val="0"/>
                <w:sz w:val="24"/>
                <w:szCs w:val="24"/>
                <w:lang w:val="en-US" w:eastAsia="en-US" w:bidi="ar-SA"/>
              </w:rPr>
              <w:t>3.0t/d</w:t>
            </w:r>
            <w:r>
              <w:rPr>
                <w:rFonts w:hint="eastAsia" w:ascii="Times New Roman" w:hAnsi="Times New Roman" w:eastAsia="宋体" w:cs="宋体"/>
                <w:snapToGrid w:val="0"/>
                <w:color w:val="000000"/>
                <w:spacing w:val="-3"/>
                <w:kern w:val="0"/>
                <w:sz w:val="24"/>
                <w:szCs w:val="24"/>
                <w:lang w:val="en-US" w:eastAsia="zh-CN" w:bidi="ar-SA"/>
              </w:rPr>
              <w:t>（</w:t>
            </w:r>
            <w:r>
              <w:rPr>
                <w:rFonts w:hint="default" w:ascii="Times New Roman" w:hAnsi="Times New Roman" w:eastAsia="宋体" w:cs="Times New Roman"/>
                <w:snapToGrid w:val="0"/>
                <w:color w:val="000000"/>
                <w:spacing w:val="-3"/>
                <w:kern w:val="0"/>
                <w:sz w:val="24"/>
                <w:szCs w:val="24"/>
                <w:lang w:val="en-US" w:eastAsia="en-US" w:bidi="ar-SA"/>
              </w:rPr>
              <w:t>900t/a</w:t>
            </w:r>
            <w:r>
              <w:rPr>
                <w:rFonts w:hint="eastAsia" w:ascii="Times New Roman" w:hAnsi="Times New Roman" w:eastAsia="宋体" w:cs="宋体"/>
                <w:snapToGrid w:val="0"/>
                <w:color w:val="000000"/>
                <w:spacing w:val="-3"/>
                <w:kern w:val="0"/>
                <w:sz w:val="24"/>
                <w:szCs w:val="24"/>
                <w:lang w:val="en-US" w:eastAsia="zh-CN" w:bidi="ar-SA"/>
              </w:rPr>
              <w:t>）</w:t>
            </w:r>
            <w:r>
              <w:rPr>
                <w:rFonts w:hint="default" w:ascii="Times New Roman" w:hAnsi="Times New Roman" w:eastAsia="宋体" w:cs="宋体"/>
                <w:snapToGrid w:val="0"/>
                <w:color w:val="000000"/>
                <w:spacing w:val="-3"/>
                <w:kern w:val="0"/>
                <w:sz w:val="24"/>
                <w:szCs w:val="24"/>
                <w:lang w:val="en-US" w:eastAsia="en-US" w:bidi="ar-SA"/>
              </w:rPr>
              <w:t>，</w:t>
            </w:r>
            <w:r>
              <w:rPr>
                <w:rFonts w:hint="eastAsia" w:cs="宋体"/>
                <w:snapToGrid w:val="0"/>
                <w:color w:val="000000"/>
                <w:spacing w:val="-7"/>
                <w:kern w:val="0"/>
                <w:sz w:val="24"/>
                <w:szCs w:val="24"/>
                <w:lang w:val="en-US" w:eastAsia="zh-CN" w:bidi="ar-SA"/>
              </w:rPr>
              <w:t>产污系数为90%，</w:t>
            </w:r>
            <w:r>
              <w:rPr>
                <w:rFonts w:hint="default" w:ascii="Times New Roman" w:hAnsi="Times New Roman" w:eastAsia="宋体" w:cs="宋体"/>
                <w:snapToGrid w:val="0"/>
                <w:color w:val="000000"/>
                <w:spacing w:val="-7"/>
                <w:kern w:val="0"/>
                <w:sz w:val="24"/>
                <w:szCs w:val="24"/>
                <w:lang w:val="en-US" w:eastAsia="en-US" w:bidi="ar-SA"/>
              </w:rPr>
              <w:t>废水产生量约为</w:t>
            </w:r>
            <w:r>
              <w:rPr>
                <w:rFonts w:hint="eastAsia" w:ascii="Times New Roman" w:hAnsi="Times New Roman" w:eastAsia="宋体" w:cs="宋体"/>
                <w:snapToGrid w:val="0"/>
                <w:color w:val="000000"/>
                <w:spacing w:val="-7"/>
                <w:kern w:val="0"/>
                <w:sz w:val="24"/>
                <w:szCs w:val="24"/>
                <w:lang w:val="en-US" w:eastAsia="zh-CN" w:bidi="ar-SA"/>
              </w:rPr>
              <w:t>2.7</w:t>
            </w:r>
            <w:r>
              <w:rPr>
                <w:rFonts w:hint="default" w:ascii="Times New Roman" w:hAnsi="Times New Roman" w:eastAsia="宋体" w:cs="宋体"/>
                <w:snapToGrid w:val="0"/>
                <w:color w:val="000000"/>
                <w:spacing w:val="-7"/>
                <w:kern w:val="0"/>
                <w:sz w:val="24"/>
                <w:szCs w:val="24"/>
                <w:lang w:val="en-US" w:eastAsia="en-US" w:bidi="ar-SA"/>
              </w:rPr>
              <w:t>t/d（</w:t>
            </w:r>
            <w:r>
              <w:rPr>
                <w:rFonts w:hint="eastAsia" w:ascii="Times New Roman" w:hAnsi="Times New Roman" w:eastAsia="宋体" w:cs="宋体"/>
                <w:snapToGrid w:val="0"/>
                <w:color w:val="000000"/>
                <w:spacing w:val="-7"/>
                <w:kern w:val="0"/>
                <w:sz w:val="24"/>
                <w:szCs w:val="24"/>
                <w:lang w:val="en-US" w:eastAsia="zh-CN" w:bidi="ar-SA"/>
              </w:rPr>
              <w:t>810</w:t>
            </w:r>
            <w:r>
              <w:rPr>
                <w:rFonts w:hint="default" w:ascii="Times New Roman" w:hAnsi="Times New Roman" w:eastAsia="宋体" w:cs="宋体"/>
                <w:snapToGrid w:val="0"/>
                <w:color w:val="000000"/>
                <w:spacing w:val="-7"/>
                <w:kern w:val="0"/>
                <w:sz w:val="24"/>
                <w:szCs w:val="24"/>
                <w:lang w:val="en-US" w:eastAsia="en-US" w:bidi="ar-SA"/>
              </w:rPr>
              <w:t>t/a）。</w:t>
            </w:r>
            <w:r>
              <w:rPr>
                <w:rFonts w:hint="default" w:ascii="Times New Roman" w:hAnsi="Times New Roman" w:eastAsia="宋体" w:cs="宋体"/>
                <w:snapToGrid w:val="0"/>
                <w:color w:val="000000"/>
                <w:spacing w:val="-2"/>
                <w:kern w:val="0"/>
                <w:sz w:val="24"/>
                <w:szCs w:val="24"/>
                <w:lang w:val="en-US" w:eastAsia="en-US" w:bidi="ar-SA"/>
              </w:rPr>
              <w:t>收集后排入厂区内生产废水处理设施。</w:t>
            </w:r>
          </w:p>
          <w:p w14:paraId="34C502D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③</w:t>
            </w:r>
            <w:r>
              <w:rPr>
                <w:rFonts w:hint="eastAsia" w:ascii="Times New Roman" w:hAnsi="Times New Roman" w:eastAsia="宋体" w:cs="Times New Roman"/>
                <w:color w:val="auto"/>
                <w:highlight w:val="none"/>
                <w:lang w:val="en-US" w:eastAsia="zh-CN"/>
              </w:rPr>
              <w:t>织造用水</w:t>
            </w:r>
          </w:p>
          <w:p w14:paraId="4FC0B7D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根据纺织行业设备运行经验以及企业提供资料，一台喷水织机用水量约为2.5t/d，本项目共设置800台喷水织机，则喷水织机总用水量约为2000t/d</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600000</w:t>
            </w:r>
            <w:r>
              <w:rPr>
                <w:rFonts w:hint="default" w:ascii="Times New Roman" w:hAnsi="Times New Roman" w:eastAsia="宋体" w:cs="Times New Roman"/>
                <w:color w:val="auto"/>
                <w:highlight w:val="none"/>
                <w:lang w:val="en-US" w:eastAsia="en-US"/>
              </w:rPr>
              <w:t>t/a</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en-US"/>
              </w:rPr>
              <w:t>，织机用水循环使用，每天的废水约20%损耗或进入坯布，其余80%废水进入污水处理站处理后回用，废水产生量为1600t/d（480000t/a）。</w:t>
            </w:r>
          </w:p>
          <w:p w14:paraId="3961A61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s="Times New Roman"/>
                <w:color w:val="auto"/>
                <w:highlight w:val="none"/>
                <w:lang w:val="en-US" w:eastAsia="zh-CN"/>
              </w:rPr>
            </w:pPr>
            <w:r>
              <w:rPr>
                <w:rFonts w:hint="default" w:ascii="宋体" w:hAnsi="宋体" w:eastAsia="宋体" w:cs="宋体"/>
                <w:snapToGrid w:val="0"/>
                <w:color w:val="000000"/>
                <w:spacing w:val="-2"/>
                <w:kern w:val="0"/>
                <w:sz w:val="24"/>
                <w:szCs w:val="24"/>
                <w:lang w:val="en-US" w:eastAsia="en-US" w:bidi="ar-SA"/>
              </w:rPr>
              <w:t>磨毛</w:t>
            </w:r>
            <w:r>
              <w:rPr>
                <w:rFonts w:hint="eastAsia" w:cs="Times New Roman"/>
                <w:color w:val="auto"/>
                <w:highlight w:val="none"/>
                <w:lang w:val="en-US" w:eastAsia="zh-CN"/>
              </w:rPr>
              <w:t>废水</w:t>
            </w:r>
            <w:r>
              <w:rPr>
                <w:rFonts w:hint="eastAsia" w:ascii="宋体" w:hAnsi="宋体" w:cs="宋体"/>
                <w:snapToGrid w:val="0"/>
                <w:color w:val="000000"/>
                <w:spacing w:val="-2"/>
                <w:kern w:val="0"/>
                <w:sz w:val="24"/>
                <w:szCs w:val="24"/>
                <w:lang w:val="en-US" w:eastAsia="zh-CN" w:bidi="ar-SA"/>
              </w:rPr>
              <w:t>、</w:t>
            </w:r>
            <w:r>
              <w:rPr>
                <w:rFonts w:hint="default" w:ascii="Times New Roman" w:hAnsi="Times New Roman" w:eastAsia="宋体" w:cs="宋体"/>
                <w:snapToGrid w:val="0"/>
                <w:color w:val="000000"/>
                <w:spacing w:val="-1"/>
                <w:kern w:val="0"/>
                <w:sz w:val="24"/>
                <w:szCs w:val="24"/>
                <w:lang w:val="en-US" w:eastAsia="en-US" w:bidi="ar-SA"/>
              </w:rPr>
              <w:t>厂房设备清洁</w:t>
            </w:r>
            <w:r>
              <w:rPr>
                <w:rFonts w:hint="eastAsia" w:cs="Times New Roman"/>
                <w:color w:val="auto"/>
                <w:highlight w:val="none"/>
                <w:lang w:val="en-US" w:eastAsia="zh-CN"/>
              </w:rPr>
              <w:t>废水</w:t>
            </w:r>
            <w:r>
              <w:rPr>
                <w:rFonts w:hint="eastAsia" w:cs="宋体"/>
                <w:snapToGrid w:val="0"/>
                <w:color w:val="000000"/>
                <w:spacing w:val="-1"/>
                <w:kern w:val="0"/>
                <w:sz w:val="24"/>
                <w:szCs w:val="24"/>
                <w:lang w:val="en-US" w:eastAsia="zh-CN" w:bidi="ar-SA"/>
              </w:rPr>
              <w:t>、</w:t>
            </w:r>
            <w:r>
              <w:rPr>
                <w:rFonts w:hint="eastAsia" w:ascii="Times New Roman" w:hAnsi="Times New Roman" w:eastAsia="宋体" w:cs="Times New Roman"/>
                <w:color w:val="auto"/>
                <w:highlight w:val="none"/>
                <w:lang w:val="en-US" w:eastAsia="zh-CN"/>
              </w:rPr>
              <w:t>织造</w:t>
            </w:r>
            <w:r>
              <w:rPr>
                <w:rFonts w:hint="eastAsia" w:cs="Times New Roman"/>
                <w:color w:val="auto"/>
                <w:highlight w:val="none"/>
                <w:lang w:val="en-US" w:eastAsia="zh-CN"/>
              </w:rPr>
              <w:t>废水</w:t>
            </w:r>
            <w:r>
              <w:rPr>
                <w:rFonts w:hint="default" w:ascii="Times New Roman" w:hAnsi="Times New Roman" w:eastAsia="宋体" w:cs="Times New Roman"/>
                <w:color w:val="auto"/>
                <w:highlight w:val="none"/>
                <w:lang w:val="en-US" w:eastAsia="en-US"/>
              </w:rPr>
              <w:t>收集后经一体化污水处理设备处理后9</w:t>
            </w:r>
            <w:r>
              <w:rPr>
                <w:rFonts w:hint="eastAsia" w:cs="Times New Roman"/>
                <w:color w:val="auto"/>
                <w:highlight w:val="none"/>
                <w:lang w:val="en-US" w:eastAsia="zh-CN"/>
              </w:rPr>
              <w:t>5</w:t>
            </w:r>
            <w:r>
              <w:rPr>
                <w:rFonts w:hint="default" w:ascii="Times New Roman" w:hAnsi="Times New Roman" w:eastAsia="宋体" w:cs="Times New Roman"/>
                <w:color w:val="auto"/>
                <w:highlight w:val="none"/>
                <w:lang w:val="en-US" w:eastAsia="en-US"/>
              </w:rPr>
              <w:t>%回用于生产，约</w:t>
            </w:r>
            <w:r>
              <w:rPr>
                <w:rFonts w:hint="eastAsia" w:cs="Times New Roman"/>
                <w:color w:val="auto"/>
                <w:highlight w:val="none"/>
                <w:lang w:val="en-US" w:eastAsia="zh-CN"/>
              </w:rPr>
              <w:t>1525.13</w:t>
            </w:r>
            <w:r>
              <w:rPr>
                <w:rFonts w:hint="default" w:ascii="Times New Roman" w:hAnsi="Times New Roman" w:eastAsia="宋体" w:cs="Times New Roman"/>
                <w:color w:val="auto"/>
                <w:highlight w:val="none"/>
                <w:lang w:val="en-US" w:eastAsia="en-US"/>
              </w:rPr>
              <w:t>t/d（</w:t>
            </w:r>
            <w:r>
              <w:rPr>
                <w:rFonts w:hint="eastAsia" w:cs="Times New Roman"/>
                <w:color w:val="auto"/>
                <w:highlight w:val="none"/>
                <w:lang w:val="en-US" w:eastAsia="zh-CN"/>
              </w:rPr>
              <w:t>457539</w:t>
            </w:r>
            <w:r>
              <w:rPr>
                <w:rFonts w:hint="default" w:ascii="Times New Roman" w:hAnsi="Times New Roman" w:eastAsia="宋体" w:cs="Times New Roman"/>
                <w:color w:val="auto"/>
                <w:highlight w:val="none"/>
                <w:lang w:val="en-US" w:eastAsia="en-US"/>
              </w:rPr>
              <w:t>t/a）。</w:t>
            </w:r>
            <w:r>
              <w:rPr>
                <w:rFonts w:hint="eastAsia" w:cs="Times New Roman"/>
                <w:color w:val="auto"/>
                <w:highlight w:val="none"/>
                <w:lang w:val="en-US" w:eastAsia="zh-CN"/>
              </w:rPr>
              <w:t>5%</w:t>
            </w:r>
            <w:r>
              <w:rPr>
                <w:rFonts w:hint="eastAsia"/>
                <w:lang w:eastAsia="zh-CN"/>
              </w:rPr>
              <w:t>，</w:t>
            </w:r>
            <w:r>
              <w:rPr>
                <w:rFonts w:hint="eastAsia"/>
                <w:lang w:val="en-US" w:eastAsia="zh-CN"/>
              </w:rPr>
              <w:t>约80.27</w:t>
            </w:r>
            <w:r>
              <w:rPr>
                <w:rFonts w:hint="default" w:ascii="Times New Roman" w:hAnsi="Times New Roman" w:eastAsia="宋体" w:cs="Times New Roman"/>
                <w:color w:val="auto"/>
                <w:highlight w:val="none"/>
                <w:lang w:val="en-US" w:eastAsia="en-US"/>
              </w:rPr>
              <w:t>t/d（</w:t>
            </w:r>
            <w:r>
              <w:rPr>
                <w:rFonts w:hint="eastAsia" w:cs="Times New Roman"/>
                <w:color w:val="auto"/>
                <w:highlight w:val="none"/>
                <w:lang w:val="en-US" w:eastAsia="zh-CN"/>
              </w:rPr>
              <w:t>24081</w:t>
            </w:r>
            <w:r>
              <w:rPr>
                <w:rFonts w:hint="default" w:ascii="Times New Roman" w:hAnsi="Times New Roman" w:eastAsia="宋体" w:cs="Times New Roman"/>
                <w:color w:val="auto"/>
                <w:highlight w:val="none"/>
                <w:lang w:val="en-US" w:eastAsia="en-US"/>
              </w:rPr>
              <w:t>t/a）</w:t>
            </w:r>
            <w:r>
              <w:rPr>
                <w:rFonts w:hint="eastAsia" w:cs="Times New Roman"/>
                <w:color w:val="auto"/>
                <w:lang w:val="en-US" w:eastAsia="zh-CN"/>
              </w:rPr>
              <w:t>通过厂区污水处理站处理后排入</w:t>
            </w:r>
            <w:r>
              <w:rPr>
                <w:rFonts w:hint="eastAsia" w:ascii="Times New Roman" w:eastAsia="宋体"/>
                <w:color w:val="auto"/>
                <w:vertAlign w:val="baseline"/>
                <w:lang w:val="en-US" w:eastAsia="zh-CN"/>
              </w:rPr>
              <w:t>五河县经济开发区污水处理厂进行进一步处理。</w:t>
            </w:r>
          </w:p>
          <w:p w14:paraId="0BC38D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综上，本项目废水排放量为</w:t>
            </w:r>
            <w:r>
              <w:rPr>
                <w:rFonts w:hint="eastAsia" w:cs="Times New Roman"/>
                <w:color w:val="auto"/>
                <w:kern w:val="0"/>
                <w:sz w:val="24"/>
                <w:szCs w:val="24"/>
                <w:lang w:val="en-US" w:eastAsia="zh-CN" w:bidi="ar"/>
              </w:rPr>
              <w:t>84.27</w:t>
            </w:r>
            <w:r>
              <w:rPr>
                <w:rFonts w:hint="eastAsia" w:ascii="Times New Roman" w:hAnsi="Times New Roman" w:eastAsia="宋体" w:cs="Times New Roman"/>
                <w:color w:val="auto"/>
                <w:kern w:val="0"/>
                <w:sz w:val="24"/>
                <w:szCs w:val="24"/>
                <w:lang w:val="en-US" w:eastAsia="zh-CN" w:bidi="ar"/>
              </w:rPr>
              <w:t>t/d</w:t>
            </w:r>
            <w:r>
              <w:rPr>
                <w:rFonts w:hint="eastAsia" w:ascii="Times New Roman" w:hAnsi="Times New Roman" w:eastAsia="宋体" w:cs="Times New Roman"/>
                <w:b w:val="0"/>
                <w:bCs w:val="0"/>
                <w:color w:val="auto"/>
                <w:kern w:val="0"/>
                <w:sz w:val="24"/>
                <w:szCs w:val="24"/>
                <w:lang w:val="en-US" w:eastAsia="zh-CN" w:bidi="ar"/>
              </w:rPr>
              <w:t>（</w:t>
            </w:r>
            <w:r>
              <w:rPr>
                <w:rFonts w:hint="eastAsia" w:cs="Times New Roman"/>
                <w:b w:val="0"/>
                <w:bCs w:val="0"/>
                <w:color w:val="auto"/>
                <w:kern w:val="0"/>
                <w:sz w:val="24"/>
                <w:szCs w:val="24"/>
                <w:lang w:val="en-US" w:eastAsia="zh-CN" w:bidi="ar"/>
              </w:rPr>
              <w:t>25281</w:t>
            </w:r>
            <w:r>
              <w:rPr>
                <w:rFonts w:hint="eastAsia" w:ascii="Times New Roman" w:hAnsi="Times New Roman" w:eastAsia="宋体" w:cs="Times New Roman"/>
                <w:b w:val="0"/>
                <w:bCs w:val="0"/>
                <w:color w:val="auto"/>
                <w:kern w:val="0"/>
                <w:sz w:val="24"/>
                <w:szCs w:val="24"/>
                <w:lang w:val="en-US" w:eastAsia="zh-CN" w:bidi="ar"/>
              </w:rPr>
              <w:t>t/a）。</w:t>
            </w:r>
          </w:p>
          <w:p w14:paraId="39CDE7F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项目水平衡图，见下图。</w:t>
            </w:r>
          </w:p>
          <w:p w14:paraId="307F201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drawing>
                <wp:inline distT="0" distB="0" distL="114300" distR="114300">
                  <wp:extent cx="5937885" cy="4235450"/>
                  <wp:effectExtent l="0" t="0" r="0" b="0"/>
                  <wp:docPr id="6" name="ECB019B1-382A-4266-B25C-5B523AA43C14-1" descr="C:/Users/ADMIN/AppData/Local/Temp/wps.Csloe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C:/Users/ADMIN/AppData/Local/Temp/wps.CsloeTwps"/>
                          <pic:cNvPicPr>
                            <a:picLocks noChangeAspect="1"/>
                          </pic:cNvPicPr>
                        </pic:nvPicPr>
                        <pic:blipFill>
                          <a:blip r:embed="rId13"/>
                          <a:stretch>
                            <a:fillRect/>
                          </a:stretch>
                        </pic:blipFill>
                        <pic:spPr>
                          <a:xfrm>
                            <a:off x="0" y="0"/>
                            <a:ext cx="5937885" cy="4235450"/>
                          </a:xfrm>
                          <a:prstGeom prst="rect">
                            <a:avLst/>
                          </a:prstGeom>
                        </pic:spPr>
                      </pic:pic>
                    </a:graphicData>
                  </a:graphic>
                </wp:inline>
              </w:drawing>
            </w:r>
          </w:p>
          <w:p w14:paraId="1A35E1E1">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图2-</w:t>
            </w:r>
            <w:r>
              <w:rPr>
                <w:rFonts w:hint="eastAsia" w:cs="Times New Roman"/>
                <w:b/>
                <w:bCs/>
                <w:color w:val="auto"/>
                <w:highlight w:val="none"/>
                <w:lang w:val="en-US" w:eastAsia="zh-CN"/>
              </w:rPr>
              <w:t>1</w:t>
            </w:r>
            <w:r>
              <w:rPr>
                <w:rFonts w:hint="eastAsia" w:cs="Times New Roman"/>
                <w:b/>
                <w:bCs/>
                <w:color w:val="auto"/>
                <w:highlight w:val="none"/>
                <w:lang w:eastAsia="zh-CN"/>
              </w:rPr>
              <w:t>本项目</w:t>
            </w:r>
            <w:r>
              <w:rPr>
                <w:rFonts w:hint="default" w:ascii="Times New Roman" w:hAnsi="Times New Roman" w:eastAsia="宋体" w:cs="Times New Roman"/>
                <w:b/>
                <w:bCs/>
                <w:color w:val="auto"/>
                <w:highlight w:val="none"/>
              </w:rPr>
              <w:t>用水平衡图（单位：t/d）</w:t>
            </w:r>
          </w:p>
          <w:p w14:paraId="210F4B1F">
            <w:pPr>
              <w:keepNext w:val="0"/>
              <w:keepLines w:val="0"/>
              <w:suppressLineNumbers w:val="0"/>
              <w:kinsoku w:val="0"/>
              <w:autoSpaceDE w:val="0"/>
              <w:autoSpaceDN w:val="0"/>
              <w:adjustRightInd w:val="0"/>
              <w:snapToGrid w:val="0"/>
              <w:spacing w:before="78" w:beforeAutospacing="0" w:after="0" w:afterAutospacing="0" w:line="360" w:lineRule="auto"/>
              <w:ind w:left="587" w:right="0"/>
              <w:jc w:val="left"/>
              <w:textAlignment w:val="baseline"/>
              <w:rPr>
                <w:rFonts w:hint="default" w:ascii="宋体" w:hAnsi="宋体" w:eastAsia="宋体" w:cs="宋体"/>
                <w:snapToGrid w:val="0"/>
                <w:color w:val="000000"/>
                <w:kern w:val="0"/>
                <w:sz w:val="24"/>
                <w:szCs w:val="24"/>
                <w:lang w:val="en-US" w:eastAsia="en-US" w:bidi="ar-SA"/>
              </w:rPr>
            </w:pPr>
            <w:r>
              <w:rPr>
                <w:rFonts w:hint="eastAsia" w:ascii="Times New Roman" w:hAnsi="Times New Roman" w:eastAsia="宋体" w:cs="Times New Roman"/>
                <w:b/>
                <w:bCs/>
                <w:snapToGrid w:val="0"/>
                <w:color w:val="000000"/>
                <w:spacing w:val="-7"/>
                <w:kern w:val="0"/>
                <w:sz w:val="24"/>
                <w:szCs w:val="24"/>
                <w:lang w:val="en-US" w:eastAsia="zh-CN" w:bidi="ar-SA"/>
              </w:rPr>
              <w:t>3</w:t>
            </w:r>
            <w:r>
              <w:rPr>
                <w:rFonts w:hint="default" w:ascii="宋体" w:hAnsi="宋体" w:eastAsia="宋体" w:cs="宋体"/>
                <w:b/>
                <w:bCs/>
                <w:snapToGrid w:val="0"/>
                <w:color w:val="000000"/>
                <w:spacing w:val="-7"/>
                <w:kern w:val="0"/>
                <w:sz w:val="24"/>
                <w:szCs w:val="24"/>
                <w:lang w:val="en-US" w:eastAsia="en-US" w:bidi="ar-SA"/>
              </w:rPr>
              <w:t>、锑元素平衡</w:t>
            </w:r>
          </w:p>
          <w:p w14:paraId="2CC7AF0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76" w:firstLineChars="200"/>
              <w:jc w:val="both"/>
              <w:textAlignment w:val="baseline"/>
              <w:rPr>
                <w:rFonts w:hint="default" w:ascii="宋体" w:hAnsi="宋体" w:eastAsia="宋体" w:cs="宋体"/>
                <w:snapToGrid w:val="0"/>
                <w:color w:val="000000"/>
                <w:kern w:val="0"/>
                <w:sz w:val="24"/>
                <w:szCs w:val="24"/>
                <w:lang w:val="en-US" w:eastAsia="en-US" w:bidi="ar-SA"/>
              </w:rPr>
            </w:pPr>
            <w:r>
              <w:rPr>
                <w:rFonts w:hint="default" w:ascii="宋体" w:hAnsi="宋体" w:eastAsia="宋体" w:cs="宋体"/>
                <w:snapToGrid w:val="0"/>
                <w:color w:val="000000"/>
                <w:spacing w:val="-1"/>
                <w:kern w:val="0"/>
                <w:sz w:val="24"/>
                <w:szCs w:val="24"/>
                <w:lang w:val="en-US" w:eastAsia="en-US" w:bidi="ar-SA"/>
              </w:rPr>
              <w:t>原料聚酯纤维合成时，为了提高原料的转化率，经常使用含锑</w:t>
            </w:r>
            <w:r>
              <w:rPr>
                <w:rFonts w:hint="default" w:ascii="宋体" w:hAnsi="宋体" w:eastAsia="宋体" w:cs="宋体"/>
                <w:snapToGrid w:val="0"/>
                <w:color w:val="000000"/>
                <w:spacing w:val="-2"/>
                <w:kern w:val="0"/>
                <w:sz w:val="24"/>
                <w:szCs w:val="24"/>
                <w:lang w:val="en-US" w:eastAsia="en-US" w:bidi="ar-SA"/>
              </w:rPr>
              <w:t>的催化剂，例如</w:t>
            </w:r>
            <w:r>
              <w:rPr>
                <w:rFonts w:hint="default" w:ascii="宋体" w:hAnsi="宋体" w:eastAsia="宋体" w:cs="宋体"/>
                <w:snapToGrid w:val="0"/>
                <w:color w:val="000000"/>
                <w:spacing w:val="-5"/>
                <w:kern w:val="0"/>
                <w:sz w:val="24"/>
                <w:szCs w:val="24"/>
                <w:lang w:val="en-US" w:eastAsia="en-US" w:bidi="ar-SA"/>
              </w:rPr>
              <w:t>醋酸锑、乙二醇锑等。在合成过程中，锑元素会以游离状态均匀分散到聚酯纤维中，</w:t>
            </w:r>
            <w:r>
              <w:rPr>
                <w:rFonts w:hint="default" w:ascii="宋体" w:hAnsi="宋体" w:eastAsia="宋体" w:cs="宋体"/>
                <w:snapToGrid w:val="0"/>
                <w:color w:val="000000"/>
                <w:spacing w:val="-1"/>
                <w:kern w:val="0"/>
                <w:sz w:val="24"/>
                <w:szCs w:val="24"/>
                <w:lang w:val="en-US" w:eastAsia="en-US" w:bidi="ar-SA"/>
              </w:rPr>
              <w:t>这些纤维进入纺织印染企业进一步加工时，游离的锑就会进入到废水中。参考《塑料再生塑料第</w:t>
            </w:r>
            <w:r>
              <w:rPr>
                <w:rFonts w:hint="default" w:ascii="Times New Roman" w:hAnsi="Times New Roman" w:eastAsia="Times New Roman" w:cs="Times New Roman"/>
                <w:snapToGrid w:val="0"/>
                <w:color w:val="000000"/>
                <w:spacing w:val="-1"/>
                <w:kern w:val="0"/>
                <w:sz w:val="24"/>
                <w:szCs w:val="24"/>
                <w:lang w:val="en-US" w:eastAsia="en-US" w:bidi="ar-SA"/>
              </w:rPr>
              <w:t>9</w:t>
            </w:r>
            <w:r>
              <w:rPr>
                <w:rFonts w:hint="default" w:ascii="宋体" w:hAnsi="宋体" w:eastAsia="宋体" w:cs="宋体"/>
                <w:snapToGrid w:val="0"/>
                <w:color w:val="000000"/>
                <w:spacing w:val="-1"/>
                <w:kern w:val="0"/>
                <w:sz w:val="24"/>
                <w:szCs w:val="24"/>
                <w:lang w:val="en-US" w:eastAsia="en-US" w:bidi="ar-SA"/>
              </w:rPr>
              <w:t>部分：聚对苯二甲酸乙二醇</w:t>
            </w:r>
            <w:r>
              <w:rPr>
                <w:rFonts w:hint="default" w:ascii="宋体" w:hAnsi="宋体" w:eastAsia="宋体" w:cs="宋体"/>
                <w:snapToGrid w:val="0"/>
                <w:color w:val="000000"/>
                <w:spacing w:val="-2"/>
                <w:kern w:val="0"/>
                <w:sz w:val="24"/>
                <w:szCs w:val="24"/>
                <w:lang w:val="en-US" w:eastAsia="en-US" w:bidi="ar-SA"/>
              </w:rPr>
              <w:t>酯</w:t>
            </w:r>
            <w:r>
              <w:rPr>
                <w:rFonts w:hint="eastAsia" w:ascii="宋体" w:hAnsi="宋体" w:cs="宋体"/>
                <w:snapToGrid w:val="0"/>
                <w:color w:val="000000"/>
                <w:spacing w:val="-2"/>
                <w:kern w:val="0"/>
                <w:sz w:val="24"/>
                <w:szCs w:val="24"/>
                <w:lang w:val="en-US" w:eastAsia="zh-CN" w:bidi="ar-SA"/>
              </w:rPr>
              <w:t>（</w:t>
            </w:r>
            <w:r>
              <w:rPr>
                <w:rFonts w:hint="default" w:ascii="Times New Roman" w:hAnsi="Times New Roman" w:eastAsia="Times New Roman" w:cs="Times New Roman"/>
                <w:snapToGrid w:val="0"/>
                <w:color w:val="000000"/>
                <w:spacing w:val="-2"/>
                <w:kern w:val="0"/>
                <w:sz w:val="24"/>
                <w:szCs w:val="24"/>
                <w:lang w:val="en-US" w:eastAsia="en-US" w:bidi="ar-SA"/>
              </w:rPr>
              <w:t>PET</w:t>
            </w:r>
            <w:r>
              <w:rPr>
                <w:rFonts w:hint="eastAsia" w:eastAsia="宋体" w:cs="Times New Roman"/>
                <w:snapToGrid w:val="0"/>
                <w:color w:val="000000"/>
                <w:spacing w:val="-2"/>
                <w:kern w:val="0"/>
                <w:sz w:val="24"/>
                <w:szCs w:val="24"/>
                <w:lang w:val="en-US" w:eastAsia="zh-CN" w:bidi="ar-SA"/>
              </w:rPr>
              <w:t>）</w:t>
            </w:r>
            <w:r>
              <w:rPr>
                <w:rFonts w:hint="default" w:ascii="宋体" w:hAnsi="宋体" w:eastAsia="宋体" w:cs="宋体"/>
                <w:snapToGrid w:val="0"/>
                <w:color w:val="000000"/>
                <w:spacing w:val="-2"/>
                <w:kern w:val="0"/>
                <w:sz w:val="24"/>
                <w:szCs w:val="24"/>
                <w:lang w:val="en-US" w:eastAsia="en-US" w:bidi="ar-SA"/>
              </w:rPr>
              <w:t>材料》（</w:t>
            </w:r>
            <w:r>
              <w:rPr>
                <w:rFonts w:hint="default" w:ascii="Times New Roman" w:hAnsi="Times New Roman" w:eastAsia="Times New Roman" w:cs="Times New Roman"/>
                <w:snapToGrid w:val="0"/>
                <w:color w:val="000000"/>
                <w:spacing w:val="-2"/>
                <w:kern w:val="0"/>
                <w:sz w:val="24"/>
                <w:szCs w:val="24"/>
                <w:lang w:val="en-US" w:eastAsia="en-US" w:bidi="ar-SA"/>
              </w:rPr>
              <w:t>GB/T40006.9-2021</w:t>
            </w:r>
            <w:r>
              <w:rPr>
                <w:rFonts w:hint="default" w:ascii="宋体" w:hAnsi="宋体" w:eastAsia="宋体" w:cs="宋体"/>
                <w:snapToGrid w:val="0"/>
                <w:color w:val="000000"/>
                <w:spacing w:val="-2"/>
                <w:kern w:val="0"/>
                <w:sz w:val="24"/>
                <w:szCs w:val="24"/>
                <w:lang w:val="en-US" w:eastAsia="en-US" w:bidi="ar-SA"/>
              </w:rPr>
              <w:t>）中粒料（纤维用）锑含量≤</w:t>
            </w:r>
            <w:r>
              <w:rPr>
                <w:rFonts w:hint="default" w:ascii="Times New Roman" w:hAnsi="Times New Roman" w:eastAsia="Times New Roman" w:cs="Times New Roman"/>
                <w:snapToGrid w:val="0"/>
                <w:color w:val="000000"/>
                <w:spacing w:val="-2"/>
                <w:kern w:val="0"/>
                <w:sz w:val="24"/>
                <w:szCs w:val="24"/>
                <w:lang w:val="en-US" w:eastAsia="en-US" w:bidi="ar-SA"/>
              </w:rPr>
              <w:t>260mg/kg</w:t>
            </w:r>
            <w:r>
              <w:rPr>
                <w:rFonts w:hint="default" w:ascii="宋体" w:hAnsi="宋体" w:eastAsia="宋体" w:cs="宋体"/>
                <w:snapToGrid w:val="0"/>
                <w:color w:val="000000"/>
                <w:spacing w:val="-2"/>
                <w:kern w:val="0"/>
                <w:sz w:val="24"/>
                <w:szCs w:val="24"/>
                <w:lang w:val="en-US" w:eastAsia="en-US" w:bidi="ar-SA"/>
              </w:rPr>
              <w:t>，</w:t>
            </w:r>
            <w:r>
              <w:rPr>
                <w:rFonts w:hint="default" w:ascii="Times New Roman" w:hAnsi="Times New Roman" w:eastAsia="Times New Roman" w:cs="Times New Roman"/>
                <w:snapToGrid w:val="0"/>
                <w:color w:val="000000"/>
                <w:spacing w:val="-3"/>
                <w:kern w:val="0"/>
                <w:sz w:val="24"/>
                <w:szCs w:val="24"/>
                <w:lang w:val="en-US" w:eastAsia="en-US" w:bidi="ar-SA"/>
              </w:rPr>
              <w:t>2016</w:t>
            </w:r>
            <w:r>
              <w:rPr>
                <w:rFonts w:hint="default" w:ascii="宋体" w:hAnsi="宋体" w:eastAsia="宋体" w:cs="宋体"/>
                <w:snapToGrid w:val="0"/>
                <w:color w:val="000000"/>
                <w:spacing w:val="-3"/>
                <w:kern w:val="0"/>
                <w:sz w:val="24"/>
                <w:szCs w:val="24"/>
                <w:lang w:val="en-US" w:eastAsia="en-US" w:bidi="ar-SA"/>
              </w:rPr>
              <w:t>年东华大学硕士学位论文《涤纶生命周</w:t>
            </w:r>
            <w:r>
              <w:rPr>
                <w:rFonts w:hint="default" w:ascii="宋体" w:hAnsi="宋体" w:eastAsia="宋体" w:cs="宋体"/>
                <w:snapToGrid w:val="0"/>
                <w:color w:val="000000"/>
                <w:spacing w:val="-1"/>
                <w:kern w:val="0"/>
                <w:sz w:val="24"/>
                <w:szCs w:val="24"/>
                <w:lang w:val="en-US" w:eastAsia="en-US" w:bidi="ar-SA"/>
              </w:rPr>
              <w:t>期中重金属锑的来源解析及检测》（作者董冲冲）中“采用电感耦合等离子体原子</w:t>
            </w:r>
            <w:r>
              <w:rPr>
                <w:rFonts w:hint="default" w:ascii="宋体" w:hAnsi="宋体" w:eastAsia="宋体" w:cs="宋体"/>
                <w:snapToGrid w:val="0"/>
                <w:color w:val="000000"/>
                <w:spacing w:val="-2"/>
                <w:kern w:val="0"/>
                <w:sz w:val="24"/>
                <w:szCs w:val="24"/>
                <w:lang w:val="en-US" w:eastAsia="en-US" w:bidi="ar-SA"/>
              </w:rPr>
              <w:t>发射光谱法测定涤纶中重金属锑的总量，测得涤纶试样所含锑浓度为</w:t>
            </w:r>
            <w:r>
              <w:rPr>
                <w:rFonts w:hint="default" w:ascii="Times New Roman" w:hAnsi="Times New Roman" w:eastAsia="Times New Roman" w:cs="Times New Roman"/>
                <w:snapToGrid w:val="0"/>
                <w:color w:val="000000"/>
                <w:spacing w:val="-2"/>
                <w:kern w:val="0"/>
                <w:sz w:val="24"/>
                <w:szCs w:val="24"/>
                <w:lang w:val="en-US" w:eastAsia="en-US" w:bidi="ar-SA"/>
              </w:rPr>
              <w:t>95</w:t>
            </w:r>
            <w:r>
              <w:rPr>
                <w:rFonts w:hint="default" w:ascii="Times New Roman" w:hAnsi="Times New Roman" w:eastAsia="宋体" w:cs="Times New Roman"/>
                <w:snapToGrid w:val="0"/>
                <w:color w:val="000000"/>
                <w:spacing w:val="-2"/>
                <w:kern w:val="0"/>
                <w:sz w:val="24"/>
                <w:szCs w:val="24"/>
                <w:lang w:val="en-US" w:eastAsia="zh-CN" w:bidi="ar-SA"/>
              </w:rPr>
              <w:t>μ</w:t>
            </w:r>
            <w:r>
              <w:rPr>
                <w:rFonts w:hint="default" w:ascii="Times New Roman" w:hAnsi="Times New Roman" w:eastAsia="Times New Roman" w:cs="Times New Roman"/>
                <w:snapToGrid w:val="0"/>
                <w:color w:val="000000"/>
                <w:spacing w:val="-3"/>
                <w:kern w:val="0"/>
                <w:sz w:val="24"/>
                <w:szCs w:val="24"/>
                <w:lang w:val="en-US" w:eastAsia="en-US" w:bidi="ar-SA"/>
              </w:rPr>
              <w:t>g/g</w:t>
            </w:r>
            <w:r>
              <w:rPr>
                <w:rFonts w:hint="default" w:ascii="宋体" w:hAnsi="宋体" w:eastAsia="宋体" w:cs="宋体"/>
                <w:snapToGrid w:val="0"/>
                <w:color w:val="000000"/>
                <w:spacing w:val="-3"/>
                <w:kern w:val="0"/>
                <w:sz w:val="24"/>
                <w:szCs w:val="24"/>
                <w:lang w:val="en-US" w:eastAsia="en-US" w:bidi="ar-SA"/>
              </w:rPr>
              <w:t>”，本</w:t>
            </w:r>
            <w:r>
              <w:rPr>
                <w:rFonts w:hint="default" w:ascii="宋体" w:hAnsi="宋体" w:eastAsia="宋体" w:cs="宋体"/>
                <w:snapToGrid w:val="0"/>
                <w:color w:val="000000"/>
                <w:spacing w:val="-1"/>
                <w:kern w:val="0"/>
                <w:sz w:val="24"/>
                <w:szCs w:val="24"/>
                <w:lang w:val="en-US" w:eastAsia="en-US" w:bidi="ar-SA"/>
              </w:rPr>
              <w:t>次评价中原料聚酯纤维中金属锑含量取</w:t>
            </w:r>
            <w:r>
              <w:rPr>
                <w:rFonts w:hint="default" w:ascii="Times New Roman" w:hAnsi="Times New Roman" w:eastAsia="Times New Roman" w:cs="Times New Roman"/>
                <w:snapToGrid w:val="0"/>
                <w:color w:val="000000"/>
                <w:spacing w:val="-1"/>
                <w:kern w:val="0"/>
                <w:sz w:val="24"/>
                <w:szCs w:val="24"/>
                <w:lang w:val="en-US" w:eastAsia="en-US" w:bidi="ar-SA"/>
              </w:rPr>
              <w:t>95</w:t>
            </w:r>
            <w:r>
              <w:rPr>
                <w:rFonts w:hint="default" w:ascii="Times New Roman" w:hAnsi="Times New Roman" w:eastAsia="宋体" w:cs="Times New Roman"/>
                <w:snapToGrid w:val="0"/>
                <w:color w:val="000000"/>
                <w:spacing w:val="-2"/>
                <w:kern w:val="0"/>
                <w:sz w:val="24"/>
                <w:szCs w:val="24"/>
                <w:lang w:val="en-US" w:eastAsia="zh-CN" w:bidi="ar-SA"/>
              </w:rPr>
              <w:t>μ</w:t>
            </w:r>
            <w:r>
              <w:rPr>
                <w:rFonts w:hint="default" w:ascii="Times New Roman" w:hAnsi="Times New Roman" w:eastAsia="Times New Roman" w:cs="Times New Roman"/>
                <w:snapToGrid w:val="0"/>
                <w:color w:val="000000"/>
                <w:spacing w:val="-1"/>
                <w:kern w:val="0"/>
                <w:sz w:val="24"/>
                <w:szCs w:val="24"/>
                <w:lang w:val="en-US" w:eastAsia="en-US" w:bidi="ar-SA"/>
              </w:rPr>
              <w:t>g/g</w:t>
            </w:r>
            <w:r>
              <w:rPr>
                <w:rFonts w:hint="default" w:ascii="宋体" w:hAnsi="宋体" w:eastAsia="宋体" w:cs="宋体"/>
                <w:snapToGrid w:val="0"/>
                <w:color w:val="000000"/>
                <w:spacing w:val="-1"/>
                <w:kern w:val="0"/>
                <w:sz w:val="24"/>
                <w:szCs w:val="24"/>
                <w:lang w:val="en-US" w:eastAsia="en-US" w:bidi="ar-SA"/>
              </w:rPr>
              <w:t>。</w:t>
            </w:r>
          </w:p>
          <w:p w14:paraId="564042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default"/>
              </w:rPr>
            </w:pPr>
            <w:r>
              <w:rPr>
                <w:rFonts w:hint="default" w:ascii="宋体" w:hAnsi="宋体" w:eastAsia="宋体" w:cs="宋体"/>
                <w:snapToGrid w:val="0"/>
                <w:color w:val="000000"/>
                <w:kern w:val="0"/>
                <w:sz w:val="24"/>
                <w:szCs w:val="24"/>
                <w:lang w:val="en-US" w:eastAsia="en-US" w:bidi="ar-SA"/>
              </w:rPr>
              <w:t>根据《纺织工业污染防治可行技术指南》（</w:t>
            </w:r>
            <w:r>
              <w:rPr>
                <w:rFonts w:hint="default" w:ascii="Times New Roman" w:hAnsi="Times New Roman" w:eastAsia="Times New Roman" w:cs="Times New Roman"/>
                <w:snapToGrid w:val="0"/>
                <w:color w:val="000000"/>
                <w:kern w:val="0"/>
                <w:sz w:val="24"/>
                <w:szCs w:val="24"/>
                <w:lang w:val="en-US" w:eastAsia="en-US" w:bidi="ar-SA"/>
              </w:rPr>
              <w:t>HJ1177-202</w:t>
            </w:r>
            <w:r>
              <w:rPr>
                <w:rFonts w:hint="default" w:ascii="Times New Roman" w:hAnsi="Times New Roman" w:eastAsia="Times New Roman" w:cs="Times New Roman"/>
                <w:snapToGrid w:val="0"/>
                <w:color w:val="000000"/>
                <w:spacing w:val="-1"/>
                <w:kern w:val="0"/>
                <w:sz w:val="24"/>
                <w:szCs w:val="24"/>
                <w:lang w:val="en-US" w:eastAsia="en-US" w:bidi="ar-SA"/>
              </w:rPr>
              <w:t>1</w:t>
            </w:r>
            <w:r>
              <w:rPr>
                <w:rFonts w:hint="default" w:ascii="宋体" w:hAnsi="宋体" w:eastAsia="宋体" w:cs="宋体"/>
                <w:snapToGrid w:val="0"/>
                <w:color w:val="000000"/>
                <w:spacing w:val="3"/>
                <w:kern w:val="0"/>
                <w:sz w:val="24"/>
                <w:szCs w:val="24"/>
                <w:lang w:val="en-US" w:eastAsia="en-US" w:bidi="ar-SA"/>
              </w:rPr>
              <w:t>），</w:t>
            </w:r>
            <w:r>
              <w:rPr>
                <w:rFonts w:hint="default" w:ascii="Times New Roman" w:hAnsi="Times New Roman" w:eastAsia="Times New Roman" w:cs="Times New Roman"/>
                <w:snapToGrid w:val="0"/>
                <w:color w:val="000000"/>
                <w:spacing w:val="-1"/>
                <w:kern w:val="0"/>
                <w:sz w:val="24"/>
                <w:szCs w:val="24"/>
                <w:lang w:val="en-US" w:eastAsia="en-US" w:bidi="ar-SA"/>
              </w:rPr>
              <w:t>“4.5.2.4</w:t>
            </w:r>
            <w:r>
              <w:rPr>
                <w:rFonts w:hint="default" w:ascii="宋体" w:hAnsi="宋体" w:eastAsia="宋体" w:cs="宋体"/>
                <w:snapToGrid w:val="0"/>
                <w:color w:val="000000"/>
                <w:spacing w:val="-1"/>
                <w:kern w:val="0"/>
                <w:sz w:val="24"/>
                <w:szCs w:val="24"/>
                <w:lang w:val="en-US" w:eastAsia="en-US" w:bidi="ar-SA"/>
              </w:rPr>
              <w:t>化纤机织物</w:t>
            </w:r>
            <w:r>
              <w:rPr>
                <w:rFonts w:hint="default" w:ascii="Times New Roman" w:hAnsi="Times New Roman" w:eastAsia="Times New Roman" w:cs="Times New Roman"/>
                <w:snapToGrid w:val="0"/>
                <w:color w:val="000000"/>
                <w:spacing w:val="-1"/>
                <w:kern w:val="0"/>
                <w:sz w:val="24"/>
                <w:szCs w:val="24"/>
                <w:lang w:val="en-US" w:eastAsia="en-US" w:bidi="ar-SA"/>
              </w:rPr>
              <w:t>”</w:t>
            </w:r>
            <w:r>
              <w:rPr>
                <w:rFonts w:hint="default" w:ascii="宋体" w:hAnsi="宋体" w:eastAsia="宋体" w:cs="宋体"/>
                <w:snapToGrid w:val="0"/>
                <w:color w:val="000000"/>
                <w:spacing w:val="-1"/>
                <w:kern w:val="0"/>
                <w:sz w:val="24"/>
                <w:szCs w:val="24"/>
                <w:lang w:val="en-US" w:eastAsia="en-US" w:bidi="ar-SA"/>
              </w:rPr>
              <w:t>中</w:t>
            </w:r>
            <w:r>
              <w:rPr>
                <w:rFonts w:hint="default" w:ascii="Times New Roman" w:hAnsi="Times New Roman" w:eastAsia="Times New Roman" w:cs="Times New Roman"/>
                <w:snapToGrid w:val="0"/>
                <w:color w:val="000000"/>
                <w:spacing w:val="-1"/>
                <w:kern w:val="0"/>
                <w:sz w:val="24"/>
                <w:szCs w:val="24"/>
                <w:lang w:val="en-US" w:eastAsia="en-US" w:bidi="ar-SA"/>
              </w:rPr>
              <w:t>“</w:t>
            </w:r>
            <w:r>
              <w:rPr>
                <w:rFonts w:hint="default" w:ascii="宋体" w:hAnsi="宋体" w:eastAsia="宋体" w:cs="宋体"/>
                <w:snapToGrid w:val="0"/>
                <w:color w:val="000000"/>
                <w:spacing w:val="-1"/>
                <w:kern w:val="0"/>
                <w:sz w:val="24"/>
                <w:szCs w:val="24"/>
                <w:lang w:val="en-US" w:eastAsia="en-US" w:bidi="ar-SA"/>
              </w:rPr>
              <w:t>涤纶化纤原料在生产过程中添加含锑催化剂</w:t>
            </w:r>
            <w:r>
              <w:rPr>
                <w:rFonts w:hint="default" w:ascii="Times New Roman" w:hAnsi="Times New Roman" w:eastAsia="Times New Roman" w:cs="Times New Roman"/>
                <w:snapToGrid w:val="0"/>
                <w:color w:val="000000"/>
                <w:spacing w:val="-1"/>
                <w:kern w:val="0"/>
                <w:sz w:val="24"/>
                <w:szCs w:val="24"/>
                <w:lang w:val="en-US" w:eastAsia="en-US" w:bidi="ar-SA"/>
              </w:rPr>
              <w:t>”</w:t>
            </w:r>
            <w:r>
              <w:rPr>
                <w:rFonts w:hint="default" w:ascii="宋体" w:hAnsi="宋体" w:eastAsia="宋体" w:cs="宋体"/>
                <w:snapToGrid w:val="0"/>
                <w:color w:val="000000"/>
                <w:spacing w:val="-1"/>
                <w:kern w:val="0"/>
                <w:sz w:val="24"/>
                <w:szCs w:val="24"/>
                <w:lang w:val="en-US" w:eastAsia="en-US" w:bidi="ar-SA"/>
              </w:rPr>
              <w:t>、</w:t>
            </w:r>
            <w:r>
              <w:rPr>
                <w:rFonts w:hint="default" w:ascii="Times New Roman" w:hAnsi="Times New Roman" w:eastAsia="Times New Roman" w:cs="Times New Roman"/>
                <w:snapToGrid w:val="0"/>
                <w:color w:val="000000"/>
                <w:spacing w:val="-1"/>
                <w:kern w:val="0"/>
                <w:sz w:val="24"/>
                <w:szCs w:val="24"/>
                <w:lang w:val="en-US" w:eastAsia="en-US" w:bidi="ar-SA"/>
              </w:rPr>
              <w:t>“8.1.4</w:t>
            </w:r>
            <w:r>
              <w:rPr>
                <w:rFonts w:hint="default" w:ascii="宋体" w:hAnsi="宋体" w:eastAsia="宋体" w:cs="宋体"/>
                <w:snapToGrid w:val="0"/>
                <w:color w:val="000000"/>
                <w:spacing w:val="-1"/>
                <w:kern w:val="0"/>
                <w:sz w:val="24"/>
                <w:szCs w:val="24"/>
                <w:lang w:val="en-US" w:eastAsia="en-US" w:bidi="ar-SA"/>
              </w:rPr>
              <w:t>化纤织造废水污染防治</w:t>
            </w:r>
            <w:r>
              <w:rPr>
                <w:rFonts w:hint="default" w:ascii="宋体" w:hAnsi="宋体" w:eastAsia="宋体" w:cs="宋体"/>
                <w:snapToGrid w:val="0"/>
                <w:color w:val="000000"/>
                <w:kern w:val="0"/>
                <w:sz w:val="24"/>
                <w:szCs w:val="24"/>
                <w:lang w:val="en-US" w:eastAsia="en-US" w:bidi="ar-SA"/>
              </w:rPr>
              <w:t>可行技术</w:t>
            </w:r>
            <w:r>
              <w:rPr>
                <w:rFonts w:hint="default" w:ascii="Times New Roman" w:hAnsi="Times New Roman" w:eastAsia="Times New Roman" w:cs="Times New Roman"/>
                <w:snapToGrid w:val="0"/>
                <w:color w:val="000000"/>
                <w:kern w:val="0"/>
                <w:sz w:val="24"/>
                <w:szCs w:val="24"/>
                <w:lang w:val="en-US" w:eastAsia="en-US" w:bidi="ar-SA"/>
              </w:rPr>
              <w:t>”</w:t>
            </w:r>
            <w:r>
              <w:rPr>
                <w:rFonts w:hint="default" w:ascii="宋体" w:hAnsi="宋体" w:eastAsia="宋体" w:cs="宋体"/>
                <w:snapToGrid w:val="0"/>
                <w:color w:val="000000"/>
                <w:kern w:val="0"/>
                <w:sz w:val="24"/>
                <w:szCs w:val="24"/>
                <w:lang w:val="en-US" w:eastAsia="en-US" w:bidi="ar-SA"/>
              </w:rPr>
              <w:t>中</w:t>
            </w:r>
            <w:r>
              <w:rPr>
                <w:rFonts w:hint="default" w:ascii="Times New Roman" w:hAnsi="Times New Roman" w:eastAsia="Times New Roman" w:cs="Times New Roman"/>
                <w:snapToGrid w:val="0"/>
                <w:color w:val="000000"/>
                <w:kern w:val="0"/>
                <w:sz w:val="24"/>
                <w:szCs w:val="24"/>
                <w:lang w:val="en-US" w:eastAsia="en-US" w:bidi="ar-SA"/>
              </w:rPr>
              <w:t>“</w:t>
            </w:r>
            <w:r>
              <w:rPr>
                <w:rFonts w:hint="default" w:ascii="宋体" w:hAnsi="宋体" w:eastAsia="宋体" w:cs="宋体"/>
                <w:snapToGrid w:val="0"/>
                <w:color w:val="000000"/>
                <w:kern w:val="0"/>
                <w:sz w:val="24"/>
                <w:szCs w:val="24"/>
                <w:lang w:val="en-US" w:eastAsia="en-US" w:bidi="ar-SA"/>
              </w:rPr>
              <w:t>以涤纶为原料的化纤长丝喷</w:t>
            </w:r>
            <w:r>
              <w:rPr>
                <w:rFonts w:hint="default" w:ascii="宋体" w:hAnsi="宋体" w:eastAsia="宋体" w:cs="宋体"/>
                <w:snapToGrid w:val="0"/>
                <w:color w:val="000000"/>
                <w:spacing w:val="-1"/>
                <w:kern w:val="0"/>
                <w:sz w:val="24"/>
                <w:szCs w:val="24"/>
                <w:lang w:val="en-US" w:eastAsia="en-US" w:bidi="ar-SA"/>
              </w:rPr>
              <w:t>水织机废水一般含有总锑</w:t>
            </w:r>
            <w:r>
              <w:rPr>
                <w:rFonts w:hint="default" w:ascii="Times New Roman" w:hAnsi="Times New Roman" w:eastAsia="Times New Roman" w:cs="Times New Roman"/>
                <w:snapToGrid w:val="0"/>
                <w:color w:val="000000"/>
                <w:spacing w:val="-1"/>
                <w:kern w:val="0"/>
                <w:sz w:val="24"/>
                <w:szCs w:val="24"/>
                <w:lang w:val="en-US" w:eastAsia="en-US" w:bidi="ar-SA"/>
              </w:rPr>
              <w:t>”</w:t>
            </w:r>
            <w:r>
              <w:rPr>
                <w:rFonts w:hint="default" w:ascii="宋体" w:hAnsi="宋体" w:eastAsia="宋体" w:cs="宋体"/>
                <w:snapToGrid w:val="0"/>
                <w:color w:val="000000"/>
                <w:spacing w:val="-1"/>
                <w:kern w:val="0"/>
                <w:sz w:val="24"/>
                <w:szCs w:val="24"/>
                <w:lang w:val="en-US" w:eastAsia="en-US" w:bidi="ar-SA"/>
              </w:rPr>
              <w:t>、</w:t>
            </w:r>
            <w:r>
              <w:rPr>
                <w:rFonts w:hint="default" w:ascii="Times New Roman" w:hAnsi="Times New Roman" w:eastAsia="Times New Roman" w:cs="Times New Roman"/>
                <w:snapToGrid w:val="0"/>
                <w:color w:val="000000"/>
                <w:spacing w:val="-1"/>
                <w:kern w:val="0"/>
                <w:sz w:val="24"/>
                <w:szCs w:val="24"/>
                <w:lang w:val="en-US" w:eastAsia="en-US" w:bidi="ar-SA"/>
              </w:rPr>
              <w:t>“8.1.5.1</w:t>
            </w:r>
            <w:r>
              <w:rPr>
                <w:rFonts w:hint="default" w:ascii="宋体" w:hAnsi="宋体" w:eastAsia="宋体" w:cs="宋体"/>
                <w:snapToGrid w:val="0"/>
                <w:color w:val="000000"/>
                <w:spacing w:val="-1"/>
                <w:kern w:val="0"/>
                <w:sz w:val="24"/>
                <w:szCs w:val="24"/>
                <w:lang w:val="en-US" w:eastAsia="en-US" w:bidi="ar-SA"/>
              </w:rPr>
              <w:t>分质</w:t>
            </w:r>
            <w:r>
              <w:rPr>
                <w:rFonts w:hint="default" w:ascii="宋体" w:hAnsi="宋体" w:eastAsia="宋体" w:cs="宋体"/>
                <w:snapToGrid w:val="0"/>
                <w:color w:val="000000"/>
                <w:spacing w:val="-3"/>
                <w:kern w:val="0"/>
                <w:sz w:val="24"/>
                <w:szCs w:val="24"/>
                <w:lang w:val="en-US" w:eastAsia="en-US" w:bidi="ar-SA"/>
              </w:rPr>
              <w:t>预处理</w:t>
            </w:r>
            <w:r>
              <w:rPr>
                <w:rFonts w:hint="default" w:ascii="Times New Roman" w:hAnsi="Times New Roman" w:eastAsia="Times New Roman" w:cs="Times New Roman"/>
                <w:snapToGrid w:val="0"/>
                <w:color w:val="000000"/>
                <w:spacing w:val="-3"/>
                <w:kern w:val="0"/>
                <w:sz w:val="24"/>
                <w:szCs w:val="24"/>
                <w:lang w:val="en-US" w:eastAsia="en-US" w:bidi="ar-SA"/>
              </w:rPr>
              <w:t>”</w:t>
            </w:r>
            <w:r>
              <w:rPr>
                <w:rFonts w:hint="default" w:ascii="宋体" w:hAnsi="宋体" w:eastAsia="宋体" w:cs="宋体"/>
                <w:snapToGrid w:val="0"/>
                <w:color w:val="000000"/>
                <w:spacing w:val="-3"/>
                <w:kern w:val="0"/>
                <w:sz w:val="24"/>
                <w:szCs w:val="24"/>
                <w:lang w:val="en-US" w:eastAsia="en-US" w:bidi="ar-SA"/>
              </w:rPr>
              <w:t>中</w:t>
            </w:r>
            <w:r>
              <w:rPr>
                <w:rFonts w:hint="default" w:ascii="Times New Roman" w:hAnsi="Times New Roman" w:eastAsia="Times New Roman" w:cs="Times New Roman"/>
                <w:snapToGrid w:val="0"/>
                <w:color w:val="000000"/>
                <w:spacing w:val="-3"/>
                <w:kern w:val="0"/>
                <w:sz w:val="24"/>
                <w:szCs w:val="24"/>
                <w:lang w:val="en-US" w:eastAsia="en-US" w:bidi="ar-SA"/>
              </w:rPr>
              <w:t>“</w:t>
            </w:r>
            <w:r>
              <w:rPr>
                <w:rFonts w:hint="default" w:ascii="宋体" w:hAnsi="宋体" w:eastAsia="宋体" w:cs="宋体"/>
                <w:snapToGrid w:val="0"/>
                <w:color w:val="000000"/>
                <w:spacing w:val="-3"/>
                <w:kern w:val="0"/>
                <w:sz w:val="24"/>
                <w:szCs w:val="24"/>
                <w:lang w:val="en-US" w:eastAsia="en-US" w:bidi="ar-SA"/>
              </w:rPr>
              <w:t>涤纶化纤染整废水一般含有总锑</w:t>
            </w:r>
            <w:r>
              <w:rPr>
                <w:rFonts w:hint="default" w:ascii="Times New Roman" w:hAnsi="Times New Roman" w:eastAsia="Times New Roman" w:cs="Times New Roman"/>
                <w:snapToGrid w:val="0"/>
                <w:color w:val="000000"/>
                <w:spacing w:val="-3"/>
                <w:kern w:val="0"/>
                <w:sz w:val="24"/>
                <w:szCs w:val="24"/>
                <w:lang w:val="en-US" w:eastAsia="en-US" w:bidi="ar-SA"/>
              </w:rPr>
              <w:t>”</w:t>
            </w:r>
            <w:r>
              <w:rPr>
                <w:rFonts w:hint="default" w:ascii="宋体" w:hAnsi="宋体" w:eastAsia="宋体" w:cs="宋体"/>
                <w:snapToGrid w:val="0"/>
                <w:color w:val="000000"/>
                <w:spacing w:val="-3"/>
                <w:kern w:val="0"/>
                <w:sz w:val="24"/>
                <w:szCs w:val="24"/>
                <w:lang w:val="en-US" w:eastAsia="en-US" w:bidi="ar-SA"/>
              </w:rPr>
              <w:t>。</w:t>
            </w:r>
            <w:r>
              <w:rPr>
                <w:rFonts w:hint="default" w:ascii="Times New Roman" w:hAnsi="Times New Roman" w:eastAsia="宋体" w:cs="Times New Roman"/>
                <w:sz w:val="24"/>
              </w:rPr>
              <w:t>类比五河经</w:t>
            </w:r>
            <w:r>
              <w:rPr>
                <w:rFonts w:hint="default" w:ascii="Times New Roman" w:hAnsi="Times New Roman" w:eastAsia="宋体" w:cs="Times New Roman"/>
                <w:spacing w:val="2"/>
                <w:sz w:val="24"/>
              </w:rPr>
              <w:t>济开发区纺织企业废水进口浓度，监测报告对园区内</w:t>
            </w:r>
            <w:r>
              <w:rPr>
                <w:rFonts w:hint="default" w:ascii="Times New Roman" w:hAnsi="Times New Roman" w:eastAsia="Times New Roman" w:cs="Times New Roman"/>
                <w:spacing w:val="2"/>
                <w:sz w:val="24"/>
              </w:rPr>
              <w:t>5</w:t>
            </w:r>
            <w:r>
              <w:rPr>
                <w:rFonts w:hint="default" w:ascii="Times New Roman" w:hAnsi="Times New Roman" w:eastAsia="宋体" w:cs="Times New Roman"/>
                <w:spacing w:val="1"/>
                <w:sz w:val="24"/>
              </w:rPr>
              <w:t>家同类型纺织企业污水处理站进</w:t>
            </w:r>
            <w:r>
              <w:rPr>
                <w:rFonts w:hint="default" w:ascii="Times New Roman" w:hAnsi="Times New Roman" w:eastAsia="宋体" w:cs="Times New Roman"/>
                <w:spacing w:val="-6"/>
                <w:sz w:val="24"/>
              </w:rPr>
              <w:t>口废水进行检测</w:t>
            </w:r>
            <w:r>
              <w:rPr>
                <w:rFonts w:hint="default" w:ascii="Times New Roman" w:hAnsi="Times New Roman" w:eastAsia="Times New Roman" w:cs="Times New Roman"/>
                <w:spacing w:val="-6"/>
                <w:sz w:val="24"/>
              </w:rPr>
              <w:t>(</w:t>
            </w:r>
            <w:r>
              <w:rPr>
                <w:rFonts w:hint="default" w:ascii="Times New Roman" w:hAnsi="Times New Roman" w:eastAsia="宋体" w:cs="Times New Roman"/>
                <w:spacing w:val="-6"/>
                <w:sz w:val="24"/>
              </w:rPr>
              <w:t>报告编号</w:t>
            </w:r>
            <w:r>
              <w:rPr>
                <w:rFonts w:hint="default" w:ascii="Times New Roman" w:hAnsi="Times New Roman" w:eastAsia="Times New Roman" w:cs="Times New Roman"/>
                <w:spacing w:val="-6"/>
                <w:sz w:val="24"/>
              </w:rPr>
              <w:t>:GZIC20230802002)</w:t>
            </w:r>
            <w:r>
              <w:rPr>
                <w:rFonts w:hint="default" w:ascii="Times New Roman" w:hAnsi="Times New Roman" w:eastAsia="宋体" w:cs="Times New Roman"/>
                <w:spacing w:val="-6"/>
                <w:sz w:val="24"/>
              </w:rPr>
              <w:t>，进口总锑浓度约在</w:t>
            </w:r>
            <w:r>
              <w:rPr>
                <w:rFonts w:hint="default" w:ascii="Times New Roman" w:hAnsi="Times New Roman" w:eastAsia="Times New Roman" w:cs="Times New Roman"/>
                <w:spacing w:val="1"/>
                <w:sz w:val="24"/>
              </w:rPr>
              <w:t>0.009</w:t>
            </w:r>
            <w:r>
              <w:rPr>
                <w:rFonts w:hint="default" w:ascii="Times New Roman" w:hAnsi="Times New Roman" w:eastAsia="Times New Roman" w:cs="Times New Roman"/>
                <w:sz w:val="24"/>
              </w:rPr>
              <w:t>mg</w:t>
            </w:r>
            <w:r>
              <w:rPr>
                <w:rFonts w:hint="default" w:ascii="Times New Roman" w:hAnsi="Times New Roman" w:eastAsia="Times New Roman" w:cs="Times New Roman"/>
                <w:spacing w:val="1"/>
                <w:sz w:val="24"/>
              </w:rPr>
              <w:t>/L-0.0147</w:t>
            </w:r>
            <w:r>
              <w:rPr>
                <w:rFonts w:hint="default" w:ascii="Times New Roman" w:hAnsi="Times New Roman" w:eastAsia="Times New Roman" w:cs="Times New Roman"/>
                <w:sz w:val="24"/>
              </w:rPr>
              <w:t>mg</w:t>
            </w:r>
            <w:r>
              <w:rPr>
                <w:rFonts w:hint="default" w:ascii="Times New Roman" w:hAnsi="Times New Roman" w:eastAsia="Times New Roman" w:cs="Times New Roman"/>
                <w:spacing w:val="1"/>
                <w:sz w:val="24"/>
              </w:rPr>
              <w:t>/L</w:t>
            </w:r>
            <w:r>
              <w:rPr>
                <w:rFonts w:hint="default" w:ascii="Times New Roman" w:hAnsi="Times New Roman" w:eastAsia="宋体" w:cs="Times New Roman"/>
                <w:spacing w:val="1"/>
                <w:sz w:val="24"/>
              </w:rPr>
              <w:t>，考虑总锑浓度过低，本次评价按照《纺织染整工业水污染物排</w:t>
            </w:r>
            <w:r>
              <w:rPr>
                <w:rFonts w:hint="default" w:ascii="Times New Roman" w:hAnsi="Times New Roman" w:eastAsia="宋体" w:cs="Times New Roman"/>
                <w:spacing w:val="-2"/>
                <w:sz w:val="24"/>
              </w:rPr>
              <w:t>放标准》</w:t>
            </w:r>
            <w:r>
              <w:rPr>
                <w:rFonts w:hint="default" w:ascii="Times New Roman" w:hAnsi="Times New Roman" w:eastAsia="Times New Roman" w:cs="Times New Roman"/>
                <w:spacing w:val="-2"/>
                <w:sz w:val="24"/>
              </w:rPr>
              <w:t>(GB4287-2012)</w:t>
            </w:r>
            <w:r>
              <w:rPr>
                <w:rFonts w:hint="default" w:ascii="Times New Roman" w:hAnsi="Times New Roman" w:eastAsia="宋体" w:cs="Times New Roman"/>
                <w:spacing w:val="-2"/>
                <w:sz w:val="24"/>
              </w:rPr>
              <w:t>表</w:t>
            </w:r>
            <w:r>
              <w:rPr>
                <w:rFonts w:hint="default" w:ascii="Times New Roman" w:hAnsi="Times New Roman" w:eastAsia="Times New Roman" w:cs="Times New Roman"/>
                <w:spacing w:val="-2"/>
                <w:sz w:val="24"/>
              </w:rPr>
              <w:t>2</w:t>
            </w:r>
            <w:r>
              <w:rPr>
                <w:rFonts w:hint="default" w:ascii="Times New Roman" w:hAnsi="Times New Roman" w:eastAsia="宋体" w:cs="Times New Roman"/>
                <w:spacing w:val="-2"/>
                <w:sz w:val="24"/>
              </w:rPr>
              <w:t>中间接排放标准值</w:t>
            </w:r>
            <w:r>
              <w:rPr>
                <w:rFonts w:hint="default" w:ascii="Times New Roman" w:hAnsi="Times New Roman" w:eastAsia="Times New Roman" w:cs="Times New Roman"/>
                <w:spacing w:val="-2"/>
                <w:sz w:val="24"/>
              </w:rPr>
              <w:t>0.1mg</w:t>
            </w:r>
            <w:r>
              <w:rPr>
                <w:rFonts w:hint="default" w:ascii="Times New Roman" w:hAnsi="Times New Roman" w:eastAsia="Times New Roman" w:cs="Times New Roman"/>
                <w:spacing w:val="-3"/>
                <w:sz w:val="24"/>
              </w:rPr>
              <w:t>/L</w:t>
            </w:r>
            <w:r>
              <w:rPr>
                <w:rFonts w:hint="default" w:ascii="Times New Roman" w:hAnsi="Times New Roman" w:eastAsia="宋体" w:cs="Times New Roman"/>
                <w:spacing w:val="-3"/>
                <w:sz w:val="24"/>
              </w:rPr>
              <w:t>计。</w:t>
            </w:r>
          </w:p>
          <w:p w14:paraId="2474569E">
            <w:pPr>
              <w:keepNext w:val="0"/>
              <w:keepLines w:val="0"/>
              <w:suppressLineNumbers w:val="0"/>
              <w:kinsoku w:val="0"/>
              <w:autoSpaceDE w:val="0"/>
              <w:autoSpaceDN w:val="0"/>
              <w:adjustRightInd w:val="0"/>
              <w:snapToGrid w:val="0"/>
              <w:spacing w:before="0" w:beforeAutospacing="0" w:after="0" w:afterAutospacing="0" w:line="219" w:lineRule="auto"/>
              <w:ind w:left="2961" w:right="0"/>
              <w:jc w:val="left"/>
              <w:textAlignment w:val="baseline"/>
              <w:rPr>
                <w:rFonts w:hint="default" w:ascii="宋体" w:hAnsi="宋体" w:eastAsia="宋体" w:cs="宋体"/>
                <w:b/>
                <w:bCs/>
                <w:snapToGrid w:val="0"/>
                <w:color w:val="000000"/>
                <w:spacing w:val="-2"/>
                <w:kern w:val="0"/>
                <w:sz w:val="24"/>
                <w:szCs w:val="24"/>
                <w:lang w:val="en-US" w:eastAsia="en-US" w:bidi="ar-SA"/>
              </w:rPr>
            </w:pPr>
            <w:r>
              <w:rPr>
                <w:rFonts w:hint="default" w:ascii="宋体" w:hAnsi="宋体" w:eastAsia="宋体" w:cs="宋体"/>
                <w:b/>
                <w:bCs/>
                <w:snapToGrid w:val="0"/>
                <w:color w:val="000000"/>
                <w:spacing w:val="-2"/>
                <w:kern w:val="0"/>
                <w:sz w:val="24"/>
                <w:szCs w:val="24"/>
                <w:lang w:val="en-US" w:eastAsia="en-US" w:bidi="ar-SA"/>
              </w:rPr>
              <w:t>表</w:t>
            </w:r>
            <w:r>
              <w:rPr>
                <w:rFonts w:hint="default" w:ascii="Times New Roman" w:hAnsi="Times New Roman" w:eastAsia="Times New Roman" w:cs="Times New Roman"/>
                <w:b/>
                <w:bCs/>
                <w:snapToGrid w:val="0"/>
                <w:color w:val="000000"/>
                <w:spacing w:val="-2"/>
                <w:kern w:val="0"/>
                <w:sz w:val="24"/>
                <w:szCs w:val="24"/>
                <w:lang w:val="en-US" w:eastAsia="en-US" w:bidi="ar-SA"/>
              </w:rPr>
              <w:t>2-</w:t>
            </w:r>
            <w:r>
              <w:rPr>
                <w:rFonts w:hint="eastAsia" w:ascii="Times New Roman" w:hAnsi="Times New Roman" w:eastAsia="宋体" w:cs="Times New Roman"/>
                <w:b/>
                <w:bCs/>
                <w:snapToGrid w:val="0"/>
                <w:color w:val="000000"/>
                <w:spacing w:val="-2"/>
                <w:kern w:val="0"/>
                <w:sz w:val="24"/>
                <w:szCs w:val="24"/>
                <w:lang w:val="en-US" w:eastAsia="zh-CN" w:bidi="ar-SA"/>
              </w:rPr>
              <w:t>9</w:t>
            </w:r>
            <w:r>
              <w:rPr>
                <w:rFonts w:hint="default" w:ascii="宋体" w:hAnsi="宋体" w:eastAsia="宋体" w:cs="宋体"/>
                <w:b/>
                <w:bCs/>
                <w:snapToGrid w:val="0"/>
                <w:color w:val="000000"/>
                <w:spacing w:val="-2"/>
                <w:kern w:val="0"/>
                <w:sz w:val="24"/>
                <w:szCs w:val="24"/>
                <w:lang w:val="en-US" w:eastAsia="en-US" w:bidi="ar-SA"/>
              </w:rPr>
              <w:t>项目锑元素平衡表</w:t>
            </w:r>
          </w:p>
          <w:tbl>
            <w:tblPr>
              <w:tblStyle w:val="40"/>
              <w:tblW w:w="9110"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20"/>
              <w:gridCol w:w="2257"/>
              <w:gridCol w:w="2080"/>
              <w:gridCol w:w="1911"/>
              <w:gridCol w:w="2142"/>
            </w:tblGrid>
            <w:tr w14:paraId="5F47A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20" w:type="dxa"/>
                  <w:vMerge w:val="restart"/>
                  <w:tcBorders>
                    <w:top w:val="single" w:color="auto" w:sz="12" w:space="0"/>
                    <w:left w:val="nil"/>
                    <w:bottom w:val="single" w:color="auto" w:sz="4" w:space="0"/>
                    <w:right w:val="single" w:color="auto" w:sz="4" w:space="0"/>
                    <w:tl2br w:val="nil"/>
                  </w:tcBorders>
                  <w:shd w:val="clear" w:color="auto" w:fill="FFFFFF"/>
                  <w:vAlign w:val="center"/>
                </w:tcPr>
                <w:p w14:paraId="1C2B57E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宋体" w:hAnsi="宋体" w:eastAsia="宋体" w:cs="宋体"/>
                      <w:b w:val="0"/>
                      <w:snapToGrid w:val="0"/>
                      <w:color w:val="000000"/>
                      <w:kern w:val="0"/>
                      <w:sz w:val="21"/>
                      <w:szCs w:val="21"/>
                      <w:lang w:val="en-US" w:eastAsia="en-US" w:bidi="ar-SA"/>
                    </w:rPr>
                  </w:pPr>
                  <w:r>
                    <w:rPr>
                      <w:rFonts w:hint="default" w:ascii="宋体" w:hAnsi="宋体" w:eastAsia="宋体" w:cs="宋体"/>
                      <w:b w:val="0"/>
                      <w:snapToGrid w:val="0"/>
                      <w:color w:val="000000"/>
                      <w:spacing w:val="5"/>
                      <w:kern w:val="0"/>
                      <w:sz w:val="21"/>
                      <w:szCs w:val="21"/>
                      <w:lang w:val="en-US" w:eastAsia="en-US" w:bidi="ar-SA"/>
                    </w:rPr>
                    <w:t>序号</w:t>
                  </w:r>
                </w:p>
              </w:tc>
              <w:tc>
                <w:tcPr>
                  <w:tcW w:w="4337" w:type="dxa"/>
                  <w:gridSpan w:val="2"/>
                  <w:tcBorders>
                    <w:top w:val="single" w:color="auto" w:sz="12" w:space="0"/>
                    <w:left w:val="single" w:color="auto" w:sz="4" w:space="0"/>
                    <w:bottom w:val="single" w:color="auto" w:sz="4" w:space="0"/>
                    <w:right w:val="single" w:color="auto" w:sz="4" w:space="0"/>
                  </w:tcBorders>
                  <w:shd w:val="clear" w:color="auto" w:fill="FFFFFF"/>
                  <w:vAlign w:val="center"/>
                </w:tcPr>
                <w:p w14:paraId="0721261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宋体" w:hAnsi="宋体" w:eastAsia="宋体" w:cs="宋体"/>
                      <w:b w:val="0"/>
                      <w:snapToGrid w:val="0"/>
                      <w:color w:val="000000"/>
                      <w:kern w:val="0"/>
                      <w:sz w:val="21"/>
                      <w:szCs w:val="21"/>
                      <w:lang w:val="en-US" w:eastAsia="en-US" w:bidi="ar-SA"/>
                    </w:rPr>
                  </w:pPr>
                  <w:r>
                    <w:rPr>
                      <w:rFonts w:hint="default" w:ascii="宋体" w:hAnsi="宋体" w:eastAsia="宋体" w:cs="宋体"/>
                      <w:b w:val="0"/>
                      <w:snapToGrid w:val="0"/>
                      <w:color w:val="000000"/>
                      <w:spacing w:val="5"/>
                      <w:kern w:val="0"/>
                      <w:sz w:val="21"/>
                      <w:szCs w:val="21"/>
                      <w:lang w:val="en-US" w:eastAsia="en-US" w:bidi="ar-SA"/>
                    </w:rPr>
                    <w:t>入方</w:t>
                  </w:r>
                </w:p>
              </w:tc>
              <w:tc>
                <w:tcPr>
                  <w:tcW w:w="4053" w:type="dxa"/>
                  <w:gridSpan w:val="2"/>
                  <w:tcBorders>
                    <w:top w:val="single" w:color="auto" w:sz="12" w:space="0"/>
                    <w:left w:val="single" w:color="auto" w:sz="4" w:space="0"/>
                    <w:bottom w:val="single" w:color="auto" w:sz="4" w:space="0"/>
                    <w:right w:val="nil"/>
                  </w:tcBorders>
                  <w:shd w:val="clear" w:color="auto" w:fill="FFFFFF"/>
                  <w:vAlign w:val="center"/>
                </w:tcPr>
                <w:p w14:paraId="778A11F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宋体" w:hAnsi="宋体" w:eastAsia="宋体" w:cs="宋体"/>
                      <w:b w:val="0"/>
                      <w:snapToGrid w:val="0"/>
                      <w:color w:val="000000"/>
                      <w:kern w:val="0"/>
                      <w:sz w:val="21"/>
                      <w:szCs w:val="21"/>
                      <w:lang w:val="en-US" w:eastAsia="en-US" w:bidi="ar-SA"/>
                    </w:rPr>
                  </w:pPr>
                  <w:r>
                    <w:rPr>
                      <w:rFonts w:hint="default" w:ascii="宋体" w:hAnsi="宋体" w:eastAsia="宋体" w:cs="宋体"/>
                      <w:b w:val="0"/>
                      <w:snapToGrid w:val="0"/>
                      <w:color w:val="000000"/>
                      <w:spacing w:val="-5"/>
                      <w:kern w:val="0"/>
                      <w:sz w:val="21"/>
                      <w:szCs w:val="21"/>
                      <w:lang w:val="en-US" w:eastAsia="en-US" w:bidi="ar-SA"/>
                    </w:rPr>
                    <w:t>出方</w:t>
                  </w:r>
                </w:p>
              </w:tc>
            </w:tr>
            <w:tr w14:paraId="4D48C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20" w:type="dxa"/>
                  <w:vMerge w:val="continue"/>
                  <w:tcBorders>
                    <w:top w:val="single" w:color="auto" w:sz="4" w:space="0"/>
                    <w:left w:val="nil"/>
                    <w:bottom w:val="single" w:color="auto" w:sz="4" w:space="0"/>
                    <w:right w:val="single" w:color="auto" w:sz="4" w:space="0"/>
                  </w:tcBorders>
                  <w:shd w:val="clear" w:color="auto" w:fill="FFFFFF"/>
                  <w:vAlign w:val="center"/>
                </w:tcPr>
                <w:p w14:paraId="0FE3766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hAnsi="Arial" w:eastAsia="Arial" w:cs="Arial"/>
                      <w:b w:val="0"/>
                      <w:snapToGrid w:val="0"/>
                      <w:color w:val="000000"/>
                      <w:kern w:val="0"/>
                      <w:sz w:val="21"/>
                      <w:szCs w:val="21"/>
                      <w:lang w:eastAsia="en-US"/>
                    </w:rPr>
                  </w:pPr>
                </w:p>
              </w:tc>
              <w:tc>
                <w:tcPr>
                  <w:tcW w:w="2257" w:type="dxa"/>
                  <w:tcBorders>
                    <w:top w:val="single" w:color="auto" w:sz="4" w:space="0"/>
                    <w:left w:val="single" w:color="auto" w:sz="4" w:space="0"/>
                    <w:bottom w:val="single" w:color="auto" w:sz="4" w:space="0"/>
                    <w:right w:val="single" w:color="auto" w:sz="4" w:space="0"/>
                  </w:tcBorders>
                  <w:shd w:val="clear" w:color="auto" w:fill="FFFFFF"/>
                  <w:vAlign w:val="center"/>
                </w:tcPr>
                <w:p w14:paraId="4B1069F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宋体" w:hAnsi="宋体" w:eastAsia="宋体" w:cs="宋体"/>
                      <w:b w:val="0"/>
                      <w:snapToGrid w:val="0"/>
                      <w:color w:val="000000"/>
                      <w:kern w:val="0"/>
                      <w:sz w:val="21"/>
                      <w:szCs w:val="21"/>
                      <w:lang w:val="en-US" w:eastAsia="en-US" w:bidi="ar-SA"/>
                    </w:rPr>
                  </w:pPr>
                  <w:r>
                    <w:rPr>
                      <w:rFonts w:hint="default" w:ascii="宋体" w:hAnsi="宋体" w:eastAsia="宋体" w:cs="宋体"/>
                      <w:b w:val="0"/>
                      <w:snapToGrid w:val="0"/>
                      <w:color w:val="000000"/>
                      <w:spacing w:val="3"/>
                      <w:kern w:val="0"/>
                      <w:sz w:val="21"/>
                      <w:szCs w:val="21"/>
                      <w:lang w:val="en-US" w:eastAsia="en-US" w:bidi="ar-SA"/>
                    </w:rPr>
                    <w:t>名称</w:t>
                  </w:r>
                </w:p>
              </w:tc>
              <w:tc>
                <w:tcPr>
                  <w:tcW w:w="2080" w:type="dxa"/>
                  <w:tcBorders>
                    <w:top w:val="single" w:color="auto" w:sz="4" w:space="0"/>
                    <w:left w:val="single" w:color="auto" w:sz="4" w:space="0"/>
                    <w:bottom w:val="single" w:color="auto" w:sz="4" w:space="0"/>
                    <w:right w:val="single" w:color="auto" w:sz="4" w:space="0"/>
                  </w:tcBorders>
                  <w:shd w:val="clear" w:color="auto" w:fill="FFFFFF"/>
                  <w:vAlign w:val="center"/>
                </w:tcPr>
                <w:p w14:paraId="79933ED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宋体" w:hAnsi="宋体" w:eastAsia="宋体" w:cs="宋体"/>
                      <w:b w:val="0"/>
                      <w:snapToGrid w:val="0"/>
                      <w:color w:val="000000"/>
                      <w:kern w:val="0"/>
                      <w:sz w:val="21"/>
                      <w:szCs w:val="21"/>
                      <w:lang w:val="en-US" w:eastAsia="en-US" w:bidi="ar-SA"/>
                    </w:rPr>
                  </w:pPr>
                  <w:r>
                    <w:rPr>
                      <w:rFonts w:hint="default" w:ascii="宋体" w:hAnsi="宋体" w:eastAsia="宋体" w:cs="宋体"/>
                      <w:b w:val="0"/>
                      <w:snapToGrid w:val="0"/>
                      <w:color w:val="000000"/>
                      <w:spacing w:val="3"/>
                      <w:kern w:val="0"/>
                      <w:sz w:val="21"/>
                      <w:szCs w:val="21"/>
                      <w:lang w:val="en-US" w:eastAsia="en-US" w:bidi="ar-SA"/>
                    </w:rPr>
                    <w:t>数量（</w:t>
                  </w:r>
                  <w:r>
                    <w:rPr>
                      <w:rFonts w:hint="default" w:ascii="Times New Roman" w:hAnsi="Times New Roman" w:eastAsia="Times New Roman" w:cs="Times New Roman"/>
                      <w:b w:val="0"/>
                      <w:snapToGrid w:val="0"/>
                      <w:color w:val="000000"/>
                      <w:spacing w:val="3"/>
                      <w:kern w:val="0"/>
                      <w:sz w:val="21"/>
                      <w:szCs w:val="21"/>
                      <w:lang w:val="en-US" w:eastAsia="en-US" w:bidi="ar-SA"/>
                    </w:rPr>
                    <w:t>t/a</w:t>
                  </w:r>
                  <w:r>
                    <w:rPr>
                      <w:rFonts w:hint="default" w:ascii="宋体" w:hAnsi="宋体" w:eastAsia="宋体" w:cs="宋体"/>
                      <w:b w:val="0"/>
                      <w:snapToGrid w:val="0"/>
                      <w:color w:val="000000"/>
                      <w:spacing w:val="3"/>
                      <w:kern w:val="0"/>
                      <w:sz w:val="21"/>
                      <w:szCs w:val="21"/>
                      <w:lang w:val="en-US" w:eastAsia="en-US" w:bidi="ar-SA"/>
                    </w:rPr>
                    <w:t>）</w:t>
                  </w:r>
                </w:p>
              </w:tc>
              <w:tc>
                <w:tcPr>
                  <w:tcW w:w="1911" w:type="dxa"/>
                  <w:tcBorders>
                    <w:top w:val="single" w:color="auto" w:sz="4" w:space="0"/>
                    <w:left w:val="single" w:color="auto" w:sz="4" w:space="0"/>
                    <w:bottom w:val="single" w:color="auto" w:sz="4" w:space="0"/>
                    <w:right w:val="single" w:color="auto" w:sz="4" w:space="0"/>
                  </w:tcBorders>
                  <w:shd w:val="clear" w:color="auto" w:fill="FFFFFF"/>
                  <w:vAlign w:val="center"/>
                </w:tcPr>
                <w:p w14:paraId="54F6912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宋体" w:hAnsi="宋体" w:eastAsia="宋体" w:cs="宋体"/>
                      <w:b w:val="0"/>
                      <w:snapToGrid w:val="0"/>
                      <w:color w:val="000000"/>
                      <w:kern w:val="0"/>
                      <w:sz w:val="21"/>
                      <w:szCs w:val="21"/>
                      <w:lang w:val="en-US" w:eastAsia="en-US" w:bidi="ar-SA"/>
                    </w:rPr>
                  </w:pPr>
                  <w:r>
                    <w:rPr>
                      <w:rFonts w:hint="default" w:ascii="宋体" w:hAnsi="宋体" w:eastAsia="宋体" w:cs="宋体"/>
                      <w:b w:val="0"/>
                      <w:snapToGrid w:val="0"/>
                      <w:color w:val="000000"/>
                      <w:spacing w:val="3"/>
                      <w:kern w:val="0"/>
                      <w:sz w:val="21"/>
                      <w:szCs w:val="21"/>
                      <w:lang w:val="en-US" w:eastAsia="en-US" w:bidi="ar-SA"/>
                    </w:rPr>
                    <w:t>名称</w:t>
                  </w:r>
                </w:p>
              </w:tc>
              <w:tc>
                <w:tcPr>
                  <w:tcW w:w="2142" w:type="dxa"/>
                  <w:tcBorders>
                    <w:top w:val="single" w:color="auto" w:sz="4" w:space="0"/>
                    <w:left w:val="single" w:color="auto" w:sz="4" w:space="0"/>
                    <w:bottom w:val="single" w:color="auto" w:sz="4" w:space="0"/>
                    <w:right w:val="nil"/>
                  </w:tcBorders>
                  <w:shd w:val="clear" w:color="auto" w:fill="FFFFFF"/>
                  <w:vAlign w:val="center"/>
                </w:tcPr>
                <w:p w14:paraId="5E3923B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宋体" w:hAnsi="宋体" w:eastAsia="宋体" w:cs="宋体"/>
                      <w:b w:val="0"/>
                      <w:snapToGrid w:val="0"/>
                      <w:color w:val="000000"/>
                      <w:kern w:val="0"/>
                      <w:sz w:val="21"/>
                      <w:szCs w:val="21"/>
                      <w:lang w:val="en-US" w:eastAsia="en-US" w:bidi="ar-SA"/>
                    </w:rPr>
                  </w:pPr>
                  <w:r>
                    <w:rPr>
                      <w:rFonts w:hint="default" w:ascii="宋体" w:hAnsi="宋体" w:eastAsia="宋体" w:cs="宋体"/>
                      <w:b w:val="0"/>
                      <w:snapToGrid w:val="0"/>
                      <w:color w:val="000000"/>
                      <w:spacing w:val="3"/>
                      <w:kern w:val="0"/>
                      <w:sz w:val="21"/>
                      <w:szCs w:val="21"/>
                      <w:lang w:val="en-US" w:eastAsia="en-US" w:bidi="ar-SA"/>
                    </w:rPr>
                    <w:t>数量（</w:t>
                  </w:r>
                  <w:r>
                    <w:rPr>
                      <w:rFonts w:hint="default" w:ascii="Times New Roman" w:hAnsi="Times New Roman" w:eastAsia="Times New Roman" w:cs="Times New Roman"/>
                      <w:b w:val="0"/>
                      <w:snapToGrid w:val="0"/>
                      <w:color w:val="000000"/>
                      <w:spacing w:val="3"/>
                      <w:kern w:val="0"/>
                      <w:sz w:val="21"/>
                      <w:szCs w:val="21"/>
                      <w:lang w:val="en-US" w:eastAsia="en-US" w:bidi="ar-SA"/>
                    </w:rPr>
                    <w:t>t/a</w:t>
                  </w:r>
                  <w:r>
                    <w:rPr>
                      <w:rFonts w:hint="default" w:ascii="宋体" w:hAnsi="宋体" w:eastAsia="宋体" w:cs="宋体"/>
                      <w:b w:val="0"/>
                      <w:snapToGrid w:val="0"/>
                      <w:color w:val="000000"/>
                      <w:spacing w:val="3"/>
                      <w:kern w:val="0"/>
                      <w:sz w:val="21"/>
                      <w:szCs w:val="21"/>
                      <w:lang w:val="en-US" w:eastAsia="en-US" w:bidi="ar-SA"/>
                    </w:rPr>
                    <w:t>）</w:t>
                  </w:r>
                </w:p>
              </w:tc>
            </w:tr>
            <w:tr w14:paraId="2D4C2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20" w:type="dxa"/>
                  <w:tcBorders>
                    <w:top w:val="single" w:color="auto" w:sz="4" w:space="0"/>
                    <w:left w:val="nil"/>
                    <w:bottom w:val="single" w:color="auto" w:sz="4" w:space="0"/>
                    <w:right w:val="single" w:color="auto" w:sz="4" w:space="0"/>
                  </w:tcBorders>
                  <w:shd w:val="clear" w:color="auto" w:fill="FFFFFF"/>
                  <w:vAlign w:val="center"/>
                </w:tcPr>
                <w:p w14:paraId="5ACCDE8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Times New Roman" w:cs="Times New Roman"/>
                      <w:b w:val="0"/>
                      <w:snapToGrid w:val="0"/>
                      <w:color w:val="000000"/>
                      <w:kern w:val="0"/>
                      <w:sz w:val="21"/>
                      <w:szCs w:val="21"/>
                      <w:lang w:eastAsia="en-US"/>
                    </w:rPr>
                  </w:pPr>
                  <w:r>
                    <w:rPr>
                      <w:rFonts w:hint="default" w:ascii="Times New Roman" w:hAnsi="Times New Roman" w:eastAsia="Times New Roman" w:cs="Times New Roman"/>
                      <w:b w:val="0"/>
                      <w:snapToGrid w:val="0"/>
                      <w:color w:val="000000"/>
                      <w:kern w:val="0"/>
                      <w:sz w:val="21"/>
                      <w:szCs w:val="21"/>
                      <w:lang w:eastAsia="en-US"/>
                    </w:rPr>
                    <w:t>1</w:t>
                  </w:r>
                </w:p>
              </w:tc>
              <w:tc>
                <w:tcPr>
                  <w:tcW w:w="2257" w:type="dxa"/>
                  <w:tcBorders>
                    <w:top w:val="single" w:color="auto" w:sz="4" w:space="0"/>
                    <w:left w:val="single" w:color="auto" w:sz="4" w:space="0"/>
                    <w:bottom w:val="single" w:color="auto" w:sz="4" w:space="0"/>
                    <w:right w:val="single" w:color="auto" w:sz="4" w:space="0"/>
                  </w:tcBorders>
                  <w:shd w:val="clear" w:color="auto" w:fill="FFFFFF"/>
                  <w:vAlign w:val="center"/>
                </w:tcPr>
                <w:p w14:paraId="53FB2A1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宋体" w:hAnsi="宋体" w:eastAsia="宋体" w:cs="宋体"/>
                      <w:b w:val="0"/>
                      <w:snapToGrid w:val="0"/>
                      <w:color w:val="000000"/>
                      <w:kern w:val="0"/>
                      <w:sz w:val="21"/>
                      <w:szCs w:val="21"/>
                      <w:lang w:val="en-US" w:eastAsia="en-US" w:bidi="ar-SA"/>
                    </w:rPr>
                  </w:pPr>
                  <w:r>
                    <w:rPr>
                      <w:rFonts w:hint="default" w:ascii="宋体" w:hAnsi="宋体" w:eastAsia="宋体" w:cs="宋体"/>
                      <w:b w:val="0"/>
                      <w:snapToGrid w:val="0"/>
                      <w:color w:val="000000"/>
                      <w:spacing w:val="6"/>
                      <w:kern w:val="0"/>
                      <w:sz w:val="21"/>
                      <w:szCs w:val="21"/>
                      <w:lang w:val="en-US" w:eastAsia="en-US" w:bidi="ar-SA"/>
                    </w:rPr>
                    <w:t>原料含锑</w:t>
                  </w:r>
                </w:p>
              </w:tc>
              <w:tc>
                <w:tcPr>
                  <w:tcW w:w="2080" w:type="dxa"/>
                  <w:tcBorders>
                    <w:top w:val="single" w:color="auto" w:sz="4" w:space="0"/>
                    <w:left w:val="single" w:color="auto" w:sz="4" w:space="0"/>
                    <w:bottom w:val="single" w:color="auto" w:sz="4" w:space="0"/>
                    <w:right w:val="single" w:color="auto" w:sz="4" w:space="0"/>
                  </w:tcBorders>
                  <w:shd w:val="clear" w:color="auto" w:fill="FFFFFF"/>
                  <w:vAlign w:val="center"/>
                </w:tcPr>
                <w:p w14:paraId="6587C24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000000"/>
                      <w:kern w:val="0"/>
                      <w:sz w:val="21"/>
                      <w:szCs w:val="21"/>
                      <w:lang w:val="en-US" w:eastAsia="zh-CN"/>
                    </w:rPr>
                  </w:pPr>
                  <w:r>
                    <w:rPr>
                      <w:rFonts w:hint="eastAsia" w:ascii="Times New Roman" w:hAnsi="Times New Roman" w:eastAsia="宋体" w:cs="Times New Roman"/>
                      <w:b w:val="0"/>
                      <w:snapToGrid w:val="0"/>
                      <w:color w:val="000000"/>
                      <w:spacing w:val="3"/>
                      <w:kern w:val="0"/>
                      <w:sz w:val="21"/>
                      <w:szCs w:val="21"/>
                      <w:lang w:val="en-US" w:eastAsia="zh-CN"/>
                    </w:rPr>
                    <w:t>1.14</w:t>
                  </w:r>
                </w:p>
              </w:tc>
              <w:tc>
                <w:tcPr>
                  <w:tcW w:w="1911" w:type="dxa"/>
                  <w:tcBorders>
                    <w:top w:val="single" w:color="auto" w:sz="4" w:space="0"/>
                    <w:left w:val="single" w:color="auto" w:sz="4" w:space="0"/>
                    <w:bottom w:val="single" w:color="auto" w:sz="4" w:space="0"/>
                    <w:right w:val="single" w:color="auto" w:sz="4" w:space="0"/>
                  </w:tcBorders>
                  <w:shd w:val="clear" w:color="auto" w:fill="FFFFFF"/>
                  <w:vAlign w:val="center"/>
                </w:tcPr>
                <w:p w14:paraId="256260E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宋体" w:hAnsi="宋体" w:eastAsia="宋体" w:cs="宋体"/>
                      <w:b w:val="0"/>
                      <w:snapToGrid w:val="0"/>
                      <w:color w:val="000000"/>
                      <w:kern w:val="0"/>
                      <w:sz w:val="21"/>
                      <w:szCs w:val="21"/>
                      <w:lang w:val="en-US" w:eastAsia="en-US" w:bidi="ar-SA"/>
                    </w:rPr>
                  </w:pPr>
                  <w:r>
                    <w:rPr>
                      <w:rFonts w:hint="default" w:ascii="宋体" w:hAnsi="宋体" w:eastAsia="宋体" w:cs="宋体"/>
                      <w:b w:val="0"/>
                      <w:snapToGrid w:val="0"/>
                      <w:color w:val="000000"/>
                      <w:spacing w:val="7"/>
                      <w:kern w:val="0"/>
                      <w:sz w:val="21"/>
                      <w:szCs w:val="21"/>
                      <w:lang w:val="en-US" w:eastAsia="en-US" w:bidi="ar-SA"/>
                    </w:rPr>
                    <w:t>进入产品</w:t>
                  </w:r>
                </w:p>
              </w:tc>
              <w:tc>
                <w:tcPr>
                  <w:tcW w:w="2142" w:type="dxa"/>
                  <w:tcBorders>
                    <w:top w:val="single" w:color="auto" w:sz="4" w:space="0"/>
                    <w:left w:val="single" w:color="auto" w:sz="4" w:space="0"/>
                    <w:bottom w:val="single" w:color="auto" w:sz="4" w:space="0"/>
                    <w:right w:val="nil"/>
                  </w:tcBorders>
                  <w:shd w:val="clear" w:color="auto" w:fill="FFFFFF"/>
                  <w:vAlign w:val="center"/>
                </w:tcPr>
                <w:p w14:paraId="485EE39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000000"/>
                      <w:kern w:val="0"/>
                      <w:sz w:val="21"/>
                      <w:szCs w:val="21"/>
                      <w:lang w:val="en-US" w:eastAsia="zh-CN"/>
                    </w:rPr>
                  </w:pPr>
                  <w:r>
                    <w:rPr>
                      <w:rFonts w:hint="eastAsia" w:ascii="Times New Roman" w:hAnsi="Times New Roman" w:eastAsia="宋体" w:cs="Times New Roman"/>
                      <w:b w:val="0"/>
                      <w:snapToGrid w:val="0"/>
                      <w:color w:val="000000"/>
                      <w:kern w:val="0"/>
                      <w:sz w:val="21"/>
                      <w:szCs w:val="21"/>
                      <w:lang w:val="en-US" w:eastAsia="zh-CN"/>
                    </w:rPr>
                    <w:t>1.0856</w:t>
                  </w:r>
                </w:p>
              </w:tc>
            </w:tr>
            <w:tr w14:paraId="5E1E1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20" w:type="dxa"/>
                  <w:tcBorders>
                    <w:top w:val="single" w:color="auto" w:sz="4" w:space="0"/>
                    <w:left w:val="nil"/>
                    <w:bottom w:val="single" w:color="auto" w:sz="4" w:space="0"/>
                    <w:right w:val="single" w:color="auto" w:sz="4" w:space="0"/>
                  </w:tcBorders>
                  <w:shd w:val="clear" w:color="auto" w:fill="FFFFFF"/>
                  <w:vAlign w:val="center"/>
                </w:tcPr>
                <w:p w14:paraId="5921B5E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Times New Roman" w:cs="Times New Roman"/>
                      <w:b w:val="0"/>
                      <w:snapToGrid w:val="0"/>
                      <w:color w:val="000000"/>
                      <w:kern w:val="0"/>
                      <w:sz w:val="21"/>
                      <w:szCs w:val="21"/>
                      <w:lang w:eastAsia="en-US"/>
                    </w:rPr>
                  </w:pPr>
                  <w:r>
                    <w:rPr>
                      <w:rFonts w:hint="default" w:ascii="Times New Roman" w:hAnsi="Times New Roman" w:eastAsia="Times New Roman" w:cs="Times New Roman"/>
                      <w:b w:val="0"/>
                      <w:snapToGrid w:val="0"/>
                      <w:color w:val="000000"/>
                      <w:kern w:val="0"/>
                      <w:sz w:val="21"/>
                      <w:szCs w:val="21"/>
                      <w:lang w:eastAsia="en-US"/>
                    </w:rPr>
                    <w:t>2</w:t>
                  </w:r>
                </w:p>
              </w:tc>
              <w:tc>
                <w:tcPr>
                  <w:tcW w:w="2257" w:type="dxa"/>
                  <w:tcBorders>
                    <w:top w:val="single" w:color="auto" w:sz="4" w:space="0"/>
                    <w:left w:val="single" w:color="auto" w:sz="4" w:space="0"/>
                    <w:bottom w:val="single" w:color="auto" w:sz="4" w:space="0"/>
                    <w:right w:val="single" w:color="auto" w:sz="4" w:space="0"/>
                  </w:tcBorders>
                  <w:shd w:val="clear" w:color="auto" w:fill="FFFFFF"/>
                  <w:vAlign w:val="center"/>
                </w:tcPr>
                <w:p w14:paraId="6204998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hAnsi="Arial" w:eastAsia="Arial" w:cs="Arial"/>
                      <w:b w:val="0"/>
                      <w:snapToGrid w:val="0"/>
                      <w:color w:val="000000"/>
                      <w:kern w:val="0"/>
                      <w:sz w:val="21"/>
                      <w:szCs w:val="21"/>
                      <w:lang w:eastAsia="en-US"/>
                    </w:rPr>
                  </w:pPr>
                </w:p>
              </w:tc>
              <w:tc>
                <w:tcPr>
                  <w:tcW w:w="2080" w:type="dxa"/>
                  <w:tcBorders>
                    <w:top w:val="single" w:color="auto" w:sz="4" w:space="0"/>
                    <w:left w:val="single" w:color="auto" w:sz="4" w:space="0"/>
                    <w:bottom w:val="single" w:color="auto" w:sz="4" w:space="0"/>
                    <w:right w:val="single" w:color="auto" w:sz="4" w:space="0"/>
                  </w:tcBorders>
                  <w:shd w:val="clear" w:color="auto" w:fill="FFFFFF"/>
                  <w:vAlign w:val="center"/>
                </w:tcPr>
                <w:p w14:paraId="08CD84C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hAnsi="Arial" w:eastAsia="Arial" w:cs="Arial"/>
                      <w:b w:val="0"/>
                      <w:snapToGrid w:val="0"/>
                      <w:color w:val="000000"/>
                      <w:kern w:val="0"/>
                      <w:sz w:val="21"/>
                      <w:szCs w:val="21"/>
                      <w:lang w:eastAsia="en-US"/>
                    </w:rPr>
                  </w:pPr>
                </w:p>
              </w:tc>
              <w:tc>
                <w:tcPr>
                  <w:tcW w:w="1911" w:type="dxa"/>
                  <w:tcBorders>
                    <w:top w:val="single" w:color="auto" w:sz="4" w:space="0"/>
                    <w:left w:val="single" w:color="auto" w:sz="4" w:space="0"/>
                    <w:bottom w:val="single" w:color="auto" w:sz="4" w:space="0"/>
                    <w:right w:val="single" w:color="auto" w:sz="4" w:space="0"/>
                  </w:tcBorders>
                  <w:shd w:val="clear" w:color="auto" w:fill="FFFFFF"/>
                  <w:vAlign w:val="center"/>
                </w:tcPr>
                <w:p w14:paraId="49C7E53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宋体" w:hAnsi="宋体" w:eastAsia="宋体" w:cs="宋体"/>
                      <w:b w:val="0"/>
                      <w:snapToGrid w:val="0"/>
                      <w:color w:val="000000"/>
                      <w:kern w:val="0"/>
                      <w:sz w:val="21"/>
                      <w:szCs w:val="21"/>
                      <w:lang w:val="en-US" w:eastAsia="en-US" w:bidi="ar-SA"/>
                    </w:rPr>
                  </w:pPr>
                  <w:r>
                    <w:rPr>
                      <w:rFonts w:hint="default" w:ascii="宋体" w:hAnsi="宋体" w:eastAsia="宋体" w:cs="宋体"/>
                      <w:b w:val="0"/>
                      <w:snapToGrid w:val="0"/>
                      <w:color w:val="000000"/>
                      <w:spacing w:val="8"/>
                      <w:kern w:val="0"/>
                      <w:sz w:val="21"/>
                      <w:szCs w:val="21"/>
                      <w:lang w:val="en-US" w:eastAsia="en-US" w:bidi="ar-SA"/>
                    </w:rPr>
                    <w:t>进入废丝废布</w:t>
                  </w:r>
                </w:p>
              </w:tc>
              <w:tc>
                <w:tcPr>
                  <w:tcW w:w="2142" w:type="dxa"/>
                  <w:tcBorders>
                    <w:top w:val="single" w:color="auto" w:sz="4" w:space="0"/>
                    <w:left w:val="single" w:color="auto" w:sz="4" w:space="0"/>
                    <w:bottom w:val="single" w:color="auto" w:sz="4" w:space="0"/>
                    <w:right w:val="nil"/>
                  </w:tcBorders>
                  <w:shd w:val="clear" w:color="auto" w:fill="FFFFFF"/>
                  <w:vAlign w:val="center"/>
                </w:tcPr>
                <w:p w14:paraId="48F17DB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000000"/>
                      <w:kern w:val="0"/>
                      <w:sz w:val="21"/>
                      <w:szCs w:val="21"/>
                      <w:lang w:val="en-US" w:eastAsia="zh-CN"/>
                    </w:rPr>
                  </w:pPr>
                  <w:r>
                    <w:rPr>
                      <w:rFonts w:hint="eastAsia" w:ascii="Times New Roman" w:hAnsi="Times New Roman" w:eastAsia="宋体" w:cs="Times New Roman"/>
                      <w:b w:val="0"/>
                      <w:snapToGrid w:val="0"/>
                      <w:color w:val="000000"/>
                      <w:spacing w:val="3"/>
                      <w:kern w:val="0"/>
                      <w:sz w:val="21"/>
                      <w:szCs w:val="21"/>
                      <w:lang w:val="en-US" w:eastAsia="zh-CN"/>
                    </w:rPr>
                    <w:t>0.0062</w:t>
                  </w:r>
                </w:p>
              </w:tc>
            </w:tr>
            <w:tr w14:paraId="0C7C1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20" w:type="dxa"/>
                  <w:tcBorders>
                    <w:top w:val="single" w:color="auto" w:sz="4" w:space="0"/>
                    <w:left w:val="nil"/>
                    <w:bottom w:val="single" w:color="auto" w:sz="4" w:space="0"/>
                    <w:right w:val="single" w:color="auto" w:sz="4" w:space="0"/>
                  </w:tcBorders>
                  <w:shd w:val="clear" w:color="auto" w:fill="FFFFFF"/>
                  <w:vAlign w:val="center"/>
                </w:tcPr>
                <w:p w14:paraId="7A63803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Times New Roman" w:cs="Times New Roman"/>
                      <w:b w:val="0"/>
                      <w:snapToGrid w:val="0"/>
                      <w:color w:val="000000"/>
                      <w:kern w:val="0"/>
                      <w:sz w:val="21"/>
                      <w:szCs w:val="21"/>
                      <w:lang w:eastAsia="en-US"/>
                    </w:rPr>
                  </w:pPr>
                  <w:r>
                    <w:rPr>
                      <w:rFonts w:hint="default" w:ascii="Times New Roman" w:hAnsi="Times New Roman" w:eastAsia="Times New Roman" w:cs="Times New Roman"/>
                      <w:b w:val="0"/>
                      <w:snapToGrid w:val="0"/>
                      <w:color w:val="000000"/>
                      <w:kern w:val="0"/>
                      <w:sz w:val="21"/>
                      <w:szCs w:val="21"/>
                      <w:lang w:eastAsia="en-US"/>
                    </w:rPr>
                    <w:t>3</w:t>
                  </w:r>
                </w:p>
              </w:tc>
              <w:tc>
                <w:tcPr>
                  <w:tcW w:w="2257" w:type="dxa"/>
                  <w:tcBorders>
                    <w:top w:val="single" w:color="auto" w:sz="4" w:space="0"/>
                    <w:left w:val="single" w:color="auto" w:sz="4" w:space="0"/>
                    <w:bottom w:val="single" w:color="auto" w:sz="4" w:space="0"/>
                    <w:right w:val="single" w:color="auto" w:sz="4" w:space="0"/>
                  </w:tcBorders>
                  <w:shd w:val="clear" w:color="auto" w:fill="FFFFFF"/>
                  <w:vAlign w:val="center"/>
                </w:tcPr>
                <w:p w14:paraId="44F98D2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hAnsi="Arial" w:eastAsia="Arial" w:cs="Arial"/>
                      <w:b w:val="0"/>
                      <w:snapToGrid w:val="0"/>
                      <w:color w:val="000000"/>
                      <w:kern w:val="0"/>
                      <w:sz w:val="21"/>
                      <w:szCs w:val="21"/>
                      <w:lang w:eastAsia="en-US"/>
                    </w:rPr>
                  </w:pPr>
                </w:p>
              </w:tc>
              <w:tc>
                <w:tcPr>
                  <w:tcW w:w="2080" w:type="dxa"/>
                  <w:tcBorders>
                    <w:top w:val="single" w:color="auto" w:sz="4" w:space="0"/>
                    <w:left w:val="single" w:color="auto" w:sz="4" w:space="0"/>
                    <w:bottom w:val="single" w:color="auto" w:sz="4" w:space="0"/>
                    <w:right w:val="single" w:color="auto" w:sz="4" w:space="0"/>
                  </w:tcBorders>
                  <w:shd w:val="clear" w:color="auto" w:fill="FFFFFF"/>
                  <w:vAlign w:val="center"/>
                </w:tcPr>
                <w:p w14:paraId="45C783B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hAnsi="Arial" w:eastAsia="Arial" w:cs="Arial"/>
                      <w:b w:val="0"/>
                      <w:snapToGrid w:val="0"/>
                      <w:color w:val="000000"/>
                      <w:kern w:val="0"/>
                      <w:sz w:val="21"/>
                      <w:szCs w:val="21"/>
                      <w:lang w:eastAsia="en-US"/>
                    </w:rPr>
                  </w:pPr>
                </w:p>
              </w:tc>
              <w:tc>
                <w:tcPr>
                  <w:tcW w:w="1911" w:type="dxa"/>
                  <w:tcBorders>
                    <w:top w:val="single" w:color="auto" w:sz="4" w:space="0"/>
                    <w:left w:val="single" w:color="auto" w:sz="4" w:space="0"/>
                    <w:bottom w:val="single" w:color="auto" w:sz="4" w:space="0"/>
                    <w:right w:val="single" w:color="auto" w:sz="4" w:space="0"/>
                  </w:tcBorders>
                  <w:shd w:val="clear" w:color="auto" w:fill="FFFFFF"/>
                  <w:vAlign w:val="center"/>
                </w:tcPr>
                <w:p w14:paraId="15DF3CD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宋体" w:hAnsi="宋体" w:eastAsia="宋体" w:cs="宋体"/>
                      <w:b w:val="0"/>
                      <w:snapToGrid w:val="0"/>
                      <w:color w:val="000000"/>
                      <w:kern w:val="0"/>
                      <w:sz w:val="21"/>
                      <w:szCs w:val="21"/>
                      <w:lang w:val="en-US" w:eastAsia="en-US" w:bidi="ar-SA"/>
                    </w:rPr>
                  </w:pPr>
                  <w:r>
                    <w:rPr>
                      <w:rFonts w:hint="default" w:ascii="宋体" w:hAnsi="宋体" w:eastAsia="宋体" w:cs="宋体"/>
                      <w:b w:val="0"/>
                      <w:snapToGrid w:val="0"/>
                      <w:color w:val="000000"/>
                      <w:spacing w:val="8"/>
                      <w:kern w:val="0"/>
                      <w:sz w:val="21"/>
                      <w:szCs w:val="21"/>
                      <w:lang w:val="en-US" w:eastAsia="en-US" w:bidi="ar-SA"/>
                    </w:rPr>
                    <w:t>进入</w:t>
                  </w:r>
                  <w:r>
                    <w:rPr>
                      <w:rFonts w:hint="eastAsia" w:ascii="宋体" w:hAnsi="宋体" w:cs="宋体"/>
                      <w:b w:val="0"/>
                      <w:snapToGrid w:val="0"/>
                      <w:color w:val="000000"/>
                      <w:spacing w:val="8"/>
                      <w:kern w:val="0"/>
                      <w:sz w:val="21"/>
                      <w:szCs w:val="21"/>
                      <w:lang w:val="en-US" w:eastAsia="zh-CN" w:bidi="ar-SA"/>
                    </w:rPr>
                    <w:t>回用</w:t>
                  </w:r>
                  <w:r>
                    <w:rPr>
                      <w:rFonts w:hint="default" w:ascii="宋体" w:hAnsi="宋体" w:eastAsia="宋体" w:cs="宋体"/>
                      <w:b w:val="0"/>
                      <w:snapToGrid w:val="0"/>
                      <w:color w:val="000000"/>
                      <w:spacing w:val="8"/>
                      <w:kern w:val="0"/>
                      <w:sz w:val="21"/>
                      <w:szCs w:val="21"/>
                      <w:lang w:val="en-US" w:eastAsia="en-US" w:bidi="ar-SA"/>
                    </w:rPr>
                    <w:t>水</w:t>
                  </w:r>
                </w:p>
              </w:tc>
              <w:tc>
                <w:tcPr>
                  <w:tcW w:w="2142" w:type="dxa"/>
                  <w:tcBorders>
                    <w:top w:val="single" w:color="auto" w:sz="4" w:space="0"/>
                    <w:left w:val="single" w:color="auto" w:sz="4" w:space="0"/>
                    <w:bottom w:val="single" w:color="auto" w:sz="4" w:space="0"/>
                    <w:right w:val="nil"/>
                  </w:tcBorders>
                  <w:shd w:val="clear" w:color="auto" w:fill="FFFFFF"/>
                  <w:vAlign w:val="center"/>
                </w:tcPr>
                <w:p w14:paraId="5E8AA93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000000"/>
                      <w:kern w:val="0"/>
                      <w:sz w:val="21"/>
                      <w:szCs w:val="21"/>
                      <w:lang w:val="en-US" w:eastAsia="zh-CN"/>
                    </w:rPr>
                  </w:pPr>
                  <w:r>
                    <w:rPr>
                      <w:rFonts w:hint="eastAsia" w:ascii="Times New Roman" w:hAnsi="Times New Roman" w:eastAsia="宋体" w:cs="Times New Roman"/>
                      <w:b w:val="0"/>
                      <w:snapToGrid w:val="0"/>
                      <w:color w:val="000000"/>
                      <w:spacing w:val="3"/>
                      <w:kern w:val="0"/>
                      <w:sz w:val="21"/>
                      <w:szCs w:val="21"/>
                      <w:lang w:val="en-US" w:eastAsia="zh-CN"/>
                    </w:rPr>
                    <w:t>0.04</w:t>
                  </w:r>
                  <w:r>
                    <w:rPr>
                      <w:rFonts w:hint="eastAsia" w:cs="Times New Roman"/>
                      <w:b w:val="0"/>
                      <w:snapToGrid w:val="0"/>
                      <w:color w:val="000000"/>
                      <w:spacing w:val="3"/>
                      <w:kern w:val="0"/>
                      <w:sz w:val="21"/>
                      <w:szCs w:val="21"/>
                      <w:lang w:val="en-US" w:eastAsia="zh-CN"/>
                    </w:rPr>
                    <w:t>58</w:t>
                  </w:r>
                </w:p>
              </w:tc>
            </w:tr>
            <w:tr w14:paraId="0B7F4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20" w:type="dxa"/>
                  <w:tcBorders>
                    <w:top w:val="single" w:color="auto" w:sz="4" w:space="0"/>
                    <w:left w:val="nil"/>
                    <w:bottom w:val="single" w:color="auto" w:sz="4" w:space="0"/>
                    <w:right w:val="single" w:color="auto" w:sz="4" w:space="0"/>
                  </w:tcBorders>
                  <w:shd w:val="clear" w:color="auto" w:fill="FFFFFF"/>
                  <w:vAlign w:val="center"/>
                </w:tcPr>
                <w:p w14:paraId="6B77C46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000000"/>
                      <w:kern w:val="0"/>
                      <w:sz w:val="21"/>
                      <w:szCs w:val="21"/>
                      <w:lang w:val="en-US" w:eastAsia="zh-CN"/>
                    </w:rPr>
                  </w:pPr>
                  <w:r>
                    <w:rPr>
                      <w:rFonts w:hint="eastAsia" w:eastAsia="宋体" w:cs="Times New Roman"/>
                      <w:b w:val="0"/>
                      <w:snapToGrid w:val="0"/>
                      <w:color w:val="000000"/>
                      <w:kern w:val="0"/>
                      <w:sz w:val="21"/>
                      <w:szCs w:val="21"/>
                      <w:lang w:val="en-US" w:eastAsia="zh-CN"/>
                    </w:rPr>
                    <w:t>4</w:t>
                  </w:r>
                </w:p>
              </w:tc>
              <w:tc>
                <w:tcPr>
                  <w:tcW w:w="2257" w:type="dxa"/>
                  <w:tcBorders>
                    <w:top w:val="single" w:color="auto" w:sz="4" w:space="0"/>
                    <w:left w:val="single" w:color="auto" w:sz="4" w:space="0"/>
                    <w:bottom w:val="single" w:color="auto" w:sz="4" w:space="0"/>
                    <w:right w:val="single" w:color="auto" w:sz="4" w:space="0"/>
                  </w:tcBorders>
                  <w:shd w:val="clear" w:color="auto" w:fill="FFFFFF"/>
                  <w:vAlign w:val="center"/>
                </w:tcPr>
                <w:p w14:paraId="7E20D05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hAnsi="Arial" w:eastAsia="Arial" w:cs="Arial"/>
                      <w:b w:val="0"/>
                      <w:snapToGrid w:val="0"/>
                      <w:color w:val="000000"/>
                      <w:kern w:val="0"/>
                      <w:sz w:val="21"/>
                      <w:szCs w:val="21"/>
                      <w:lang w:eastAsia="en-US"/>
                    </w:rPr>
                  </w:pPr>
                </w:p>
              </w:tc>
              <w:tc>
                <w:tcPr>
                  <w:tcW w:w="2080" w:type="dxa"/>
                  <w:tcBorders>
                    <w:top w:val="single" w:color="auto" w:sz="4" w:space="0"/>
                    <w:left w:val="single" w:color="auto" w:sz="4" w:space="0"/>
                    <w:bottom w:val="single" w:color="auto" w:sz="4" w:space="0"/>
                    <w:right w:val="single" w:color="auto" w:sz="4" w:space="0"/>
                  </w:tcBorders>
                  <w:shd w:val="clear" w:color="auto" w:fill="FFFFFF"/>
                  <w:vAlign w:val="center"/>
                </w:tcPr>
                <w:p w14:paraId="5F304CC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Arial" w:hAnsi="Arial" w:eastAsia="Arial" w:cs="Arial"/>
                      <w:b w:val="0"/>
                      <w:snapToGrid w:val="0"/>
                      <w:color w:val="000000"/>
                      <w:kern w:val="0"/>
                      <w:sz w:val="21"/>
                      <w:szCs w:val="21"/>
                      <w:lang w:eastAsia="en-US"/>
                    </w:rPr>
                  </w:pPr>
                </w:p>
              </w:tc>
              <w:tc>
                <w:tcPr>
                  <w:tcW w:w="1911" w:type="dxa"/>
                  <w:tcBorders>
                    <w:top w:val="single" w:color="auto" w:sz="4" w:space="0"/>
                    <w:left w:val="single" w:color="auto" w:sz="4" w:space="0"/>
                    <w:bottom w:val="single" w:color="auto" w:sz="4" w:space="0"/>
                    <w:right w:val="single" w:color="auto" w:sz="4" w:space="0"/>
                  </w:tcBorders>
                  <w:shd w:val="clear" w:color="auto" w:fill="FFFFFF"/>
                  <w:vAlign w:val="center"/>
                </w:tcPr>
                <w:p w14:paraId="78B041A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宋体" w:hAnsi="宋体" w:eastAsia="宋体" w:cs="宋体"/>
                      <w:b w:val="0"/>
                      <w:snapToGrid w:val="0"/>
                      <w:color w:val="000000"/>
                      <w:spacing w:val="8"/>
                      <w:kern w:val="0"/>
                      <w:sz w:val="21"/>
                      <w:szCs w:val="21"/>
                      <w:lang w:val="en-US" w:eastAsia="zh-CN" w:bidi="ar-SA"/>
                    </w:rPr>
                  </w:pPr>
                  <w:r>
                    <w:rPr>
                      <w:rFonts w:hint="eastAsia" w:ascii="宋体" w:hAnsi="宋体" w:cs="宋体"/>
                      <w:b w:val="0"/>
                      <w:snapToGrid w:val="0"/>
                      <w:color w:val="000000"/>
                      <w:spacing w:val="8"/>
                      <w:kern w:val="0"/>
                      <w:sz w:val="21"/>
                      <w:szCs w:val="21"/>
                      <w:lang w:val="en-US" w:eastAsia="zh-CN" w:bidi="ar-SA"/>
                    </w:rPr>
                    <w:t>排放</w:t>
                  </w:r>
                </w:p>
              </w:tc>
              <w:tc>
                <w:tcPr>
                  <w:tcW w:w="2142" w:type="dxa"/>
                  <w:tcBorders>
                    <w:top w:val="single" w:color="auto" w:sz="4" w:space="0"/>
                    <w:left w:val="single" w:color="auto" w:sz="4" w:space="0"/>
                    <w:bottom w:val="single" w:color="auto" w:sz="4" w:space="0"/>
                    <w:right w:val="nil"/>
                  </w:tcBorders>
                  <w:shd w:val="clear" w:color="auto" w:fill="FFFFFF"/>
                  <w:vAlign w:val="center"/>
                </w:tcPr>
                <w:p w14:paraId="30DBAA6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snapToGrid w:val="0"/>
                      <w:color w:val="000000"/>
                      <w:spacing w:val="3"/>
                      <w:kern w:val="0"/>
                      <w:sz w:val="21"/>
                      <w:szCs w:val="21"/>
                      <w:lang w:val="en-US" w:eastAsia="zh-CN"/>
                    </w:rPr>
                  </w:pPr>
                  <w:r>
                    <w:rPr>
                      <w:rFonts w:hint="eastAsia" w:cs="Times New Roman"/>
                      <w:b w:val="0"/>
                      <w:snapToGrid w:val="0"/>
                      <w:color w:val="000000"/>
                      <w:spacing w:val="3"/>
                      <w:kern w:val="0"/>
                      <w:sz w:val="21"/>
                      <w:szCs w:val="21"/>
                      <w:lang w:val="en-US" w:eastAsia="zh-CN"/>
                    </w:rPr>
                    <w:t>0.0024</w:t>
                  </w:r>
                </w:p>
              </w:tc>
            </w:tr>
            <w:tr w14:paraId="3E313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20" w:type="dxa"/>
                  <w:tcBorders>
                    <w:top w:val="single" w:color="auto" w:sz="4" w:space="0"/>
                    <w:left w:val="nil"/>
                    <w:bottom w:val="single" w:color="auto" w:sz="12" w:space="0"/>
                    <w:right w:val="single" w:color="auto" w:sz="4" w:space="0"/>
                  </w:tcBorders>
                  <w:shd w:val="clear" w:color="auto" w:fill="FFFFFF"/>
                  <w:vAlign w:val="center"/>
                </w:tcPr>
                <w:p w14:paraId="264BD18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宋体" w:hAnsi="宋体" w:eastAsia="宋体" w:cs="宋体"/>
                      <w:b w:val="0"/>
                      <w:snapToGrid w:val="0"/>
                      <w:color w:val="000000"/>
                      <w:kern w:val="0"/>
                      <w:sz w:val="21"/>
                      <w:szCs w:val="21"/>
                      <w:lang w:val="en-US" w:eastAsia="en-US" w:bidi="ar-SA"/>
                    </w:rPr>
                  </w:pPr>
                  <w:r>
                    <w:rPr>
                      <w:rFonts w:hint="default" w:ascii="宋体" w:hAnsi="宋体" w:eastAsia="宋体" w:cs="宋体"/>
                      <w:b w:val="0"/>
                      <w:snapToGrid w:val="0"/>
                      <w:color w:val="000000"/>
                      <w:spacing w:val="4"/>
                      <w:kern w:val="0"/>
                      <w:sz w:val="21"/>
                      <w:szCs w:val="21"/>
                      <w:lang w:val="en-US" w:eastAsia="en-US" w:bidi="ar-SA"/>
                    </w:rPr>
                    <w:t>合计</w:t>
                  </w:r>
                </w:p>
              </w:tc>
              <w:tc>
                <w:tcPr>
                  <w:tcW w:w="4337" w:type="dxa"/>
                  <w:gridSpan w:val="2"/>
                  <w:tcBorders>
                    <w:top w:val="single" w:color="auto" w:sz="4" w:space="0"/>
                    <w:left w:val="single" w:color="auto" w:sz="4" w:space="0"/>
                    <w:bottom w:val="single" w:color="auto" w:sz="12" w:space="0"/>
                    <w:right w:val="single" w:color="auto" w:sz="4" w:space="0"/>
                  </w:tcBorders>
                  <w:shd w:val="clear" w:color="auto" w:fill="FFFFFF"/>
                  <w:vAlign w:val="center"/>
                </w:tcPr>
                <w:p w14:paraId="6A6FE14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000000"/>
                      <w:spacing w:val="3"/>
                      <w:kern w:val="0"/>
                      <w:sz w:val="21"/>
                      <w:szCs w:val="21"/>
                      <w:lang w:val="en-US" w:eastAsia="en-US"/>
                    </w:rPr>
                  </w:pPr>
                  <w:r>
                    <w:rPr>
                      <w:rFonts w:hint="eastAsia" w:ascii="Times New Roman" w:hAnsi="Times New Roman" w:eastAsia="宋体" w:cs="Times New Roman"/>
                      <w:b w:val="0"/>
                      <w:snapToGrid w:val="0"/>
                      <w:color w:val="000000"/>
                      <w:spacing w:val="3"/>
                      <w:kern w:val="0"/>
                      <w:sz w:val="21"/>
                      <w:szCs w:val="21"/>
                      <w:lang w:val="en-US" w:eastAsia="zh-CN"/>
                    </w:rPr>
                    <w:t>1.14</w:t>
                  </w:r>
                </w:p>
              </w:tc>
              <w:tc>
                <w:tcPr>
                  <w:tcW w:w="4053" w:type="dxa"/>
                  <w:gridSpan w:val="2"/>
                  <w:tcBorders>
                    <w:top w:val="single" w:color="auto" w:sz="4" w:space="0"/>
                    <w:left w:val="single" w:color="auto" w:sz="4" w:space="0"/>
                    <w:bottom w:val="single" w:color="auto" w:sz="12" w:space="0"/>
                    <w:right w:val="nil"/>
                  </w:tcBorders>
                  <w:shd w:val="clear" w:color="auto" w:fill="FFFFFF"/>
                  <w:vAlign w:val="center"/>
                </w:tcPr>
                <w:p w14:paraId="205095C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snapToGrid w:val="0"/>
                      <w:color w:val="000000"/>
                      <w:spacing w:val="3"/>
                      <w:kern w:val="0"/>
                      <w:sz w:val="21"/>
                      <w:szCs w:val="21"/>
                      <w:lang w:val="en-US" w:eastAsia="en-US"/>
                    </w:rPr>
                  </w:pPr>
                  <w:r>
                    <w:rPr>
                      <w:rFonts w:hint="eastAsia" w:ascii="Times New Roman" w:hAnsi="Times New Roman" w:eastAsia="宋体" w:cs="Times New Roman"/>
                      <w:b w:val="0"/>
                      <w:snapToGrid w:val="0"/>
                      <w:color w:val="000000"/>
                      <w:spacing w:val="3"/>
                      <w:kern w:val="0"/>
                      <w:sz w:val="21"/>
                      <w:szCs w:val="21"/>
                      <w:lang w:val="en-US" w:eastAsia="zh-CN"/>
                    </w:rPr>
                    <w:t>1.14</w:t>
                  </w:r>
                </w:p>
              </w:tc>
            </w:tr>
          </w:tbl>
          <w:p w14:paraId="1B650CA8">
            <w:pPr>
              <w:pStyle w:val="42"/>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cs="Times New Roman"/>
                <w:b/>
                <w:bCs/>
                <w:color w:val="auto"/>
                <w:highlight w:val="none"/>
                <w:lang w:val="en-US" w:eastAsia="zh-CN"/>
              </w:rPr>
            </w:pPr>
            <w:r>
              <w:rPr>
                <w:rFonts w:hint="default" w:cs="Times New Roman"/>
                <w:b/>
                <w:bCs/>
                <w:color w:val="auto"/>
                <w:highlight w:val="none"/>
                <w:lang w:val="en-US" w:eastAsia="zh-CN"/>
              </w:rPr>
              <w:drawing>
                <wp:inline distT="0" distB="0" distL="114300" distR="114300">
                  <wp:extent cx="5036820" cy="1786890"/>
                  <wp:effectExtent l="0" t="0" r="0" b="0"/>
                  <wp:docPr id="53" name="ECB019B1-382A-4266-B25C-5B523AA43C14-2" descr="C:/Users/ADMIN/AppData/Local/Temp/wps.nbvrr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CB019B1-382A-4266-B25C-5B523AA43C14-2" descr="C:/Users/ADMIN/AppData/Local/Temp/wps.nbvrrTwps"/>
                          <pic:cNvPicPr>
                            <a:picLocks noChangeAspect="1"/>
                          </pic:cNvPicPr>
                        </pic:nvPicPr>
                        <pic:blipFill>
                          <a:blip r:embed="rId14"/>
                          <a:stretch>
                            <a:fillRect/>
                          </a:stretch>
                        </pic:blipFill>
                        <pic:spPr>
                          <a:xfrm>
                            <a:off x="0" y="0"/>
                            <a:ext cx="5036820" cy="1786890"/>
                          </a:xfrm>
                          <a:prstGeom prst="rect">
                            <a:avLst/>
                          </a:prstGeom>
                        </pic:spPr>
                      </pic:pic>
                    </a:graphicData>
                  </a:graphic>
                </wp:inline>
              </w:drawing>
            </w:r>
          </w:p>
          <w:p w14:paraId="52B6A8DC">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图2-</w:t>
            </w:r>
            <w:r>
              <w:rPr>
                <w:rFonts w:hint="eastAsia" w:cs="Times New Roman"/>
                <w:b/>
                <w:bCs/>
                <w:color w:val="auto"/>
                <w:highlight w:val="none"/>
                <w:lang w:val="en-US" w:eastAsia="zh-CN"/>
              </w:rPr>
              <w:t>2</w:t>
            </w:r>
            <w:r>
              <w:rPr>
                <w:rFonts w:hint="eastAsia" w:cs="Times New Roman"/>
                <w:b/>
                <w:bCs/>
                <w:color w:val="auto"/>
                <w:highlight w:val="none"/>
                <w:lang w:eastAsia="zh-CN"/>
              </w:rPr>
              <w:t>本项目</w:t>
            </w:r>
            <w:r>
              <w:rPr>
                <w:rFonts w:hint="default" w:ascii="Times New Roman" w:hAnsi="Times New Roman" w:eastAsia="宋体" w:cs="Times New Roman"/>
                <w:b/>
                <w:bCs/>
                <w:color w:val="auto"/>
                <w:highlight w:val="none"/>
              </w:rPr>
              <w:t>用</w:t>
            </w:r>
            <w:r>
              <w:rPr>
                <w:rFonts w:hint="eastAsia" w:cs="Times New Roman"/>
                <w:b/>
                <w:bCs/>
                <w:color w:val="auto"/>
                <w:highlight w:val="none"/>
                <w:lang w:val="en-US" w:eastAsia="zh-CN"/>
              </w:rPr>
              <w:t>锑元素</w:t>
            </w:r>
            <w:r>
              <w:rPr>
                <w:rFonts w:hint="default" w:ascii="Times New Roman" w:hAnsi="Times New Roman" w:eastAsia="宋体" w:cs="Times New Roman"/>
                <w:b/>
                <w:bCs/>
                <w:color w:val="auto"/>
                <w:highlight w:val="none"/>
              </w:rPr>
              <w:t>平衡图（单位：t/</w:t>
            </w:r>
            <w:r>
              <w:rPr>
                <w:rFonts w:hint="eastAsia" w:cs="Times New Roman"/>
                <w:b/>
                <w:bCs/>
                <w:color w:val="auto"/>
                <w:highlight w:val="none"/>
                <w:lang w:val="en-US" w:eastAsia="zh-CN"/>
              </w:rPr>
              <w:t>a</w:t>
            </w:r>
            <w:r>
              <w:rPr>
                <w:rFonts w:hint="default" w:ascii="Times New Roman" w:hAnsi="Times New Roman" w:eastAsia="宋体" w:cs="Times New Roman"/>
                <w:b/>
                <w:bCs/>
                <w:color w:val="auto"/>
                <w:highlight w:val="none"/>
              </w:rPr>
              <w:t>）</w:t>
            </w:r>
          </w:p>
          <w:p w14:paraId="738343B9">
            <w:pPr>
              <w:pStyle w:val="42"/>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cs="Times New Roman"/>
                <w:b/>
                <w:bCs/>
                <w:color w:val="auto"/>
                <w:highlight w:val="none"/>
                <w:lang w:val="en-US" w:eastAsia="zh-CN"/>
              </w:rPr>
            </w:pPr>
          </w:p>
        </w:tc>
      </w:tr>
      <w:tr w14:paraId="6827B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4463" w:hRule="atLeast"/>
          <w:jc w:val="center"/>
        </w:trPr>
        <w:tc>
          <w:tcPr>
            <w:tcW w:w="634" w:type="dxa"/>
            <w:noWrap w:val="0"/>
            <w:vAlign w:val="center"/>
          </w:tcPr>
          <w:p w14:paraId="64F80D40">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工艺流程和产排污环节</w:t>
            </w:r>
          </w:p>
        </w:tc>
        <w:tc>
          <w:tcPr>
            <w:tcW w:w="9118" w:type="dxa"/>
            <w:noWrap w:val="0"/>
            <w:vAlign w:val="top"/>
          </w:tcPr>
          <w:p w14:paraId="646AAC15">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rPr>
            </w:pPr>
            <w:r>
              <w:rPr>
                <w:rFonts w:hint="default" w:ascii="Times New Roman" w:hAnsi="Times New Roman" w:cs="Times New Roman"/>
                <w:color w:val="auto"/>
              </w:rPr>
              <w:t>一、施工期</w:t>
            </w:r>
          </w:p>
          <w:p w14:paraId="05A0D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本项目为新建项目，施工期工艺流程如下图所示。</w:t>
            </w:r>
          </w:p>
          <w:p w14:paraId="18C688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rPr>
              <mc:AlternateContent>
                <mc:Choice Requires="wpc">
                  <w:drawing>
                    <wp:inline distT="0" distB="0" distL="114300" distR="114300">
                      <wp:extent cx="5371465" cy="1716405"/>
                      <wp:effectExtent l="4445" t="0" r="15240" b="0"/>
                      <wp:docPr id="8" name="画布 8"/>
                      <wp:cNvGraphicFramePr/>
                      <a:graphic xmlns:a="http://schemas.openxmlformats.org/drawingml/2006/main">
                        <a:graphicData uri="http://schemas.microsoft.com/office/word/2010/wordprocessingCanvas">
                          <wpc:wpc>
                            <wpc:bg>
                              <a:noFill/>
                            </wpc:bg>
                            <wpc:whole>
                              <a:ln>
                                <a:noFill/>
                              </a:ln>
                            </wpc:whole>
                            <wps:wsp>
                              <wps:cNvPr id="1" name="文本框 3"/>
                              <wps:cNvSpPr txBox="1"/>
                              <wps:spPr>
                                <a:xfrm>
                                  <a:off x="65405" y="680085"/>
                                  <a:ext cx="726440" cy="258445"/>
                                </a:xfrm>
                                <a:prstGeom prst="rect">
                                  <a:avLst/>
                                </a:prstGeom>
                                <a:noFill/>
                                <a:ln w="6350" cap="flat" cmpd="sng">
                                  <a:solidFill>
                                    <a:srgbClr val="000000"/>
                                  </a:solidFill>
                                  <a:prstDash val="solid"/>
                                  <a:miter/>
                                  <a:headEnd type="none" w="med" len="med"/>
                                  <a:tailEnd type="none" w="med" len="med"/>
                                </a:ln>
                              </wps:spPr>
                              <wps:txbx>
                                <w:txbxContent>
                                  <w:p w14:paraId="1494590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场地平整</w:t>
                                    </w:r>
                                  </w:p>
                                </w:txbxContent>
                              </wps:txbx>
                              <wps:bodyPr upright="1"/>
                            </wps:wsp>
                            <wps:wsp>
                              <wps:cNvPr id="4" name="文本框 4"/>
                              <wps:cNvSpPr txBox="1"/>
                              <wps:spPr>
                                <a:xfrm>
                                  <a:off x="951865" y="696595"/>
                                  <a:ext cx="728980" cy="254000"/>
                                </a:xfrm>
                                <a:prstGeom prst="rect">
                                  <a:avLst/>
                                </a:prstGeom>
                                <a:noFill/>
                                <a:ln w="6350" cap="flat" cmpd="sng">
                                  <a:solidFill>
                                    <a:srgbClr val="000000"/>
                                  </a:solidFill>
                                  <a:prstDash val="solid"/>
                                  <a:miter/>
                                  <a:headEnd type="none" w="med" len="med"/>
                                  <a:tailEnd type="none" w="med" len="med"/>
                                </a:ln>
                              </wps:spPr>
                              <wps:txbx>
                                <w:txbxContent>
                                  <w:p w14:paraId="216CE60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基础工程</w:t>
                                    </w:r>
                                  </w:p>
                                </w:txbxContent>
                              </wps:txbx>
                              <wps:bodyPr upright="1"/>
                            </wps:wsp>
                            <wps:wsp>
                              <wps:cNvPr id="10" name="文本框 5"/>
                              <wps:cNvSpPr txBox="1"/>
                              <wps:spPr>
                                <a:xfrm>
                                  <a:off x="1820545" y="702945"/>
                                  <a:ext cx="729615" cy="254000"/>
                                </a:xfrm>
                                <a:prstGeom prst="rect">
                                  <a:avLst/>
                                </a:prstGeom>
                                <a:noFill/>
                                <a:ln w="6350" cap="flat" cmpd="sng">
                                  <a:solidFill>
                                    <a:srgbClr val="000000"/>
                                  </a:solidFill>
                                  <a:prstDash val="solid"/>
                                  <a:miter/>
                                  <a:headEnd type="none" w="med" len="med"/>
                                  <a:tailEnd type="none" w="med" len="med"/>
                                </a:ln>
                              </wps:spPr>
                              <wps:txbx>
                                <w:txbxContent>
                                  <w:p w14:paraId="09005E5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主体工程</w:t>
                                    </w:r>
                                  </w:p>
                                </w:txbxContent>
                              </wps:txbx>
                              <wps:bodyPr upright="1"/>
                            </wps:wsp>
                            <wps:wsp>
                              <wps:cNvPr id="12" name="文本框 6"/>
                              <wps:cNvSpPr txBox="1"/>
                              <wps:spPr>
                                <a:xfrm>
                                  <a:off x="2691130" y="709930"/>
                                  <a:ext cx="735330" cy="254000"/>
                                </a:xfrm>
                                <a:prstGeom prst="rect">
                                  <a:avLst/>
                                </a:prstGeom>
                                <a:noFill/>
                                <a:ln w="6350" cap="flat" cmpd="sng">
                                  <a:solidFill>
                                    <a:srgbClr val="000000"/>
                                  </a:solidFill>
                                  <a:prstDash val="solid"/>
                                  <a:miter/>
                                  <a:headEnd type="none" w="med" len="med"/>
                                  <a:tailEnd type="none" w="med" len="med"/>
                                </a:ln>
                              </wps:spPr>
                              <wps:txbx>
                                <w:txbxContent>
                                  <w:p w14:paraId="167AACD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防渗工程</w:t>
                                    </w:r>
                                  </w:p>
                                </w:txbxContent>
                              </wps:txbx>
                              <wps:bodyPr upright="1"/>
                            </wps:wsp>
                            <wps:wsp>
                              <wps:cNvPr id="13" name="文本框 7"/>
                              <wps:cNvSpPr txBox="1"/>
                              <wps:spPr>
                                <a:xfrm>
                                  <a:off x="3567430" y="710565"/>
                                  <a:ext cx="728980" cy="254000"/>
                                </a:xfrm>
                                <a:prstGeom prst="rect">
                                  <a:avLst/>
                                </a:prstGeom>
                                <a:noFill/>
                                <a:ln w="6350" cap="flat" cmpd="sng">
                                  <a:solidFill>
                                    <a:srgbClr val="000000"/>
                                  </a:solidFill>
                                  <a:prstDash val="solid"/>
                                  <a:miter/>
                                  <a:headEnd type="none" w="med" len="med"/>
                                  <a:tailEnd type="none" w="med" len="med"/>
                                </a:ln>
                              </wps:spPr>
                              <wps:txbx>
                                <w:txbxContent>
                                  <w:p w14:paraId="15E99BD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工程验收</w:t>
                                    </w:r>
                                  </w:p>
                                </w:txbxContent>
                              </wps:txbx>
                              <wps:bodyPr upright="1"/>
                            </wps:wsp>
                            <wps:wsp>
                              <wps:cNvPr id="14" name="文本框 8"/>
                              <wps:cNvSpPr txBox="1"/>
                              <wps:spPr>
                                <a:xfrm>
                                  <a:off x="4587240" y="708025"/>
                                  <a:ext cx="727710" cy="254000"/>
                                </a:xfrm>
                                <a:prstGeom prst="rect">
                                  <a:avLst/>
                                </a:prstGeom>
                                <a:noFill/>
                                <a:ln w="6350" cap="flat" cmpd="sng">
                                  <a:solidFill>
                                    <a:srgbClr val="000000"/>
                                  </a:solidFill>
                                  <a:prstDash val="solid"/>
                                  <a:miter/>
                                  <a:headEnd type="none" w="med" len="med"/>
                                  <a:tailEnd type="none" w="med" len="med"/>
                                </a:ln>
                              </wps:spPr>
                              <wps:txbx>
                                <w:txbxContent>
                                  <w:p w14:paraId="36F4FCC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投入使用</w:t>
                                    </w:r>
                                  </w:p>
                                </w:txbxContent>
                              </wps:txbx>
                              <wps:bodyPr upright="1"/>
                            </wps:wsp>
                            <wps:wsp>
                              <wps:cNvPr id="15" name="直接连接符 9"/>
                              <wps:cNvCnPr/>
                              <wps:spPr>
                                <a:xfrm>
                                  <a:off x="799465" y="829945"/>
                                  <a:ext cx="149860" cy="635"/>
                                </a:xfrm>
                                <a:prstGeom prst="line">
                                  <a:avLst/>
                                </a:prstGeom>
                                <a:ln w="6350" cap="flat" cmpd="sng">
                                  <a:solidFill>
                                    <a:srgbClr val="000000"/>
                                  </a:solidFill>
                                  <a:prstDash val="solid"/>
                                  <a:miter/>
                                  <a:headEnd type="none" w="med" len="med"/>
                                  <a:tailEnd type="triangle" w="med" len="med"/>
                                </a:ln>
                              </wps:spPr>
                              <wps:bodyPr upright="1"/>
                            </wps:wsp>
                            <wps:wsp>
                              <wps:cNvPr id="17" name="直接连接符 10"/>
                              <wps:cNvCnPr/>
                              <wps:spPr>
                                <a:xfrm>
                                  <a:off x="1684020" y="832485"/>
                                  <a:ext cx="139700" cy="0"/>
                                </a:xfrm>
                                <a:prstGeom prst="line">
                                  <a:avLst/>
                                </a:prstGeom>
                                <a:ln w="6350" cap="flat" cmpd="sng">
                                  <a:solidFill>
                                    <a:srgbClr val="000000"/>
                                  </a:solidFill>
                                  <a:prstDash val="solid"/>
                                  <a:miter/>
                                  <a:headEnd type="none" w="med" len="med"/>
                                  <a:tailEnd type="triangle" w="med" len="med"/>
                                </a:ln>
                              </wps:spPr>
                              <wps:bodyPr upright="1"/>
                            </wps:wsp>
                            <wps:wsp>
                              <wps:cNvPr id="18" name="直接连接符 11"/>
                              <wps:cNvCnPr/>
                              <wps:spPr>
                                <a:xfrm>
                                  <a:off x="2546985" y="833120"/>
                                  <a:ext cx="139700" cy="0"/>
                                </a:xfrm>
                                <a:prstGeom prst="line">
                                  <a:avLst/>
                                </a:prstGeom>
                                <a:ln w="6350" cap="flat" cmpd="sng">
                                  <a:solidFill>
                                    <a:srgbClr val="000000"/>
                                  </a:solidFill>
                                  <a:prstDash val="solid"/>
                                  <a:miter/>
                                  <a:headEnd type="none" w="med" len="med"/>
                                  <a:tailEnd type="triangle" w="med" len="med"/>
                                </a:ln>
                              </wps:spPr>
                              <wps:bodyPr upright="1"/>
                            </wps:wsp>
                            <wps:wsp>
                              <wps:cNvPr id="19" name="直接连接符 12"/>
                              <wps:cNvCnPr/>
                              <wps:spPr>
                                <a:xfrm>
                                  <a:off x="3431540" y="831850"/>
                                  <a:ext cx="139700" cy="0"/>
                                </a:xfrm>
                                <a:prstGeom prst="line">
                                  <a:avLst/>
                                </a:prstGeom>
                                <a:ln w="6350" cap="flat" cmpd="sng">
                                  <a:solidFill>
                                    <a:srgbClr val="000000"/>
                                  </a:solidFill>
                                  <a:prstDash val="solid"/>
                                  <a:miter/>
                                  <a:headEnd type="none" w="med" len="med"/>
                                  <a:tailEnd type="triangle" w="med" len="med"/>
                                </a:ln>
                              </wps:spPr>
                              <wps:bodyPr upright="1"/>
                            </wps:wsp>
                            <wps:wsp>
                              <wps:cNvPr id="24" name="直接连接符 13"/>
                              <wps:cNvCnPr/>
                              <wps:spPr>
                                <a:xfrm>
                                  <a:off x="4304030" y="844550"/>
                                  <a:ext cx="285750" cy="635"/>
                                </a:xfrm>
                                <a:prstGeom prst="line">
                                  <a:avLst/>
                                </a:prstGeom>
                                <a:ln w="6350" cap="flat" cmpd="sng">
                                  <a:solidFill>
                                    <a:srgbClr val="000000"/>
                                  </a:solidFill>
                                  <a:prstDash val="solid"/>
                                  <a:miter/>
                                  <a:headEnd type="none" w="med" len="med"/>
                                  <a:tailEnd type="triangle" w="med" len="med"/>
                                </a:ln>
                              </wps:spPr>
                              <wps:bodyPr upright="1"/>
                            </wps:wsp>
                            <wps:wsp>
                              <wps:cNvPr id="30" name="直接连接符 14"/>
                              <wps:cNvCnPr/>
                              <wps:spPr>
                                <a:xfrm>
                                  <a:off x="1311275" y="349885"/>
                                  <a:ext cx="635" cy="354965"/>
                                </a:xfrm>
                                <a:prstGeom prst="line">
                                  <a:avLst/>
                                </a:prstGeom>
                                <a:ln w="6350" cap="flat" cmpd="sng">
                                  <a:solidFill>
                                    <a:srgbClr val="000000"/>
                                  </a:solidFill>
                                  <a:prstDash val="lgDash"/>
                                  <a:miter/>
                                  <a:headEnd type="triangle" w="med" len="med"/>
                                  <a:tailEnd type="none" w="med" len="med"/>
                                </a:ln>
                              </wps:spPr>
                              <wps:bodyPr upright="1"/>
                            </wps:wsp>
                            <wps:wsp>
                              <wps:cNvPr id="32" name="直接连接符 15"/>
                              <wps:cNvCnPr/>
                              <wps:spPr>
                                <a:xfrm flipH="1">
                                  <a:off x="3123565" y="1104901"/>
                                  <a:ext cx="6350" cy="287655"/>
                                </a:xfrm>
                                <a:prstGeom prst="line">
                                  <a:avLst/>
                                </a:prstGeom>
                                <a:ln w="6350" cap="flat" cmpd="sng">
                                  <a:solidFill>
                                    <a:srgbClr val="000000"/>
                                  </a:solidFill>
                                  <a:prstDash val="lgDash"/>
                                  <a:miter/>
                                  <a:headEnd type="none" w="med" len="med"/>
                                  <a:tailEnd type="triangle" w="med" len="med"/>
                                </a:ln>
                              </wps:spPr>
                              <wps:bodyPr upright="1"/>
                            </wps:wsp>
                            <wps:wsp>
                              <wps:cNvPr id="33" name="直接连接符 16"/>
                              <wps:cNvCnPr/>
                              <wps:spPr>
                                <a:xfrm>
                                  <a:off x="2191385" y="356870"/>
                                  <a:ext cx="0" cy="342900"/>
                                </a:xfrm>
                                <a:prstGeom prst="line">
                                  <a:avLst/>
                                </a:prstGeom>
                                <a:ln w="6350" cap="flat" cmpd="sng">
                                  <a:solidFill>
                                    <a:srgbClr val="000000"/>
                                  </a:solidFill>
                                  <a:prstDash val="lgDash"/>
                                  <a:miter/>
                                  <a:headEnd type="triangle" w="med" len="med"/>
                                  <a:tailEnd type="none" w="med" len="med"/>
                                </a:ln>
                              </wps:spPr>
                              <wps:bodyPr upright="1"/>
                            </wps:wsp>
                            <wps:wsp>
                              <wps:cNvPr id="34" name="直接连接符 17"/>
                              <wps:cNvCnPr/>
                              <wps:spPr>
                                <a:xfrm>
                                  <a:off x="3056255" y="364490"/>
                                  <a:ext cx="0" cy="342900"/>
                                </a:xfrm>
                                <a:prstGeom prst="line">
                                  <a:avLst/>
                                </a:prstGeom>
                                <a:ln w="6350" cap="flat" cmpd="sng">
                                  <a:solidFill>
                                    <a:srgbClr val="000000"/>
                                  </a:solidFill>
                                  <a:prstDash val="lgDash"/>
                                  <a:miter/>
                                  <a:headEnd type="triangle" w="med" len="med"/>
                                  <a:tailEnd type="none" w="med" len="med"/>
                                </a:ln>
                              </wps:spPr>
                              <wps:bodyPr upright="1"/>
                            </wps:wsp>
                            <wps:wsp>
                              <wps:cNvPr id="35" name="直接连接符 18"/>
                              <wps:cNvCnPr/>
                              <wps:spPr>
                                <a:xfrm>
                                  <a:off x="3923665" y="356235"/>
                                  <a:ext cx="0" cy="342900"/>
                                </a:xfrm>
                                <a:prstGeom prst="line">
                                  <a:avLst/>
                                </a:prstGeom>
                                <a:ln w="6350" cap="flat" cmpd="sng">
                                  <a:solidFill>
                                    <a:srgbClr val="000000"/>
                                  </a:solidFill>
                                  <a:prstDash val="lgDash"/>
                                  <a:miter/>
                                  <a:headEnd type="triangle" w="med" len="med"/>
                                  <a:tailEnd type="none" w="med" len="med"/>
                                </a:ln>
                              </wps:spPr>
                              <wps:bodyPr upright="1"/>
                            </wps:wsp>
                            <wps:wsp>
                              <wps:cNvPr id="41" name="文本框 19"/>
                              <wps:cNvSpPr txBox="1"/>
                              <wps:spPr>
                                <a:xfrm>
                                  <a:off x="41275" y="1336676"/>
                                  <a:ext cx="723900" cy="254000"/>
                                </a:xfrm>
                                <a:prstGeom prst="rect">
                                  <a:avLst/>
                                </a:prstGeom>
                                <a:noFill/>
                                <a:ln w="6350">
                                  <a:noFill/>
                                </a:ln>
                              </wps:spPr>
                              <wps:txbx>
                                <w:txbxContent>
                                  <w:p w14:paraId="17FA96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水土流失</w:t>
                                    </w:r>
                                  </w:p>
                                </w:txbxContent>
                              </wps:txbx>
                              <wps:bodyPr upright="1"/>
                            </wps:wsp>
                            <wps:wsp>
                              <wps:cNvPr id="42" name="文本框 20"/>
                              <wps:cNvSpPr txBox="1"/>
                              <wps:spPr>
                                <a:xfrm>
                                  <a:off x="933450" y="1348106"/>
                                  <a:ext cx="723900" cy="254000"/>
                                </a:xfrm>
                                <a:prstGeom prst="rect">
                                  <a:avLst/>
                                </a:prstGeom>
                                <a:noFill/>
                                <a:ln w="6350">
                                  <a:noFill/>
                                </a:ln>
                              </wps:spPr>
                              <wps:txbx>
                                <w:txbxContent>
                                  <w:p w14:paraId="0456E2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水土流失</w:t>
                                    </w:r>
                                  </w:p>
                                </w:txbxContent>
                              </wps:txbx>
                              <wps:bodyPr upright="1"/>
                            </wps:wsp>
                            <wps:wsp>
                              <wps:cNvPr id="43" name="文本框 21"/>
                              <wps:cNvSpPr txBox="1"/>
                              <wps:spPr>
                                <a:xfrm>
                                  <a:off x="906145" y="103505"/>
                                  <a:ext cx="791845" cy="254000"/>
                                </a:xfrm>
                                <a:prstGeom prst="rect">
                                  <a:avLst/>
                                </a:prstGeom>
                                <a:noFill/>
                                <a:ln w="6350">
                                  <a:noFill/>
                                </a:ln>
                              </wps:spPr>
                              <wps:txbx>
                                <w:txbxContent>
                                  <w:p w14:paraId="02054A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wps:txbx>
                              <wps:bodyPr upright="1"/>
                            </wps:wsp>
                            <wps:wsp>
                              <wps:cNvPr id="44" name="文本框 22"/>
                              <wps:cNvSpPr txBox="1"/>
                              <wps:spPr>
                                <a:xfrm>
                                  <a:off x="1798955" y="97790"/>
                                  <a:ext cx="882015" cy="254000"/>
                                </a:xfrm>
                                <a:prstGeom prst="rect">
                                  <a:avLst/>
                                </a:prstGeom>
                                <a:noFill/>
                                <a:ln w="6350">
                                  <a:noFill/>
                                </a:ln>
                              </wps:spPr>
                              <wps:txbx>
                                <w:txbxContent>
                                  <w:p w14:paraId="114486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wps:txbx>
                              <wps:bodyPr upright="1"/>
                            </wps:wsp>
                            <wps:wsp>
                              <wps:cNvPr id="47" name="文本框 23"/>
                              <wps:cNvSpPr txBox="1"/>
                              <wps:spPr>
                                <a:xfrm>
                                  <a:off x="2663190" y="87630"/>
                                  <a:ext cx="875665" cy="254000"/>
                                </a:xfrm>
                                <a:prstGeom prst="rect">
                                  <a:avLst/>
                                </a:prstGeom>
                                <a:noFill/>
                                <a:ln w="6350">
                                  <a:noFill/>
                                </a:ln>
                              </wps:spPr>
                              <wps:txbx>
                                <w:txbxContent>
                                  <w:p w14:paraId="38C942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wps:txbx>
                              <wps:bodyPr upright="1"/>
                            </wps:wsp>
                            <wps:wsp>
                              <wps:cNvPr id="48" name="文本框 24"/>
                              <wps:cNvSpPr txBox="1"/>
                              <wps:spPr>
                                <a:xfrm>
                                  <a:off x="3540760" y="91440"/>
                                  <a:ext cx="875030" cy="254000"/>
                                </a:xfrm>
                                <a:prstGeom prst="rect">
                                  <a:avLst/>
                                </a:prstGeom>
                                <a:noFill/>
                                <a:ln w="6350">
                                  <a:noFill/>
                                </a:ln>
                              </wps:spPr>
                              <wps:txbx>
                                <w:txbxContent>
                                  <w:p w14:paraId="227048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wps:txbx>
                              <wps:bodyPr upright="1"/>
                            </wps:wsp>
                            <wps:wsp>
                              <wps:cNvPr id="49" name="文本框 25"/>
                              <wps:cNvSpPr txBox="1"/>
                              <wps:spPr>
                                <a:xfrm>
                                  <a:off x="1819910" y="1353186"/>
                                  <a:ext cx="2664460" cy="254000"/>
                                </a:xfrm>
                                <a:prstGeom prst="rect">
                                  <a:avLst/>
                                </a:prstGeom>
                                <a:noFill/>
                                <a:ln w="6350">
                                  <a:noFill/>
                                </a:ln>
                              </wps:spPr>
                              <wps:txbx>
                                <w:txbxContent>
                                  <w:p w14:paraId="1D0E70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施工废水、生活污水、冲洗废水、生活垃圾</w:t>
                                    </w:r>
                                  </w:p>
                                </w:txbxContent>
                              </wps:txbx>
                              <wps:bodyPr upright="1"/>
                            </wps:wsp>
                            <wps:wsp>
                              <wps:cNvPr id="50" name="矩形 26"/>
                              <wps:cNvSpPr/>
                              <wps:spPr>
                                <a:xfrm>
                                  <a:off x="0" y="575310"/>
                                  <a:ext cx="4419600" cy="520700"/>
                                </a:xfrm>
                                <a:prstGeom prst="rect">
                                  <a:avLst/>
                                </a:prstGeom>
                                <a:noFill/>
                                <a:ln w="6350" cap="flat" cmpd="sng">
                                  <a:solidFill>
                                    <a:srgbClr val="000000"/>
                                  </a:solidFill>
                                  <a:prstDash val="dash"/>
                                  <a:miter/>
                                  <a:headEnd type="none" w="med" len="med"/>
                                  <a:tailEnd type="none" w="med" len="med"/>
                                </a:ln>
                              </wps:spPr>
                              <wps:bodyPr upright="1"/>
                            </wps:wsp>
                            <wps:wsp>
                              <wps:cNvPr id="51" name="直接连接符 27"/>
                              <wps:cNvCnPr/>
                              <wps:spPr>
                                <a:xfrm>
                                  <a:off x="414020" y="946151"/>
                                  <a:ext cx="0" cy="342900"/>
                                </a:xfrm>
                                <a:prstGeom prst="line">
                                  <a:avLst/>
                                </a:prstGeom>
                                <a:ln w="6350" cap="flat" cmpd="sng">
                                  <a:solidFill>
                                    <a:srgbClr val="000000"/>
                                  </a:solidFill>
                                  <a:prstDash val="lgDash"/>
                                  <a:miter/>
                                  <a:headEnd type="none" w="med" len="med"/>
                                  <a:tailEnd type="triangle" w="med" len="med"/>
                                </a:ln>
                              </wps:spPr>
                              <wps:bodyPr upright="1"/>
                            </wps:wsp>
                            <wps:wsp>
                              <wps:cNvPr id="52" name="直接连接符 28"/>
                              <wps:cNvCnPr/>
                              <wps:spPr>
                                <a:xfrm>
                                  <a:off x="1307465" y="956311"/>
                                  <a:ext cx="0" cy="342900"/>
                                </a:xfrm>
                                <a:prstGeom prst="line">
                                  <a:avLst/>
                                </a:prstGeom>
                                <a:ln w="6350" cap="flat" cmpd="sng">
                                  <a:solidFill>
                                    <a:srgbClr val="000000"/>
                                  </a:solidFill>
                                  <a:prstDash val="lgDash"/>
                                  <a:miter/>
                                  <a:headEnd type="none" w="med" len="med"/>
                                  <a:tailEnd type="triangle" w="med" len="med"/>
                                </a:ln>
                              </wps:spPr>
                              <wps:bodyPr upright="1"/>
                            </wps:wsp>
                          </wpc:wpc>
                        </a:graphicData>
                      </a:graphic>
                    </wp:inline>
                  </w:drawing>
                </mc:Choice>
                <mc:Fallback>
                  <w:pict>
                    <v:group id="_x0000_s1026" o:spid="_x0000_s1026" o:spt="203" style="height:135.15pt;width:422.95pt;" coordsize="5371465,1716405" editas="canvas" o:gfxdata="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">
                      <o:lock v:ext="edit" aspectratio="f"/>
                      <v:shape id="_x0000_s1026" o:spid="_x0000_s1026" style="position:absolute;left:0;top:0;height:1716405;width:5371465;" filled="f" stroked="f" coordsize="21600,21600" o:gfxdata="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AAAAAZHJzL1BLAQIUABQAAAAIAIdO4kBEd/1D2AAAAAUBAAAPAAAAAAAAAAEAIAAA&#10;ACIAAABkcnMvZG93bnJldi54bWxQSwECFAAUAAAACACHTuJA7+Qef0cGAAA4NgAADgAAAAAAAAAB&#10;ACAAAAAnAQAAZHJzL2Uyb0RvYy54bWxQSwUGAAAAAAYABgBZAQAA4AkAAAAA&#10;">
                        <v:fill on="f" focussize="0,0"/>
                        <v:stroke on="f"/>
                        <v:imagedata o:title=""/>
                        <o:lock v:ext="edit" aspectratio="f"/>
                      </v:shape>
                      <v:shape id="文本框 3" o:spid="_x0000_s1026" o:spt="202" type="#_x0000_t202" style="position:absolute;left:65405;top:680085;height:258445;width:726440;" filled="f" stroked="t" coordsize="21600,21600" o:gfxdata="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L+gAHXAAAABQEAAA8AAAAAAAAAAQAgAAAA&#10;IgAAAGRycy9kb3ducmV2LnhtbFBLAQIUABQAAAAIAIdO4kA7LCtVDAIAABUEAAAOAAAAAAAAAAEA&#10;IAAAACYBAABkcnMvZTJvRG9jLnhtbFBLBQYAAAAABgAGAFkBAACkBQAAAAA=&#10;">
                        <v:fill on="f" focussize="0,0"/>
                        <v:stroke weight="0.5pt" color="#000000" joinstyle="miter"/>
                        <v:imagedata o:title=""/>
                        <o:lock v:ext="edit" aspectratio="f"/>
                        <v:textbox>
                          <w:txbxContent>
                            <w:p w14:paraId="1494590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场地平整</w:t>
                              </w:r>
                            </w:p>
                          </w:txbxContent>
                        </v:textbox>
                      </v:shape>
                      <v:shape id="_x0000_s1026" o:spid="_x0000_s1026" o:spt="202" type="#_x0000_t202" style="position:absolute;left:951865;top:696595;height:254000;width:728980;" filled="f" stroked="t" coordsize="21600,21600" o:gfxdata="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oAB1wAAAAUBAAAPAAAAAAAAAAEA&#10;IAAAACIAAABkcnMvZG93bnJldi54bWxQSwECFAAUAAAACACHTuJAYiyEaBACAAAWBAAADgAAAAAA&#10;AAABACAAAAAmAQAAZHJzL2Uyb0RvYy54bWxQSwUGAAAAAAYABgBZAQAAqAUAAAAA&#10;">
                        <v:fill on="f" focussize="0,0"/>
                        <v:stroke weight="0.5pt" color="#000000" joinstyle="miter"/>
                        <v:imagedata o:title=""/>
                        <o:lock v:ext="edit" aspectratio="f"/>
                        <v:textbox>
                          <w:txbxContent>
                            <w:p w14:paraId="216CE60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基础工程</w:t>
                              </w:r>
                            </w:p>
                          </w:txbxContent>
                        </v:textbox>
                      </v:shape>
                      <v:shape id="文本框 5" o:spid="_x0000_s1026" o:spt="202" type="#_x0000_t202" style="position:absolute;left:1820545;top:702945;height:254000;width:729615;" filled="f" stroked="t" coordsize="21600,21600" o:gfxdata="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oAB1wAAAAUBAAAPAAAAAAAAAAEA&#10;IAAAACIAAABkcnMvZG93bnJldi54bWxQSwECFAAUAAAACACHTuJAj4jNRRACAAAYBAAADgAAAAAA&#10;AAABACAAAAAmAQAAZHJzL2Uyb0RvYy54bWxQSwUGAAAAAAYABgBZAQAAqAUAAAAA&#10;">
                        <v:fill on="f" focussize="0,0"/>
                        <v:stroke weight="0.5pt" color="#000000" joinstyle="miter"/>
                        <v:imagedata o:title=""/>
                        <o:lock v:ext="edit" aspectratio="f"/>
                        <v:textbox>
                          <w:txbxContent>
                            <w:p w14:paraId="09005E5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主体工程</w:t>
                              </w:r>
                            </w:p>
                          </w:txbxContent>
                        </v:textbox>
                      </v:shape>
                      <v:shape id="文本框 6" o:spid="_x0000_s1026" o:spt="202" type="#_x0000_t202" style="position:absolute;left:2691130;top:709930;height:254000;width:735330;" filled="f" stroked="t" coordsize="21600,21600" o:gfxdata="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L+gAHXAAAABQEAAA8AAAAAAAAAAQAg&#10;AAAAIgAAAGRycy9kb3ducmV2LnhtbFBLAQIUABQAAAAIAIdO4kD233XyDwIAABgEAAAOAAAAAAAA&#10;AAEAIAAAACYBAABkcnMvZTJvRG9jLnhtbFBLBQYAAAAABgAGAFkBAACnBQAAAAA=&#10;">
                        <v:fill on="f" focussize="0,0"/>
                        <v:stroke weight="0.5pt" color="#000000" joinstyle="miter"/>
                        <v:imagedata o:title=""/>
                        <o:lock v:ext="edit" aspectratio="f"/>
                        <v:textbox>
                          <w:txbxContent>
                            <w:p w14:paraId="167AACD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防渗工程</w:t>
                              </w:r>
                            </w:p>
                          </w:txbxContent>
                        </v:textbox>
                      </v:shape>
                      <v:shape id="文本框 7" o:spid="_x0000_s1026" o:spt="202" type="#_x0000_t202" style="position:absolute;left:3567430;top:710565;height:254000;width:728980;" filled="f" stroked="t" coordsize="21600,21600" o:gfxdata="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oAB1wAAAAUBAAAPAAAAAAAAAAEA&#10;IAAAACIAAABkcnMvZG93bnJldi54bWxQSwECFAAUAAAACACHTuJAZ38h1xACAAAYBAAADgAAAAAA&#10;AAABACAAAAAmAQAAZHJzL2Uyb0RvYy54bWxQSwUGAAAAAAYABgBZAQAAqAUAAAAA&#10;">
                        <v:fill on="f" focussize="0,0"/>
                        <v:stroke weight="0.5pt" color="#000000" joinstyle="miter"/>
                        <v:imagedata o:title=""/>
                        <o:lock v:ext="edit" aspectratio="f"/>
                        <v:textbox>
                          <w:txbxContent>
                            <w:p w14:paraId="15E99BD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工程验收</w:t>
                              </w:r>
                            </w:p>
                          </w:txbxContent>
                        </v:textbox>
                      </v:shape>
                      <v:shape id="文本框 8" o:spid="_x0000_s1026" o:spt="202" type="#_x0000_t202" style="position:absolute;left:4587240;top:708025;height:254000;width:727710;" filled="f" stroked="t" coordsize="21600,21600" o:gfxdata="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v6AAdcAAAAFAQAADwAAAAAAAAAB&#10;ACAAAAAiAAAAZHJzL2Rvd25yZXYueG1sUEsBAhQAFAAAAAgAh07iQAriXuIRAgAAGAQAAA4AAAAA&#10;AAAAAQAgAAAAJgEAAGRycy9lMm9Eb2MueG1sUEsFBgAAAAAGAAYAWQEAAKkFAAAAAA==&#10;">
                        <v:fill on="f" focussize="0,0"/>
                        <v:stroke weight="0.5pt" color="#000000" joinstyle="miter"/>
                        <v:imagedata o:title=""/>
                        <o:lock v:ext="edit" aspectratio="f"/>
                        <v:textbox>
                          <w:txbxContent>
                            <w:p w14:paraId="36F4FCC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rFonts w:hint="eastAsia" w:eastAsia="宋体"/>
                                  <w:sz w:val="21"/>
                                  <w:szCs w:val="21"/>
                                  <w:lang w:eastAsia="zh-CN"/>
                                </w:rPr>
                                <w:t>投入使用</w:t>
                              </w:r>
                            </w:p>
                          </w:txbxContent>
                        </v:textbox>
                      </v:shape>
                      <v:line id="直接连接符 9" o:spid="_x0000_s1026" o:spt="20" style="position:absolute;left:799465;top:829945;height:635;width:149860;" filled="f" stroked="t" coordsize="21600,21600" o:gfxdata="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vT6hr1gAAAAUBAAAPAAAAAAAAAAEAIAAAACIA&#10;AABkcnMvZG93bnJldi54bWxQSwECFAAUAAAACACHTuJA8c3QEAsCAAD+AwAADgAAAAAAAAABACAA&#10;AAAlAQAAZHJzL2Uyb0RvYy54bWxQSwUGAAAAAAYABgBZAQAAogUAAAAA&#10;">
                        <v:fill on="f" focussize="0,0"/>
                        <v:stroke weight="0.5pt" color="#000000" joinstyle="miter" endarrow="block"/>
                        <v:imagedata o:title=""/>
                        <o:lock v:ext="edit" aspectratio="f"/>
                      </v:line>
                      <v:line id="直接连接符 10" o:spid="_x0000_s1026" o:spt="20" style="position:absolute;left:1684020;top:832485;height:0;width:139700;" filled="f" stroked="t" coordsize="21600,21600" o:gfxdata="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9PqGvWAAAABQEAAA8AAAAAAAAAAQAgAAAA&#10;IgAAAGRycy9kb3ducmV2LnhtbFBLAQIUABQAAAAIAIdO4kDFoaw5DQIAAP4DAAAOAAAAAAAAAAEA&#10;IAAAACUBAABkcnMvZTJvRG9jLnhtbFBLBQYAAAAABgAGAFkBAACkBQAAAAA=&#10;">
                        <v:fill on="f" focussize="0,0"/>
                        <v:stroke weight="0.5pt" color="#000000" joinstyle="miter" endarrow="block"/>
                        <v:imagedata o:title=""/>
                        <o:lock v:ext="edit" aspectratio="f"/>
                      </v:line>
                      <v:line id="直接连接符 11" o:spid="_x0000_s1026" o:spt="20" style="position:absolute;left:2546985;top:833120;height:0;width:139700;" filled="f" stroked="t" coordsize="21600,21600" o:gfxdata="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T6hr1gAAAAUBAAAPAAAAAAAAAAEAIAAA&#10;ACIAAABkcnMvZG93bnJldi54bWxQSwECFAAUAAAACACHTuJAEmerJQ4CAAD+AwAADgAAAAAAAAAB&#10;ACAAAAAlAQAAZHJzL2Uyb0RvYy54bWxQSwUGAAAAAAYABgBZAQAApQUAAAAA&#10;">
                        <v:fill on="f" focussize="0,0"/>
                        <v:stroke weight="0.5pt" color="#000000" joinstyle="miter" endarrow="block"/>
                        <v:imagedata o:title=""/>
                        <o:lock v:ext="edit" aspectratio="f"/>
                      </v:line>
                      <v:line id="直接连接符 12" o:spid="_x0000_s1026" o:spt="20" style="position:absolute;left:3431540;top:831850;height:0;width:139700;" filled="f" stroked="t" coordsize="21600,21600" o:gfxdata="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0+oa9YAAAAFAQAADwAAAAAAAAABACAA&#10;AAAiAAAAZHJzL2Rvd25yZXYueG1sUEsBAhQAFAAAAAgAh07iQEcAfzgPAgAA/gMAAA4AAAAAAAAA&#10;AQAgAAAAJQEAAGRycy9lMm9Eb2MueG1sUEsFBgAAAAAGAAYAWQEAAKYFAAAAAA==&#10;">
                        <v:fill on="f" focussize="0,0"/>
                        <v:stroke weight="0.5pt" color="#000000" joinstyle="miter" endarrow="block"/>
                        <v:imagedata o:title=""/>
                        <o:lock v:ext="edit" aspectratio="f"/>
                      </v:line>
                      <v:line id="直接连接符 13" o:spid="_x0000_s1026" o:spt="20" style="position:absolute;left:4304030;top:844550;height:635;width:285750;" filled="f" stroked="t" coordsize="21600,21600" o:gfxdata="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0+oa9YAAAAFAQAADwAAAAAAAAABACAAAAAi&#10;AAAAZHJzL2Rvd25yZXYueG1sUEsBAhQAFAAAAAgAh07iQEWwbjAMAgAAAAQAAA4AAAAAAAAAAQAg&#10;AAAAJQEAAGRycy9lMm9Eb2MueG1sUEsFBgAAAAAGAAYAWQEAAKMFAAAAAA==&#10;">
                        <v:fill on="f" focussize="0,0"/>
                        <v:stroke weight="0.5pt" color="#000000" joinstyle="miter" endarrow="block"/>
                        <v:imagedata o:title=""/>
                        <o:lock v:ext="edit" aspectratio="f"/>
                      </v:line>
                      <v:line id="直接连接符 14" o:spid="_x0000_s1026" o:spt="20" style="position:absolute;left:1311275;top:349885;height:354965;width:635;" filled="f" stroked="t" coordsize="21600,21600" o:gfxdata="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dnNLLXAAAABQEAAA8AAAAAAAAAAQAg&#10;AAAAIgAAAGRycy9kb3ducmV2LnhtbFBLAQIUABQAAAAIAIdO4kCrMo1jDwIAAAEEAAAOAAAAAAAA&#10;AAEAIAAAACYBAABkcnMvZTJvRG9jLnhtbFBLBQYAAAAABgAGAFkBAACnBQAAAAA=&#10;">
                        <v:fill on="f" focussize="0,0"/>
                        <v:stroke weight="0.5pt" color="#000000" joinstyle="miter" dashstyle="longDash" startarrow="block"/>
                        <v:imagedata o:title=""/>
                        <o:lock v:ext="edit" aspectratio="f"/>
                      </v:line>
                      <v:line id="直接连接符 15" o:spid="_x0000_s1026" o:spt="20" style="position:absolute;left:3123565;top:1104901;flip:x;height:287655;width:6350;" filled="f" stroked="t" coordsize="21600,21600" o:gfxdata="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94oc1wAAAAUBAAAPAAAA&#10;AAAAAAEAIAAAACIAAABkcnMvZG93bnJldi54bWxQSwECFAAUAAAACACHTuJAGhLU9RYCAAANBAAA&#10;DgAAAAAAAAABACAAAAAmAQAAZHJzL2Uyb0RvYy54bWxQSwUGAAAAAAYABgBZAQAArgUAAAAA&#10;">
                        <v:fill on="f" focussize="0,0"/>
                        <v:stroke weight="0.5pt" color="#000000" joinstyle="miter" dashstyle="longDash" endarrow="block"/>
                        <v:imagedata o:title=""/>
                        <o:lock v:ext="edit" aspectratio="f"/>
                      </v:line>
                      <v:line id="直接连接符 16" o:spid="_x0000_s1026" o:spt="20" style="position:absolute;left:2191385;top:356870;height:342900;width:0;" filled="f" stroked="t" coordsize="21600,21600" o:gfxdata="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ZzSy1wAAAAUBAAAPAAAAAAAAAAEA&#10;IAAAACIAAABkcnMvZG93bnJldi54bWxQSwECFAAUAAAACACHTuJA/PZ+lBACAAD/AwAADgAAAAAA&#10;AAABACAAAAAmAQAAZHJzL2Uyb0RvYy54bWxQSwUGAAAAAAYABgBZAQAAqAUAAAAA&#10;">
                        <v:fill on="f" focussize="0,0"/>
                        <v:stroke weight="0.5pt" color="#000000" joinstyle="miter" dashstyle="longDash" startarrow="block"/>
                        <v:imagedata o:title=""/>
                        <o:lock v:ext="edit" aspectratio="f"/>
                      </v:line>
                      <v:line id="直接连接符 17" o:spid="_x0000_s1026" o:spt="20" style="position:absolute;left:3056255;top:364490;height:342900;width:0;" filled="f" stroked="t" coordsize="21600,21600" o:gfxdata="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2c0stcAAAAFAQAADwAAAAAAAAABACAA&#10;AAAiAAAAZHJzL2Rvd25yZXYueG1sUEsBAhQAFAAAAAgAh07iQEUB+KQOAgAA/wMAAA4AAAAAAAAA&#10;AQAgAAAAJgEAAGRycy9lMm9Eb2MueG1sUEsFBgAAAAAGAAYAWQEAAKYFAAAAAA==&#10;">
                        <v:fill on="f" focussize="0,0"/>
                        <v:stroke weight="0.5pt" color="#000000" joinstyle="miter" dashstyle="longDash" startarrow="block"/>
                        <v:imagedata o:title=""/>
                        <o:lock v:ext="edit" aspectratio="f"/>
                      </v:line>
                      <v:line id="直接连接符 18" o:spid="_x0000_s1026" o:spt="20" style="position:absolute;left:3923665;top:356235;height:342900;width:0;" filled="f" stroked="t" coordsize="21600,21600" o:gfxdata="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2c0stcAAAAFAQAADwAAAAAAAAABACAA&#10;AAAiAAAAZHJzL2Rvd25yZXYueG1sUEsBAhQAFAAAAAgAh07iQE3/vOMOAgAA/wMAAA4AAAAAAAAA&#10;AQAgAAAAJgEAAGRycy9lMm9Eb2MueG1sUEsFBgAAAAAGAAYAWQEAAKYFAAAAAA==&#10;">
                        <v:fill on="f" focussize="0,0"/>
                        <v:stroke weight="0.5pt" color="#000000" joinstyle="miter" dashstyle="longDash" startarrow="block"/>
                        <v:imagedata o:title=""/>
                        <o:lock v:ext="edit" aspectratio="f"/>
                      </v:line>
                      <v:shape id="文本框 19" o:spid="_x0000_s1026" o:spt="202" type="#_x0000_t202" style="position:absolute;left:41275;top:1336676;height:254000;width:723900;" filled="f" stroked="f" coordsize="21600,21600" o:gfxdata="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j2TjN2AAAAAUBAAAPAAAAAAAAAAEAIAAAACIAAABkcnMvZG93bnJldi54&#10;bWxQSwECFAAUAAAACACHTuJAn0IoiMEBAABiAwAADgAAAAAAAAABACAAAAAnAQAAZHJzL2Uyb0Rv&#10;Yy54bWxQSwUGAAAAAAYABgBZAQAAWgUAAAAA&#10;">
                        <v:fill on="f" focussize="0,0"/>
                        <v:stroke on="f" weight="0.5pt"/>
                        <v:imagedata o:title=""/>
                        <o:lock v:ext="edit" aspectratio="f"/>
                        <v:textbox>
                          <w:txbxContent>
                            <w:p w14:paraId="17FA96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水土流失</w:t>
                              </w:r>
                            </w:p>
                          </w:txbxContent>
                        </v:textbox>
                      </v:shape>
                      <v:shape id="文本框 20" o:spid="_x0000_s1026" o:spt="202" type="#_x0000_t202" style="position:absolute;left:933450;top:1348106;height:254000;width:723900;" filled="f" stroked="f" coordsize="21600,21600" o:gfxdata="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j2TjN2AAAAAUBAAAPAAAAAAAAAAEAIAAAACIAAABkcnMvZG93bnJldi54bWxQ&#10;SwECFAAUAAAACACHTuJAQmjMub4BAABjAwAADgAAAAAAAAABACAAAAAnAQAAZHJzL2Uyb0RvYy54&#10;bWxQSwUGAAAAAAYABgBZAQAAVwUAAAAA&#10;">
                        <v:fill on="f" focussize="0,0"/>
                        <v:stroke on="f" weight="0.5pt"/>
                        <v:imagedata o:title=""/>
                        <o:lock v:ext="edit" aspectratio="f"/>
                        <v:textbox>
                          <w:txbxContent>
                            <w:p w14:paraId="0456E2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水土流失</w:t>
                              </w:r>
                            </w:p>
                          </w:txbxContent>
                        </v:textbox>
                      </v:shape>
                      <v:shape id="文本框 21" o:spid="_x0000_s1026" o:spt="202" type="#_x0000_t202" style="position:absolute;left:906145;top:103505;height:254000;width:791845;" filled="f" stroked="f" coordsize="21600,21600" o:gfxdata="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PZOM3YAAAABQEAAA8AAAAAAAAAAQAgAAAAIgAAAGRycy9kb3ducmV2Lnht&#10;bFBLAQIUABQAAAAIAIdO4kCyxUiswAEAAGIDAAAOAAAAAAAAAAEAIAAAACcBAABkcnMvZTJvRG9j&#10;LnhtbFBLBQYAAAAABgAGAFkBAABZBQAAAAA=&#10;">
                        <v:fill on="f" focussize="0,0"/>
                        <v:stroke on="f" weight="0.5pt"/>
                        <v:imagedata o:title=""/>
                        <o:lock v:ext="edit" aspectratio="f"/>
                        <v:textbox>
                          <w:txbxContent>
                            <w:p w14:paraId="02054A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v:textbox>
                      </v:shape>
                      <v:shape id="文本框 22" o:spid="_x0000_s1026" o:spt="202" type="#_x0000_t202" style="position:absolute;left:1798955;top:97790;height:254000;width:882015;" filled="f" stroked="f" coordsize="21600,21600" o:gfxdata="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9k4zdgAAAAFAQAADwAAAAAAAAABACAAAAAiAAAAZHJzL2Rvd25yZXYueG1s&#10;UEsBAhQAFAAAAAgAh07iQM8bpKu/AQAAYgMAAA4AAAAAAAAAAQAgAAAAJwEAAGRycy9lMm9Eb2Mu&#10;eG1sUEsFBgAAAAAGAAYAWQEAAFgFAAAAAA==&#10;">
                        <v:fill on="f" focussize="0,0"/>
                        <v:stroke on="f" weight="0.5pt"/>
                        <v:imagedata o:title=""/>
                        <o:lock v:ext="edit" aspectratio="f"/>
                        <v:textbox>
                          <w:txbxContent>
                            <w:p w14:paraId="114486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v:textbox>
                      </v:shape>
                      <v:shape id="文本框 23" o:spid="_x0000_s1026" o:spt="202" type="#_x0000_t202" style="position:absolute;left:2663190;top:87630;height:254000;width:875665;" filled="f" stroked="f" coordsize="21600,21600" o:gfxdata="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j2TjN2AAAAAUBAAAPAAAAAAAAAAEAIAAAACIAAABkcnMvZG93bnJldi54&#10;bWxQSwECFAAUAAAACACHTuJAeDYk18EBAABiAwAADgAAAAAAAAABACAAAAAnAQAAZHJzL2Uyb0Rv&#10;Yy54bWxQSwUGAAAAAAYABgBZAQAAWgUAAAAA&#10;">
                        <v:fill on="f" focussize="0,0"/>
                        <v:stroke on="f" weight="0.5pt"/>
                        <v:imagedata o:title=""/>
                        <o:lock v:ext="edit" aspectratio="f"/>
                        <v:textbox>
                          <w:txbxContent>
                            <w:p w14:paraId="38C942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v:textbox>
                      </v:shape>
                      <v:shape id="文本框 24" o:spid="_x0000_s1026" o:spt="202" type="#_x0000_t202" style="position:absolute;left:3540760;top:91440;height:254000;width:875030;" filled="f" stroked="f" coordsize="21600,21600" o:gfxdata="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9k4zdgAAAAFAQAADwAAAAAAAAABACAAAAAiAAAAZHJzL2Rvd25yZXYueG1s&#10;UEsBAhQAFAAAAAgAh07iQLo6L8C/AQAAYgMAAA4AAAAAAAAAAQAgAAAAJwEAAGRycy9lMm9Eb2Mu&#10;eG1sUEsFBgAAAAAGAAYAWQEAAFgFAAAAAA==&#10;">
                        <v:fill on="f" focussize="0,0"/>
                        <v:stroke on="f" weight="0.5pt"/>
                        <v:imagedata o:title=""/>
                        <o:lock v:ext="edit" aspectratio="f"/>
                        <v:textbox>
                          <w:txbxContent>
                            <w:p w14:paraId="227048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噪声、扬尘</w:t>
                              </w:r>
                            </w:p>
                          </w:txbxContent>
                        </v:textbox>
                      </v:shape>
                      <v:shape id="文本框 25" o:spid="_x0000_s1026" o:spt="202" type="#_x0000_t202" style="position:absolute;left:1819910;top:1353186;height:254000;width:2664460;" filled="f" stroked="f" coordsize="21600,21600" o:gfxdata="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PZOM3YAAAABQEAAA8AAAAAAAAAAQAgAAAAIgAAAGRycy9kb3ducmV2&#10;LnhtbFBLAQIUABQAAAAIAIdO4kDiCzQhwwEAAGUDAAAOAAAAAAAAAAEAIAAAACcBAABkcnMvZTJv&#10;RG9jLnhtbFBLBQYAAAAABgAGAFkBAABcBQAAAAA=&#10;">
                        <v:fill on="f" focussize="0,0"/>
                        <v:stroke on="f" weight="0.5pt"/>
                        <v:imagedata o:title=""/>
                        <o:lock v:ext="edit" aspectratio="f"/>
                        <v:textbox>
                          <w:txbxContent>
                            <w:p w14:paraId="1D0E70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eastAsia="宋体"/>
                                  <w:sz w:val="21"/>
                                  <w:szCs w:val="21"/>
                                  <w:lang w:eastAsia="zh-CN"/>
                                </w:rPr>
                                <w:t>施工废水、生活污水、冲洗废水、生活垃圾</w:t>
                              </w:r>
                            </w:p>
                          </w:txbxContent>
                        </v:textbox>
                      </v:shape>
                      <v:rect id="矩形 26" o:spid="_x0000_s1026" o:spt="1" style="position:absolute;left:0;top:575310;height:520700;width:4419600;" filled="f" stroked="t" coordsize="21600,21600" o:gfxdata="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m4MKu1AAAAAUBAAAPAAAAAAAAAAEAIAAAACIAAABkcnMvZG93bnJldi54bWxQ&#10;SwECFAAUAAAACACHTuJANCx2p/sBAAD7AwAADgAAAAAAAAABACAAAAAjAQAAZHJzL2Uyb0RvYy54&#10;bWxQSwUGAAAAAAYABgBZAQAAkAUAAAAA&#10;">
                        <v:fill on="f" focussize="0,0"/>
                        <v:stroke weight="0.5pt" color="#000000" joinstyle="miter" dashstyle="dash"/>
                        <v:imagedata o:title=""/>
                        <o:lock v:ext="edit" aspectratio="f"/>
                      </v:rect>
                      <v:line id="直接连接符 27" o:spid="_x0000_s1026" o:spt="20" style="position:absolute;left:414020;top:946151;height:342900;width:0;" filled="f" stroked="t" coordsize="21600,21600" o:gfxdata="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F7QvrVAAAABQEAAA8AAAAAAAAAAQAgAAAA&#10;IgAAAGRycy9kb3ducmV2LnhtbFBLAQIUABQAAAAIAIdO4kAK35doDgIAAP4DAAAOAAAAAAAAAAEA&#10;IAAAACQBAABkcnMvZTJvRG9jLnhtbFBLBQYAAAAABgAGAFkBAACkBQAAAAA=&#10;">
                        <v:fill on="f" focussize="0,0"/>
                        <v:stroke weight="0.5pt" color="#000000" joinstyle="miter" dashstyle="longDash" endarrow="block"/>
                        <v:imagedata o:title=""/>
                        <o:lock v:ext="edit" aspectratio="f"/>
                      </v:line>
                      <v:line id="直接连接符 28" o:spid="_x0000_s1026" o:spt="20" style="position:absolute;left:1307465;top:956311;height:342900;width:0;" filled="f" stroked="t" coordsize="21600,21600" o:gfxdata="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F7QvrVAAAABQEAAA8AAAAAAAAAAQAg&#10;AAAAIgAAAGRycy9kb3ducmV2LnhtbFBLAQIUABQAAAAIAIdO4kD0CLLuEQIAAP8DAAAOAAAAAAAA&#10;AAEAIAAAACQBAABkcnMvZTJvRG9jLnhtbFBLBQYAAAAABgAGAFkBAACnBQAAAAA=&#10;">
                        <v:fill on="f" focussize="0,0"/>
                        <v:stroke weight="0.5pt" color="#000000" joinstyle="miter" dashstyle="longDash" endarrow="block"/>
                        <v:imagedata o:title=""/>
                        <o:lock v:ext="edit" aspectratio="f"/>
                      </v:line>
                      <w10:wrap type="none"/>
                      <w10:anchorlock/>
                    </v:group>
                  </w:pict>
                </mc:Fallback>
              </mc:AlternateContent>
            </w:r>
          </w:p>
          <w:p w14:paraId="6DD1F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rPr>
              <w:t>施工期工艺流程示意图及产污环节图</w:t>
            </w:r>
          </w:p>
          <w:p w14:paraId="4C3C5FB9">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二、运营期</w:t>
            </w:r>
          </w:p>
          <w:p w14:paraId="0A735E61">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eastAsia="zh-CN"/>
              </w:rPr>
              <w:t>项目</w:t>
            </w:r>
            <w:r>
              <w:rPr>
                <w:rFonts w:hint="eastAsia" w:cs="Times New Roman"/>
                <w:color w:val="auto"/>
                <w:highlight w:val="none"/>
                <w:lang w:val="en-US" w:eastAsia="zh-CN"/>
              </w:rPr>
              <w:t>一般、</w:t>
            </w:r>
            <w:r>
              <w:rPr>
                <w:rFonts w:hint="eastAsia" w:ascii="Times New Roman" w:hAnsi="Times New Roman" w:eastAsia="宋体" w:cs="Times New Roman"/>
                <w:color w:val="auto"/>
                <w:sz w:val="24"/>
                <w:szCs w:val="24"/>
                <w:lang w:val="en-US" w:eastAsia="zh-CN"/>
              </w:rPr>
              <w:t>磨毛化纤布</w:t>
            </w:r>
            <w:r>
              <w:rPr>
                <w:rFonts w:hint="eastAsia" w:cs="Times New Roman"/>
                <w:color w:val="auto"/>
                <w:highlight w:val="none"/>
                <w:lang w:val="en-US" w:eastAsia="zh-CN"/>
              </w:rPr>
              <w:t>生产</w:t>
            </w:r>
            <w:r>
              <w:rPr>
                <w:rFonts w:hint="default" w:ascii="Times New Roman" w:hAnsi="Times New Roman" w:eastAsia="宋体" w:cs="Times New Roman"/>
                <w:color w:val="auto"/>
                <w:highlight w:val="none"/>
              </w:rPr>
              <w:t>工艺流程</w:t>
            </w:r>
          </w:p>
          <w:p w14:paraId="41A1CA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drawing>
                <wp:inline distT="0" distB="0" distL="114300" distR="114300">
                  <wp:extent cx="4319270" cy="5373370"/>
                  <wp:effectExtent l="0" t="0" r="0" b="0"/>
                  <wp:docPr id="64" name="ECB019B1-382A-4266-B25C-5B523AA43C14-3" descr="C:/Users/ADMIN/AppData/Local/Temp/wps.tKMoV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CB019B1-382A-4266-B25C-5B523AA43C14-3" descr="C:/Users/ADMIN/AppData/Local/Temp/wps.tKMoVUwps"/>
                          <pic:cNvPicPr>
                            <a:picLocks noChangeAspect="1"/>
                          </pic:cNvPicPr>
                        </pic:nvPicPr>
                        <pic:blipFill>
                          <a:blip r:embed="rId15"/>
                          <a:stretch>
                            <a:fillRect/>
                          </a:stretch>
                        </pic:blipFill>
                        <pic:spPr>
                          <a:xfrm>
                            <a:off x="0" y="0"/>
                            <a:ext cx="4319270" cy="5373370"/>
                          </a:xfrm>
                          <a:prstGeom prst="rect">
                            <a:avLst/>
                          </a:prstGeom>
                        </pic:spPr>
                      </pic:pic>
                    </a:graphicData>
                  </a:graphic>
                </wp:inline>
              </w:drawing>
            </w:r>
          </w:p>
          <w:p w14:paraId="76C42F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图2-</w:t>
            </w:r>
            <w:r>
              <w:rPr>
                <w:rFonts w:hint="eastAsia"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项目生产</w:t>
            </w:r>
            <w:r>
              <w:rPr>
                <w:rFonts w:hint="default" w:ascii="Times New Roman" w:hAnsi="Times New Roman" w:eastAsia="宋体" w:cs="Times New Roman"/>
                <w:b/>
                <w:bCs/>
                <w:color w:val="auto"/>
                <w:kern w:val="0"/>
                <w:sz w:val="24"/>
                <w:szCs w:val="24"/>
                <w:highlight w:val="none"/>
                <w:lang w:val="en-US" w:eastAsia="zh-CN" w:bidi="ar"/>
              </w:rPr>
              <w:t>工艺</w:t>
            </w:r>
            <w:r>
              <w:rPr>
                <w:rFonts w:hint="eastAsia" w:ascii="Times New Roman" w:hAnsi="Times New Roman" w:eastAsia="宋体" w:cs="Times New Roman"/>
                <w:b/>
                <w:bCs/>
                <w:color w:val="auto"/>
                <w:kern w:val="0"/>
                <w:sz w:val="24"/>
                <w:szCs w:val="24"/>
                <w:highlight w:val="none"/>
                <w:lang w:val="en-US" w:eastAsia="zh-CN" w:bidi="ar"/>
              </w:rPr>
              <w:t>流程</w:t>
            </w:r>
            <w:r>
              <w:rPr>
                <w:rFonts w:hint="default" w:ascii="Times New Roman" w:hAnsi="Times New Roman" w:eastAsia="宋体" w:cs="Times New Roman"/>
                <w:b/>
                <w:bCs/>
                <w:color w:val="auto"/>
                <w:kern w:val="0"/>
                <w:sz w:val="24"/>
                <w:szCs w:val="24"/>
                <w:highlight w:val="none"/>
                <w:lang w:val="en-US" w:eastAsia="zh-CN" w:bidi="ar"/>
              </w:rPr>
              <w:t>及产污节点（G-废气S-固废</w:t>
            </w:r>
            <w:r>
              <w:rPr>
                <w:rFonts w:hint="eastAsia" w:ascii="Times New Roman" w:hAnsi="Times New Roman" w:eastAsia="宋体" w:cs="Times New Roman"/>
                <w:b/>
                <w:bCs/>
                <w:color w:val="auto"/>
                <w:kern w:val="0"/>
                <w:sz w:val="24"/>
                <w:szCs w:val="24"/>
                <w:highlight w:val="none"/>
                <w:lang w:val="en-US" w:eastAsia="zh-CN" w:bidi="ar"/>
              </w:rPr>
              <w:t>N-噪声</w:t>
            </w:r>
            <w:r>
              <w:rPr>
                <w:rFonts w:hint="default" w:ascii="Times New Roman" w:hAnsi="Times New Roman" w:eastAsia="宋体" w:cs="Times New Roman"/>
                <w:b/>
                <w:bCs/>
                <w:color w:val="auto"/>
                <w:kern w:val="0"/>
                <w:sz w:val="24"/>
                <w:szCs w:val="24"/>
                <w:highlight w:val="none"/>
                <w:lang w:val="en-US" w:eastAsia="zh-CN" w:bidi="ar"/>
              </w:rPr>
              <w:t>）</w:t>
            </w:r>
          </w:p>
          <w:p w14:paraId="713A5939">
            <w:pPr>
              <w:keepNext w:val="0"/>
              <w:keepLines w:val="0"/>
              <w:widowControl w:val="0"/>
              <w:suppressLineNumbers w:val="0"/>
              <w:bidi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生产工艺流程和产污节点说明：</w:t>
            </w:r>
          </w:p>
          <w:p w14:paraId="7B9451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6" w:firstLineChars="200"/>
              <w:jc w:val="both"/>
              <w:textAlignment w:val="auto"/>
              <w:rPr>
                <w:rFonts w:hint="default" w:ascii="Times New Roman" w:hAnsi="Times New Roman" w:eastAsia="宋体" w:cs="宋体"/>
                <w:kern w:val="2"/>
                <w:sz w:val="24"/>
                <w:szCs w:val="24"/>
                <w:highlight w:val="none"/>
                <w:lang w:val="en-US" w:eastAsia="en-US" w:bidi="ar-SA"/>
              </w:rPr>
            </w:pPr>
            <w:r>
              <w:rPr>
                <w:rFonts w:hint="default" w:ascii="Times New Roman" w:hAnsi="Times New Roman" w:eastAsia="宋体" w:cs="宋体"/>
                <w:b/>
                <w:bCs/>
                <w:spacing w:val="-4"/>
                <w:kern w:val="2"/>
                <w:sz w:val="24"/>
                <w:szCs w:val="24"/>
                <w:highlight w:val="none"/>
                <w:lang w:val="en-US" w:eastAsia="en-US" w:bidi="ar-SA"/>
              </w:rPr>
              <w:t>工艺流程简介：</w:t>
            </w:r>
          </w:p>
          <w:p w14:paraId="27AB4A1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本项目主要从事化纤布生产，具体生产工艺简述如下：</w:t>
            </w:r>
          </w:p>
          <w:p w14:paraId="350CB65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（1）加弹</w:t>
            </w:r>
          </w:p>
          <w:p w14:paraId="681FB69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en-US" w:bidi="ar"/>
              </w:rPr>
              <w:t>用加弹机将POY</w:t>
            </w:r>
            <w:r>
              <w:rPr>
                <w:rFonts w:hint="eastAsia" w:cs="Times New Roman"/>
                <w:color w:val="auto"/>
                <w:kern w:val="0"/>
                <w:sz w:val="24"/>
                <w:szCs w:val="24"/>
                <w:highlight w:val="none"/>
                <w:lang w:val="en-US" w:eastAsia="zh-CN" w:bidi="ar"/>
              </w:rPr>
              <w:t>预取向</w:t>
            </w:r>
            <w:r>
              <w:rPr>
                <w:rFonts w:hint="default" w:ascii="Times New Roman" w:hAnsi="Times New Roman" w:eastAsia="宋体" w:cs="Times New Roman"/>
                <w:color w:val="auto"/>
                <w:kern w:val="0"/>
                <w:sz w:val="24"/>
                <w:szCs w:val="24"/>
                <w:highlight w:val="none"/>
                <w:lang w:val="en-US" w:eastAsia="en-US" w:bidi="ar"/>
              </w:rPr>
              <w:t>丝通过假捻变形加工成为具有中弹或者低弹性能的DTY拉伸变形丝。</w:t>
            </w:r>
          </w:p>
          <w:p w14:paraId="282665E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①第一罗拉：化纤预取向丝经第一罗拉第一次变形（物理变形），使化纤丝变得蓬松、有弹性。该过程产生废丝和噪声。</w:t>
            </w:r>
          </w:p>
          <w:p w14:paraId="6083C17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②上热箱、冷却：通过上热箱170℃-210℃加热定型化纤预取向丝，使前步的物理形变固定下来然后进行空气冷却。项目上下热箱加热机理是对热箱中密封联苯和联苯醚进行电加热，联苯在密封细管中循环，加热密封细管外金属丝道（气相加热），化纤丝只与丝道接触，不与联苯接触。该过程化纤预取向丝表面油剂受热挥发产生油烟，该过程还产生噪声。</w:t>
            </w:r>
          </w:p>
          <w:p w14:paraId="200D7C4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③假捻：通过假捻器固定丝的两端，握住其中间加以旋转，在握持点上、下两端的丝条捻向相反而捻数相同，整根丝捻度为零。丝条以一定的速度（v）运行，在握持点前的捻数为（n/v），在握持点后，向相反捻向（n/v）移动，因此，握持点以后区域内的捻度为零。假捻以减少纺丝的包缠纤维，防止纺丝起毛。该过程产生废丝和噪声。</w:t>
            </w:r>
          </w:p>
          <w:p w14:paraId="4A0430A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④第二罗拉：进入第二罗拉进行二次变形，使一次定型的化纤丝再次变得蓬松。该过程产生废丝和噪声。</w:t>
            </w:r>
          </w:p>
          <w:p w14:paraId="7E28EC7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⑤下热箱：通过下热箱进行二次加热定型，使前步第二次物理形变固定下来（170℃-210℃</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en-US" w:bidi="ar"/>
              </w:rPr>
              <w:t>。该过程化纤预取向丝表面油剂受热挥发产生油烟，该过程还产生噪声。</w:t>
            </w:r>
          </w:p>
          <w:p w14:paraId="06CA5ED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⑥上油、卷绕、入库：为在加热定型过程中油剂挥发，涤纶丝含油率下降，因此需要通过上油辊再次上油，提高涤纶丝的含油率，接着进行卷绕，最后DTY包装入库。上油过程油剂挥发产生油烟，卷绕过程产生废丝，上油和卷绕过程均产生噪声。</w:t>
            </w:r>
          </w:p>
          <w:p w14:paraId="27C9367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以上工序均在加弹机中完成。</w:t>
            </w:r>
          </w:p>
          <w:p w14:paraId="573CB26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本项目共设置</w:t>
            </w:r>
            <w:r>
              <w:rPr>
                <w:rFonts w:hint="eastAsia" w:ascii="Times New Roman" w:hAnsi="Times New Roman" w:eastAsia="宋体"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en-US" w:bidi="ar"/>
              </w:rPr>
              <w:t>台加弹机，每台加弹机设有13组上下热箱，每组上下热箱设有2个上热箱和1个下热箱，单个上热箱中加热媒介量为7kg，单个下热箱中加热媒介量为5.4kg，热箱中的加热媒介是由联苯和联苯醚组成，联苯和联苯醚的含量分别为26.8%和73.2%。加弹机中上下热箱为全密闭结构，不设加注孔，热箱在使用过程中无需另外再补充加热媒介。</w:t>
            </w:r>
          </w:p>
          <w:p w14:paraId="5F7EFD4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lang w:val="en-US" w:eastAsia="en-US"/>
              </w:rPr>
            </w:pPr>
            <w:r>
              <w:rPr>
                <w:rFonts w:hint="eastAsia" w:ascii="Times New Roman" w:hAnsi="Times New Roman" w:eastAsia="宋体" w:cs="Times New Roman"/>
                <w:color w:val="auto"/>
                <w:kern w:val="0"/>
                <w:sz w:val="24"/>
                <w:szCs w:val="24"/>
                <w:highlight w:val="none"/>
                <w:lang w:val="en-US" w:eastAsia="zh-CN" w:bidi="ar"/>
              </w:rPr>
              <w:t>此过程会产生废气G1、废丝S1、噪声N。</w:t>
            </w:r>
          </w:p>
          <w:p w14:paraId="1FA8D02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（2）整经</w:t>
            </w:r>
          </w:p>
          <w:p w14:paraId="60B53E3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在各根经纱之间建立局部固定的横向联系过程。通过整经，各根经纱的首尾已经排齐。限制经纱前后方向（沿z轴）相对运动的自由，但在上下左右方向上，仍有一定的相对运动的自由。整经工序的任务是按工艺设计所规定的经纱根数，从整经机后筒子架的筒子上，引出一幅片纱，并按设计规定的长度、幅宽，在确保纱线根与根之间，片与片之间、前后之间张力均匀。适当的情况下，将纱片平行地卷绕成良好的经轴。本工段产生噪声</w:t>
            </w:r>
            <w:r>
              <w:rPr>
                <w:rFonts w:hint="eastAsia" w:ascii="Times New Roman" w:hAnsi="Times New Roman" w:eastAsia="宋体" w:cs="Times New Roman"/>
                <w:color w:val="auto"/>
                <w:kern w:val="0"/>
                <w:sz w:val="24"/>
                <w:szCs w:val="24"/>
                <w:highlight w:val="none"/>
                <w:lang w:val="en-US" w:eastAsia="zh-CN" w:bidi="ar"/>
              </w:rPr>
              <w:t>N</w:t>
            </w:r>
            <w:r>
              <w:rPr>
                <w:rFonts w:hint="default" w:ascii="Times New Roman" w:hAnsi="Times New Roman" w:eastAsia="宋体" w:cs="Times New Roman"/>
                <w:color w:val="auto"/>
                <w:kern w:val="0"/>
                <w:sz w:val="24"/>
                <w:szCs w:val="24"/>
                <w:highlight w:val="none"/>
                <w:lang w:val="en-US" w:eastAsia="en-US" w:bidi="ar"/>
              </w:rPr>
              <w:t>。</w:t>
            </w:r>
          </w:p>
          <w:p w14:paraId="0FA80A7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w:t>
            </w: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en-US" w:bidi="ar"/>
              </w:rPr>
              <w:t>）织造</w:t>
            </w:r>
          </w:p>
          <w:p w14:paraId="02D82DC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用喷水织布机进行织布，形成坯布。喷水织布是采用喷射水柱牵引纬纱穿越梭口的无梭织布技术，利用喷射水流对纬纱产生摩擦牵引力，使固定筒子上的纬纱引入梭口。由于水的集聚性较好，喷水织布机</w:t>
            </w:r>
            <w:r>
              <w:rPr>
                <w:rFonts w:hint="eastAsia" w:cs="Times New Roman"/>
                <w:color w:val="auto"/>
                <w:kern w:val="0"/>
                <w:sz w:val="24"/>
                <w:szCs w:val="24"/>
                <w:highlight w:val="none"/>
                <w:lang w:val="en-US" w:eastAsia="zh-CN" w:bidi="ar"/>
              </w:rPr>
              <w:t>无须设置</w:t>
            </w:r>
            <w:r>
              <w:rPr>
                <w:rFonts w:hint="default" w:ascii="Times New Roman" w:hAnsi="Times New Roman" w:eastAsia="宋体" w:cs="Times New Roman"/>
                <w:color w:val="auto"/>
                <w:kern w:val="0"/>
                <w:sz w:val="24"/>
                <w:szCs w:val="24"/>
                <w:highlight w:val="none"/>
                <w:lang w:val="en-US" w:eastAsia="en-US" w:bidi="ar"/>
              </w:rPr>
              <w:t>防水扩散装置。</w:t>
            </w:r>
            <w:r>
              <w:rPr>
                <w:rFonts w:hint="eastAsia" w:ascii="Times New Roman" w:hAnsi="Times New Roman" w:eastAsia="宋体" w:cs="Times New Roman"/>
                <w:color w:val="auto"/>
                <w:kern w:val="0"/>
                <w:sz w:val="24"/>
                <w:szCs w:val="24"/>
                <w:highlight w:val="none"/>
                <w:lang w:val="en-US" w:eastAsia="zh-CN" w:bidi="ar"/>
              </w:rPr>
              <w:t>织造完成的</w:t>
            </w:r>
            <w:r>
              <w:rPr>
                <w:rFonts w:hint="default" w:ascii="Times New Roman" w:hAnsi="Times New Roman" w:eastAsia="宋体" w:cs="Times New Roman"/>
                <w:color w:val="auto"/>
                <w:kern w:val="0"/>
                <w:sz w:val="24"/>
                <w:szCs w:val="24"/>
                <w:highlight w:val="none"/>
                <w:lang w:val="en-US" w:eastAsia="en-US" w:bidi="ar"/>
              </w:rPr>
              <w:t>坯布</w:t>
            </w:r>
            <w:r>
              <w:rPr>
                <w:rFonts w:hint="eastAsia" w:ascii="Times New Roman" w:hAnsi="Times New Roman" w:eastAsia="宋体" w:cs="Times New Roman"/>
                <w:color w:val="auto"/>
                <w:kern w:val="0"/>
                <w:sz w:val="24"/>
                <w:szCs w:val="24"/>
                <w:highlight w:val="none"/>
                <w:lang w:val="en-US" w:eastAsia="zh-CN" w:bidi="ar"/>
              </w:rPr>
              <w:t>一部分经检验即为一般化纤布成品，一部分用于生产磨毛化纤布</w:t>
            </w:r>
          </w:p>
          <w:p w14:paraId="153C27C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本工段产生废水</w:t>
            </w:r>
            <w:r>
              <w:rPr>
                <w:rFonts w:hint="eastAsia" w:ascii="Times New Roman" w:hAnsi="Times New Roman" w:eastAsia="宋体" w:cs="Times New Roman"/>
                <w:color w:val="auto"/>
                <w:kern w:val="0"/>
                <w:sz w:val="24"/>
                <w:szCs w:val="24"/>
                <w:highlight w:val="none"/>
                <w:lang w:val="en-US" w:eastAsia="zh-CN" w:bidi="ar"/>
              </w:rPr>
              <w:t>W1</w:t>
            </w:r>
            <w:r>
              <w:rPr>
                <w:rFonts w:hint="default" w:ascii="Times New Roman" w:hAnsi="Times New Roman" w:eastAsia="宋体" w:cs="Times New Roman"/>
                <w:color w:val="auto"/>
                <w:kern w:val="0"/>
                <w:sz w:val="24"/>
                <w:szCs w:val="24"/>
                <w:highlight w:val="none"/>
                <w:lang w:val="en-US" w:eastAsia="en-US" w:bidi="ar"/>
              </w:rPr>
              <w:t>、废丝</w:t>
            </w:r>
            <w:r>
              <w:rPr>
                <w:rFonts w:hint="eastAsia" w:ascii="Times New Roman" w:hAnsi="Times New Roman" w:eastAsia="宋体" w:cs="Times New Roman"/>
                <w:color w:val="auto"/>
                <w:kern w:val="0"/>
                <w:sz w:val="24"/>
                <w:szCs w:val="24"/>
                <w:highlight w:val="none"/>
                <w:lang w:val="en-US" w:eastAsia="zh-CN" w:bidi="ar"/>
              </w:rPr>
              <w:t>S1</w:t>
            </w:r>
            <w:r>
              <w:rPr>
                <w:rFonts w:hint="default" w:ascii="Times New Roman" w:hAnsi="Times New Roman" w:eastAsia="宋体" w:cs="Times New Roman"/>
                <w:color w:val="auto"/>
                <w:kern w:val="0"/>
                <w:sz w:val="24"/>
                <w:szCs w:val="24"/>
                <w:highlight w:val="none"/>
                <w:lang w:val="en-US" w:eastAsia="en-US" w:bidi="ar"/>
              </w:rPr>
              <w:t>和噪声</w:t>
            </w:r>
            <w:r>
              <w:rPr>
                <w:rFonts w:hint="eastAsia" w:ascii="Times New Roman" w:hAnsi="Times New Roman" w:eastAsia="宋体" w:cs="Times New Roman"/>
                <w:color w:val="auto"/>
                <w:kern w:val="0"/>
                <w:sz w:val="24"/>
                <w:szCs w:val="24"/>
                <w:highlight w:val="none"/>
                <w:lang w:val="en-US" w:eastAsia="zh-CN" w:bidi="ar"/>
              </w:rPr>
              <w:t>N</w:t>
            </w:r>
            <w:r>
              <w:rPr>
                <w:rFonts w:hint="default" w:ascii="Times New Roman" w:hAnsi="Times New Roman" w:eastAsia="宋体" w:cs="Times New Roman"/>
                <w:color w:val="auto"/>
                <w:kern w:val="0"/>
                <w:sz w:val="24"/>
                <w:szCs w:val="24"/>
                <w:highlight w:val="none"/>
                <w:lang w:val="en-US" w:eastAsia="en-US" w:bidi="ar"/>
              </w:rPr>
              <w:t>。</w:t>
            </w:r>
          </w:p>
          <w:p w14:paraId="5D20989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w:t>
            </w:r>
            <w:r>
              <w:rPr>
                <w:rFonts w:hint="eastAsia" w:ascii="Times New Roman" w:hAnsi="Times New Roman" w:eastAsia="宋体"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en-US" w:bidi="ar"/>
              </w:rPr>
              <w:t>）磨毛</w:t>
            </w:r>
          </w:p>
          <w:p w14:paraId="761680B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喷水织造出的部分湿坯布经过裹在磨毛机滚筒上的砂纸</w:t>
            </w:r>
            <w:r>
              <w:rPr>
                <w:rFonts w:hint="eastAsia" w:cs="Times New Roman"/>
                <w:color w:val="auto"/>
                <w:kern w:val="0"/>
                <w:sz w:val="24"/>
                <w:szCs w:val="24"/>
                <w:highlight w:val="none"/>
                <w:lang w:val="en-US" w:eastAsia="zh-CN" w:bidi="ar"/>
              </w:rPr>
              <w:t>摩擦</w:t>
            </w:r>
            <w:r>
              <w:rPr>
                <w:rFonts w:hint="default" w:ascii="Times New Roman" w:hAnsi="Times New Roman" w:eastAsia="宋体" w:cs="Times New Roman"/>
                <w:color w:val="auto"/>
                <w:kern w:val="0"/>
                <w:sz w:val="24"/>
                <w:szCs w:val="24"/>
                <w:highlight w:val="none"/>
                <w:lang w:val="en-US" w:eastAsia="en-US" w:bidi="ar"/>
              </w:rPr>
              <w:t>，从而改变面料表面的结构性能，形成一层毛绒绒的感觉。若湿坯布在厂内暂存时间较长致使水分蒸发，坯布含水达不到磨毛机工艺要求时需喷水雾加湿。磨毛机为密闭设备。此工序会产生磨毛废水</w:t>
            </w:r>
            <w:r>
              <w:rPr>
                <w:rFonts w:hint="eastAsia" w:ascii="Times New Roman" w:hAnsi="Times New Roman" w:eastAsia="宋体" w:cs="Times New Roman"/>
                <w:color w:val="auto"/>
                <w:kern w:val="0"/>
                <w:sz w:val="24"/>
                <w:szCs w:val="24"/>
                <w:highlight w:val="none"/>
                <w:lang w:val="en-US" w:eastAsia="zh-CN" w:bidi="ar"/>
              </w:rPr>
              <w:t>W2、废丝S2</w:t>
            </w:r>
            <w:r>
              <w:rPr>
                <w:rFonts w:hint="default" w:ascii="Times New Roman" w:hAnsi="Times New Roman" w:eastAsia="宋体" w:cs="Times New Roman"/>
                <w:color w:val="auto"/>
                <w:kern w:val="0"/>
                <w:sz w:val="24"/>
                <w:szCs w:val="24"/>
                <w:highlight w:val="none"/>
                <w:lang w:val="en-US" w:eastAsia="en-US" w:bidi="ar"/>
              </w:rPr>
              <w:t>。</w:t>
            </w:r>
          </w:p>
          <w:p w14:paraId="488D308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eastAsia" w:ascii="Times New Roman" w:hAnsi="Times New Roman" w:eastAsia="宋体"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en-US" w:bidi="ar"/>
              </w:rPr>
              <w:t>检验</w:t>
            </w:r>
          </w:p>
          <w:p w14:paraId="73BCF03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对织造好</w:t>
            </w:r>
            <w:r>
              <w:rPr>
                <w:rFonts w:hint="eastAsia" w:ascii="Times New Roman" w:hAnsi="Times New Roman" w:eastAsia="宋体" w:cs="Times New Roman"/>
                <w:color w:val="auto"/>
                <w:kern w:val="0"/>
                <w:sz w:val="24"/>
                <w:szCs w:val="24"/>
                <w:highlight w:val="none"/>
                <w:lang w:val="en-US" w:eastAsia="zh-CN" w:bidi="ar"/>
              </w:rPr>
              <w:t>磨毛化纤</w:t>
            </w:r>
            <w:r>
              <w:rPr>
                <w:rFonts w:hint="eastAsia" w:cs="Times New Roman"/>
                <w:color w:val="auto"/>
                <w:kern w:val="0"/>
                <w:sz w:val="24"/>
                <w:szCs w:val="24"/>
                <w:highlight w:val="none"/>
                <w:lang w:val="en-US" w:eastAsia="zh-CN" w:bidi="ar"/>
              </w:rPr>
              <w:t>坯布</w:t>
            </w:r>
            <w:r>
              <w:rPr>
                <w:rFonts w:hint="eastAsia" w:ascii="Times New Roman" w:hAnsi="Times New Roman" w:eastAsia="宋体" w:cs="Times New Roman"/>
                <w:color w:val="auto"/>
                <w:kern w:val="0"/>
                <w:sz w:val="24"/>
                <w:szCs w:val="24"/>
                <w:highlight w:val="none"/>
                <w:lang w:val="en-US" w:eastAsia="zh-CN" w:bidi="ar"/>
              </w:rPr>
              <w:t>和一般化纤</w:t>
            </w:r>
            <w:r>
              <w:rPr>
                <w:rFonts w:hint="eastAsia" w:cs="Times New Roman"/>
                <w:color w:val="auto"/>
                <w:kern w:val="0"/>
                <w:sz w:val="24"/>
                <w:szCs w:val="24"/>
                <w:highlight w:val="none"/>
                <w:lang w:val="en-US" w:eastAsia="zh-CN" w:bidi="ar"/>
              </w:rPr>
              <w:t>坯布</w:t>
            </w:r>
            <w:r>
              <w:rPr>
                <w:rFonts w:hint="default" w:ascii="Times New Roman" w:hAnsi="Times New Roman" w:eastAsia="宋体" w:cs="Times New Roman"/>
                <w:color w:val="auto"/>
                <w:kern w:val="0"/>
                <w:sz w:val="24"/>
                <w:szCs w:val="24"/>
                <w:highlight w:val="none"/>
                <w:lang w:val="en-US" w:eastAsia="en-US" w:bidi="ar"/>
              </w:rPr>
              <w:t>进行检验，此工序产生不合格品</w:t>
            </w:r>
            <w:r>
              <w:rPr>
                <w:rFonts w:hint="eastAsia" w:cs="Times New Roman"/>
                <w:color w:val="auto"/>
                <w:kern w:val="0"/>
                <w:sz w:val="24"/>
                <w:szCs w:val="24"/>
                <w:highlight w:val="none"/>
                <w:lang w:val="en-US" w:eastAsia="zh-CN" w:bidi="ar"/>
              </w:rPr>
              <w:t>S3、</w:t>
            </w:r>
            <w:r>
              <w:rPr>
                <w:rFonts w:hint="eastAsia" w:ascii="Times New Roman" w:hAnsi="Times New Roman" w:eastAsia="宋体" w:cs="Times New Roman"/>
                <w:color w:val="auto"/>
                <w:kern w:val="0"/>
                <w:sz w:val="24"/>
                <w:szCs w:val="24"/>
                <w:highlight w:val="none"/>
                <w:lang w:val="en-US" w:eastAsia="zh-CN" w:bidi="ar"/>
              </w:rPr>
              <w:t>S4</w:t>
            </w:r>
            <w:r>
              <w:rPr>
                <w:rFonts w:hint="default" w:ascii="Times New Roman" w:hAnsi="Times New Roman" w:eastAsia="宋体" w:cs="Times New Roman"/>
                <w:color w:val="auto"/>
                <w:kern w:val="0"/>
                <w:sz w:val="24"/>
                <w:szCs w:val="24"/>
                <w:highlight w:val="none"/>
                <w:lang w:val="en-US" w:eastAsia="en-US" w:bidi="ar"/>
              </w:rPr>
              <w:t>。</w:t>
            </w:r>
          </w:p>
          <w:p w14:paraId="1DAAFF6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2、汽车内饰、家居服饰制造</w:t>
            </w:r>
          </w:p>
          <w:p w14:paraId="5988845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center"/>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drawing>
                <wp:inline distT="0" distB="0" distL="114300" distR="114300">
                  <wp:extent cx="1786255" cy="3209290"/>
                  <wp:effectExtent l="0" t="0" r="0" b="0"/>
                  <wp:docPr id="66" name="ECB019B1-382A-4266-B25C-5B523AA43C14-4" descr="C:/Users/ADMIN/AppData/Local/Temp/wps.pFwyl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CB019B1-382A-4266-B25C-5B523AA43C14-4" descr="C:/Users/ADMIN/AppData/Local/Temp/wps.pFwylLwps"/>
                          <pic:cNvPicPr>
                            <a:picLocks noChangeAspect="1"/>
                          </pic:cNvPicPr>
                        </pic:nvPicPr>
                        <pic:blipFill>
                          <a:blip r:embed="rId16"/>
                          <a:stretch>
                            <a:fillRect/>
                          </a:stretch>
                        </pic:blipFill>
                        <pic:spPr>
                          <a:xfrm>
                            <a:off x="0" y="0"/>
                            <a:ext cx="1786255" cy="3209290"/>
                          </a:xfrm>
                          <a:prstGeom prst="rect">
                            <a:avLst/>
                          </a:prstGeom>
                        </pic:spPr>
                      </pic:pic>
                    </a:graphicData>
                  </a:graphic>
                </wp:inline>
              </w:drawing>
            </w:r>
          </w:p>
          <w:p w14:paraId="23ABECA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图2-</w:t>
            </w:r>
            <w:r>
              <w:rPr>
                <w:rFonts w:hint="eastAsia" w:cs="Times New Roman"/>
                <w:b/>
                <w:bCs/>
                <w:color w:val="auto"/>
                <w:kern w:val="0"/>
                <w:sz w:val="24"/>
                <w:szCs w:val="24"/>
                <w:highlight w:val="none"/>
                <w:lang w:val="en-US" w:eastAsia="zh-CN" w:bidi="ar"/>
              </w:rPr>
              <w:t>5</w:t>
            </w:r>
            <w:r>
              <w:rPr>
                <w:rFonts w:hint="eastAsia" w:ascii="Times New Roman" w:hAnsi="Times New Roman" w:eastAsia="宋体" w:cs="Times New Roman"/>
                <w:b/>
                <w:bCs/>
                <w:color w:val="auto"/>
                <w:kern w:val="0"/>
                <w:sz w:val="24"/>
                <w:szCs w:val="24"/>
                <w:highlight w:val="none"/>
                <w:lang w:val="en-US" w:eastAsia="zh-CN" w:bidi="ar"/>
              </w:rPr>
              <w:t>项目生产</w:t>
            </w:r>
            <w:r>
              <w:rPr>
                <w:rFonts w:hint="default" w:ascii="Times New Roman" w:hAnsi="Times New Roman" w:eastAsia="宋体" w:cs="Times New Roman"/>
                <w:b/>
                <w:bCs/>
                <w:color w:val="auto"/>
                <w:kern w:val="0"/>
                <w:sz w:val="24"/>
                <w:szCs w:val="24"/>
                <w:highlight w:val="none"/>
                <w:lang w:val="en-US" w:eastAsia="zh-CN" w:bidi="ar"/>
              </w:rPr>
              <w:t>工艺</w:t>
            </w:r>
            <w:r>
              <w:rPr>
                <w:rFonts w:hint="eastAsia" w:ascii="Times New Roman" w:hAnsi="Times New Roman" w:eastAsia="宋体" w:cs="Times New Roman"/>
                <w:b/>
                <w:bCs/>
                <w:color w:val="auto"/>
                <w:kern w:val="0"/>
                <w:sz w:val="24"/>
                <w:szCs w:val="24"/>
                <w:highlight w:val="none"/>
                <w:lang w:val="en-US" w:eastAsia="zh-CN" w:bidi="ar"/>
              </w:rPr>
              <w:t>流程</w:t>
            </w:r>
            <w:r>
              <w:rPr>
                <w:rFonts w:hint="default" w:ascii="Times New Roman" w:hAnsi="Times New Roman" w:eastAsia="宋体" w:cs="Times New Roman"/>
                <w:b/>
                <w:bCs/>
                <w:color w:val="auto"/>
                <w:kern w:val="0"/>
                <w:sz w:val="24"/>
                <w:szCs w:val="24"/>
                <w:highlight w:val="none"/>
                <w:lang w:val="en-US" w:eastAsia="zh-CN" w:bidi="ar"/>
              </w:rPr>
              <w:t>及产污节点（S-固废）</w:t>
            </w:r>
          </w:p>
          <w:p w14:paraId="699E260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en-US" w:bidi="ar"/>
              </w:rPr>
              <w:t>裁剪：使用</w:t>
            </w:r>
            <w:r>
              <w:rPr>
                <w:rFonts w:hint="eastAsia" w:ascii="Times New Roman" w:hAnsi="Times New Roman" w:eastAsia="宋体" w:cs="Times New Roman"/>
                <w:color w:val="auto"/>
                <w:kern w:val="0"/>
                <w:sz w:val="24"/>
                <w:szCs w:val="24"/>
                <w:highlight w:val="none"/>
                <w:lang w:val="en-US" w:eastAsia="zh-CN" w:bidi="ar"/>
              </w:rPr>
              <w:t>人工</w:t>
            </w:r>
            <w:r>
              <w:rPr>
                <w:rFonts w:hint="default" w:ascii="Times New Roman" w:hAnsi="Times New Roman" w:eastAsia="宋体" w:cs="Times New Roman"/>
                <w:color w:val="auto"/>
                <w:kern w:val="0"/>
                <w:sz w:val="24"/>
                <w:szCs w:val="24"/>
                <w:highlight w:val="none"/>
                <w:lang w:val="en-US" w:eastAsia="en-US" w:bidi="ar"/>
              </w:rPr>
              <w:t>将布料裁切成特定规格，此工序产生废布</w:t>
            </w:r>
            <w:r>
              <w:rPr>
                <w:rFonts w:hint="eastAsia" w:ascii="Times New Roman" w:hAnsi="Times New Roman" w:eastAsia="宋体" w:cs="Times New Roman"/>
                <w:color w:val="auto"/>
                <w:kern w:val="0"/>
                <w:sz w:val="24"/>
                <w:szCs w:val="24"/>
                <w:highlight w:val="none"/>
                <w:lang w:val="en-US" w:eastAsia="zh-CN" w:bidi="ar"/>
              </w:rPr>
              <w:t>料S5</w:t>
            </w:r>
            <w:r>
              <w:rPr>
                <w:rFonts w:hint="default" w:ascii="Times New Roman" w:hAnsi="Times New Roman" w:eastAsia="宋体" w:cs="Times New Roman"/>
                <w:color w:val="auto"/>
                <w:kern w:val="0"/>
                <w:sz w:val="24"/>
                <w:szCs w:val="24"/>
                <w:highlight w:val="none"/>
                <w:lang w:val="en-US" w:eastAsia="en-US" w:bidi="ar"/>
              </w:rPr>
              <w:t>。</w:t>
            </w:r>
          </w:p>
          <w:p w14:paraId="5ED001F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en-US" w:bidi="ar"/>
              </w:rPr>
            </w:pP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en-US" w:bidi="ar"/>
              </w:rPr>
              <w:t>缝</w:t>
            </w:r>
            <w:r>
              <w:rPr>
                <w:rFonts w:hint="eastAsia" w:ascii="Times New Roman" w:hAnsi="Times New Roman" w:eastAsia="宋体" w:cs="Times New Roman"/>
                <w:color w:val="auto"/>
                <w:kern w:val="0"/>
                <w:sz w:val="24"/>
                <w:szCs w:val="24"/>
                <w:highlight w:val="none"/>
                <w:lang w:val="en-US" w:eastAsia="zh-CN" w:bidi="ar"/>
              </w:rPr>
              <w:t>纫</w:t>
            </w:r>
            <w:r>
              <w:rPr>
                <w:rFonts w:hint="default" w:ascii="Times New Roman" w:hAnsi="Times New Roman" w:eastAsia="宋体" w:cs="Times New Roman"/>
                <w:color w:val="auto"/>
                <w:kern w:val="0"/>
                <w:sz w:val="24"/>
                <w:szCs w:val="24"/>
                <w:highlight w:val="none"/>
                <w:lang w:val="en-US" w:eastAsia="en-US" w:bidi="ar"/>
              </w:rPr>
              <w:t>：使用缝纫机对裁剪后的布料进行缝</w:t>
            </w:r>
            <w:r>
              <w:rPr>
                <w:rFonts w:hint="eastAsia" w:ascii="Times New Roman" w:hAnsi="Times New Roman" w:eastAsia="宋体" w:cs="Times New Roman"/>
                <w:color w:val="auto"/>
                <w:kern w:val="0"/>
                <w:sz w:val="24"/>
                <w:szCs w:val="24"/>
                <w:highlight w:val="none"/>
                <w:lang w:val="en-US" w:eastAsia="zh-CN" w:bidi="ar"/>
              </w:rPr>
              <w:t>纫，</w:t>
            </w:r>
            <w:r>
              <w:rPr>
                <w:rFonts w:hint="default" w:ascii="Times New Roman" w:hAnsi="Times New Roman" w:eastAsia="宋体" w:cs="Times New Roman"/>
                <w:color w:val="auto"/>
                <w:kern w:val="0"/>
                <w:sz w:val="24"/>
                <w:szCs w:val="24"/>
                <w:highlight w:val="none"/>
                <w:lang w:val="en-US" w:eastAsia="en-US" w:bidi="ar"/>
              </w:rPr>
              <w:t>此工序产生废布</w:t>
            </w:r>
            <w:r>
              <w:rPr>
                <w:rFonts w:hint="eastAsia" w:ascii="Times New Roman" w:hAnsi="Times New Roman" w:eastAsia="宋体" w:cs="Times New Roman"/>
                <w:color w:val="auto"/>
                <w:kern w:val="0"/>
                <w:sz w:val="24"/>
                <w:szCs w:val="24"/>
                <w:highlight w:val="none"/>
                <w:lang w:val="en-US" w:eastAsia="zh-CN" w:bidi="ar"/>
              </w:rPr>
              <w:t>料S6</w:t>
            </w:r>
            <w:r>
              <w:rPr>
                <w:rFonts w:hint="default" w:ascii="Times New Roman" w:hAnsi="Times New Roman" w:eastAsia="宋体" w:cs="Times New Roman"/>
                <w:color w:val="auto"/>
                <w:kern w:val="0"/>
                <w:sz w:val="24"/>
                <w:szCs w:val="24"/>
                <w:highlight w:val="none"/>
                <w:lang w:val="en-US" w:eastAsia="en-US" w:bidi="ar"/>
              </w:rPr>
              <w:t>。</w:t>
            </w:r>
          </w:p>
          <w:p w14:paraId="5ECB724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en-US" w:bidi="ar"/>
              </w:rPr>
              <w:t>检验：对</w:t>
            </w:r>
            <w:r>
              <w:rPr>
                <w:rFonts w:hint="eastAsia" w:ascii="Times New Roman" w:hAnsi="Times New Roman" w:eastAsia="宋体" w:cs="Times New Roman"/>
                <w:color w:val="auto"/>
                <w:kern w:val="0"/>
                <w:sz w:val="24"/>
                <w:szCs w:val="24"/>
                <w:highlight w:val="none"/>
                <w:lang w:val="en-US" w:eastAsia="zh-CN" w:bidi="ar"/>
              </w:rPr>
              <w:t>缝纫好的产品</w:t>
            </w:r>
            <w:r>
              <w:rPr>
                <w:rFonts w:hint="default" w:ascii="Times New Roman" w:hAnsi="Times New Roman" w:eastAsia="宋体" w:cs="Times New Roman"/>
                <w:color w:val="auto"/>
                <w:kern w:val="0"/>
                <w:sz w:val="24"/>
                <w:szCs w:val="24"/>
                <w:highlight w:val="none"/>
                <w:lang w:val="en-US" w:eastAsia="en-US" w:bidi="ar"/>
              </w:rPr>
              <w:t>进行检验，</w:t>
            </w:r>
            <w:r>
              <w:rPr>
                <w:rFonts w:hint="eastAsia" w:ascii="Times New Roman" w:hAnsi="Times New Roman" w:eastAsia="宋体" w:cs="Times New Roman"/>
                <w:color w:val="auto"/>
                <w:kern w:val="0"/>
                <w:sz w:val="24"/>
                <w:szCs w:val="24"/>
                <w:highlight w:val="none"/>
                <w:lang w:val="en-US" w:eastAsia="zh-CN" w:bidi="ar"/>
              </w:rPr>
              <w:t>检验合格后出厂，</w:t>
            </w:r>
            <w:r>
              <w:rPr>
                <w:rFonts w:hint="default" w:ascii="Times New Roman" w:hAnsi="Times New Roman" w:eastAsia="宋体" w:cs="Times New Roman"/>
                <w:color w:val="auto"/>
                <w:kern w:val="0"/>
                <w:sz w:val="24"/>
                <w:szCs w:val="24"/>
                <w:highlight w:val="none"/>
                <w:lang w:val="en-US" w:eastAsia="en-US" w:bidi="ar"/>
              </w:rPr>
              <w:t>此工序产生不合格品</w:t>
            </w:r>
            <w:r>
              <w:rPr>
                <w:rFonts w:hint="eastAsia" w:ascii="Times New Roman" w:hAnsi="Times New Roman" w:eastAsia="宋体" w:cs="Times New Roman"/>
                <w:color w:val="auto"/>
                <w:kern w:val="0"/>
                <w:sz w:val="24"/>
                <w:szCs w:val="24"/>
                <w:highlight w:val="none"/>
                <w:lang w:val="en-US" w:eastAsia="zh-CN" w:bidi="ar"/>
              </w:rPr>
              <w:t>S7。</w:t>
            </w:r>
          </w:p>
          <w:p w14:paraId="4D8C2851">
            <w:pPr>
              <w:pStyle w:val="4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rPr>
            </w:pP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、主要产污环节及污染物</w:t>
            </w:r>
          </w:p>
          <w:p w14:paraId="5FE72877">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项目</w:t>
            </w:r>
            <w:r>
              <w:rPr>
                <w:rFonts w:hint="default" w:ascii="Times New Roman" w:hAnsi="Times New Roman" w:eastAsia="宋体" w:cs="Times New Roman"/>
                <w:color w:val="auto"/>
                <w:highlight w:val="none"/>
              </w:rPr>
              <w:t>主要产污环节及</w:t>
            </w:r>
            <w:r>
              <w:rPr>
                <w:rFonts w:hint="default" w:ascii="Times New Roman" w:hAnsi="Times New Roman" w:eastAsia="宋体" w:cs="Times New Roman"/>
                <w:color w:val="auto"/>
                <w:highlight w:val="none"/>
                <w:lang w:eastAsia="zh-CN"/>
              </w:rPr>
              <w:t>主要</w:t>
            </w:r>
            <w:r>
              <w:rPr>
                <w:rFonts w:hint="default" w:ascii="Times New Roman" w:hAnsi="Times New Roman" w:eastAsia="宋体" w:cs="Times New Roman"/>
                <w:color w:val="auto"/>
                <w:highlight w:val="none"/>
              </w:rPr>
              <w:t>污染物情况，见下表。</w:t>
            </w:r>
          </w:p>
          <w:p w14:paraId="4DD36CE8">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表2-</w:t>
            </w:r>
            <w:r>
              <w:rPr>
                <w:rFonts w:hint="eastAsia" w:cs="Times New Roman"/>
                <w:color w:val="auto"/>
                <w:highlight w:val="none"/>
                <w:lang w:val="en-US" w:eastAsia="zh-CN"/>
              </w:rPr>
              <w:t>10本项目</w:t>
            </w:r>
            <w:r>
              <w:rPr>
                <w:rFonts w:hint="default" w:ascii="Times New Roman" w:hAnsi="Times New Roman" w:eastAsia="宋体" w:cs="Times New Roman"/>
                <w:color w:val="auto"/>
                <w:highlight w:val="none"/>
              </w:rPr>
              <w:t>主要产污环节及</w:t>
            </w:r>
            <w:r>
              <w:rPr>
                <w:rFonts w:hint="default" w:ascii="Times New Roman" w:hAnsi="Times New Roman" w:eastAsia="宋体" w:cs="Times New Roman"/>
                <w:color w:val="auto"/>
                <w:highlight w:val="none"/>
                <w:lang w:eastAsia="zh-CN"/>
              </w:rPr>
              <w:t>主要</w:t>
            </w:r>
            <w:r>
              <w:rPr>
                <w:rFonts w:hint="default" w:ascii="Times New Roman" w:hAnsi="Times New Roman" w:eastAsia="宋体" w:cs="Times New Roman"/>
                <w:color w:val="auto"/>
                <w:highlight w:val="none"/>
              </w:rPr>
              <w:t>污染物</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36"/>
              <w:gridCol w:w="518"/>
              <w:gridCol w:w="1112"/>
              <w:gridCol w:w="1223"/>
              <w:gridCol w:w="971"/>
              <w:gridCol w:w="1593"/>
              <w:gridCol w:w="3525"/>
            </w:tblGrid>
            <w:tr w14:paraId="17965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0" w:type="pct"/>
                  <w:gridSpan w:val="2"/>
                  <w:noWrap w:val="0"/>
                  <w:vAlign w:val="center"/>
                </w:tcPr>
                <w:p w14:paraId="6CD0BE21">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599" w:type="pct"/>
                  <w:noWrap w:val="0"/>
                  <w:vAlign w:val="center"/>
                </w:tcPr>
                <w:p w14:paraId="5A6E51D5">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659" w:type="pct"/>
                  <w:noWrap w:val="0"/>
                  <w:vAlign w:val="center"/>
                </w:tcPr>
                <w:p w14:paraId="0D5F05C1">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产污环节</w:t>
                  </w:r>
                </w:p>
              </w:tc>
              <w:tc>
                <w:tcPr>
                  <w:tcW w:w="523" w:type="pct"/>
                  <w:noWrap w:val="0"/>
                  <w:vAlign w:val="center"/>
                </w:tcPr>
                <w:p w14:paraId="0BCCEEE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编号</w:t>
                  </w:r>
                </w:p>
              </w:tc>
              <w:tc>
                <w:tcPr>
                  <w:tcW w:w="858" w:type="pct"/>
                  <w:noWrap w:val="0"/>
                  <w:vAlign w:val="center"/>
                </w:tcPr>
                <w:p w14:paraId="6A649A59">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主要污染物</w:t>
                  </w:r>
                </w:p>
              </w:tc>
              <w:tc>
                <w:tcPr>
                  <w:tcW w:w="1899" w:type="pct"/>
                  <w:noWrap w:val="0"/>
                  <w:vAlign w:val="center"/>
                </w:tcPr>
                <w:p w14:paraId="09FFB2B9">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处理措施</w:t>
                  </w:r>
                </w:p>
              </w:tc>
            </w:tr>
            <w:tr w14:paraId="39CCD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0" w:type="pct"/>
                  <w:gridSpan w:val="2"/>
                  <w:vMerge w:val="restart"/>
                  <w:noWrap w:val="0"/>
                  <w:vAlign w:val="center"/>
                </w:tcPr>
                <w:p w14:paraId="53D136A2">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废水</w:t>
                  </w:r>
                </w:p>
              </w:tc>
              <w:tc>
                <w:tcPr>
                  <w:tcW w:w="599" w:type="pct"/>
                  <w:noWrap w:val="0"/>
                  <w:vAlign w:val="center"/>
                </w:tcPr>
                <w:p w14:paraId="5CFA03D9">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生活污水</w:t>
                  </w:r>
                </w:p>
              </w:tc>
              <w:tc>
                <w:tcPr>
                  <w:tcW w:w="659" w:type="pct"/>
                  <w:noWrap w:val="0"/>
                  <w:vAlign w:val="center"/>
                </w:tcPr>
                <w:p w14:paraId="1ACABA16">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办公生活</w:t>
                  </w:r>
                </w:p>
              </w:tc>
              <w:tc>
                <w:tcPr>
                  <w:tcW w:w="523" w:type="pct"/>
                  <w:noWrap w:val="0"/>
                  <w:vAlign w:val="center"/>
                </w:tcPr>
                <w:p w14:paraId="14CEF94C">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858" w:type="pct"/>
                  <w:noWrap w:val="0"/>
                  <w:vAlign w:val="center"/>
                </w:tcPr>
                <w:p w14:paraId="3F5636C0">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COD、BOD</w:t>
                  </w:r>
                  <w:r>
                    <w:rPr>
                      <w:rFonts w:hint="default" w:ascii="Times New Roman" w:hAnsi="Times New Roman" w:eastAsia="宋体" w:cs="Times New Roman"/>
                      <w:b w:val="0"/>
                      <w:bCs w:val="0"/>
                      <w:color w:val="auto"/>
                      <w:sz w:val="21"/>
                      <w:szCs w:val="21"/>
                      <w:highlight w:val="none"/>
                      <w:vertAlign w:val="subscript"/>
                      <w:lang w:val="en-US" w:eastAsia="zh-CN"/>
                    </w:rPr>
                    <w:t>5</w:t>
                  </w:r>
                  <w:r>
                    <w:rPr>
                      <w:rFonts w:hint="default" w:ascii="Times New Roman" w:hAnsi="Times New Roman" w:eastAsia="宋体" w:cs="Times New Roman"/>
                      <w:b w:val="0"/>
                      <w:bCs w:val="0"/>
                      <w:color w:val="auto"/>
                      <w:sz w:val="21"/>
                      <w:szCs w:val="21"/>
                      <w:highlight w:val="none"/>
                      <w:lang w:val="en-US" w:eastAsia="zh-CN"/>
                    </w:rPr>
                    <w:t>、SS、NH</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lang w:val="en-US" w:eastAsia="zh-CN"/>
                    </w:rPr>
                    <w:t>-N</w:t>
                  </w:r>
                  <w:r>
                    <w:rPr>
                      <w:rFonts w:hint="eastAsia" w:cs="Times New Roman"/>
                      <w:b w:val="0"/>
                      <w:bCs w:val="0"/>
                      <w:color w:val="auto"/>
                      <w:sz w:val="21"/>
                      <w:szCs w:val="21"/>
                      <w:highlight w:val="none"/>
                      <w:lang w:val="en-US" w:eastAsia="zh-CN"/>
                    </w:rPr>
                    <w:t>、pH</w:t>
                  </w:r>
                </w:p>
              </w:tc>
              <w:tc>
                <w:tcPr>
                  <w:tcW w:w="1899" w:type="pct"/>
                  <w:noWrap w:val="0"/>
                  <w:vAlign w:val="center"/>
                </w:tcPr>
                <w:p w14:paraId="0FC99C97">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生活污水</w:t>
                  </w:r>
                  <w:r>
                    <w:rPr>
                      <w:rFonts w:hint="eastAsia" w:ascii="Times New Roman" w:hAnsi="Times New Roman" w:eastAsia="宋体" w:cs="Times New Roman"/>
                      <w:b w:val="0"/>
                      <w:bCs w:val="0"/>
                      <w:color w:val="auto"/>
                      <w:sz w:val="21"/>
                      <w:szCs w:val="21"/>
                      <w:highlight w:val="none"/>
                      <w:lang w:val="en-US" w:eastAsia="zh-CN"/>
                    </w:rPr>
                    <w:t>经</w:t>
                  </w:r>
                  <w:r>
                    <w:rPr>
                      <w:rFonts w:hint="default" w:ascii="Times New Roman" w:hAnsi="Times New Roman" w:eastAsia="宋体" w:cs="Times New Roman"/>
                      <w:b w:val="0"/>
                      <w:bCs w:val="0"/>
                      <w:color w:val="auto"/>
                      <w:sz w:val="21"/>
                      <w:szCs w:val="21"/>
                      <w:highlight w:val="none"/>
                      <w:lang w:val="en-US" w:eastAsia="zh-CN"/>
                    </w:rPr>
                    <w:t>化粪池</w:t>
                  </w:r>
                  <w:r>
                    <w:rPr>
                      <w:rFonts w:hint="eastAsia" w:ascii="Times New Roman" w:hAnsi="Times New Roman" w:cs="Times New Roman"/>
                      <w:b w:val="0"/>
                      <w:bCs w:val="0"/>
                      <w:color w:val="auto"/>
                      <w:sz w:val="21"/>
                      <w:szCs w:val="21"/>
                      <w:highlight w:val="none"/>
                      <w:lang w:val="en-US" w:eastAsia="zh-CN"/>
                    </w:rPr>
                    <w:t>收集</w:t>
                  </w:r>
                  <w:r>
                    <w:rPr>
                      <w:rFonts w:hint="eastAsia" w:ascii="Times New Roman" w:hAnsi="Times New Roman" w:eastAsia="宋体" w:cs="Times New Roman"/>
                      <w:b w:val="0"/>
                      <w:bCs w:val="0"/>
                      <w:color w:val="auto"/>
                      <w:sz w:val="21"/>
                      <w:szCs w:val="21"/>
                      <w:highlight w:val="none"/>
                      <w:lang w:val="en-US" w:eastAsia="zh-CN"/>
                    </w:rPr>
                    <w:t>后经市政污水管网排入</w:t>
                  </w:r>
                  <w:r>
                    <w:rPr>
                      <w:rFonts w:hint="eastAsia" w:cs="宋体"/>
                      <w:b w:val="0"/>
                      <w:bCs w:val="0"/>
                      <w:color w:val="auto"/>
                      <w:kern w:val="2"/>
                      <w:sz w:val="21"/>
                      <w:szCs w:val="21"/>
                      <w:highlight w:val="none"/>
                      <w:lang w:val="en-US" w:eastAsia="zh-CN" w:bidi="ar"/>
                    </w:rPr>
                    <w:t>五河县经济开发区污水处理厂</w:t>
                  </w:r>
                  <w:r>
                    <w:rPr>
                      <w:rFonts w:hint="default" w:ascii="Times New Roman" w:hAnsi="Times New Roman" w:eastAsia="宋体" w:cs="Times New Roman"/>
                      <w:b w:val="0"/>
                      <w:bCs w:val="0"/>
                      <w:color w:val="auto"/>
                      <w:sz w:val="21"/>
                      <w:szCs w:val="21"/>
                      <w:highlight w:val="none"/>
                      <w:lang w:val="en-US" w:eastAsia="zh-CN"/>
                    </w:rPr>
                    <w:t>。</w:t>
                  </w:r>
                </w:p>
              </w:tc>
            </w:tr>
            <w:tr w14:paraId="6B0F3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0" w:type="pct"/>
                  <w:gridSpan w:val="2"/>
                  <w:vMerge w:val="continue"/>
                  <w:noWrap w:val="0"/>
                  <w:vAlign w:val="center"/>
                </w:tcPr>
                <w:p w14:paraId="01BBEBB7">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rPr>
                  </w:pPr>
                </w:p>
              </w:tc>
              <w:tc>
                <w:tcPr>
                  <w:tcW w:w="599" w:type="pct"/>
                  <w:noWrap w:val="0"/>
                  <w:vAlign w:val="center"/>
                </w:tcPr>
                <w:p w14:paraId="02E326AB">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织造废水</w:t>
                  </w:r>
                </w:p>
              </w:tc>
              <w:tc>
                <w:tcPr>
                  <w:tcW w:w="659" w:type="pct"/>
                  <w:noWrap w:val="0"/>
                  <w:vAlign w:val="center"/>
                </w:tcPr>
                <w:p w14:paraId="2DDAC54E">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织造工序</w:t>
                  </w:r>
                </w:p>
              </w:tc>
              <w:tc>
                <w:tcPr>
                  <w:tcW w:w="523" w:type="pct"/>
                  <w:noWrap w:val="0"/>
                  <w:vAlign w:val="center"/>
                </w:tcPr>
                <w:p w14:paraId="78C21F35">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W1</w:t>
                  </w:r>
                </w:p>
              </w:tc>
              <w:tc>
                <w:tcPr>
                  <w:tcW w:w="858" w:type="pct"/>
                  <w:vMerge w:val="restart"/>
                  <w:noWrap w:val="0"/>
                  <w:vAlign w:val="center"/>
                </w:tcPr>
                <w:p w14:paraId="196E43A0">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COD、BOD</w:t>
                  </w:r>
                  <w:r>
                    <w:rPr>
                      <w:rFonts w:hint="default" w:ascii="Times New Roman" w:hAnsi="Times New Roman" w:eastAsia="宋体" w:cs="Times New Roman"/>
                      <w:b w:val="0"/>
                      <w:bCs w:val="0"/>
                      <w:color w:val="auto"/>
                      <w:sz w:val="21"/>
                      <w:szCs w:val="21"/>
                      <w:highlight w:val="none"/>
                      <w:vertAlign w:val="subscript"/>
                      <w:lang w:val="en-US" w:eastAsia="zh-CN"/>
                    </w:rPr>
                    <w:t>5</w:t>
                  </w:r>
                  <w:r>
                    <w:rPr>
                      <w:rFonts w:hint="default" w:ascii="Times New Roman" w:hAnsi="Times New Roman" w:eastAsia="宋体" w:cs="Times New Roman"/>
                      <w:b w:val="0"/>
                      <w:bCs w:val="0"/>
                      <w:color w:val="auto"/>
                      <w:sz w:val="21"/>
                      <w:szCs w:val="21"/>
                      <w:highlight w:val="none"/>
                      <w:lang w:val="en-US" w:eastAsia="zh-CN"/>
                    </w:rPr>
                    <w:t>、SS、NH</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lang w:val="en-US" w:eastAsia="zh-CN"/>
                    </w:rPr>
                    <w:t>-N</w:t>
                  </w:r>
                  <w:r>
                    <w:rPr>
                      <w:rFonts w:hint="eastAsia" w:cs="Times New Roman"/>
                      <w:b w:val="0"/>
                      <w:bCs w:val="0"/>
                      <w:color w:val="auto"/>
                      <w:sz w:val="21"/>
                      <w:szCs w:val="21"/>
                      <w:highlight w:val="none"/>
                      <w:lang w:val="en-US" w:eastAsia="zh-CN"/>
                    </w:rPr>
                    <w:t>、pH、总锑</w:t>
                  </w:r>
                </w:p>
              </w:tc>
              <w:tc>
                <w:tcPr>
                  <w:tcW w:w="1899" w:type="pct"/>
                  <w:vMerge w:val="restart"/>
                  <w:noWrap w:val="0"/>
                  <w:vAlign w:val="center"/>
                </w:tcPr>
                <w:p w14:paraId="26C8F39F">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生产废水经厂区污水处理站处理后95%回用于织造用水，5%排入市政管网进入五河县经济开发区污水处理厂处理于织造生产</w:t>
                  </w:r>
                </w:p>
              </w:tc>
            </w:tr>
            <w:tr w14:paraId="4E01F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0" w:type="pct"/>
                  <w:gridSpan w:val="2"/>
                  <w:vMerge w:val="continue"/>
                  <w:noWrap w:val="0"/>
                  <w:vAlign w:val="center"/>
                </w:tcPr>
                <w:p w14:paraId="66FB0C87">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rPr>
                  </w:pPr>
                </w:p>
              </w:tc>
              <w:tc>
                <w:tcPr>
                  <w:tcW w:w="599" w:type="pct"/>
                  <w:noWrap w:val="0"/>
                  <w:vAlign w:val="center"/>
                </w:tcPr>
                <w:p w14:paraId="487F234C">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磨毛废水</w:t>
                  </w:r>
                </w:p>
              </w:tc>
              <w:tc>
                <w:tcPr>
                  <w:tcW w:w="659" w:type="pct"/>
                  <w:noWrap w:val="0"/>
                  <w:vAlign w:val="center"/>
                </w:tcPr>
                <w:p w14:paraId="6211E124">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磨毛工序</w:t>
                  </w:r>
                </w:p>
              </w:tc>
              <w:tc>
                <w:tcPr>
                  <w:tcW w:w="523" w:type="pct"/>
                  <w:noWrap w:val="0"/>
                  <w:vAlign w:val="center"/>
                </w:tcPr>
                <w:p w14:paraId="23B787C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W2</w:t>
                  </w:r>
                </w:p>
              </w:tc>
              <w:tc>
                <w:tcPr>
                  <w:tcW w:w="858" w:type="pct"/>
                  <w:vMerge w:val="continue"/>
                  <w:noWrap w:val="0"/>
                  <w:vAlign w:val="center"/>
                </w:tcPr>
                <w:p w14:paraId="43C538AE">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p>
              </w:tc>
              <w:tc>
                <w:tcPr>
                  <w:tcW w:w="1899" w:type="pct"/>
                  <w:vMerge w:val="continue"/>
                  <w:noWrap w:val="0"/>
                  <w:vAlign w:val="center"/>
                </w:tcPr>
                <w:p w14:paraId="754D01D0">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p>
              </w:tc>
            </w:tr>
            <w:tr w14:paraId="3A542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0" w:type="pct"/>
                  <w:gridSpan w:val="2"/>
                  <w:vMerge w:val="continue"/>
                  <w:noWrap w:val="0"/>
                  <w:vAlign w:val="center"/>
                </w:tcPr>
                <w:p w14:paraId="1A59D741">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rPr>
                  </w:pPr>
                </w:p>
              </w:tc>
              <w:tc>
                <w:tcPr>
                  <w:tcW w:w="599" w:type="pct"/>
                  <w:noWrap w:val="0"/>
                  <w:vAlign w:val="center"/>
                </w:tcPr>
                <w:p w14:paraId="02BA3C8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设备清洗废水</w:t>
                  </w:r>
                </w:p>
              </w:tc>
              <w:tc>
                <w:tcPr>
                  <w:tcW w:w="659" w:type="pct"/>
                  <w:noWrap w:val="0"/>
                  <w:vAlign w:val="center"/>
                </w:tcPr>
                <w:p w14:paraId="4D4F4BB4">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生产</w:t>
                  </w:r>
                </w:p>
              </w:tc>
              <w:tc>
                <w:tcPr>
                  <w:tcW w:w="523" w:type="pct"/>
                  <w:noWrap w:val="0"/>
                  <w:vAlign w:val="center"/>
                </w:tcPr>
                <w:p w14:paraId="10C4BBF8">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858" w:type="pct"/>
                  <w:vMerge w:val="continue"/>
                  <w:noWrap w:val="0"/>
                  <w:vAlign w:val="center"/>
                </w:tcPr>
                <w:p w14:paraId="0F623916">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p>
              </w:tc>
              <w:tc>
                <w:tcPr>
                  <w:tcW w:w="1899" w:type="pct"/>
                  <w:vMerge w:val="continue"/>
                  <w:noWrap w:val="0"/>
                  <w:vAlign w:val="center"/>
                </w:tcPr>
                <w:p w14:paraId="6DF567FD">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p>
              </w:tc>
            </w:tr>
            <w:tr w14:paraId="575EF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0" w:type="pct"/>
                  <w:gridSpan w:val="2"/>
                  <w:noWrap w:val="0"/>
                  <w:vAlign w:val="center"/>
                </w:tcPr>
                <w:p w14:paraId="379B1D4E">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废气</w:t>
                  </w:r>
                </w:p>
              </w:tc>
              <w:tc>
                <w:tcPr>
                  <w:tcW w:w="599" w:type="pct"/>
                  <w:noWrap w:val="0"/>
                  <w:vAlign w:val="center"/>
                </w:tcPr>
                <w:p w14:paraId="2425D4D2">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加弹废气</w:t>
                  </w:r>
                </w:p>
              </w:tc>
              <w:tc>
                <w:tcPr>
                  <w:tcW w:w="659" w:type="pct"/>
                  <w:noWrap w:val="0"/>
                  <w:vAlign w:val="center"/>
                </w:tcPr>
                <w:p w14:paraId="73B7C625">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加弹工序</w:t>
                  </w:r>
                </w:p>
              </w:tc>
              <w:tc>
                <w:tcPr>
                  <w:tcW w:w="523" w:type="pct"/>
                  <w:noWrap w:val="0"/>
                  <w:vAlign w:val="center"/>
                </w:tcPr>
                <w:p w14:paraId="5D7D5EE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G1</w:t>
                  </w:r>
                </w:p>
              </w:tc>
              <w:tc>
                <w:tcPr>
                  <w:tcW w:w="858" w:type="pct"/>
                  <w:noWrap w:val="0"/>
                  <w:vAlign w:val="center"/>
                </w:tcPr>
                <w:p w14:paraId="3DF28289">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宋体"/>
                      <w:b w:val="0"/>
                      <w:bCs w:val="0"/>
                      <w:color w:val="auto"/>
                      <w:kern w:val="2"/>
                      <w:sz w:val="21"/>
                      <w:szCs w:val="21"/>
                      <w:highlight w:val="none"/>
                      <w:lang w:val="en-US" w:eastAsia="zh-CN" w:bidi="ar"/>
                    </w:rPr>
                    <w:t>有机废气</w:t>
                  </w:r>
                </w:p>
              </w:tc>
              <w:tc>
                <w:tcPr>
                  <w:tcW w:w="1899" w:type="pct"/>
                  <w:noWrap w:val="0"/>
                  <w:vAlign w:val="center"/>
                </w:tcPr>
                <w:p w14:paraId="2BC7F0F9">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color w:val="auto"/>
                      <w:kern w:val="2"/>
                      <w:sz w:val="21"/>
                      <w:szCs w:val="21"/>
                      <w:highlight w:val="none"/>
                      <w:lang w:val="en-US" w:eastAsia="zh-CN" w:bidi="ar-SA"/>
                    </w:rPr>
                    <w:t>加弹</w:t>
                  </w:r>
                  <w:r>
                    <w:rPr>
                      <w:rFonts w:hint="eastAsia" w:ascii="Times New Roman" w:hAnsi="Times New Roman" w:cs="Times New Roman"/>
                      <w:b w:val="0"/>
                      <w:bCs/>
                      <w:color w:val="auto"/>
                      <w:kern w:val="2"/>
                      <w:sz w:val="21"/>
                      <w:szCs w:val="21"/>
                      <w:highlight w:val="none"/>
                      <w:lang w:val="en-US" w:eastAsia="zh-CN" w:bidi="ar-SA"/>
                    </w:rPr>
                    <w:t>产生的</w:t>
                  </w:r>
                  <w:r>
                    <w:rPr>
                      <w:rFonts w:hint="eastAsia" w:cs="Times New Roman"/>
                      <w:b w:val="0"/>
                      <w:bCs/>
                      <w:color w:val="auto"/>
                      <w:kern w:val="2"/>
                      <w:sz w:val="21"/>
                      <w:szCs w:val="21"/>
                      <w:highlight w:val="none"/>
                      <w:lang w:val="en-US" w:eastAsia="zh-CN" w:bidi="ar-SA"/>
                    </w:rPr>
                    <w:t>有机</w:t>
                  </w:r>
                  <w:r>
                    <w:rPr>
                      <w:rFonts w:hint="default" w:ascii="Times New Roman" w:hAnsi="Times New Roman" w:eastAsia="宋体" w:cs="Times New Roman"/>
                      <w:b w:val="0"/>
                      <w:bCs/>
                      <w:color w:val="auto"/>
                      <w:sz w:val="21"/>
                      <w:szCs w:val="21"/>
                      <w:highlight w:val="none"/>
                      <w:lang w:val="en-US" w:eastAsia="zh-CN" w:bidi="ar-SA"/>
                    </w:rPr>
                    <w:t>废气</w:t>
                  </w:r>
                  <w:r>
                    <w:rPr>
                      <w:rFonts w:hint="eastAsia" w:cs="Times New Roman"/>
                      <w:b w:val="0"/>
                      <w:bCs/>
                      <w:color w:val="auto"/>
                      <w:kern w:val="2"/>
                      <w:sz w:val="21"/>
                      <w:szCs w:val="21"/>
                      <w:highlight w:val="none"/>
                      <w:lang w:val="en-US" w:eastAsia="zh-CN" w:bidi="ar-SA"/>
                    </w:rPr>
                    <w:t>收集</w:t>
                  </w:r>
                  <w:r>
                    <w:rPr>
                      <w:rFonts w:hint="eastAsia" w:ascii="Times New Roman" w:hAnsi="Times New Roman" w:eastAsia="宋体" w:cs="Times New Roman"/>
                      <w:b w:val="0"/>
                      <w:bCs/>
                      <w:color w:val="auto"/>
                      <w:kern w:val="0"/>
                      <w:sz w:val="21"/>
                      <w:szCs w:val="21"/>
                      <w:highlight w:val="none"/>
                      <w:lang w:val="en-US" w:eastAsia="zh-CN" w:bidi="ar"/>
                    </w:rPr>
                    <w:t>后通过</w:t>
                  </w:r>
                  <w:r>
                    <w:rPr>
                      <w:rFonts w:hint="eastAsia" w:cs="Times New Roman"/>
                      <w:b w:val="0"/>
                      <w:bCs/>
                      <w:color w:val="auto"/>
                      <w:kern w:val="2"/>
                      <w:sz w:val="21"/>
                      <w:szCs w:val="21"/>
                      <w:highlight w:val="none"/>
                      <w:lang w:val="en-US" w:eastAsia="zh-CN" w:bidi="ar-SA"/>
                    </w:rPr>
                    <w:t>活性炭吸附脱附+催化燃烧</w:t>
                  </w:r>
                  <w:r>
                    <w:rPr>
                      <w:rFonts w:hint="eastAsia" w:ascii="Times New Roman" w:hAnsi="Times New Roman" w:cs="Times New Roman"/>
                      <w:b w:val="0"/>
                      <w:bCs/>
                      <w:color w:val="auto"/>
                      <w:kern w:val="0"/>
                      <w:sz w:val="21"/>
                      <w:szCs w:val="21"/>
                      <w:highlight w:val="none"/>
                      <w:lang w:val="en-US" w:eastAsia="zh-CN" w:bidi="ar"/>
                    </w:rPr>
                    <w:t>处理后</w:t>
                  </w:r>
                  <w:r>
                    <w:rPr>
                      <w:rFonts w:hint="eastAsia" w:cs="Times New Roman"/>
                      <w:b w:val="0"/>
                      <w:bCs/>
                      <w:color w:val="auto"/>
                      <w:kern w:val="0"/>
                      <w:sz w:val="21"/>
                      <w:szCs w:val="21"/>
                      <w:highlight w:val="none"/>
                      <w:lang w:val="en-US" w:eastAsia="zh-CN" w:bidi="ar"/>
                    </w:rPr>
                    <w:t>，</w:t>
                  </w:r>
                  <w:r>
                    <w:rPr>
                      <w:rFonts w:hint="eastAsia" w:ascii="Times New Roman" w:hAnsi="Times New Roman" w:cs="Times New Roman"/>
                      <w:b w:val="0"/>
                      <w:bCs/>
                      <w:color w:val="auto"/>
                      <w:kern w:val="0"/>
                      <w:sz w:val="21"/>
                      <w:szCs w:val="21"/>
                      <w:highlight w:val="none"/>
                      <w:lang w:val="en-US" w:eastAsia="zh-CN" w:bidi="ar"/>
                    </w:rPr>
                    <w:t>由一根</w:t>
                  </w:r>
                  <w:r>
                    <w:rPr>
                      <w:rFonts w:hint="eastAsia" w:ascii="Times New Roman" w:hAnsi="Times New Roman" w:eastAsia="宋体" w:cs="Times New Roman"/>
                      <w:b w:val="0"/>
                      <w:bCs/>
                      <w:color w:val="auto"/>
                      <w:kern w:val="2"/>
                      <w:sz w:val="21"/>
                      <w:szCs w:val="21"/>
                      <w:highlight w:val="none"/>
                      <w:lang w:val="en-US" w:eastAsia="zh-CN" w:bidi="ar-SA"/>
                    </w:rPr>
                    <w:t>15m高排气筒（</w:t>
                  </w:r>
                  <w:r>
                    <w:rPr>
                      <w:rFonts w:hint="eastAsia" w:cs="Times New Roman"/>
                      <w:b w:val="0"/>
                      <w:bCs/>
                      <w:color w:val="auto"/>
                      <w:kern w:val="2"/>
                      <w:sz w:val="21"/>
                      <w:szCs w:val="21"/>
                      <w:highlight w:val="none"/>
                      <w:lang w:val="en-US" w:eastAsia="zh-CN" w:bidi="ar-SA"/>
                    </w:rPr>
                    <w:t>DA001</w:t>
                  </w:r>
                  <w:r>
                    <w:rPr>
                      <w:rFonts w:hint="eastAsia" w:ascii="Times New Roman" w:hAnsi="Times New Roman" w:eastAsia="宋体" w:cs="Times New Roman"/>
                      <w:b w:val="0"/>
                      <w:bCs/>
                      <w:color w:val="auto"/>
                      <w:kern w:val="2"/>
                      <w:sz w:val="21"/>
                      <w:szCs w:val="21"/>
                      <w:highlight w:val="none"/>
                      <w:lang w:val="en-US" w:eastAsia="zh-CN" w:bidi="ar-SA"/>
                    </w:rPr>
                    <w:t>）排放。</w:t>
                  </w:r>
                </w:p>
              </w:tc>
            </w:tr>
            <w:tr w14:paraId="05323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0" w:type="pct"/>
                  <w:gridSpan w:val="2"/>
                  <w:noWrap w:val="0"/>
                  <w:vAlign w:val="center"/>
                </w:tcPr>
                <w:p w14:paraId="4AFC939C">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噪声</w:t>
                  </w:r>
                </w:p>
              </w:tc>
              <w:tc>
                <w:tcPr>
                  <w:tcW w:w="599" w:type="pct"/>
                  <w:noWrap w:val="0"/>
                  <w:vAlign w:val="center"/>
                </w:tcPr>
                <w:p w14:paraId="6C5BA958">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噪声</w:t>
                  </w:r>
                </w:p>
              </w:tc>
              <w:tc>
                <w:tcPr>
                  <w:tcW w:w="659" w:type="pct"/>
                  <w:noWrap w:val="0"/>
                  <w:vAlign w:val="center"/>
                </w:tcPr>
                <w:p w14:paraId="411979E4">
                  <w:pPr>
                    <w:keepNext w:val="0"/>
                    <w:keepLines w:val="0"/>
                    <w:widowControl/>
                    <w:suppressLineNumbers w:val="0"/>
                    <w:shd w:val="clear" w:color="auto" w:fill="auto"/>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b w:val="0"/>
                      <w:bCs w:val="0"/>
                      <w:color w:val="auto"/>
                      <w:sz w:val="21"/>
                      <w:szCs w:val="21"/>
                      <w:highlight w:val="none"/>
                    </w:rPr>
                    <w:t>设备运</w:t>
                  </w:r>
                  <w:r>
                    <w:rPr>
                      <w:rFonts w:hint="eastAsia" w:ascii="Times New Roman" w:hAnsi="Times New Roman"/>
                      <w:b w:val="0"/>
                      <w:bCs w:val="0"/>
                      <w:color w:val="auto"/>
                      <w:sz w:val="21"/>
                      <w:szCs w:val="21"/>
                      <w:highlight w:val="none"/>
                      <w:lang w:val="en-US" w:eastAsia="zh-CN"/>
                    </w:rPr>
                    <w:t>转</w:t>
                  </w:r>
                </w:p>
              </w:tc>
              <w:tc>
                <w:tcPr>
                  <w:tcW w:w="523" w:type="pct"/>
                  <w:noWrap w:val="0"/>
                  <w:vAlign w:val="center"/>
                </w:tcPr>
                <w:p w14:paraId="200B9AF5">
                  <w:pPr>
                    <w:keepNext w:val="0"/>
                    <w:keepLines w:val="0"/>
                    <w:widowControl/>
                    <w:suppressLineNumbers w:val="0"/>
                    <w:shd w:val="clear" w:color="auto" w:fill="auto"/>
                    <w:topLinePunct/>
                    <w:adjustRightInd w:val="0"/>
                    <w:snapToGrid w:val="0"/>
                    <w:spacing w:before="0" w:beforeAutospacing="0" w:after="0" w:afterAutospacing="0"/>
                    <w:ind w:left="0" w:leftChars="0" w:right="0" w:rightChars="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b w:val="0"/>
                      <w:bCs w:val="0"/>
                      <w:color w:val="auto"/>
                      <w:sz w:val="21"/>
                      <w:szCs w:val="21"/>
                      <w:highlight w:val="none"/>
                      <w:lang w:val="en-US" w:eastAsia="zh-CN"/>
                    </w:rPr>
                    <w:t>N</w:t>
                  </w:r>
                </w:p>
              </w:tc>
              <w:tc>
                <w:tcPr>
                  <w:tcW w:w="858" w:type="pct"/>
                  <w:noWrap w:val="0"/>
                  <w:vAlign w:val="center"/>
                </w:tcPr>
                <w:p w14:paraId="12F9709E">
                  <w:pPr>
                    <w:keepNext w:val="0"/>
                    <w:keepLines w:val="0"/>
                    <w:widowControl/>
                    <w:suppressLineNumbers w:val="0"/>
                    <w:shd w:val="clear" w:color="auto" w:fill="auto"/>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b w:val="0"/>
                      <w:bCs w:val="0"/>
                      <w:color w:val="auto"/>
                      <w:sz w:val="21"/>
                      <w:szCs w:val="21"/>
                      <w:highlight w:val="none"/>
                    </w:rPr>
                    <w:t>噪声</w:t>
                  </w:r>
                </w:p>
              </w:tc>
              <w:tc>
                <w:tcPr>
                  <w:tcW w:w="1899" w:type="pct"/>
                  <w:noWrap w:val="0"/>
                  <w:vAlign w:val="center"/>
                </w:tcPr>
                <w:p w14:paraId="3FB9E52E">
                  <w:pPr>
                    <w:keepNext w:val="0"/>
                    <w:keepLines w:val="0"/>
                    <w:widowControl/>
                    <w:suppressLineNumbers w:val="0"/>
                    <w:shd w:val="clear" w:color="auto" w:fill="auto"/>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b w:val="0"/>
                      <w:bCs w:val="0"/>
                      <w:color w:val="auto"/>
                      <w:sz w:val="21"/>
                      <w:szCs w:val="21"/>
                      <w:highlight w:val="none"/>
                    </w:rPr>
                    <w:t>采取选用低噪声设备、厂房隔声、基础减振等降噪措施进行处理</w:t>
                  </w:r>
                </w:p>
              </w:tc>
            </w:tr>
            <w:tr w14:paraId="40F21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81" w:type="pct"/>
                  <w:vMerge w:val="restart"/>
                  <w:noWrap w:val="0"/>
                  <w:vAlign w:val="center"/>
                </w:tcPr>
                <w:p w14:paraId="37A2448D">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固废</w:t>
                  </w:r>
                </w:p>
              </w:tc>
              <w:tc>
                <w:tcPr>
                  <w:tcW w:w="878" w:type="pct"/>
                  <w:gridSpan w:val="2"/>
                  <w:noWrap w:val="0"/>
                  <w:vAlign w:val="center"/>
                </w:tcPr>
                <w:p w14:paraId="533AE945">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生活垃圾</w:t>
                  </w:r>
                </w:p>
              </w:tc>
              <w:tc>
                <w:tcPr>
                  <w:tcW w:w="659" w:type="pct"/>
                  <w:noWrap w:val="0"/>
                  <w:vAlign w:val="center"/>
                </w:tcPr>
                <w:p w14:paraId="21D4FD5C">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员工办公</w:t>
                  </w:r>
                </w:p>
              </w:tc>
              <w:tc>
                <w:tcPr>
                  <w:tcW w:w="523" w:type="pct"/>
                  <w:noWrap w:val="0"/>
                  <w:vAlign w:val="center"/>
                </w:tcPr>
                <w:p w14:paraId="38B3BCDD">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textAlignment w:val="auto"/>
                    <w:rPr>
                      <w:rFonts w:hint="default" w:ascii="Times New Roman" w:hAnsi="Times New Roman" w:cs="Times New Roman"/>
                      <w:b w:val="0"/>
                      <w:bCs w:val="0"/>
                      <w:color w:val="auto"/>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bidi="ar-SA"/>
                    </w:rPr>
                    <w:t>/</w:t>
                  </w:r>
                </w:p>
              </w:tc>
              <w:tc>
                <w:tcPr>
                  <w:tcW w:w="858" w:type="pct"/>
                  <w:noWrap w:val="0"/>
                  <w:vAlign w:val="center"/>
                </w:tcPr>
                <w:p w14:paraId="45C8252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bidi="ar-SA"/>
                    </w:rPr>
                    <w:t>生活垃圾</w:t>
                  </w:r>
                </w:p>
              </w:tc>
              <w:tc>
                <w:tcPr>
                  <w:tcW w:w="1899" w:type="pct"/>
                  <w:noWrap w:val="0"/>
                  <w:vAlign w:val="center"/>
                </w:tcPr>
                <w:p w14:paraId="17476B3D">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分类收集后交由环卫部门清运</w:t>
                  </w:r>
                </w:p>
              </w:tc>
            </w:tr>
            <w:tr w14:paraId="58F94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81" w:type="pct"/>
                  <w:vMerge w:val="continue"/>
                  <w:noWrap w:val="0"/>
                  <w:vAlign w:val="center"/>
                </w:tcPr>
                <w:p w14:paraId="6458C419">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rPr>
                  </w:pPr>
                </w:p>
              </w:tc>
              <w:tc>
                <w:tcPr>
                  <w:tcW w:w="279" w:type="pct"/>
                  <w:vMerge w:val="restart"/>
                  <w:noWrap w:val="0"/>
                  <w:vAlign w:val="center"/>
                </w:tcPr>
                <w:p w14:paraId="70788FAD">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一般工业固废</w:t>
                  </w:r>
                </w:p>
              </w:tc>
              <w:tc>
                <w:tcPr>
                  <w:tcW w:w="599" w:type="pct"/>
                  <w:noWrap w:val="0"/>
                  <w:vAlign w:val="center"/>
                </w:tcPr>
                <w:p w14:paraId="37711EDD">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废丝</w:t>
                  </w:r>
                </w:p>
              </w:tc>
              <w:tc>
                <w:tcPr>
                  <w:tcW w:w="659" w:type="pct"/>
                  <w:noWrap w:val="0"/>
                  <w:vAlign w:val="center"/>
                </w:tcPr>
                <w:p w14:paraId="6C5D570F">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加弹、磨毛、检验</w:t>
                  </w:r>
                  <w:r>
                    <w:rPr>
                      <w:rFonts w:hint="eastAsia" w:ascii="Times New Roman" w:hAnsi="Times New Roman" w:eastAsia="宋体" w:cs="Times New Roman"/>
                      <w:b w:val="0"/>
                      <w:bCs w:val="0"/>
                      <w:color w:val="auto"/>
                      <w:sz w:val="21"/>
                      <w:szCs w:val="21"/>
                      <w:highlight w:val="none"/>
                      <w:lang w:val="en-US" w:eastAsia="zh-CN"/>
                    </w:rPr>
                    <w:t>工序</w:t>
                  </w:r>
                </w:p>
              </w:tc>
              <w:tc>
                <w:tcPr>
                  <w:tcW w:w="523" w:type="pct"/>
                  <w:noWrap w:val="0"/>
                  <w:vAlign w:val="center"/>
                </w:tcPr>
                <w:p w14:paraId="1AB04ED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textAlignment w:val="auto"/>
                    <w:rPr>
                      <w:rFonts w:hint="default" w:ascii="Times New Roman" w:hAnsi="Times New Roman"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S1、S2、S3、S4</w:t>
                  </w:r>
                </w:p>
              </w:tc>
              <w:tc>
                <w:tcPr>
                  <w:tcW w:w="858" w:type="pct"/>
                  <w:noWrap w:val="0"/>
                  <w:vAlign w:val="center"/>
                </w:tcPr>
                <w:p w14:paraId="38AAB7F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textAlignment w:val="auto"/>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废丝</w:t>
                  </w:r>
                </w:p>
              </w:tc>
              <w:tc>
                <w:tcPr>
                  <w:tcW w:w="1899" w:type="pct"/>
                  <w:vMerge w:val="restart"/>
                  <w:noWrap w:val="0"/>
                  <w:vAlign w:val="center"/>
                </w:tcPr>
                <w:p w14:paraId="3521BF85">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集中收集后定期外售</w:t>
                  </w:r>
                </w:p>
              </w:tc>
            </w:tr>
            <w:tr w14:paraId="2BF72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81" w:type="pct"/>
                  <w:vMerge w:val="continue"/>
                  <w:noWrap w:val="0"/>
                  <w:vAlign w:val="center"/>
                </w:tcPr>
                <w:p w14:paraId="3BDA5606">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rPr>
                  </w:pPr>
                </w:p>
              </w:tc>
              <w:tc>
                <w:tcPr>
                  <w:tcW w:w="279" w:type="pct"/>
                  <w:vMerge w:val="continue"/>
                  <w:noWrap w:val="0"/>
                  <w:vAlign w:val="center"/>
                </w:tcPr>
                <w:p w14:paraId="7F6E0EC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eastAsia" w:cs="Times New Roman"/>
                      <w:b w:val="0"/>
                      <w:bCs w:val="0"/>
                      <w:color w:val="auto"/>
                      <w:sz w:val="21"/>
                      <w:szCs w:val="21"/>
                      <w:highlight w:val="none"/>
                      <w:lang w:val="en-US" w:eastAsia="zh-CN"/>
                    </w:rPr>
                  </w:pPr>
                </w:p>
              </w:tc>
              <w:tc>
                <w:tcPr>
                  <w:tcW w:w="599" w:type="pct"/>
                  <w:noWrap w:val="0"/>
                  <w:vAlign w:val="center"/>
                </w:tcPr>
                <w:p w14:paraId="3174D8F2">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废布料</w:t>
                  </w:r>
                </w:p>
              </w:tc>
              <w:tc>
                <w:tcPr>
                  <w:tcW w:w="659" w:type="pct"/>
                  <w:noWrap w:val="0"/>
                  <w:vAlign w:val="center"/>
                </w:tcPr>
                <w:p w14:paraId="1D917B65">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剪裁、缝纫、检验</w:t>
                  </w:r>
                  <w:r>
                    <w:rPr>
                      <w:rFonts w:hint="eastAsia" w:ascii="Times New Roman" w:hAnsi="Times New Roman" w:eastAsia="宋体" w:cs="Times New Roman"/>
                      <w:b w:val="0"/>
                      <w:bCs w:val="0"/>
                      <w:color w:val="auto"/>
                      <w:sz w:val="21"/>
                      <w:szCs w:val="21"/>
                      <w:highlight w:val="none"/>
                      <w:lang w:val="en-US" w:eastAsia="zh-CN"/>
                    </w:rPr>
                    <w:t>工序</w:t>
                  </w:r>
                </w:p>
              </w:tc>
              <w:tc>
                <w:tcPr>
                  <w:tcW w:w="523" w:type="pct"/>
                  <w:noWrap w:val="0"/>
                  <w:vAlign w:val="center"/>
                </w:tcPr>
                <w:p w14:paraId="07351459">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textAlignment w:val="auto"/>
                    <w:rPr>
                      <w:rFonts w:hint="default" w:ascii="Times New Roman" w:hAnsi="Times New Roman"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S5、S6、S7</w:t>
                  </w:r>
                </w:p>
              </w:tc>
              <w:tc>
                <w:tcPr>
                  <w:tcW w:w="858" w:type="pct"/>
                  <w:noWrap w:val="0"/>
                  <w:vAlign w:val="center"/>
                </w:tcPr>
                <w:p w14:paraId="72455452">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textAlignment w:val="auto"/>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废布料</w:t>
                  </w:r>
                </w:p>
              </w:tc>
              <w:tc>
                <w:tcPr>
                  <w:tcW w:w="1899" w:type="pct"/>
                  <w:vMerge w:val="continue"/>
                  <w:noWrap w:val="0"/>
                  <w:vAlign w:val="center"/>
                </w:tcPr>
                <w:p w14:paraId="041FEC5D">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bidi="ar-SA"/>
                    </w:rPr>
                  </w:pPr>
                </w:p>
              </w:tc>
            </w:tr>
            <w:tr w14:paraId="47CBB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81" w:type="pct"/>
                  <w:vMerge w:val="continue"/>
                  <w:noWrap w:val="0"/>
                  <w:vAlign w:val="center"/>
                </w:tcPr>
                <w:p w14:paraId="6900FC48">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rPr>
                  </w:pPr>
                </w:p>
              </w:tc>
              <w:tc>
                <w:tcPr>
                  <w:tcW w:w="279" w:type="pct"/>
                  <w:vMerge w:val="continue"/>
                  <w:noWrap w:val="0"/>
                  <w:vAlign w:val="center"/>
                </w:tcPr>
                <w:p w14:paraId="3AECDDC4">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rPr>
                  </w:pPr>
                </w:p>
              </w:tc>
              <w:tc>
                <w:tcPr>
                  <w:tcW w:w="599" w:type="pct"/>
                  <w:noWrap w:val="0"/>
                  <w:vAlign w:val="center"/>
                </w:tcPr>
                <w:p w14:paraId="6E413138">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废包装材料</w:t>
                  </w:r>
                </w:p>
              </w:tc>
              <w:tc>
                <w:tcPr>
                  <w:tcW w:w="659" w:type="pct"/>
                  <w:noWrap w:val="0"/>
                  <w:vAlign w:val="center"/>
                </w:tcPr>
                <w:p w14:paraId="768EE9D2">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生产</w:t>
                  </w:r>
                </w:p>
              </w:tc>
              <w:tc>
                <w:tcPr>
                  <w:tcW w:w="523" w:type="pct"/>
                  <w:noWrap w:val="0"/>
                  <w:vAlign w:val="center"/>
                </w:tcPr>
                <w:p w14:paraId="0B7A75E8">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jc w:val="center"/>
                    <w:textAlignment w:val="auto"/>
                    <w:rPr>
                      <w:rFonts w:hint="default" w:ascii="Times New Roman" w:hAnsi="Times New Roman" w:cs="Times New Roman"/>
                      <w:b w:val="0"/>
                      <w:bCs w:val="0"/>
                      <w:color w:val="auto"/>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bidi="ar-SA"/>
                    </w:rPr>
                    <w:t>/</w:t>
                  </w:r>
                </w:p>
              </w:tc>
              <w:tc>
                <w:tcPr>
                  <w:tcW w:w="858" w:type="pct"/>
                  <w:noWrap w:val="0"/>
                  <w:vAlign w:val="center"/>
                </w:tcPr>
                <w:p w14:paraId="5D93883A">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废包装材料</w:t>
                  </w:r>
                </w:p>
              </w:tc>
              <w:tc>
                <w:tcPr>
                  <w:tcW w:w="1899" w:type="pct"/>
                  <w:vMerge w:val="continue"/>
                  <w:noWrap w:val="0"/>
                  <w:vAlign w:val="center"/>
                </w:tcPr>
                <w:p w14:paraId="5B4F59C5">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bidi="ar-SA"/>
                    </w:rPr>
                  </w:pPr>
                </w:p>
              </w:tc>
            </w:tr>
            <w:tr w14:paraId="1F768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81" w:type="pct"/>
                  <w:vMerge w:val="continue"/>
                  <w:noWrap w:val="0"/>
                  <w:vAlign w:val="center"/>
                </w:tcPr>
                <w:p w14:paraId="04C4EFDC">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rPr>
                  </w:pPr>
                </w:p>
              </w:tc>
              <w:tc>
                <w:tcPr>
                  <w:tcW w:w="279" w:type="pct"/>
                  <w:vMerge w:val="continue"/>
                  <w:noWrap w:val="0"/>
                  <w:vAlign w:val="center"/>
                </w:tcPr>
                <w:p w14:paraId="1F6AC7E6">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eastAsia" w:ascii="Times New Roman" w:hAnsi="Times New Roman" w:eastAsia="宋体" w:cs="Times New Roman"/>
                      <w:b w:val="0"/>
                      <w:bCs w:val="0"/>
                      <w:color w:val="auto"/>
                      <w:sz w:val="21"/>
                      <w:szCs w:val="21"/>
                      <w:highlight w:val="none"/>
                      <w:lang w:val="en-US" w:eastAsia="zh-CN"/>
                    </w:rPr>
                  </w:pPr>
                </w:p>
              </w:tc>
              <w:tc>
                <w:tcPr>
                  <w:tcW w:w="599" w:type="pct"/>
                  <w:shd w:val="clear" w:color="auto" w:fill="auto"/>
                  <w:noWrap w:val="0"/>
                  <w:vAlign w:val="center"/>
                </w:tcPr>
                <w:p w14:paraId="531BB03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污水处理站生化污泥</w:t>
                  </w:r>
                </w:p>
              </w:tc>
              <w:tc>
                <w:tcPr>
                  <w:tcW w:w="659" w:type="pct"/>
                  <w:shd w:val="clear" w:color="auto" w:fill="auto"/>
                  <w:noWrap w:val="0"/>
                  <w:vAlign w:val="center"/>
                </w:tcPr>
                <w:p w14:paraId="3D29B84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废水处理</w:t>
                  </w:r>
                </w:p>
              </w:tc>
              <w:tc>
                <w:tcPr>
                  <w:tcW w:w="523" w:type="pct"/>
                  <w:noWrap w:val="0"/>
                  <w:vAlign w:val="center"/>
                </w:tcPr>
                <w:p w14:paraId="3ECDD024">
                  <w:pPr>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jc w:val="center"/>
                    <w:textAlignment w:val="auto"/>
                    <w:rPr>
                      <w:rFonts w:hint="default" w:ascii="Times New Roman" w:hAnsi="Times New Roman"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w:t>
                  </w:r>
                </w:p>
              </w:tc>
              <w:tc>
                <w:tcPr>
                  <w:tcW w:w="858" w:type="pct"/>
                  <w:noWrap w:val="0"/>
                  <w:vAlign w:val="center"/>
                </w:tcPr>
                <w:p w14:paraId="5BB8DCE6">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污泥</w:t>
                  </w:r>
                </w:p>
              </w:tc>
              <w:tc>
                <w:tcPr>
                  <w:tcW w:w="1899" w:type="pct"/>
                  <w:noWrap w:val="0"/>
                  <w:vAlign w:val="center"/>
                </w:tcPr>
                <w:p w14:paraId="6BEA48D8">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交</w:t>
                  </w:r>
                  <w:r>
                    <w:rPr>
                      <w:rFonts w:hint="default" w:ascii="Times New Roman" w:hAnsi="Times New Roman" w:cs="Times New Roman"/>
                      <w:b w:val="0"/>
                      <w:bCs/>
                      <w:color w:val="auto"/>
                      <w:sz w:val="21"/>
                      <w:szCs w:val="21"/>
                      <w:highlight w:val="none"/>
                      <w:lang w:eastAsia="zh-CN"/>
                    </w:rPr>
                    <w:t>由</w:t>
                  </w:r>
                  <w:r>
                    <w:rPr>
                      <w:rFonts w:hint="eastAsia" w:ascii="Times New Roman" w:hAnsi="Times New Roman" w:eastAsia="宋体" w:cs="Times New Roman"/>
                      <w:b w:val="0"/>
                      <w:bCs w:val="0"/>
                      <w:color w:val="auto"/>
                      <w:sz w:val="21"/>
                      <w:szCs w:val="21"/>
                      <w:highlight w:val="none"/>
                      <w:lang w:val="en-US" w:eastAsia="zh-CN" w:bidi="ar-SA"/>
                    </w:rPr>
                    <w:t>有处理能力的单位进行处置</w:t>
                  </w:r>
                </w:p>
              </w:tc>
            </w:tr>
            <w:tr w14:paraId="75EA8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81" w:type="pct"/>
                  <w:vMerge w:val="continue"/>
                  <w:noWrap w:val="0"/>
                  <w:vAlign w:val="center"/>
                </w:tcPr>
                <w:p w14:paraId="286E7B04">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rPr>
                  </w:pPr>
                </w:p>
              </w:tc>
              <w:tc>
                <w:tcPr>
                  <w:tcW w:w="279" w:type="pct"/>
                  <w:vMerge w:val="restart"/>
                  <w:noWrap w:val="0"/>
                  <w:vAlign w:val="center"/>
                </w:tcPr>
                <w:p w14:paraId="78FE8452">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危险废物</w:t>
                  </w:r>
                </w:p>
              </w:tc>
              <w:tc>
                <w:tcPr>
                  <w:tcW w:w="599" w:type="pct"/>
                  <w:shd w:val="clear" w:color="auto" w:fill="auto"/>
                  <w:noWrap w:val="0"/>
                  <w:vAlign w:val="center"/>
                </w:tcPr>
                <w:p w14:paraId="324EFA8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废催化剂</w:t>
                  </w:r>
                </w:p>
              </w:tc>
              <w:tc>
                <w:tcPr>
                  <w:tcW w:w="659" w:type="pct"/>
                  <w:shd w:val="clear" w:color="auto" w:fill="auto"/>
                  <w:noWrap w:val="0"/>
                  <w:vAlign w:val="center"/>
                </w:tcPr>
                <w:p w14:paraId="59811CC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废气处理</w:t>
                  </w:r>
                </w:p>
              </w:tc>
              <w:tc>
                <w:tcPr>
                  <w:tcW w:w="523" w:type="pct"/>
                  <w:noWrap w:val="0"/>
                  <w:vAlign w:val="center"/>
                </w:tcPr>
                <w:p w14:paraId="7A343B2C">
                  <w:pPr>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jc w:val="center"/>
                    <w:textAlignment w:val="auto"/>
                    <w:rPr>
                      <w:rFonts w:hint="eastAsia" w:cs="Times New Roman"/>
                      <w:b w:val="0"/>
                      <w:bCs w:val="0"/>
                      <w:color w:val="auto"/>
                      <w:sz w:val="21"/>
                      <w:szCs w:val="21"/>
                      <w:highlight w:val="none"/>
                      <w:lang w:val="en-US" w:eastAsia="zh-CN" w:bidi="ar-SA"/>
                    </w:rPr>
                  </w:pPr>
                </w:p>
              </w:tc>
              <w:tc>
                <w:tcPr>
                  <w:tcW w:w="858" w:type="pct"/>
                  <w:noWrap w:val="0"/>
                  <w:vAlign w:val="center"/>
                </w:tcPr>
                <w:p w14:paraId="734B1EFB">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催化剂</w:t>
                  </w:r>
                </w:p>
              </w:tc>
              <w:tc>
                <w:tcPr>
                  <w:tcW w:w="1899" w:type="pct"/>
                  <w:vMerge w:val="restart"/>
                  <w:noWrap w:val="0"/>
                  <w:vAlign w:val="center"/>
                </w:tcPr>
                <w:p w14:paraId="658A51E0">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收集后定期交由有资质单位处置</w:t>
                  </w:r>
                </w:p>
              </w:tc>
            </w:tr>
            <w:tr w14:paraId="7286D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81" w:type="pct"/>
                  <w:vMerge w:val="continue"/>
                  <w:noWrap w:val="0"/>
                  <w:vAlign w:val="center"/>
                </w:tcPr>
                <w:p w14:paraId="30E09824">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rPr>
                  </w:pPr>
                </w:p>
              </w:tc>
              <w:tc>
                <w:tcPr>
                  <w:tcW w:w="279" w:type="pct"/>
                  <w:vMerge w:val="continue"/>
                  <w:noWrap w:val="0"/>
                  <w:vAlign w:val="center"/>
                </w:tcPr>
                <w:p w14:paraId="0DC376C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eastAsia" w:ascii="Times New Roman" w:hAnsi="Times New Roman" w:cs="Times New Roman"/>
                      <w:b w:val="0"/>
                      <w:bCs w:val="0"/>
                      <w:color w:val="auto"/>
                      <w:sz w:val="21"/>
                      <w:szCs w:val="21"/>
                      <w:highlight w:val="none"/>
                      <w:lang w:val="en-US" w:eastAsia="zh-CN"/>
                    </w:rPr>
                  </w:pPr>
                </w:p>
              </w:tc>
              <w:tc>
                <w:tcPr>
                  <w:tcW w:w="599" w:type="pct"/>
                  <w:shd w:val="clear" w:color="auto" w:fill="auto"/>
                  <w:noWrap w:val="0"/>
                  <w:vAlign w:val="center"/>
                </w:tcPr>
                <w:p w14:paraId="358C070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废油</w:t>
                  </w:r>
                </w:p>
              </w:tc>
              <w:tc>
                <w:tcPr>
                  <w:tcW w:w="659" w:type="pct"/>
                  <w:shd w:val="clear" w:color="auto" w:fill="auto"/>
                  <w:noWrap w:val="0"/>
                  <w:vAlign w:val="center"/>
                </w:tcPr>
                <w:p w14:paraId="3280CAB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加弹工序</w:t>
                  </w:r>
                </w:p>
              </w:tc>
              <w:tc>
                <w:tcPr>
                  <w:tcW w:w="523" w:type="pct"/>
                  <w:noWrap w:val="0"/>
                  <w:vAlign w:val="center"/>
                </w:tcPr>
                <w:p w14:paraId="6490EED9">
                  <w:pPr>
                    <w:pStyle w:val="38"/>
                    <w:keepNext w:val="0"/>
                    <w:keepLines w:val="0"/>
                    <w:suppressLineNumbers w:val="0"/>
                    <w:bidi w:val="0"/>
                    <w:spacing w:before="0" w:beforeAutospacing="0" w:after="0" w:afterAutospacing="0"/>
                    <w:ind w:left="0" w:right="0" w:firstLine="0" w:firstLineChars="0"/>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w:t>
                  </w:r>
                </w:p>
              </w:tc>
              <w:tc>
                <w:tcPr>
                  <w:tcW w:w="858" w:type="pct"/>
                  <w:noWrap w:val="0"/>
                  <w:vAlign w:val="center"/>
                </w:tcPr>
                <w:p w14:paraId="791C4184">
                  <w:pPr>
                    <w:pStyle w:val="38"/>
                    <w:keepNext w:val="0"/>
                    <w:keepLines w:val="0"/>
                    <w:suppressLineNumbers w:val="0"/>
                    <w:bidi w:val="0"/>
                    <w:spacing w:before="0" w:beforeAutospacing="0" w:after="0" w:afterAutospacing="0"/>
                    <w:ind w:left="0" w:right="0" w:firstLine="0" w:firstLineChars="0"/>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废油剂</w:t>
                  </w:r>
                </w:p>
              </w:tc>
              <w:tc>
                <w:tcPr>
                  <w:tcW w:w="1899" w:type="pct"/>
                  <w:vMerge w:val="continue"/>
                  <w:noWrap w:val="0"/>
                  <w:vAlign w:val="center"/>
                </w:tcPr>
                <w:p w14:paraId="72B2C92D">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lang w:val="en-US" w:eastAsia="zh-CN" w:bidi="ar-SA"/>
                    </w:rPr>
                  </w:pPr>
                </w:p>
              </w:tc>
            </w:tr>
            <w:tr w14:paraId="662F9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81" w:type="pct"/>
                  <w:vMerge w:val="continue"/>
                  <w:noWrap w:val="0"/>
                  <w:vAlign w:val="center"/>
                </w:tcPr>
                <w:p w14:paraId="6A8148EF">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val="0"/>
                      <w:color w:val="auto"/>
                      <w:sz w:val="21"/>
                      <w:szCs w:val="21"/>
                      <w:highlight w:val="none"/>
                    </w:rPr>
                  </w:pPr>
                </w:p>
              </w:tc>
              <w:tc>
                <w:tcPr>
                  <w:tcW w:w="279" w:type="pct"/>
                  <w:vMerge w:val="continue"/>
                  <w:noWrap w:val="0"/>
                  <w:vAlign w:val="center"/>
                </w:tcPr>
                <w:p w14:paraId="09D74F82">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eastAsia" w:ascii="Times New Roman" w:hAnsi="Times New Roman" w:cs="Times New Roman"/>
                      <w:b w:val="0"/>
                      <w:bCs w:val="0"/>
                      <w:color w:val="auto"/>
                      <w:sz w:val="21"/>
                      <w:szCs w:val="21"/>
                      <w:highlight w:val="none"/>
                      <w:lang w:val="en-US" w:eastAsia="zh-CN"/>
                    </w:rPr>
                  </w:pPr>
                </w:p>
              </w:tc>
              <w:tc>
                <w:tcPr>
                  <w:tcW w:w="599" w:type="pct"/>
                  <w:shd w:val="clear" w:color="auto" w:fill="auto"/>
                  <w:noWrap w:val="0"/>
                  <w:vAlign w:val="center"/>
                </w:tcPr>
                <w:p w14:paraId="07B1391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废机油</w:t>
                  </w:r>
                </w:p>
              </w:tc>
              <w:tc>
                <w:tcPr>
                  <w:tcW w:w="659" w:type="pct"/>
                  <w:shd w:val="clear" w:color="auto" w:fill="auto"/>
                  <w:noWrap w:val="0"/>
                  <w:vAlign w:val="center"/>
                </w:tcPr>
                <w:p w14:paraId="4563792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设备维修</w:t>
                  </w:r>
                </w:p>
              </w:tc>
              <w:tc>
                <w:tcPr>
                  <w:tcW w:w="523" w:type="pct"/>
                  <w:noWrap w:val="0"/>
                  <w:vAlign w:val="center"/>
                </w:tcPr>
                <w:p w14:paraId="06D6163A">
                  <w:pPr>
                    <w:pStyle w:val="38"/>
                    <w:keepNext w:val="0"/>
                    <w:keepLines w:val="0"/>
                    <w:suppressLineNumbers w:val="0"/>
                    <w:bidi w:val="0"/>
                    <w:spacing w:before="0" w:beforeAutospacing="0" w:after="0" w:afterAutospacing="0"/>
                    <w:ind w:left="0" w:right="0" w:firstLine="0" w:firstLineChars="0"/>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w:t>
                  </w:r>
                </w:p>
              </w:tc>
              <w:tc>
                <w:tcPr>
                  <w:tcW w:w="858" w:type="pct"/>
                  <w:noWrap w:val="0"/>
                  <w:vAlign w:val="center"/>
                </w:tcPr>
                <w:p w14:paraId="34E999FD">
                  <w:pPr>
                    <w:pStyle w:val="38"/>
                    <w:keepNext w:val="0"/>
                    <w:keepLines w:val="0"/>
                    <w:suppressLineNumbers w:val="0"/>
                    <w:bidi w:val="0"/>
                    <w:spacing w:before="0" w:beforeAutospacing="0" w:after="0" w:afterAutospacing="0"/>
                    <w:ind w:left="0" w:right="0" w:firstLine="0" w:firstLineChars="0"/>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废机油</w:t>
                  </w:r>
                </w:p>
              </w:tc>
              <w:tc>
                <w:tcPr>
                  <w:tcW w:w="1899" w:type="pct"/>
                  <w:vMerge w:val="continue"/>
                  <w:noWrap w:val="0"/>
                  <w:vAlign w:val="center"/>
                </w:tcPr>
                <w:p w14:paraId="4FDDDB64">
                  <w:pPr>
                    <w:pStyle w:val="15"/>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bidi="ar-SA"/>
                    </w:rPr>
                  </w:pPr>
                </w:p>
              </w:tc>
            </w:tr>
            <w:tr w14:paraId="2559C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81" w:type="pct"/>
                  <w:vMerge w:val="continue"/>
                  <w:noWrap w:val="0"/>
                  <w:vAlign w:val="center"/>
                </w:tcPr>
                <w:p w14:paraId="63590CD6">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p>
              </w:tc>
              <w:tc>
                <w:tcPr>
                  <w:tcW w:w="279" w:type="pct"/>
                  <w:vMerge w:val="continue"/>
                  <w:noWrap w:val="0"/>
                  <w:vAlign w:val="center"/>
                </w:tcPr>
                <w:p w14:paraId="21052D8A">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p>
              </w:tc>
              <w:tc>
                <w:tcPr>
                  <w:tcW w:w="599" w:type="pct"/>
                  <w:shd w:val="clear" w:color="auto" w:fill="auto"/>
                  <w:noWrap w:val="0"/>
                  <w:vAlign w:val="center"/>
                </w:tcPr>
                <w:p w14:paraId="43AEE53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废活性炭</w:t>
                  </w:r>
                </w:p>
              </w:tc>
              <w:tc>
                <w:tcPr>
                  <w:tcW w:w="659" w:type="pct"/>
                  <w:shd w:val="clear" w:color="auto" w:fill="auto"/>
                  <w:noWrap w:val="0"/>
                  <w:vAlign w:val="center"/>
                </w:tcPr>
                <w:p w14:paraId="4293BF1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废气治理</w:t>
                  </w:r>
                </w:p>
              </w:tc>
              <w:tc>
                <w:tcPr>
                  <w:tcW w:w="523" w:type="pct"/>
                  <w:noWrap w:val="0"/>
                  <w:vAlign w:val="center"/>
                </w:tcPr>
                <w:p w14:paraId="3FA4AD7E">
                  <w:pPr>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jc w:val="center"/>
                    <w:textAlignment w:val="auto"/>
                    <w:rPr>
                      <w:rFonts w:hint="default" w:ascii="Times New Roman" w:hAnsi="Times New Roman" w:cs="Times New Roman"/>
                      <w:b w:val="0"/>
                      <w:bCs/>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w:t>
                  </w:r>
                </w:p>
              </w:tc>
              <w:tc>
                <w:tcPr>
                  <w:tcW w:w="858" w:type="pct"/>
                  <w:noWrap w:val="0"/>
                  <w:vAlign w:val="center"/>
                </w:tcPr>
                <w:p w14:paraId="6DF8E03B">
                  <w:pPr>
                    <w:pStyle w:val="38"/>
                    <w:keepNext w:val="0"/>
                    <w:keepLines w:val="0"/>
                    <w:pageBreakBefore w:val="0"/>
                    <w:widowControl w:val="0"/>
                    <w:suppressLineNumbers w:val="0"/>
                    <w:kinsoku/>
                    <w:wordWrap/>
                    <w:overflowPunct/>
                    <w:topLinePunct/>
                    <w:autoSpaceDE/>
                    <w:autoSpaceDN/>
                    <w:bidi w:val="0"/>
                    <w:adjustRightInd w:val="0"/>
                    <w:snapToGrid w:val="0"/>
                    <w:spacing w:before="95" w:beforeLines="30" w:beforeAutospacing="0" w:after="95" w:afterLines="30" w:afterAutospacing="0"/>
                    <w:ind w:left="0" w:leftChars="0" w:right="0" w:rightChars="0" w:firstLine="0" w:firstLineChars="0"/>
                    <w:textAlignment w:val="auto"/>
                    <w:rPr>
                      <w:rFonts w:hint="eastAsia" w:ascii="Times New Roman" w:hAnsi="Times New Roman" w:cs="Times New Roman"/>
                      <w:b w:val="0"/>
                      <w:bCs/>
                      <w:color w:val="auto"/>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bidi="ar-SA"/>
                    </w:rPr>
                    <w:t>有机废气</w:t>
                  </w:r>
                </w:p>
              </w:tc>
              <w:tc>
                <w:tcPr>
                  <w:tcW w:w="1899" w:type="pct"/>
                  <w:vMerge w:val="continue"/>
                  <w:noWrap w:val="0"/>
                  <w:vAlign w:val="center"/>
                </w:tcPr>
                <w:p w14:paraId="75B51982">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r>
            <w:tr w14:paraId="132C0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81" w:type="pct"/>
                  <w:vMerge w:val="continue"/>
                  <w:noWrap w:val="0"/>
                  <w:vAlign w:val="center"/>
                </w:tcPr>
                <w:p w14:paraId="1982F372">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p>
              </w:tc>
              <w:tc>
                <w:tcPr>
                  <w:tcW w:w="279" w:type="pct"/>
                  <w:vMerge w:val="continue"/>
                  <w:noWrap w:val="0"/>
                  <w:vAlign w:val="center"/>
                </w:tcPr>
                <w:p w14:paraId="0E58DE0E">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p>
              </w:tc>
              <w:tc>
                <w:tcPr>
                  <w:tcW w:w="599" w:type="pct"/>
                  <w:shd w:val="clear" w:color="auto" w:fill="auto"/>
                  <w:noWrap w:val="0"/>
                  <w:vAlign w:val="center"/>
                </w:tcPr>
                <w:p w14:paraId="19F627DE">
                  <w:pPr>
                    <w:keepNext w:val="0"/>
                    <w:keepLines w:val="0"/>
                    <w:widowControl w:val="0"/>
                    <w:suppressLineNumbers w:val="0"/>
                    <w:topLinePunct/>
                    <w:bidi w:val="0"/>
                    <w:adjustRightInd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机油桶</w:t>
                  </w:r>
                </w:p>
              </w:tc>
              <w:tc>
                <w:tcPr>
                  <w:tcW w:w="659" w:type="pct"/>
                  <w:shd w:val="clear" w:color="auto" w:fill="auto"/>
                  <w:noWrap w:val="0"/>
                  <w:vAlign w:val="center"/>
                </w:tcPr>
                <w:p w14:paraId="034C5F5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设备维修</w:t>
                  </w:r>
                </w:p>
              </w:tc>
              <w:tc>
                <w:tcPr>
                  <w:tcW w:w="523" w:type="pct"/>
                  <w:noWrap w:val="0"/>
                  <w:vAlign w:val="center"/>
                </w:tcPr>
                <w:p w14:paraId="32706AC2">
                  <w:pPr>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jc w:val="center"/>
                    <w:textAlignment w:val="auto"/>
                    <w:rPr>
                      <w:rFonts w:hint="eastAsia" w:cs="Times New Roman"/>
                      <w:b w:val="0"/>
                      <w:bCs/>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w:t>
                  </w:r>
                </w:p>
              </w:tc>
              <w:tc>
                <w:tcPr>
                  <w:tcW w:w="858" w:type="pct"/>
                  <w:noWrap w:val="0"/>
                  <w:vAlign w:val="center"/>
                </w:tcPr>
                <w:p w14:paraId="29C40C89">
                  <w:pPr>
                    <w:pStyle w:val="38"/>
                    <w:keepNext w:val="0"/>
                    <w:keepLines w:val="0"/>
                    <w:suppressLineNumbers w:val="0"/>
                    <w:bidi w:val="0"/>
                    <w:spacing w:before="0" w:beforeAutospacing="0" w:after="0" w:afterAutospacing="0"/>
                    <w:ind w:left="0" w:right="0" w:firstLine="0" w:firstLineChars="0"/>
                    <w:rPr>
                      <w:rFonts w:hint="default" w:ascii="Times New Roman" w:hAnsi="Times New Roman"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机油桶</w:t>
                  </w:r>
                </w:p>
              </w:tc>
              <w:tc>
                <w:tcPr>
                  <w:tcW w:w="1899" w:type="pct"/>
                  <w:vMerge w:val="restart"/>
                  <w:noWrap w:val="0"/>
                  <w:vAlign w:val="center"/>
                </w:tcPr>
                <w:p w14:paraId="2EDBCD06">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包装完好的厂家回收，</w:t>
                  </w:r>
                  <w:r>
                    <w:rPr>
                      <w:rFonts w:hint="eastAsia" w:ascii="Times New Roman" w:hAnsi="Times New Roman" w:eastAsia="宋体" w:cs="Times New Roman"/>
                      <w:b w:val="0"/>
                      <w:bCs w:val="0"/>
                      <w:color w:val="auto"/>
                      <w:kern w:val="2"/>
                      <w:sz w:val="21"/>
                      <w:szCs w:val="21"/>
                      <w:highlight w:val="none"/>
                      <w:lang w:val="en-US" w:eastAsia="zh-CN" w:bidi="ar-SA"/>
                    </w:rPr>
                    <w:t>破损严重</w:t>
                  </w:r>
                  <w:r>
                    <w:rPr>
                      <w:rFonts w:hint="eastAsia" w:cs="Times New Roman"/>
                      <w:b w:val="0"/>
                      <w:bCs w:val="0"/>
                      <w:color w:val="auto"/>
                      <w:sz w:val="21"/>
                      <w:szCs w:val="21"/>
                      <w:highlight w:val="none"/>
                      <w:lang w:val="en-US" w:eastAsia="zh-CN" w:bidi="ar-SA"/>
                    </w:rPr>
                    <w:t>的当作危废交由有资质单位处置</w:t>
                  </w:r>
                </w:p>
              </w:tc>
            </w:tr>
            <w:tr w14:paraId="24715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81" w:type="pct"/>
                  <w:vMerge w:val="continue"/>
                  <w:noWrap w:val="0"/>
                  <w:vAlign w:val="center"/>
                </w:tcPr>
                <w:p w14:paraId="666A0D68">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p>
              </w:tc>
              <w:tc>
                <w:tcPr>
                  <w:tcW w:w="279" w:type="pct"/>
                  <w:vMerge w:val="continue"/>
                  <w:noWrap w:val="0"/>
                  <w:vAlign w:val="center"/>
                </w:tcPr>
                <w:p w14:paraId="70396030">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p>
              </w:tc>
              <w:tc>
                <w:tcPr>
                  <w:tcW w:w="599" w:type="pct"/>
                  <w:shd w:val="clear" w:color="auto" w:fill="auto"/>
                  <w:noWrap w:val="0"/>
                  <w:vAlign w:val="center"/>
                </w:tcPr>
                <w:p w14:paraId="66BFE11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废油剂桶</w:t>
                  </w:r>
                </w:p>
              </w:tc>
              <w:tc>
                <w:tcPr>
                  <w:tcW w:w="659" w:type="pct"/>
                  <w:shd w:val="clear" w:color="auto" w:fill="auto"/>
                  <w:noWrap w:val="0"/>
                  <w:vAlign w:val="center"/>
                </w:tcPr>
                <w:p w14:paraId="746B956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加弹工序</w:t>
                  </w:r>
                </w:p>
              </w:tc>
              <w:tc>
                <w:tcPr>
                  <w:tcW w:w="523" w:type="pct"/>
                  <w:noWrap w:val="0"/>
                  <w:vAlign w:val="center"/>
                </w:tcPr>
                <w:p w14:paraId="01435410">
                  <w:pPr>
                    <w:pStyle w:val="38"/>
                    <w:keepNext w:val="0"/>
                    <w:keepLines w:val="0"/>
                    <w:suppressLineNumbers w:val="0"/>
                    <w:bidi w:val="0"/>
                    <w:spacing w:before="0" w:beforeAutospacing="0" w:after="0" w:afterAutospacing="0"/>
                    <w:ind w:left="0" w:leftChars="0" w:right="0" w:rightChars="0" w:firstLine="0" w:firstLineChars="0"/>
                    <w:rPr>
                      <w:rFonts w:hint="eastAsia" w:cs="Times New Roman"/>
                      <w:b w:val="0"/>
                      <w:bCs/>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w:t>
                  </w:r>
                </w:p>
              </w:tc>
              <w:tc>
                <w:tcPr>
                  <w:tcW w:w="858" w:type="pct"/>
                  <w:noWrap w:val="0"/>
                  <w:vAlign w:val="center"/>
                </w:tcPr>
                <w:p w14:paraId="26FA2211">
                  <w:pPr>
                    <w:pStyle w:val="38"/>
                    <w:keepNext w:val="0"/>
                    <w:keepLines w:val="0"/>
                    <w:suppressLineNumbers w:val="0"/>
                    <w:bidi w:val="0"/>
                    <w:spacing w:before="0" w:beforeAutospacing="0" w:after="0" w:afterAutospacing="0"/>
                    <w:ind w:left="0" w:right="0" w:firstLine="0" w:firstLineChars="0"/>
                    <w:rPr>
                      <w:rFonts w:hint="default"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油剂桶</w:t>
                  </w:r>
                </w:p>
              </w:tc>
              <w:tc>
                <w:tcPr>
                  <w:tcW w:w="1899" w:type="pct"/>
                  <w:vMerge w:val="continue"/>
                  <w:noWrap w:val="0"/>
                  <w:vAlign w:val="center"/>
                </w:tcPr>
                <w:p w14:paraId="2DDC63AD">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r>
            <w:tr w14:paraId="5772B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81" w:type="pct"/>
                  <w:vMerge w:val="continue"/>
                  <w:noWrap w:val="0"/>
                  <w:vAlign w:val="center"/>
                </w:tcPr>
                <w:p w14:paraId="284FCE9B">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p>
              </w:tc>
              <w:tc>
                <w:tcPr>
                  <w:tcW w:w="279" w:type="pct"/>
                  <w:vMerge w:val="continue"/>
                  <w:noWrap w:val="0"/>
                  <w:vAlign w:val="center"/>
                </w:tcPr>
                <w:p w14:paraId="42FA2A17">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p>
              </w:tc>
              <w:tc>
                <w:tcPr>
                  <w:tcW w:w="599" w:type="pct"/>
                  <w:shd w:val="clear" w:color="auto" w:fill="auto"/>
                  <w:noWrap w:val="0"/>
                  <w:vAlign w:val="center"/>
                </w:tcPr>
                <w:p w14:paraId="3E98EA2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废含油抹布和废含油手套</w:t>
                  </w:r>
                </w:p>
              </w:tc>
              <w:tc>
                <w:tcPr>
                  <w:tcW w:w="659" w:type="pct"/>
                  <w:shd w:val="clear" w:color="auto" w:fill="auto"/>
                  <w:noWrap w:val="0"/>
                  <w:vAlign w:val="center"/>
                </w:tcPr>
                <w:p w14:paraId="0907174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设备维修</w:t>
                  </w:r>
                </w:p>
              </w:tc>
              <w:tc>
                <w:tcPr>
                  <w:tcW w:w="523" w:type="pct"/>
                  <w:noWrap w:val="0"/>
                  <w:vAlign w:val="center"/>
                </w:tcPr>
                <w:p w14:paraId="1C1FF2CD">
                  <w:pPr>
                    <w:pStyle w:val="38"/>
                    <w:keepNext w:val="0"/>
                    <w:keepLines w:val="0"/>
                    <w:suppressLineNumbers w:val="0"/>
                    <w:bidi w:val="0"/>
                    <w:spacing w:before="0" w:beforeAutospacing="0" w:after="0" w:afterAutospacing="0"/>
                    <w:ind w:left="0" w:leftChars="0" w:right="0" w:rightChars="0" w:firstLine="0" w:firstLineChars="0"/>
                    <w:rPr>
                      <w:rFonts w:hint="eastAsia" w:cs="Times New Roman"/>
                      <w:b w:val="0"/>
                      <w:bCs/>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w:t>
                  </w:r>
                </w:p>
              </w:tc>
              <w:tc>
                <w:tcPr>
                  <w:tcW w:w="858" w:type="pct"/>
                  <w:noWrap w:val="0"/>
                  <w:vAlign w:val="center"/>
                </w:tcPr>
                <w:p w14:paraId="7CFE6D37">
                  <w:pPr>
                    <w:pStyle w:val="38"/>
                    <w:keepNext w:val="0"/>
                    <w:keepLines w:val="0"/>
                    <w:suppressLineNumbers w:val="0"/>
                    <w:bidi w:val="0"/>
                    <w:spacing w:before="0" w:beforeAutospacing="0" w:after="0" w:afterAutospacing="0"/>
                    <w:ind w:left="0" w:right="0" w:firstLine="0" w:firstLineChars="0"/>
                    <w:rPr>
                      <w:rFonts w:hint="eastAsia" w:cs="Times New Roman"/>
                      <w:b w:val="0"/>
                      <w:bCs/>
                      <w:color w:val="auto"/>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废含油抹布和废含油手套</w:t>
                  </w:r>
                </w:p>
              </w:tc>
              <w:tc>
                <w:tcPr>
                  <w:tcW w:w="1899" w:type="pct"/>
                  <w:noWrap w:val="0"/>
                  <w:vAlign w:val="center"/>
                </w:tcPr>
                <w:p w14:paraId="24F24B28">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r>
                    <w:rPr>
                      <w:rFonts w:hint="eastAsia" w:cs="Times New Roman"/>
                      <w:b w:val="0"/>
                      <w:bCs w:val="0"/>
                      <w:color w:val="auto"/>
                      <w:sz w:val="21"/>
                      <w:szCs w:val="21"/>
                      <w:highlight w:val="none"/>
                      <w:lang w:val="en-US" w:eastAsia="zh-CN"/>
                    </w:rPr>
                    <w:t>收集后定期交由有资质单位处置</w:t>
                  </w:r>
                </w:p>
              </w:tc>
            </w:tr>
          </w:tbl>
          <w:p w14:paraId="446D6FAC">
            <w:pPr>
              <w:pStyle w:val="42"/>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13"/>
                <w:szCs w:val="13"/>
                <w:highlight w:val="none"/>
                <w:lang w:val="en-US" w:eastAsia="zh-CN"/>
              </w:rPr>
            </w:pPr>
          </w:p>
        </w:tc>
      </w:tr>
      <w:tr w14:paraId="2E595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494" w:hRule="atLeast"/>
          <w:jc w:val="center"/>
        </w:trPr>
        <w:tc>
          <w:tcPr>
            <w:tcW w:w="634" w:type="dxa"/>
            <w:noWrap w:val="0"/>
            <w:vAlign w:val="center"/>
          </w:tcPr>
          <w:p w14:paraId="50B0E732">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与项目有关的原有环境污染问题</w:t>
            </w:r>
          </w:p>
        </w:tc>
        <w:tc>
          <w:tcPr>
            <w:tcW w:w="9118" w:type="dxa"/>
            <w:noWrap w:val="0"/>
            <w:vAlign w:val="top"/>
          </w:tcPr>
          <w:p w14:paraId="7C5E44CD">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cs="Times New Roman"/>
                <w:color w:val="auto"/>
                <w:highlight w:val="none"/>
                <w:lang w:eastAsia="zh-CN"/>
              </w:rPr>
            </w:pPr>
            <w:r>
              <w:rPr>
                <w:rFonts w:hint="default" w:ascii="Times New Roman" w:hAnsi="Times New Roman" w:cs="Times New Roman"/>
                <w:color w:val="auto"/>
                <w:lang w:val="en-US" w:eastAsia="zh-CN"/>
              </w:rPr>
              <w:t>项目</w:t>
            </w:r>
            <w:r>
              <w:rPr>
                <w:rFonts w:hint="default" w:ascii="Times New Roman" w:hAnsi="Times New Roman" w:eastAsia="宋体" w:cs="Times New Roman"/>
                <w:color w:val="auto"/>
                <w:kern w:val="0"/>
                <w:sz w:val="24"/>
                <w:szCs w:val="24"/>
                <w:highlight w:val="none"/>
                <w:lang w:val="en-US" w:eastAsia="zh-CN" w:bidi="ar"/>
              </w:rPr>
              <w:t>位于</w:t>
            </w:r>
            <w:r>
              <w:rPr>
                <w:rFonts w:hint="eastAsia" w:cs="Times New Roman"/>
                <w:color w:val="auto"/>
                <w:kern w:val="0"/>
                <w:sz w:val="24"/>
                <w:szCs w:val="24"/>
                <w:highlight w:val="none"/>
                <w:lang w:val="en-US" w:eastAsia="zh-CN" w:bidi="ar"/>
              </w:rPr>
              <w:t>安徽省蚌埠市五河县开发区彩虹大道与兴潼路交口西80米</w:t>
            </w:r>
            <w:r>
              <w:rPr>
                <w:rFonts w:hint="eastAsia" w:cs="Times New Roman"/>
                <w:color w:val="auto"/>
                <w:lang w:val="en-US" w:eastAsia="zh-CN"/>
              </w:rPr>
              <w:t>，</w:t>
            </w:r>
            <w:r>
              <w:rPr>
                <w:rFonts w:hint="default" w:ascii="Times New Roman" w:hAnsi="Times New Roman" w:cs="Times New Roman"/>
                <w:color w:val="auto"/>
                <w:lang w:val="en-US" w:eastAsia="zh-CN"/>
              </w:rPr>
              <w:t>现场无与项目有关的原有环境污染问题。</w:t>
            </w:r>
          </w:p>
          <w:p w14:paraId="76C7F3E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highlight w:val="none"/>
                <w:lang w:val="en-US" w:eastAsia="zh-CN"/>
              </w:rPr>
            </w:pPr>
          </w:p>
          <w:p w14:paraId="14BB448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default" w:ascii="Times New Roman" w:hAnsi="Times New Roman" w:cs="Times New Roman"/>
                <w:color w:val="auto"/>
                <w:highlight w:val="none"/>
                <w:lang w:val="en-US" w:eastAsia="zh-CN"/>
              </w:rPr>
            </w:pPr>
          </w:p>
        </w:tc>
      </w:tr>
    </w:tbl>
    <w:p w14:paraId="2E6610FA">
      <w:pPr>
        <w:pStyle w:val="42"/>
        <w:keepNext w:val="0"/>
        <w:keepLines w:val="0"/>
        <w:pageBreakBefore w:val="0"/>
        <w:widowControl w:val="0"/>
        <w:shd w:val="clear" w:color="auto" w:fill="auto"/>
        <w:kinsoku/>
        <w:wordWrap/>
        <w:overflowPunct/>
        <w:topLinePunct/>
        <w:autoSpaceDE/>
        <w:autoSpaceDN/>
        <w:bidi w:val="0"/>
        <w:adjustRightInd w:val="0"/>
        <w:snapToGrid w:val="0"/>
        <w:ind w:firstLine="0" w:firstLineChars="0"/>
        <w:textAlignment w:val="auto"/>
        <w:rPr>
          <w:rFonts w:hint="default" w:ascii="Times New Roman" w:hAnsi="Times New Roman" w:cs="Times New Roman"/>
          <w:color w:val="auto"/>
          <w:highlight w:val="none"/>
        </w:rPr>
        <w:sectPr>
          <w:pgSz w:w="11906" w:h="16838"/>
          <w:pgMar w:top="1134" w:right="1134" w:bottom="1134" w:left="1134" w:header="737" w:footer="737" w:gutter="0"/>
          <w:pgBorders>
            <w:top w:val="none" w:sz="0" w:space="0"/>
            <w:left w:val="none" w:sz="0" w:space="0"/>
            <w:bottom w:val="none" w:sz="0" w:space="0"/>
            <w:right w:val="none" w:sz="0" w:space="0"/>
          </w:pgBorders>
          <w:pgNumType w:fmt="decimal"/>
          <w:cols w:space="0" w:num="1"/>
          <w:rtlGutter w:val="0"/>
          <w:docGrid w:linePitch="312" w:charSpace="0"/>
        </w:sectPr>
      </w:pPr>
    </w:p>
    <w:p w14:paraId="71AB3A44">
      <w:pPr>
        <w:pStyle w:val="5"/>
        <w:keepLines w:val="0"/>
        <w:pageBreakBefore w:val="0"/>
        <w:kinsoku/>
        <w:wordWrap/>
        <w:bidi w:val="0"/>
        <w:adjustRightInd w:val="0"/>
        <w:snapToGri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三、区域环境质量现状、环境保护目标及评价标准</w:t>
      </w:r>
    </w:p>
    <w:tbl>
      <w:tblPr>
        <w:tblStyle w:val="26"/>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517"/>
        <w:gridCol w:w="9234"/>
      </w:tblGrid>
      <w:tr w14:paraId="5A66F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041" w:hRule="atLeast"/>
          <w:jc w:val="center"/>
        </w:trPr>
        <w:tc>
          <w:tcPr>
            <w:tcW w:w="680" w:type="dxa"/>
            <w:noWrap w:val="0"/>
            <w:vAlign w:val="center"/>
          </w:tcPr>
          <w:p w14:paraId="3F3EE06D">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72" w:leftChars="-30" w:right="-72" w:rightChars="-30"/>
              <w:jc w:val="center"/>
              <w:textAlignment w:val="auto"/>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highlight w:val="none"/>
              </w:rPr>
              <w:t>区域</w:t>
            </w:r>
          </w:p>
          <w:p w14:paraId="16BA0A17">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72" w:leftChars="-30" w:right="-72" w:rightChars="-30"/>
              <w:jc w:val="center"/>
              <w:textAlignment w:val="auto"/>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highlight w:val="none"/>
              </w:rPr>
              <w:t>环境</w:t>
            </w:r>
          </w:p>
          <w:p w14:paraId="7D739663">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72" w:leftChars="-30" w:right="-72" w:rightChars="-30"/>
              <w:jc w:val="center"/>
              <w:textAlignment w:val="auto"/>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highlight w:val="none"/>
              </w:rPr>
              <w:t>质量</w:t>
            </w:r>
          </w:p>
          <w:p w14:paraId="6AA4FD13">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72" w:leftChars="-30" w:right="-72" w:rightChars="-30"/>
              <w:jc w:val="center"/>
              <w:textAlignment w:val="auto"/>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highlight w:val="none"/>
              </w:rPr>
              <w:t>现状</w:t>
            </w:r>
          </w:p>
        </w:tc>
        <w:tc>
          <w:tcPr>
            <w:tcW w:w="9071" w:type="dxa"/>
            <w:noWrap w:val="0"/>
            <w:vAlign w:val="center"/>
          </w:tcPr>
          <w:p w14:paraId="1A67DD38">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1、大气环境</w:t>
            </w:r>
          </w:p>
          <w:p w14:paraId="581B3B30">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highlight w:val="none"/>
              </w:rPr>
              <w:t>（1）</w:t>
            </w:r>
            <w:r>
              <w:rPr>
                <w:rFonts w:hint="default" w:ascii="Times New Roman" w:hAnsi="Times New Roman" w:eastAsia="宋体" w:cs="Times New Roman"/>
                <w:color w:val="auto"/>
                <w:sz w:val="24"/>
                <w:szCs w:val="24"/>
                <w:highlight w:val="none"/>
                <w:lang w:eastAsia="zh-CN"/>
              </w:rPr>
              <w:t>基本污染物</w:t>
            </w:r>
          </w:p>
          <w:p w14:paraId="1CAC8F94">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依据《环境影响评价技术导则--大气环境》（HJ2.2-2018），项目所在区域达标情况判定，优先采用国家或地方生态环境主管部门公开发布的评价基准年环境质量公告或环境质量报告中的数据或结论。</w:t>
            </w:r>
          </w:p>
          <w:p w14:paraId="3F7FA74A">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项目位于</w:t>
            </w:r>
            <w:r>
              <w:rPr>
                <w:rFonts w:hint="eastAsia" w:cs="Times New Roman"/>
                <w:color w:val="auto"/>
                <w:highlight w:val="none"/>
                <w:lang w:val="en-US" w:eastAsia="zh-CN"/>
              </w:rPr>
              <w:t>五河县，</w:t>
            </w:r>
            <w:r>
              <w:rPr>
                <w:rFonts w:hint="default" w:ascii="Times New Roman" w:hAnsi="Times New Roman" w:cs="Times New Roman"/>
                <w:color w:val="auto"/>
                <w:highlight w:val="none"/>
              </w:rPr>
              <w:t>项目评价基准年为</w:t>
            </w:r>
            <w:r>
              <w:rPr>
                <w:rFonts w:hint="eastAsia" w:cs="Times New Roman"/>
                <w:color w:val="auto"/>
                <w:highlight w:val="none"/>
                <w:lang w:eastAsia="zh-CN"/>
              </w:rPr>
              <w:t>202</w:t>
            </w:r>
            <w:r>
              <w:rPr>
                <w:rFonts w:hint="eastAsia" w:cs="Times New Roman"/>
                <w:color w:val="auto"/>
                <w:highlight w:val="none"/>
                <w:lang w:val="en-US" w:eastAsia="zh-CN"/>
              </w:rPr>
              <w:t>4</w:t>
            </w:r>
            <w:r>
              <w:rPr>
                <w:rFonts w:hint="eastAsia" w:cs="Times New Roman"/>
                <w:color w:val="auto"/>
                <w:highlight w:val="none"/>
                <w:lang w:eastAsia="zh-CN"/>
              </w:rPr>
              <w:t>年</w:t>
            </w:r>
            <w:r>
              <w:rPr>
                <w:rFonts w:hint="default" w:ascii="Times New Roman" w:hAnsi="Times New Roman" w:cs="Times New Roman"/>
                <w:color w:val="auto"/>
                <w:highlight w:val="none"/>
              </w:rPr>
              <w:t>，</w:t>
            </w:r>
            <w:r>
              <w:rPr>
                <w:rFonts w:hint="eastAsia" w:cs="Times New Roman"/>
                <w:color w:val="auto"/>
                <w:highlight w:val="none"/>
                <w:lang w:val="en-US" w:eastAsia="zh-CN"/>
              </w:rPr>
              <w:t>根据五河县</w:t>
            </w:r>
            <w:r>
              <w:rPr>
                <w:rFonts w:hint="eastAsia" w:cs="Times New Roman"/>
                <w:color w:val="auto"/>
                <w:highlight w:val="none"/>
                <w:lang w:eastAsia="zh-CN"/>
              </w:rPr>
              <w:t>202</w:t>
            </w:r>
            <w:r>
              <w:rPr>
                <w:rFonts w:hint="eastAsia" w:cs="Times New Roman"/>
                <w:color w:val="auto"/>
                <w:highlight w:val="none"/>
                <w:lang w:val="en-US" w:eastAsia="zh-CN"/>
              </w:rPr>
              <w:t>4</w:t>
            </w:r>
            <w:r>
              <w:rPr>
                <w:rFonts w:hint="eastAsia" w:cs="Times New Roman"/>
                <w:color w:val="auto"/>
                <w:highlight w:val="none"/>
                <w:lang w:eastAsia="zh-CN"/>
              </w:rPr>
              <w:t>年</w:t>
            </w:r>
            <w:r>
              <w:rPr>
                <w:rFonts w:hint="default" w:ascii="Times New Roman" w:hAnsi="Times New Roman" w:cs="Times New Roman"/>
                <w:color w:val="auto"/>
                <w:highlight w:val="none"/>
              </w:rPr>
              <w:t>环境空气质量状况</w:t>
            </w:r>
            <w:r>
              <w:rPr>
                <w:rFonts w:hint="eastAsia" w:cs="Times New Roman"/>
                <w:color w:val="auto"/>
                <w:highlight w:val="none"/>
                <w:lang w:val="en-US" w:eastAsia="zh-CN"/>
              </w:rPr>
              <w:t>可知</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rPr>
              <w:t>蚌埠市</w:t>
            </w:r>
            <w:r>
              <w:rPr>
                <w:rFonts w:hint="eastAsia" w:cs="Times New Roman"/>
                <w:color w:val="auto"/>
                <w:highlight w:val="none"/>
                <w:lang w:eastAsia="zh-CN"/>
              </w:rPr>
              <w:t>202</w:t>
            </w:r>
            <w:r>
              <w:rPr>
                <w:rFonts w:hint="eastAsia" w:cs="Times New Roman"/>
                <w:color w:val="auto"/>
                <w:highlight w:val="none"/>
                <w:lang w:val="en-US" w:eastAsia="zh-CN"/>
              </w:rPr>
              <w:t>4</w:t>
            </w:r>
            <w:r>
              <w:rPr>
                <w:rFonts w:hint="eastAsia" w:cs="Times New Roman"/>
                <w:color w:val="auto"/>
                <w:highlight w:val="none"/>
                <w:lang w:eastAsia="zh-CN"/>
              </w:rPr>
              <w:t>年</w:t>
            </w:r>
            <w:r>
              <w:rPr>
                <w:rFonts w:hint="default" w:ascii="Times New Roman" w:hAnsi="Times New Roman" w:eastAsia="宋体" w:cs="Times New Roman"/>
                <w:color w:val="auto"/>
                <w:highlight w:val="none"/>
              </w:rPr>
              <w:t>S</w:t>
            </w:r>
            <w:r>
              <w:rPr>
                <w:rFonts w:hint="default" w:ascii="Times New Roman" w:hAnsi="Times New Roman" w:eastAsia="宋体" w:cs="Times New Roman"/>
                <w:color w:val="auto"/>
                <w:highlight w:val="none"/>
                <w:lang w:eastAsia="zh-CN"/>
              </w:rPr>
              <w:t>O₂</w:t>
            </w:r>
            <w:r>
              <w:rPr>
                <w:rFonts w:hint="default" w:ascii="Times New Roman" w:hAnsi="Times New Roman" w:eastAsia="宋体" w:cs="Times New Roman"/>
                <w:color w:val="auto"/>
                <w:highlight w:val="none"/>
              </w:rPr>
              <w:t>、N</w:t>
            </w:r>
            <w:r>
              <w:rPr>
                <w:rFonts w:hint="default" w:ascii="Times New Roman" w:hAnsi="Times New Roman" w:eastAsia="宋体" w:cs="Times New Roman"/>
                <w:color w:val="auto"/>
                <w:highlight w:val="none"/>
                <w:lang w:eastAsia="zh-CN"/>
              </w:rPr>
              <w:t>O₂</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CO</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O</w:t>
            </w:r>
            <w:r>
              <w:rPr>
                <w:rFonts w:hint="eastAsia" w:cs="Times New Roman"/>
                <w:color w:val="auto"/>
                <w:highlight w:val="none"/>
                <w:vertAlign w:val="subscript"/>
                <w:lang w:val="en-US" w:eastAsia="zh-CN"/>
              </w:rPr>
              <w:t>3</w:t>
            </w:r>
            <w:r>
              <w:rPr>
                <w:rFonts w:hint="eastAsia" w:cs="Times New Roman"/>
                <w:color w:val="auto"/>
                <w:highlight w:val="none"/>
                <w:vertAlign w:val="baseline"/>
                <w:lang w:val="en-US" w:eastAsia="zh-CN"/>
              </w:rPr>
              <w:t>、</w:t>
            </w:r>
            <w:r>
              <w:rPr>
                <w:rFonts w:hint="eastAsia" w:ascii="宋体" w:hAnsi="宋体" w:eastAsia="宋体" w:cs="宋体"/>
                <w:i w:val="0"/>
                <w:iCs w:val="0"/>
                <w:caps w:val="0"/>
                <w:color w:val="000000"/>
                <w:spacing w:val="0"/>
                <w:sz w:val="24"/>
                <w:szCs w:val="24"/>
                <w:shd w:val="clear" w:fill="FFFFFF"/>
              </w:rPr>
              <w:t>可吸入颗粒物</w:t>
            </w:r>
            <w:r>
              <w:rPr>
                <w:rFonts w:hint="eastAsia" w:ascii="宋体" w:hAnsi="宋体" w:eastAsia="宋体" w:cs="宋体"/>
                <w:i w:val="0"/>
                <w:iCs w:val="0"/>
                <w:caps w:val="0"/>
                <w:color w:val="000000"/>
                <w:spacing w:val="0"/>
                <w:sz w:val="24"/>
                <w:szCs w:val="24"/>
                <w:shd w:val="clear" w:fill="FFFFFF"/>
                <w:lang w:eastAsia="zh-CN"/>
              </w:rPr>
              <w:t>、</w:t>
            </w:r>
            <w:r>
              <w:rPr>
                <w:rFonts w:hint="eastAsia" w:ascii="宋体" w:hAnsi="宋体" w:eastAsia="宋体" w:cs="宋体"/>
                <w:i w:val="0"/>
                <w:iCs w:val="0"/>
                <w:caps w:val="0"/>
                <w:color w:val="000000"/>
                <w:spacing w:val="0"/>
                <w:sz w:val="24"/>
                <w:szCs w:val="24"/>
                <w:shd w:val="clear" w:fill="FFFFFF"/>
              </w:rPr>
              <w:t>细颗粒物</w:t>
            </w:r>
            <w:r>
              <w:rPr>
                <w:rFonts w:hint="default" w:ascii="Times New Roman" w:hAnsi="Times New Roman" w:eastAsia="宋体" w:cs="Times New Roman"/>
                <w:color w:val="auto"/>
                <w:highlight w:val="none"/>
              </w:rPr>
              <w:t>年均浓度分别为</w:t>
            </w:r>
            <w:r>
              <w:rPr>
                <w:rFonts w:hint="eastAsia" w:cs="Times New Roman"/>
                <w:color w:val="auto"/>
                <w:highlight w:val="none"/>
                <w:lang w:val="en-US" w:eastAsia="zh-CN"/>
              </w:rPr>
              <w:t>5.02</w:t>
            </w:r>
            <w:r>
              <w:rPr>
                <w:rFonts w:hint="default" w:ascii="Times New Roman" w:hAnsi="Times New Roman" w:cs="Times New Roman"/>
                <w:color w:val="auto"/>
                <w:highlight w:val="none"/>
                <w:lang w:eastAsia="zh-CN"/>
              </w:rPr>
              <w:t>μ</w:t>
            </w:r>
            <w:r>
              <w:rPr>
                <w:rFonts w:hint="eastAsia" w:cs="Times New Roman"/>
                <w:color w:val="auto"/>
                <w:highlight w:val="none"/>
                <w:lang w:eastAsia="zh-CN"/>
              </w:rPr>
              <w:t>g</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m³</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18.49</w:t>
            </w:r>
            <w:r>
              <w:rPr>
                <w:rFonts w:hint="default" w:ascii="Times New Roman" w:hAnsi="Times New Roman" w:cs="Times New Roman"/>
                <w:color w:val="auto"/>
                <w:highlight w:val="none"/>
                <w:lang w:eastAsia="zh-CN"/>
              </w:rPr>
              <w:t>μ</w:t>
            </w:r>
            <w:r>
              <w:rPr>
                <w:rFonts w:hint="eastAsia" w:cs="Times New Roman"/>
                <w:color w:val="auto"/>
                <w:highlight w:val="none"/>
                <w:lang w:eastAsia="zh-CN"/>
              </w:rPr>
              <w:t>g</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m³</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0.51</w:t>
            </w:r>
            <w:r>
              <w:rPr>
                <w:rFonts w:hint="default" w:ascii="Times New Roman" w:hAnsi="Times New Roman" w:cs="Times New Roman"/>
                <w:color w:val="auto"/>
                <w:highlight w:val="none"/>
                <w:lang w:eastAsia="zh-CN"/>
              </w:rPr>
              <w:t>μ</w:t>
            </w:r>
            <w:r>
              <w:rPr>
                <w:rFonts w:hint="eastAsia" w:cs="Times New Roman"/>
                <w:color w:val="auto"/>
                <w:highlight w:val="none"/>
                <w:lang w:eastAsia="zh-CN"/>
              </w:rPr>
              <w:t>g</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m³</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106.20</w:t>
            </w:r>
            <w:r>
              <w:rPr>
                <w:rFonts w:hint="default" w:ascii="Times New Roman" w:hAnsi="Times New Roman" w:cs="Times New Roman"/>
                <w:color w:val="auto"/>
                <w:highlight w:val="none"/>
                <w:lang w:eastAsia="zh-CN"/>
              </w:rPr>
              <w:t>μ</w:t>
            </w:r>
            <w:r>
              <w:rPr>
                <w:rFonts w:hint="eastAsia" w:cs="Times New Roman"/>
                <w:color w:val="auto"/>
                <w:highlight w:val="none"/>
                <w:lang w:eastAsia="zh-CN"/>
              </w:rPr>
              <w:t>g</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m³</w:t>
            </w:r>
            <w:r>
              <w:rPr>
                <w:rFonts w:hint="eastAsia" w:cs="Times New Roman"/>
                <w:color w:val="auto"/>
                <w:highlight w:val="none"/>
                <w:lang w:eastAsia="zh-CN"/>
              </w:rPr>
              <w:t>、</w:t>
            </w:r>
            <w:r>
              <w:rPr>
                <w:rFonts w:hint="eastAsia" w:cs="Times New Roman"/>
                <w:color w:val="auto"/>
                <w:highlight w:val="none"/>
                <w:lang w:val="en-US" w:eastAsia="zh-CN"/>
              </w:rPr>
              <w:t>55.99</w:t>
            </w:r>
            <w:r>
              <w:rPr>
                <w:rFonts w:hint="default" w:ascii="Times New Roman" w:hAnsi="Times New Roman" w:cs="Times New Roman"/>
                <w:color w:val="auto"/>
                <w:highlight w:val="none"/>
                <w:lang w:eastAsia="zh-CN"/>
              </w:rPr>
              <w:t>μ</w:t>
            </w:r>
            <w:r>
              <w:rPr>
                <w:rFonts w:hint="eastAsia" w:cs="Times New Roman"/>
                <w:color w:val="auto"/>
                <w:highlight w:val="none"/>
                <w:lang w:eastAsia="zh-CN"/>
              </w:rPr>
              <w:t>g</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m³</w:t>
            </w:r>
            <w:r>
              <w:rPr>
                <w:rFonts w:hint="eastAsia" w:cs="Times New Roman"/>
                <w:color w:val="auto"/>
                <w:highlight w:val="none"/>
                <w:lang w:val="en-US" w:eastAsia="zh-CN"/>
              </w:rPr>
              <w:t>、33.81</w:t>
            </w:r>
            <w:r>
              <w:rPr>
                <w:rFonts w:hint="default" w:ascii="Times New Roman" w:hAnsi="Times New Roman" w:cs="Times New Roman"/>
                <w:color w:val="auto"/>
                <w:highlight w:val="none"/>
                <w:lang w:eastAsia="zh-CN"/>
              </w:rPr>
              <w:t>μ</w:t>
            </w:r>
            <w:r>
              <w:rPr>
                <w:rFonts w:hint="eastAsia" w:cs="Times New Roman"/>
                <w:color w:val="auto"/>
                <w:highlight w:val="none"/>
                <w:lang w:eastAsia="zh-CN"/>
              </w:rPr>
              <w:t>g</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m³</w:t>
            </w:r>
            <w:r>
              <w:rPr>
                <w:rFonts w:hint="default" w:ascii="Times New Roman" w:hAnsi="Times New Roman" w:eastAsia="宋体" w:cs="Times New Roman"/>
                <w:color w:val="auto"/>
                <w:highlight w:val="none"/>
              </w:rPr>
              <w:t>；</w:t>
            </w:r>
            <w:r>
              <w:rPr>
                <w:rFonts w:hint="eastAsia" w:ascii="宋体" w:hAnsi="宋体" w:eastAsia="宋体" w:cs="宋体"/>
                <w:i w:val="0"/>
                <w:iCs w:val="0"/>
                <w:caps w:val="0"/>
                <w:color w:val="000000"/>
                <w:spacing w:val="0"/>
                <w:sz w:val="24"/>
                <w:szCs w:val="24"/>
                <w:shd w:val="clear" w:fill="FFFFFF"/>
              </w:rPr>
              <w:t>五河县城区环境空气质量六项指标全面达到</w:t>
            </w:r>
            <w:r>
              <w:rPr>
                <w:rFonts w:hint="default" w:ascii="Times New Roman" w:hAnsi="Times New Roman" w:eastAsia="宋体" w:cs="Times New Roman"/>
                <w:color w:val="auto"/>
                <w:highlight w:val="none"/>
              </w:rPr>
              <w:t>《环境空气质量标准》（GB3095-2012）中二级标准限值</w:t>
            </w:r>
            <w:r>
              <w:rPr>
                <w:rFonts w:hint="default" w:ascii="Times New Roman" w:hAnsi="Times New Roman" w:eastAsia="宋体" w:cs="Times New Roman"/>
                <w:color w:val="auto"/>
                <w:highlight w:val="none"/>
                <w:lang w:eastAsia="zh-CN"/>
              </w:rPr>
              <w:t>。</w:t>
            </w:r>
          </w:p>
          <w:p w14:paraId="5A703720">
            <w:pPr>
              <w:pStyle w:val="36"/>
              <w:keepNext w:val="0"/>
              <w:keepLines w:val="0"/>
              <w:suppressLineNumbers w:val="0"/>
              <w:bidi w:val="0"/>
              <w:spacing w:before="0" w:beforeAutospacing="0" w:after="0" w:afterAutospacing="0"/>
              <w:ind w:left="0" w:right="0"/>
              <w:rPr>
                <w:rFonts w:hint="default"/>
                <w:color w:val="auto"/>
                <w:highlight w:val="none"/>
                <w:lang w:eastAsia="zh-CN"/>
              </w:rPr>
            </w:pPr>
            <w:r>
              <w:rPr>
                <w:rFonts w:hint="default"/>
                <w:color w:val="auto"/>
                <w:highlight w:val="none"/>
              </w:rPr>
              <w:t>表3-1</w:t>
            </w:r>
            <w:r>
              <w:rPr>
                <w:rFonts w:hint="eastAsia"/>
                <w:color w:val="auto"/>
                <w:highlight w:val="none"/>
                <w:lang w:val="en-US" w:eastAsia="zh-CN"/>
              </w:rPr>
              <w:t>五河县</w:t>
            </w:r>
            <w:r>
              <w:rPr>
                <w:rFonts w:hint="eastAsia"/>
                <w:color w:val="auto"/>
                <w:highlight w:val="none"/>
                <w:lang w:eastAsia="zh-CN"/>
              </w:rPr>
              <w:t>202</w:t>
            </w:r>
            <w:r>
              <w:rPr>
                <w:rFonts w:hint="eastAsia"/>
                <w:color w:val="auto"/>
                <w:highlight w:val="none"/>
                <w:lang w:val="en-US" w:eastAsia="zh-CN"/>
              </w:rPr>
              <w:t>4</w:t>
            </w:r>
            <w:r>
              <w:rPr>
                <w:rFonts w:hint="eastAsia"/>
                <w:color w:val="auto"/>
                <w:highlight w:val="none"/>
                <w:lang w:eastAsia="zh-CN"/>
              </w:rPr>
              <w:t>年</w:t>
            </w:r>
            <w:r>
              <w:rPr>
                <w:rFonts w:hint="default"/>
                <w:color w:val="auto"/>
                <w:highlight w:val="none"/>
                <w:lang w:eastAsia="zh-CN"/>
              </w:rPr>
              <w:t>环境空气质量状况（</w:t>
            </w:r>
            <w:r>
              <w:rPr>
                <w:rFonts w:hint="default"/>
                <w:color w:val="auto"/>
                <w:highlight w:val="none"/>
                <w:lang w:val="en-US" w:eastAsia="zh-CN"/>
              </w:rPr>
              <w:t>单位：</w:t>
            </w:r>
            <w:r>
              <w:rPr>
                <w:rFonts w:hint="default"/>
                <w:color w:val="auto"/>
                <w:highlight w:val="none"/>
              </w:rPr>
              <w:t>μg/m³</w:t>
            </w:r>
            <w:r>
              <w:rPr>
                <w:rFonts w:hint="default"/>
                <w:color w:val="auto"/>
                <w:highlight w:val="none"/>
                <w:lang w:eastAsia="zh-CN"/>
              </w:rPr>
              <w:t>）</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72"/>
              <w:gridCol w:w="4214"/>
              <w:gridCol w:w="1455"/>
              <w:gridCol w:w="1379"/>
              <w:gridCol w:w="996"/>
            </w:tblGrid>
            <w:tr w14:paraId="716D7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88" w:type="pct"/>
                  <w:noWrap w:val="0"/>
                  <w:vAlign w:val="center"/>
                </w:tcPr>
                <w:p w14:paraId="1456F895">
                  <w:pPr>
                    <w:pStyle w:val="41"/>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311" w:type="pct"/>
                  <w:noWrap w:val="0"/>
                  <w:vAlign w:val="center"/>
                </w:tcPr>
                <w:p w14:paraId="7A7D535C">
                  <w:pPr>
                    <w:pStyle w:val="41"/>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评价指标</w:t>
                  </w:r>
                </w:p>
              </w:tc>
              <w:tc>
                <w:tcPr>
                  <w:tcW w:w="798" w:type="pct"/>
                  <w:noWrap w:val="0"/>
                  <w:vAlign w:val="center"/>
                </w:tcPr>
                <w:p w14:paraId="5A0A7377">
                  <w:pPr>
                    <w:pStyle w:val="41"/>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标准值（μg/m³）</w:t>
                  </w:r>
                </w:p>
              </w:tc>
              <w:tc>
                <w:tcPr>
                  <w:tcW w:w="756" w:type="pct"/>
                  <w:noWrap w:val="0"/>
                  <w:vAlign w:val="center"/>
                </w:tcPr>
                <w:p w14:paraId="7773D662">
                  <w:pPr>
                    <w:pStyle w:val="41"/>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现状浓度（μg/m³）</w:t>
                  </w:r>
                </w:p>
              </w:tc>
              <w:tc>
                <w:tcPr>
                  <w:tcW w:w="546" w:type="pct"/>
                  <w:noWrap w:val="0"/>
                  <w:vAlign w:val="center"/>
                </w:tcPr>
                <w:p w14:paraId="2611205C">
                  <w:pPr>
                    <w:pStyle w:val="41"/>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0" w:afterLines="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p w14:paraId="7CB77770">
                  <w:pPr>
                    <w:pStyle w:val="41"/>
                    <w:keepNext w:val="0"/>
                    <w:keepLines w:val="0"/>
                    <w:pageBreakBefore w:val="0"/>
                    <w:widowControl w:val="0"/>
                    <w:suppressLineNumbers w:val="0"/>
                    <w:kinsoku/>
                    <w:wordWrap/>
                    <w:overflowPunct/>
                    <w:topLinePunct/>
                    <w:autoSpaceDE w:val="0"/>
                    <w:autoSpaceDN/>
                    <w:bidi w:val="0"/>
                    <w:adjustRightInd w:val="0"/>
                    <w:snapToGrid w:val="0"/>
                    <w:spacing w:before="0" w:beforeLines="0" w:beforeAutospacing="0" w:after="126" w:afterLines="4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情况</w:t>
                  </w:r>
                </w:p>
              </w:tc>
            </w:tr>
            <w:tr w14:paraId="6E1AB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88" w:type="pct"/>
                  <w:noWrap w:val="0"/>
                  <w:vAlign w:val="center"/>
                </w:tcPr>
                <w:p w14:paraId="5EF8E4CA">
                  <w:pPr>
                    <w:pStyle w:val="38"/>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S</w:t>
                  </w:r>
                  <w:r>
                    <w:rPr>
                      <w:rFonts w:hint="default" w:ascii="Times New Roman" w:hAnsi="Times New Roman" w:eastAsia="宋体" w:cs="Times New Roman"/>
                      <w:b w:val="0"/>
                      <w:bCs/>
                      <w:color w:val="auto"/>
                      <w:sz w:val="21"/>
                      <w:szCs w:val="21"/>
                      <w:highlight w:val="none"/>
                      <w:lang w:eastAsia="zh-CN"/>
                    </w:rPr>
                    <w:t>O₂</w:t>
                  </w:r>
                </w:p>
              </w:tc>
              <w:tc>
                <w:tcPr>
                  <w:tcW w:w="2311" w:type="pct"/>
                  <w:noWrap w:val="0"/>
                  <w:vAlign w:val="center"/>
                </w:tcPr>
                <w:p w14:paraId="7221D82C">
                  <w:pPr>
                    <w:pStyle w:val="38"/>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年平均浓度</w:t>
                  </w:r>
                </w:p>
              </w:tc>
              <w:tc>
                <w:tcPr>
                  <w:tcW w:w="798" w:type="pct"/>
                  <w:noWrap w:val="0"/>
                  <w:vAlign w:val="center"/>
                </w:tcPr>
                <w:p w14:paraId="22DB713F">
                  <w:pPr>
                    <w:pStyle w:val="38"/>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60</w:t>
                  </w:r>
                </w:p>
              </w:tc>
              <w:tc>
                <w:tcPr>
                  <w:tcW w:w="756" w:type="pct"/>
                  <w:noWrap w:val="0"/>
                  <w:vAlign w:val="center"/>
                </w:tcPr>
                <w:p w14:paraId="0B76AA2A">
                  <w:pPr>
                    <w:pStyle w:val="38"/>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5.02</w:t>
                  </w:r>
                </w:p>
              </w:tc>
              <w:tc>
                <w:tcPr>
                  <w:tcW w:w="546" w:type="pct"/>
                  <w:noWrap w:val="0"/>
                  <w:vAlign w:val="center"/>
                </w:tcPr>
                <w:p w14:paraId="43636793">
                  <w:pPr>
                    <w:pStyle w:val="38"/>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480EA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88" w:type="pct"/>
                  <w:noWrap w:val="0"/>
                  <w:vAlign w:val="center"/>
                </w:tcPr>
                <w:p w14:paraId="3230D205">
                  <w:pPr>
                    <w:pStyle w:val="38"/>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N</w:t>
                  </w:r>
                  <w:r>
                    <w:rPr>
                      <w:rFonts w:hint="default" w:ascii="Times New Roman" w:hAnsi="Times New Roman" w:eastAsia="宋体" w:cs="Times New Roman"/>
                      <w:b w:val="0"/>
                      <w:bCs/>
                      <w:color w:val="auto"/>
                      <w:sz w:val="21"/>
                      <w:szCs w:val="21"/>
                      <w:highlight w:val="none"/>
                      <w:lang w:eastAsia="zh-CN"/>
                    </w:rPr>
                    <w:t>O₂</w:t>
                  </w:r>
                </w:p>
              </w:tc>
              <w:tc>
                <w:tcPr>
                  <w:tcW w:w="2311" w:type="pct"/>
                  <w:noWrap w:val="0"/>
                  <w:vAlign w:val="center"/>
                </w:tcPr>
                <w:p w14:paraId="4178A57B">
                  <w:pPr>
                    <w:pStyle w:val="38"/>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年平均浓度</w:t>
                  </w:r>
                </w:p>
              </w:tc>
              <w:tc>
                <w:tcPr>
                  <w:tcW w:w="798" w:type="pct"/>
                  <w:noWrap w:val="0"/>
                  <w:vAlign w:val="center"/>
                </w:tcPr>
                <w:p w14:paraId="5E028A7E">
                  <w:pPr>
                    <w:pStyle w:val="38"/>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w:t>
                  </w:r>
                </w:p>
              </w:tc>
              <w:tc>
                <w:tcPr>
                  <w:tcW w:w="756" w:type="pct"/>
                  <w:noWrap w:val="0"/>
                  <w:vAlign w:val="center"/>
                </w:tcPr>
                <w:p w14:paraId="3D09778C">
                  <w:pPr>
                    <w:pStyle w:val="38"/>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18.49</w:t>
                  </w:r>
                </w:p>
              </w:tc>
              <w:tc>
                <w:tcPr>
                  <w:tcW w:w="546" w:type="pct"/>
                  <w:noWrap w:val="0"/>
                  <w:vAlign w:val="center"/>
                </w:tcPr>
                <w:p w14:paraId="7BA9918C">
                  <w:pPr>
                    <w:pStyle w:val="38"/>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6A440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88" w:type="pct"/>
                  <w:noWrap w:val="0"/>
                  <w:vAlign w:val="center"/>
                </w:tcPr>
                <w:p w14:paraId="264EB3BC">
                  <w:pPr>
                    <w:pStyle w:val="38"/>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10</w:t>
                  </w:r>
                </w:p>
              </w:tc>
              <w:tc>
                <w:tcPr>
                  <w:tcW w:w="2311" w:type="pct"/>
                  <w:noWrap w:val="0"/>
                  <w:vAlign w:val="center"/>
                </w:tcPr>
                <w:p w14:paraId="2524F314">
                  <w:pPr>
                    <w:pStyle w:val="38"/>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年平均浓度</w:t>
                  </w:r>
                </w:p>
              </w:tc>
              <w:tc>
                <w:tcPr>
                  <w:tcW w:w="798" w:type="pct"/>
                  <w:noWrap w:val="0"/>
                  <w:vAlign w:val="center"/>
                </w:tcPr>
                <w:p w14:paraId="6765F5E0">
                  <w:pPr>
                    <w:pStyle w:val="38"/>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70</w:t>
                  </w:r>
                </w:p>
              </w:tc>
              <w:tc>
                <w:tcPr>
                  <w:tcW w:w="756" w:type="pct"/>
                  <w:noWrap w:val="0"/>
                  <w:vAlign w:val="center"/>
                </w:tcPr>
                <w:p w14:paraId="58CA423E">
                  <w:pPr>
                    <w:pStyle w:val="38"/>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55.99</w:t>
                  </w:r>
                </w:p>
              </w:tc>
              <w:tc>
                <w:tcPr>
                  <w:tcW w:w="546" w:type="pct"/>
                  <w:noWrap w:val="0"/>
                  <w:vAlign w:val="center"/>
                </w:tcPr>
                <w:p w14:paraId="71229296">
                  <w:pPr>
                    <w:pStyle w:val="38"/>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085A5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88" w:type="pct"/>
                  <w:noWrap w:val="0"/>
                  <w:vAlign w:val="center"/>
                </w:tcPr>
                <w:p w14:paraId="03FC07DC">
                  <w:pPr>
                    <w:pStyle w:val="38"/>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PM</w:t>
                  </w:r>
                  <w:r>
                    <w:rPr>
                      <w:rFonts w:hint="default" w:ascii="Times New Roman" w:hAnsi="Times New Roman" w:eastAsia="宋体" w:cs="Times New Roman"/>
                      <w:b w:val="0"/>
                      <w:bCs/>
                      <w:color w:val="auto"/>
                      <w:sz w:val="21"/>
                      <w:szCs w:val="21"/>
                      <w:highlight w:val="none"/>
                      <w:vertAlign w:val="subscript"/>
                      <w:lang w:val="en-US" w:eastAsia="zh-CN"/>
                    </w:rPr>
                    <w:t>2.5</w:t>
                  </w:r>
                </w:p>
              </w:tc>
              <w:tc>
                <w:tcPr>
                  <w:tcW w:w="2311" w:type="pct"/>
                  <w:noWrap w:val="0"/>
                  <w:vAlign w:val="center"/>
                </w:tcPr>
                <w:p w14:paraId="2BAEE4D3">
                  <w:pPr>
                    <w:pStyle w:val="38"/>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年平均浓度</w:t>
                  </w:r>
                </w:p>
              </w:tc>
              <w:tc>
                <w:tcPr>
                  <w:tcW w:w="798" w:type="pct"/>
                  <w:noWrap w:val="0"/>
                  <w:vAlign w:val="center"/>
                </w:tcPr>
                <w:p w14:paraId="022292BD">
                  <w:pPr>
                    <w:pStyle w:val="38"/>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35</w:t>
                  </w:r>
                </w:p>
              </w:tc>
              <w:tc>
                <w:tcPr>
                  <w:tcW w:w="756" w:type="pct"/>
                  <w:noWrap w:val="0"/>
                  <w:vAlign w:val="center"/>
                </w:tcPr>
                <w:p w14:paraId="14D54AF0">
                  <w:pPr>
                    <w:pStyle w:val="38"/>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33.81</w:t>
                  </w:r>
                </w:p>
              </w:tc>
              <w:tc>
                <w:tcPr>
                  <w:tcW w:w="546" w:type="pct"/>
                  <w:noWrap w:val="0"/>
                  <w:vAlign w:val="center"/>
                </w:tcPr>
                <w:p w14:paraId="78DC70B9">
                  <w:pPr>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48298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88" w:type="pct"/>
                  <w:noWrap w:val="0"/>
                  <w:vAlign w:val="center"/>
                </w:tcPr>
                <w:p w14:paraId="05067C01">
                  <w:pPr>
                    <w:pStyle w:val="38"/>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w:t>
                  </w:r>
                </w:p>
              </w:tc>
              <w:tc>
                <w:tcPr>
                  <w:tcW w:w="2311" w:type="pct"/>
                  <w:noWrap w:val="0"/>
                  <w:vAlign w:val="center"/>
                </w:tcPr>
                <w:p w14:paraId="509ABD91">
                  <w:pPr>
                    <w:pStyle w:val="38"/>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b w:val="0"/>
                      <w:bCs/>
                      <w:spacing w:val="-6"/>
                      <w:sz w:val="20"/>
                      <w:szCs w:val="20"/>
                    </w:rPr>
                    <w:t>日均值</w:t>
                  </w:r>
                </w:p>
              </w:tc>
              <w:tc>
                <w:tcPr>
                  <w:tcW w:w="798" w:type="pct"/>
                  <w:noWrap w:val="0"/>
                  <w:vAlign w:val="center"/>
                </w:tcPr>
                <w:p w14:paraId="430D5933">
                  <w:pPr>
                    <w:pStyle w:val="38"/>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4000</w:t>
                  </w:r>
                </w:p>
              </w:tc>
              <w:tc>
                <w:tcPr>
                  <w:tcW w:w="756" w:type="pct"/>
                  <w:noWrap w:val="0"/>
                  <w:vAlign w:val="center"/>
                </w:tcPr>
                <w:p w14:paraId="60A7B799">
                  <w:pPr>
                    <w:pStyle w:val="38"/>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0.51</w:t>
                  </w:r>
                </w:p>
              </w:tc>
              <w:tc>
                <w:tcPr>
                  <w:tcW w:w="546" w:type="pct"/>
                  <w:noWrap w:val="0"/>
                  <w:vAlign w:val="center"/>
                </w:tcPr>
                <w:p w14:paraId="2D4880B5">
                  <w:pPr>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75DE3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88" w:type="pct"/>
                  <w:noWrap w:val="0"/>
                  <w:vAlign w:val="center"/>
                </w:tcPr>
                <w:p w14:paraId="747960CA">
                  <w:pPr>
                    <w:pStyle w:val="38"/>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O₃</w:t>
                  </w:r>
                </w:p>
              </w:tc>
              <w:tc>
                <w:tcPr>
                  <w:tcW w:w="2311" w:type="pct"/>
                  <w:noWrap w:val="0"/>
                  <w:vAlign w:val="center"/>
                </w:tcPr>
                <w:p w14:paraId="4CB51E13">
                  <w:pPr>
                    <w:pStyle w:val="38"/>
                    <w:keepNext w:val="0"/>
                    <w:keepLines w:val="0"/>
                    <w:pageBreakBefore w:val="0"/>
                    <w:widowControl w:val="0"/>
                    <w:suppressLineNumbers w:val="0"/>
                    <w:kinsoku/>
                    <w:wordWrap/>
                    <w:overflowPunct/>
                    <w:topLinePunct/>
                    <w:autoSpaceDE w:val="0"/>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b w:val="0"/>
                      <w:bCs/>
                      <w:sz w:val="20"/>
                      <w:szCs w:val="20"/>
                    </w:rPr>
                    <w:t>日最大</w:t>
                  </w:r>
                  <w:r>
                    <w:rPr>
                      <w:rFonts w:hint="default" w:ascii="Times New Roman" w:hAnsi="Times New Roman" w:eastAsia="Times New Roman" w:cs="Times New Roman"/>
                      <w:b w:val="0"/>
                      <w:bCs/>
                      <w:sz w:val="20"/>
                      <w:szCs w:val="20"/>
                    </w:rPr>
                    <w:t>8h</w:t>
                  </w:r>
                  <w:r>
                    <w:rPr>
                      <w:rFonts w:hint="default"/>
                      <w:b w:val="0"/>
                      <w:bCs/>
                      <w:sz w:val="20"/>
                      <w:szCs w:val="20"/>
                    </w:rPr>
                    <w:t>平均值</w:t>
                  </w:r>
                </w:p>
              </w:tc>
              <w:tc>
                <w:tcPr>
                  <w:tcW w:w="798" w:type="pct"/>
                  <w:noWrap w:val="0"/>
                  <w:vAlign w:val="center"/>
                </w:tcPr>
                <w:p w14:paraId="5866495F">
                  <w:pPr>
                    <w:pStyle w:val="38"/>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160</w:t>
                  </w:r>
                </w:p>
              </w:tc>
              <w:tc>
                <w:tcPr>
                  <w:tcW w:w="756" w:type="pct"/>
                  <w:noWrap w:val="0"/>
                  <w:vAlign w:val="center"/>
                </w:tcPr>
                <w:p w14:paraId="7C0D82BF">
                  <w:pPr>
                    <w:pStyle w:val="38"/>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106.20</w:t>
                  </w:r>
                </w:p>
              </w:tc>
              <w:tc>
                <w:tcPr>
                  <w:tcW w:w="546" w:type="pct"/>
                  <w:noWrap w:val="0"/>
                  <w:vAlign w:val="center"/>
                </w:tcPr>
                <w:p w14:paraId="5D463E9B">
                  <w:pPr>
                    <w:keepNext w:val="0"/>
                    <w:keepLines w:val="0"/>
                    <w:pageBreakBefore w:val="0"/>
                    <w:widowControl w:val="0"/>
                    <w:suppressLineNumbers w:val="0"/>
                    <w:kinsoku/>
                    <w:wordWrap/>
                    <w:overflowPunct/>
                    <w:autoSpaceDN/>
                    <w:bidi w:val="0"/>
                    <w:adjustRightInd w:val="0"/>
                    <w:snapToGrid w:val="0"/>
                    <w:spacing w:before="126" w:beforeLines="40" w:beforeAutospacing="0" w:after="126" w:afterLines="40" w:afterAutospacing="0"/>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bl>
          <w:p w14:paraId="0D3907A7">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根据上表可知，</w:t>
            </w:r>
            <w:r>
              <w:rPr>
                <w:rFonts w:hint="eastAsia" w:cs="Times New Roman"/>
                <w:color w:val="auto"/>
                <w:highlight w:val="none"/>
                <w:lang w:val="en-US" w:eastAsia="zh-CN"/>
              </w:rPr>
              <w:t>五河县</w:t>
            </w:r>
            <w:r>
              <w:rPr>
                <w:rFonts w:hint="eastAsia" w:cs="Times New Roman"/>
                <w:color w:val="auto"/>
                <w:highlight w:val="none"/>
                <w:lang w:eastAsia="zh-CN"/>
              </w:rPr>
              <w:t>202</w:t>
            </w:r>
            <w:r>
              <w:rPr>
                <w:rFonts w:hint="eastAsia" w:cs="Times New Roman"/>
                <w:color w:val="auto"/>
                <w:highlight w:val="none"/>
                <w:lang w:val="en-US" w:eastAsia="zh-CN"/>
              </w:rPr>
              <w:t>4</w:t>
            </w:r>
            <w:r>
              <w:rPr>
                <w:rFonts w:hint="eastAsia" w:cs="Times New Roman"/>
                <w:color w:val="auto"/>
                <w:highlight w:val="none"/>
                <w:lang w:eastAsia="zh-CN"/>
              </w:rPr>
              <w:t>年</w:t>
            </w:r>
            <w:r>
              <w:rPr>
                <w:rFonts w:hint="default" w:ascii="Times New Roman" w:hAnsi="Times New Roman" w:eastAsia="宋体" w:cs="Times New Roman"/>
                <w:color w:val="auto"/>
                <w:highlight w:val="none"/>
              </w:rPr>
              <w:t>环境空气</w:t>
            </w:r>
            <w:r>
              <w:rPr>
                <w:rFonts w:hint="default" w:ascii="Times New Roman" w:hAnsi="Times New Roman" w:eastAsia="宋体" w:cs="Times New Roman"/>
                <w:color w:val="auto"/>
                <w:highlight w:val="none"/>
                <w:lang w:eastAsia="zh-CN"/>
              </w:rPr>
              <w:t>基本污染物</w:t>
            </w:r>
            <w:r>
              <w:rPr>
                <w:rFonts w:hint="default" w:ascii="Times New Roman" w:hAnsi="Times New Roman" w:eastAsia="宋体" w:cs="Times New Roman"/>
                <w:color w:val="auto"/>
                <w:highlight w:val="none"/>
              </w:rPr>
              <w:t>中</w:t>
            </w:r>
            <w:r>
              <w:rPr>
                <w:rFonts w:hint="eastAsia" w:ascii="宋体" w:hAnsi="宋体" w:eastAsia="宋体" w:cs="宋体"/>
                <w:i w:val="0"/>
                <w:iCs w:val="0"/>
                <w:caps w:val="0"/>
                <w:color w:val="000000"/>
                <w:spacing w:val="0"/>
                <w:sz w:val="24"/>
                <w:szCs w:val="24"/>
                <w:shd w:val="clear" w:fill="FFFFFF"/>
              </w:rPr>
              <w:t>六项指标</w:t>
            </w:r>
            <w:r>
              <w:rPr>
                <w:rFonts w:hint="default" w:ascii="Times New Roman" w:hAnsi="Times New Roman" w:eastAsia="宋体" w:cs="Times New Roman"/>
                <w:color w:val="auto"/>
                <w:highlight w:val="none"/>
              </w:rPr>
              <w:t>均满足《环境空气质量标准》（GB3095-2012）中二级标准要求</w:t>
            </w:r>
            <w:r>
              <w:rPr>
                <w:rFonts w:hint="default" w:ascii="Times New Roman" w:hAnsi="Times New Roman" w:cs="Times New Roman"/>
                <w:color w:val="auto"/>
                <w:highlight w:val="none"/>
                <w:lang w:eastAsia="zh-CN"/>
              </w:rPr>
              <w:t>。</w:t>
            </w:r>
          </w:p>
          <w:p w14:paraId="23CC7087">
            <w:pPr>
              <w:pStyle w:val="42"/>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r>
              <w:rPr>
                <w:rFonts w:hint="eastAsia"/>
                <w:color w:val="auto"/>
                <w:highlight w:val="none"/>
                <w:lang w:val="en-US" w:eastAsia="zh-CN"/>
              </w:rPr>
              <w:t>2</w:t>
            </w:r>
            <w:r>
              <w:rPr>
                <w:rFonts w:hint="default"/>
                <w:color w:val="auto"/>
                <w:highlight w:val="none"/>
              </w:rPr>
              <w:t>）特征污染物</w:t>
            </w:r>
          </w:p>
          <w:p w14:paraId="0CCDD4F9">
            <w:pPr>
              <w:pStyle w:val="56"/>
              <w:keepNext w:val="0"/>
              <w:keepLines w:val="0"/>
              <w:suppressLineNumbers w:val="0"/>
              <w:spacing w:before="118" w:beforeAutospacing="0" w:after="0" w:afterAutospacing="0" w:line="360" w:lineRule="auto"/>
              <w:ind w:left="113" w:right="127" w:firstLine="480" w:firstLineChars="200"/>
              <w:rPr>
                <w:rFonts w:hint="default"/>
              </w:rPr>
            </w:pPr>
            <w:r>
              <w:rPr>
                <w:rFonts w:hint="default"/>
              </w:rPr>
              <w:t>本项目环境空气质量特征因子（非甲烷总烃）现状</w:t>
            </w:r>
            <w:r>
              <w:rPr>
                <w:rFonts w:hint="default"/>
                <w:spacing w:val="-1"/>
              </w:rPr>
              <w:t>数据引用《</w:t>
            </w:r>
            <w:r>
              <w:rPr>
                <w:rFonts w:hint="default" w:ascii="Times New Roman" w:hAnsi="Times New Roman" w:eastAsia="Times New Roman" w:cs="Times New Roman"/>
                <w:spacing w:val="-1"/>
              </w:rPr>
              <w:t>2024</w:t>
            </w:r>
            <w:r>
              <w:rPr>
                <w:rFonts w:hint="default"/>
                <w:spacing w:val="-1"/>
              </w:rPr>
              <w:t>年度上</w:t>
            </w:r>
            <w:r>
              <w:rPr>
                <w:rFonts w:hint="default"/>
              </w:rPr>
              <w:t>半年安徽五河经济开发区例行性环境监测项目》中的环境</w:t>
            </w:r>
            <w:r>
              <w:rPr>
                <w:rFonts w:hint="default"/>
                <w:spacing w:val="-1"/>
              </w:rPr>
              <w:t>空气监测数据。监测点大小</w:t>
            </w:r>
            <w:r>
              <w:rPr>
                <w:rFonts w:hint="default"/>
                <w:spacing w:val="-6"/>
              </w:rPr>
              <w:t>方安置区距本项目</w:t>
            </w:r>
            <w:r>
              <w:rPr>
                <w:rFonts w:hint="default" w:ascii="Times New Roman" w:hAnsi="Times New Roman" w:eastAsia="Times New Roman" w:cs="Times New Roman"/>
                <w:spacing w:val="-6"/>
              </w:rPr>
              <w:t>1</w:t>
            </w:r>
            <w:r>
              <w:rPr>
                <w:rFonts w:hint="eastAsia" w:ascii="Times New Roman" w:hAnsi="Times New Roman" w:eastAsia="宋体" w:cs="Times New Roman"/>
                <w:spacing w:val="-6"/>
                <w:lang w:val="en-US" w:eastAsia="zh-CN"/>
              </w:rPr>
              <w:t>43</w:t>
            </w:r>
            <w:r>
              <w:rPr>
                <w:rFonts w:hint="default" w:ascii="Times New Roman" w:hAnsi="Times New Roman" w:eastAsia="Times New Roman" w:cs="Times New Roman"/>
                <w:spacing w:val="-6"/>
              </w:rPr>
              <w:t>0m</w:t>
            </w:r>
            <w:r>
              <w:rPr>
                <w:rFonts w:hint="default"/>
                <w:spacing w:val="-6"/>
              </w:rPr>
              <w:t>。监测时间为</w:t>
            </w:r>
            <w:r>
              <w:rPr>
                <w:rFonts w:hint="default" w:ascii="Times New Roman" w:hAnsi="Times New Roman" w:eastAsia="Times New Roman" w:cs="Times New Roman"/>
                <w:spacing w:val="-6"/>
              </w:rPr>
              <w:t>2024</w:t>
            </w:r>
            <w:r>
              <w:rPr>
                <w:rFonts w:hint="default"/>
                <w:spacing w:val="-6"/>
              </w:rPr>
              <w:t>年</w:t>
            </w:r>
            <w:r>
              <w:rPr>
                <w:rFonts w:hint="default" w:ascii="Times New Roman" w:hAnsi="Times New Roman" w:eastAsia="Times New Roman" w:cs="Times New Roman"/>
                <w:spacing w:val="-6"/>
              </w:rPr>
              <w:t>6</w:t>
            </w:r>
            <w:r>
              <w:rPr>
                <w:rFonts w:hint="default"/>
                <w:spacing w:val="-6"/>
              </w:rPr>
              <w:t>月</w:t>
            </w:r>
            <w:r>
              <w:rPr>
                <w:rFonts w:hint="default" w:ascii="Times New Roman" w:hAnsi="Times New Roman" w:eastAsia="Times New Roman" w:cs="Times New Roman"/>
                <w:spacing w:val="-6"/>
              </w:rPr>
              <w:t>3</w:t>
            </w:r>
            <w:r>
              <w:rPr>
                <w:rFonts w:hint="default"/>
                <w:spacing w:val="-6"/>
              </w:rPr>
              <w:t>日～</w:t>
            </w:r>
            <w:r>
              <w:rPr>
                <w:rFonts w:hint="default" w:ascii="Times New Roman" w:hAnsi="Times New Roman" w:eastAsia="Times New Roman" w:cs="Times New Roman"/>
                <w:spacing w:val="-6"/>
              </w:rPr>
              <w:t>202</w:t>
            </w:r>
            <w:r>
              <w:rPr>
                <w:rFonts w:hint="default" w:ascii="Times New Roman" w:hAnsi="Times New Roman" w:eastAsia="Times New Roman" w:cs="Times New Roman"/>
                <w:spacing w:val="-7"/>
              </w:rPr>
              <w:t>4</w:t>
            </w:r>
            <w:r>
              <w:rPr>
                <w:rFonts w:hint="default"/>
                <w:spacing w:val="-7"/>
              </w:rPr>
              <w:t>年</w:t>
            </w:r>
            <w:r>
              <w:rPr>
                <w:rFonts w:hint="default" w:ascii="Times New Roman" w:hAnsi="Times New Roman" w:eastAsia="Times New Roman" w:cs="Times New Roman"/>
                <w:spacing w:val="-7"/>
              </w:rPr>
              <w:t>6</w:t>
            </w:r>
            <w:r>
              <w:rPr>
                <w:rFonts w:hint="default"/>
                <w:spacing w:val="-7"/>
              </w:rPr>
              <w:t>月</w:t>
            </w:r>
            <w:r>
              <w:rPr>
                <w:rFonts w:hint="default" w:ascii="Times New Roman" w:hAnsi="Times New Roman" w:eastAsia="Times New Roman" w:cs="Times New Roman"/>
                <w:spacing w:val="-7"/>
              </w:rPr>
              <w:t>5</w:t>
            </w:r>
            <w:r>
              <w:rPr>
                <w:rFonts w:hint="default"/>
                <w:spacing w:val="-7"/>
              </w:rPr>
              <w:t>日，属于本</w:t>
            </w:r>
            <w:r>
              <w:rPr>
                <w:rFonts w:hint="default"/>
                <w:spacing w:val="-1"/>
              </w:rPr>
              <w:t>项目周边</w:t>
            </w:r>
            <w:r>
              <w:rPr>
                <w:rFonts w:hint="default" w:ascii="Times New Roman" w:hAnsi="Times New Roman" w:eastAsia="Times New Roman" w:cs="Times New Roman"/>
                <w:spacing w:val="-1"/>
              </w:rPr>
              <w:t>5</w:t>
            </w:r>
            <w:r>
              <w:rPr>
                <w:rFonts w:hint="default"/>
                <w:spacing w:val="-1"/>
              </w:rPr>
              <w:t>千米范围内近</w:t>
            </w:r>
            <w:r>
              <w:rPr>
                <w:rFonts w:hint="default" w:ascii="Times New Roman" w:hAnsi="Times New Roman" w:eastAsia="Times New Roman" w:cs="Times New Roman"/>
                <w:spacing w:val="-1"/>
              </w:rPr>
              <w:t>3</w:t>
            </w:r>
            <w:r>
              <w:rPr>
                <w:rFonts w:hint="default"/>
                <w:spacing w:val="-1"/>
              </w:rPr>
              <w:t>年的现有监测数据，故引用其监测数据是可行有效的，监测项目为非甲烷总烃。</w:t>
            </w:r>
          </w:p>
          <w:p w14:paraId="239A061C">
            <w:pPr>
              <w:keepNext w:val="0"/>
              <w:keepLines w:val="0"/>
              <w:suppressLineNumbers w:val="0"/>
              <w:spacing w:before="0" w:beforeAutospacing="0" w:after="0" w:afterAutospacing="0"/>
              <w:ind w:left="0" w:right="0"/>
              <w:jc w:val="center"/>
              <w:rPr>
                <w:rFonts w:hint="eastAsia" w:eastAsia="宋体"/>
                <w:b/>
                <w:bCs/>
                <w:spacing w:val="-3"/>
                <w:lang w:eastAsia="zh-CN"/>
              </w:rPr>
            </w:pPr>
            <w:r>
              <w:rPr>
                <w:rFonts w:hint="default"/>
                <w:b/>
                <w:bCs/>
                <w:spacing w:val="-2"/>
              </w:rPr>
              <w:t>表</w:t>
            </w:r>
            <w:r>
              <w:rPr>
                <w:rFonts w:hint="default" w:ascii="Times New Roman" w:hAnsi="Times New Roman" w:eastAsia="Times New Roman" w:cs="Times New Roman"/>
                <w:b/>
                <w:bCs/>
                <w:spacing w:val="-2"/>
              </w:rPr>
              <w:t>3-2</w:t>
            </w:r>
            <w:r>
              <w:rPr>
                <w:rFonts w:hint="default"/>
                <w:b/>
                <w:bCs/>
                <w:spacing w:val="-2"/>
              </w:rPr>
              <w:t>大气环境质量现状监测结果</w:t>
            </w:r>
          </w:p>
          <w:tbl>
            <w:tblPr>
              <w:tblStyle w:val="40"/>
              <w:tblW w:w="9115"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89"/>
              <w:gridCol w:w="1329"/>
              <w:gridCol w:w="1274"/>
              <w:gridCol w:w="1050"/>
              <w:gridCol w:w="1008"/>
              <w:gridCol w:w="917"/>
              <w:gridCol w:w="992"/>
              <w:gridCol w:w="956"/>
            </w:tblGrid>
            <w:tr w14:paraId="2B106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89" w:type="dxa"/>
                  <w:vMerge w:val="restart"/>
                  <w:tcBorders>
                    <w:top w:val="single" w:color="000000" w:sz="12" w:space="0"/>
                    <w:left w:val="nil"/>
                    <w:bottom w:val="single" w:color="auto" w:sz="4" w:space="0"/>
                    <w:right w:val="single" w:color="auto" w:sz="4" w:space="0"/>
                    <w:tl2br w:val="nil"/>
                  </w:tcBorders>
                  <w:shd w:val="clear" w:color="auto" w:fill="FFFFFF"/>
                  <w:vAlign w:val="center"/>
                </w:tcPr>
                <w:p w14:paraId="5FFA3966">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9" w:lineRule="auto"/>
                    <w:ind w:left="0" w:right="0"/>
                    <w:jc w:val="center"/>
                    <w:textAlignment w:val="baseline"/>
                    <w:rPr>
                      <w:rFonts w:hint="default"/>
                      <w:b w:val="0"/>
                      <w:color w:val="000000"/>
                      <w:sz w:val="20"/>
                      <w:szCs w:val="20"/>
                    </w:rPr>
                  </w:pPr>
                  <w:r>
                    <w:rPr>
                      <w:rFonts w:hint="default"/>
                      <w:b w:val="0"/>
                      <w:bCs/>
                      <w:color w:val="000000"/>
                      <w:spacing w:val="6"/>
                      <w:sz w:val="20"/>
                      <w:szCs w:val="20"/>
                    </w:rPr>
                    <w:t>监测点位</w:t>
                  </w:r>
                </w:p>
              </w:tc>
              <w:tc>
                <w:tcPr>
                  <w:tcW w:w="1329" w:type="dxa"/>
                  <w:vMerge w:val="restart"/>
                  <w:tcBorders>
                    <w:top w:val="single" w:color="000000" w:sz="12" w:space="0"/>
                    <w:left w:val="single" w:color="auto" w:sz="4" w:space="0"/>
                    <w:bottom w:val="single" w:color="auto" w:sz="4" w:space="0"/>
                    <w:right w:val="single" w:color="auto" w:sz="4" w:space="0"/>
                  </w:tcBorders>
                  <w:shd w:val="clear" w:color="auto" w:fill="FFFFFF"/>
                  <w:vAlign w:val="center"/>
                </w:tcPr>
                <w:p w14:paraId="4EC2ACCA">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b w:val="0"/>
                      <w:color w:val="000000"/>
                      <w:sz w:val="20"/>
                      <w:szCs w:val="20"/>
                    </w:rPr>
                  </w:pPr>
                  <w:r>
                    <w:rPr>
                      <w:rFonts w:hint="default"/>
                      <w:b w:val="0"/>
                      <w:bCs/>
                      <w:color w:val="000000"/>
                      <w:spacing w:val="6"/>
                      <w:sz w:val="20"/>
                      <w:szCs w:val="20"/>
                    </w:rPr>
                    <w:t>监测项目</w:t>
                  </w:r>
                </w:p>
              </w:tc>
              <w:tc>
                <w:tcPr>
                  <w:tcW w:w="3332" w:type="dxa"/>
                  <w:gridSpan w:val="3"/>
                  <w:tcBorders>
                    <w:top w:val="single" w:color="000000" w:sz="12" w:space="0"/>
                    <w:left w:val="single" w:color="auto" w:sz="4" w:space="0"/>
                    <w:bottom w:val="single" w:color="auto" w:sz="4" w:space="0"/>
                    <w:right w:val="single" w:color="auto" w:sz="4" w:space="0"/>
                  </w:tcBorders>
                  <w:shd w:val="clear" w:color="auto" w:fill="FFFFFF"/>
                  <w:vAlign w:val="center"/>
                </w:tcPr>
                <w:p w14:paraId="29A3F133">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6" w:lineRule="auto"/>
                    <w:ind w:left="0" w:right="0"/>
                    <w:jc w:val="center"/>
                    <w:textAlignment w:val="baseline"/>
                    <w:rPr>
                      <w:rFonts w:hint="default"/>
                      <w:b w:val="0"/>
                      <w:color w:val="000000"/>
                      <w:sz w:val="20"/>
                      <w:szCs w:val="20"/>
                    </w:rPr>
                  </w:pPr>
                  <w:r>
                    <w:rPr>
                      <w:rFonts w:hint="default" w:ascii="Times New Roman" w:hAnsi="Times New Roman" w:eastAsia="Times New Roman" w:cs="Times New Roman"/>
                      <w:b w:val="0"/>
                      <w:bCs/>
                      <w:color w:val="000000"/>
                      <w:spacing w:val="4"/>
                      <w:sz w:val="20"/>
                      <w:szCs w:val="20"/>
                    </w:rPr>
                    <w:t>1</w:t>
                  </w:r>
                  <w:r>
                    <w:rPr>
                      <w:rFonts w:hint="default"/>
                      <w:b w:val="0"/>
                      <w:bCs/>
                      <w:color w:val="000000"/>
                      <w:spacing w:val="4"/>
                      <w:sz w:val="20"/>
                      <w:szCs w:val="20"/>
                    </w:rPr>
                    <w:t>小时评价值浓度</w:t>
                  </w:r>
                </w:p>
              </w:tc>
              <w:tc>
                <w:tcPr>
                  <w:tcW w:w="2865" w:type="dxa"/>
                  <w:gridSpan w:val="3"/>
                  <w:tcBorders>
                    <w:top w:val="single" w:color="000000" w:sz="12" w:space="0"/>
                    <w:left w:val="single" w:color="auto" w:sz="4" w:space="0"/>
                    <w:bottom w:val="single" w:color="auto" w:sz="4" w:space="0"/>
                    <w:right w:val="nil"/>
                  </w:tcBorders>
                  <w:shd w:val="clear" w:color="auto" w:fill="FFFFFF"/>
                  <w:vAlign w:val="center"/>
                </w:tcPr>
                <w:p w14:paraId="6DD4999A">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b w:val="0"/>
                      <w:color w:val="000000"/>
                      <w:sz w:val="20"/>
                      <w:szCs w:val="20"/>
                    </w:rPr>
                  </w:pPr>
                  <w:r>
                    <w:rPr>
                      <w:rFonts w:hint="default"/>
                      <w:b w:val="0"/>
                      <w:bCs/>
                      <w:color w:val="000000"/>
                      <w:sz w:val="20"/>
                      <w:szCs w:val="20"/>
                    </w:rPr>
                    <w:t>日平均浓度值</w:t>
                  </w:r>
                </w:p>
              </w:tc>
            </w:tr>
            <w:tr w14:paraId="66FAD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89" w:type="dxa"/>
                  <w:vMerge w:val="continue"/>
                  <w:tcBorders>
                    <w:top w:val="single" w:color="auto" w:sz="4" w:space="0"/>
                    <w:left w:val="nil"/>
                    <w:bottom w:val="single" w:color="auto" w:sz="4" w:space="0"/>
                    <w:right w:val="single" w:color="auto" w:sz="4" w:space="0"/>
                  </w:tcBorders>
                  <w:shd w:val="clear" w:color="auto" w:fill="FFFFFF"/>
                  <w:vAlign w:val="center"/>
                </w:tcPr>
                <w:p w14:paraId="1B38C11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Arial"/>
                      <w:b w:val="0"/>
                      <w:color w:val="000000"/>
                      <w:sz w:val="21"/>
                    </w:rPr>
                  </w:pPr>
                </w:p>
              </w:tc>
              <w:tc>
                <w:tcPr>
                  <w:tcW w:w="132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975171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Arial"/>
                      <w:b w:val="0"/>
                      <w:color w:val="000000"/>
                      <w:sz w:val="21"/>
                    </w:rPr>
                  </w:pPr>
                </w:p>
              </w:tc>
              <w:tc>
                <w:tcPr>
                  <w:tcW w:w="232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64BE759">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1" w:lineRule="auto"/>
                    <w:ind w:left="0" w:right="0"/>
                    <w:jc w:val="center"/>
                    <w:textAlignment w:val="baseline"/>
                    <w:rPr>
                      <w:rFonts w:hint="default"/>
                      <w:b w:val="0"/>
                      <w:color w:val="000000"/>
                      <w:sz w:val="20"/>
                      <w:szCs w:val="20"/>
                    </w:rPr>
                  </w:pPr>
                  <w:r>
                    <w:rPr>
                      <w:rFonts w:hint="default"/>
                      <w:b w:val="0"/>
                      <w:bCs/>
                      <w:color w:val="000000"/>
                      <w:spacing w:val="2"/>
                      <w:sz w:val="20"/>
                      <w:szCs w:val="20"/>
                    </w:rPr>
                    <w:t>浓度范围（</w:t>
                  </w:r>
                  <w:r>
                    <w:rPr>
                      <w:rFonts w:hint="default" w:ascii="Times New Roman" w:hAnsi="Times New Roman" w:eastAsia="Times New Roman" w:cs="Times New Roman"/>
                      <w:b w:val="0"/>
                      <w:bCs/>
                      <w:color w:val="000000"/>
                      <w:sz w:val="20"/>
                      <w:szCs w:val="20"/>
                    </w:rPr>
                    <w:t>mg</w:t>
                  </w:r>
                  <w:r>
                    <w:rPr>
                      <w:rFonts w:hint="default" w:ascii="Times New Roman" w:hAnsi="Times New Roman" w:eastAsia="Times New Roman" w:cs="Times New Roman"/>
                      <w:b w:val="0"/>
                      <w:bCs/>
                      <w:color w:val="000000"/>
                      <w:spacing w:val="2"/>
                      <w:sz w:val="20"/>
                      <w:szCs w:val="20"/>
                    </w:rPr>
                    <w:t>/m</w:t>
                  </w:r>
                  <w:r>
                    <w:rPr>
                      <w:rFonts w:hint="default" w:ascii="Times New Roman" w:hAnsi="Times New Roman" w:eastAsia="Times New Roman" w:cs="Times New Roman"/>
                      <w:b w:val="0"/>
                      <w:bCs/>
                      <w:color w:val="000000"/>
                      <w:spacing w:val="2"/>
                      <w:position w:val="6"/>
                      <w:sz w:val="13"/>
                      <w:szCs w:val="13"/>
                    </w:rPr>
                    <w:t>3</w:t>
                  </w:r>
                  <w:r>
                    <w:rPr>
                      <w:rFonts w:hint="default"/>
                      <w:b w:val="0"/>
                      <w:bCs/>
                      <w:color w:val="000000"/>
                      <w:spacing w:val="2"/>
                      <w:sz w:val="20"/>
                      <w:szCs w:val="20"/>
                    </w:rPr>
                    <w:t>）</w:t>
                  </w:r>
                </w:p>
              </w:tc>
              <w:tc>
                <w:tcPr>
                  <w:tcW w:w="100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75624A31">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64" w:lineRule="auto"/>
                    <w:ind w:left="0" w:right="185" w:hanging="103"/>
                    <w:jc w:val="center"/>
                    <w:textAlignment w:val="baseline"/>
                    <w:rPr>
                      <w:rFonts w:hint="default"/>
                      <w:b w:val="0"/>
                      <w:color w:val="000000"/>
                      <w:sz w:val="20"/>
                      <w:szCs w:val="20"/>
                    </w:rPr>
                  </w:pPr>
                  <w:r>
                    <w:rPr>
                      <w:rFonts w:hint="default"/>
                      <w:b w:val="0"/>
                      <w:bCs/>
                      <w:color w:val="000000"/>
                      <w:spacing w:val="4"/>
                      <w:sz w:val="20"/>
                      <w:szCs w:val="20"/>
                    </w:rPr>
                    <w:t>最大占</w:t>
                  </w:r>
                  <w:r>
                    <w:rPr>
                      <w:rFonts w:hint="default"/>
                      <w:b w:val="0"/>
                      <w:bCs/>
                      <w:color w:val="000000"/>
                      <w:spacing w:val="3"/>
                      <w:sz w:val="20"/>
                      <w:szCs w:val="20"/>
                    </w:rPr>
                    <w:t>标率</w:t>
                  </w:r>
                </w:p>
              </w:tc>
              <w:tc>
                <w:tcPr>
                  <w:tcW w:w="190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B48E292">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1" w:lineRule="auto"/>
                    <w:ind w:left="0" w:right="9"/>
                    <w:jc w:val="center"/>
                    <w:textAlignment w:val="baseline"/>
                    <w:rPr>
                      <w:rFonts w:hint="default"/>
                      <w:b w:val="0"/>
                      <w:color w:val="000000"/>
                      <w:sz w:val="20"/>
                      <w:szCs w:val="20"/>
                    </w:rPr>
                  </w:pPr>
                  <w:r>
                    <w:rPr>
                      <w:rFonts w:hint="default"/>
                      <w:b w:val="0"/>
                      <w:bCs/>
                      <w:color w:val="000000"/>
                      <w:spacing w:val="1"/>
                      <w:sz w:val="20"/>
                      <w:szCs w:val="20"/>
                    </w:rPr>
                    <w:t>浓度范围（</w:t>
                  </w:r>
                  <w:r>
                    <w:rPr>
                      <w:rFonts w:hint="default" w:ascii="Times New Roman" w:hAnsi="Times New Roman" w:eastAsia="Times New Roman" w:cs="Times New Roman"/>
                      <w:b w:val="0"/>
                      <w:bCs/>
                      <w:color w:val="000000"/>
                      <w:sz w:val="20"/>
                      <w:szCs w:val="20"/>
                    </w:rPr>
                    <w:t>mg</w:t>
                  </w:r>
                  <w:r>
                    <w:rPr>
                      <w:rFonts w:hint="default" w:ascii="Times New Roman" w:hAnsi="Times New Roman" w:eastAsia="Times New Roman" w:cs="Times New Roman"/>
                      <w:b w:val="0"/>
                      <w:bCs/>
                      <w:color w:val="000000"/>
                      <w:spacing w:val="1"/>
                      <w:sz w:val="20"/>
                      <w:szCs w:val="20"/>
                    </w:rPr>
                    <w:t>/m</w:t>
                  </w:r>
                  <w:r>
                    <w:rPr>
                      <w:rFonts w:hint="default" w:ascii="Times New Roman" w:hAnsi="Times New Roman" w:eastAsia="Times New Roman" w:cs="Times New Roman"/>
                      <w:b w:val="0"/>
                      <w:bCs/>
                      <w:color w:val="000000"/>
                      <w:spacing w:val="1"/>
                      <w:position w:val="6"/>
                      <w:sz w:val="13"/>
                      <w:szCs w:val="13"/>
                    </w:rPr>
                    <w:t>3</w:t>
                  </w:r>
                  <w:r>
                    <w:rPr>
                      <w:rFonts w:hint="default"/>
                      <w:b w:val="0"/>
                      <w:bCs/>
                      <w:color w:val="000000"/>
                      <w:spacing w:val="1"/>
                      <w:sz w:val="20"/>
                      <w:szCs w:val="20"/>
                    </w:rPr>
                    <w:t>）</w:t>
                  </w:r>
                </w:p>
              </w:tc>
              <w:tc>
                <w:tcPr>
                  <w:tcW w:w="956" w:type="dxa"/>
                  <w:vMerge w:val="restart"/>
                  <w:tcBorders>
                    <w:top w:val="single" w:color="auto" w:sz="4" w:space="0"/>
                    <w:left w:val="single" w:color="auto" w:sz="4" w:space="0"/>
                    <w:bottom w:val="single" w:color="auto" w:sz="4" w:space="0"/>
                    <w:right w:val="nil"/>
                  </w:tcBorders>
                  <w:shd w:val="clear" w:color="auto" w:fill="FFFFFF"/>
                  <w:vAlign w:val="center"/>
                </w:tcPr>
                <w:p w14:paraId="03ADA117">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64" w:lineRule="auto"/>
                    <w:ind w:left="0" w:right="211" w:hanging="103"/>
                    <w:jc w:val="center"/>
                    <w:textAlignment w:val="baseline"/>
                    <w:rPr>
                      <w:rFonts w:hint="default"/>
                      <w:b w:val="0"/>
                      <w:color w:val="000000"/>
                      <w:sz w:val="20"/>
                      <w:szCs w:val="20"/>
                    </w:rPr>
                  </w:pPr>
                  <w:r>
                    <w:rPr>
                      <w:rFonts w:hint="default"/>
                      <w:b w:val="0"/>
                      <w:bCs/>
                      <w:color w:val="000000"/>
                      <w:spacing w:val="4"/>
                      <w:sz w:val="20"/>
                      <w:szCs w:val="20"/>
                    </w:rPr>
                    <w:t>最大占</w:t>
                  </w:r>
                  <w:r>
                    <w:rPr>
                      <w:rFonts w:hint="default"/>
                      <w:b w:val="0"/>
                      <w:bCs/>
                      <w:color w:val="000000"/>
                      <w:spacing w:val="3"/>
                      <w:sz w:val="20"/>
                      <w:szCs w:val="20"/>
                    </w:rPr>
                    <w:t>标率</w:t>
                  </w:r>
                </w:p>
              </w:tc>
            </w:tr>
            <w:tr w14:paraId="27B05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89" w:type="dxa"/>
                  <w:vMerge w:val="continue"/>
                  <w:tcBorders>
                    <w:top w:val="single" w:color="auto" w:sz="4" w:space="0"/>
                    <w:left w:val="nil"/>
                    <w:bottom w:val="single" w:color="auto" w:sz="4" w:space="0"/>
                    <w:right w:val="single" w:color="auto" w:sz="4" w:space="0"/>
                  </w:tcBorders>
                  <w:shd w:val="clear" w:color="auto" w:fill="FFFFFF"/>
                  <w:vAlign w:val="center"/>
                </w:tcPr>
                <w:p w14:paraId="5D16783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Arial"/>
                      <w:b w:val="0"/>
                      <w:color w:val="000000"/>
                      <w:sz w:val="21"/>
                    </w:rPr>
                  </w:pPr>
                </w:p>
              </w:tc>
              <w:tc>
                <w:tcPr>
                  <w:tcW w:w="132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6A2280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Arial"/>
                      <w:b w:val="0"/>
                      <w:color w:val="000000"/>
                      <w:sz w:val="21"/>
                    </w:rPr>
                  </w:pPr>
                </w:p>
              </w:tc>
              <w:tc>
                <w:tcPr>
                  <w:tcW w:w="1274" w:type="dxa"/>
                  <w:tcBorders>
                    <w:top w:val="single" w:color="auto" w:sz="4" w:space="0"/>
                    <w:left w:val="single" w:color="auto" w:sz="4" w:space="0"/>
                    <w:bottom w:val="single" w:color="auto" w:sz="4" w:space="0"/>
                    <w:right w:val="single" w:color="auto" w:sz="4" w:space="0"/>
                  </w:tcBorders>
                  <w:shd w:val="clear" w:color="auto" w:fill="FFFFFF"/>
                  <w:vAlign w:val="center"/>
                </w:tcPr>
                <w:p w14:paraId="67A787BD">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b w:val="0"/>
                      <w:color w:val="000000"/>
                      <w:sz w:val="20"/>
                      <w:szCs w:val="20"/>
                    </w:rPr>
                  </w:pPr>
                  <w:r>
                    <w:rPr>
                      <w:rFonts w:hint="default"/>
                      <w:b w:val="0"/>
                      <w:bCs/>
                      <w:color w:val="000000"/>
                      <w:spacing w:val="4"/>
                      <w:sz w:val="20"/>
                      <w:szCs w:val="20"/>
                    </w:rPr>
                    <w:t>最小值</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14:paraId="41A91C35">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b w:val="0"/>
                      <w:color w:val="000000"/>
                      <w:sz w:val="20"/>
                      <w:szCs w:val="20"/>
                    </w:rPr>
                  </w:pPr>
                  <w:r>
                    <w:rPr>
                      <w:rFonts w:hint="default"/>
                      <w:b w:val="0"/>
                      <w:bCs/>
                      <w:color w:val="000000"/>
                      <w:spacing w:val="4"/>
                      <w:sz w:val="20"/>
                      <w:szCs w:val="20"/>
                    </w:rPr>
                    <w:t>最大值</w:t>
                  </w:r>
                </w:p>
              </w:tc>
              <w:tc>
                <w:tcPr>
                  <w:tcW w:w="100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36673D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Arial"/>
                      <w:b w:val="0"/>
                      <w:color w:val="000000"/>
                      <w:sz w:val="21"/>
                    </w:rPr>
                  </w:pPr>
                </w:p>
              </w:tc>
              <w:tc>
                <w:tcPr>
                  <w:tcW w:w="917" w:type="dxa"/>
                  <w:tcBorders>
                    <w:top w:val="single" w:color="auto" w:sz="4" w:space="0"/>
                    <w:left w:val="single" w:color="auto" w:sz="4" w:space="0"/>
                    <w:bottom w:val="single" w:color="auto" w:sz="4" w:space="0"/>
                    <w:right w:val="single" w:color="auto" w:sz="4" w:space="0"/>
                  </w:tcBorders>
                  <w:shd w:val="clear" w:color="auto" w:fill="FFFFFF"/>
                  <w:vAlign w:val="center"/>
                </w:tcPr>
                <w:p w14:paraId="55E4CC36">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b w:val="0"/>
                      <w:color w:val="000000"/>
                      <w:sz w:val="20"/>
                      <w:szCs w:val="20"/>
                    </w:rPr>
                  </w:pPr>
                  <w:r>
                    <w:rPr>
                      <w:rFonts w:hint="default"/>
                      <w:b w:val="0"/>
                      <w:bCs/>
                      <w:color w:val="000000"/>
                      <w:spacing w:val="4"/>
                      <w:sz w:val="20"/>
                      <w:szCs w:val="20"/>
                    </w:rPr>
                    <w:t>最小值</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14:paraId="0068E76E">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b w:val="0"/>
                      <w:color w:val="000000"/>
                      <w:sz w:val="20"/>
                      <w:szCs w:val="20"/>
                    </w:rPr>
                  </w:pPr>
                  <w:r>
                    <w:rPr>
                      <w:rFonts w:hint="default"/>
                      <w:b w:val="0"/>
                      <w:bCs/>
                      <w:color w:val="000000"/>
                      <w:spacing w:val="4"/>
                      <w:sz w:val="20"/>
                      <w:szCs w:val="20"/>
                    </w:rPr>
                    <w:t>最大值</w:t>
                  </w:r>
                </w:p>
              </w:tc>
              <w:tc>
                <w:tcPr>
                  <w:tcW w:w="956" w:type="dxa"/>
                  <w:vMerge w:val="continue"/>
                  <w:tcBorders>
                    <w:top w:val="single" w:color="auto" w:sz="4" w:space="0"/>
                    <w:left w:val="single" w:color="auto" w:sz="4" w:space="0"/>
                    <w:bottom w:val="single" w:color="auto" w:sz="4" w:space="0"/>
                    <w:right w:val="nil"/>
                  </w:tcBorders>
                  <w:shd w:val="clear" w:color="auto" w:fill="FFFFFF"/>
                  <w:vAlign w:val="center"/>
                </w:tcPr>
                <w:p w14:paraId="21138D3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Arial"/>
                      <w:b w:val="0"/>
                      <w:color w:val="000000"/>
                      <w:sz w:val="21"/>
                    </w:rPr>
                  </w:pPr>
                </w:p>
              </w:tc>
            </w:tr>
            <w:tr w14:paraId="45604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89" w:type="dxa"/>
                  <w:tcBorders>
                    <w:top w:val="single" w:color="auto" w:sz="4" w:space="0"/>
                    <w:left w:val="nil"/>
                    <w:bottom w:val="single" w:color="auto" w:sz="4" w:space="0"/>
                    <w:right w:val="single" w:color="auto" w:sz="4" w:space="0"/>
                  </w:tcBorders>
                  <w:shd w:val="clear" w:color="auto" w:fill="FFFFFF"/>
                  <w:vAlign w:val="center"/>
                </w:tcPr>
                <w:p w14:paraId="68F7DFDD">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b w:val="0"/>
                      <w:color w:val="000000"/>
                      <w:sz w:val="20"/>
                      <w:szCs w:val="20"/>
                    </w:rPr>
                  </w:pPr>
                  <w:r>
                    <w:rPr>
                      <w:rFonts w:hint="default"/>
                      <w:b w:val="0"/>
                      <w:color w:val="000000"/>
                      <w:spacing w:val="7"/>
                      <w:sz w:val="20"/>
                      <w:szCs w:val="20"/>
                    </w:rPr>
                    <w:t>大小方安置区</w:t>
                  </w:r>
                </w:p>
              </w:tc>
              <w:tc>
                <w:tcPr>
                  <w:tcW w:w="1329" w:type="dxa"/>
                  <w:tcBorders>
                    <w:top w:val="single" w:color="auto" w:sz="4" w:space="0"/>
                    <w:left w:val="single" w:color="auto" w:sz="4" w:space="0"/>
                    <w:bottom w:val="single" w:color="auto" w:sz="4" w:space="0"/>
                    <w:right w:val="single" w:color="auto" w:sz="4" w:space="0"/>
                  </w:tcBorders>
                  <w:shd w:val="clear" w:color="auto" w:fill="FFFFFF"/>
                  <w:vAlign w:val="center"/>
                </w:tcPr>
                <w:p w14:paraId="48C32105">
                  <w:pPr>
                    <w:pStyle w:val="5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b w:val="0"/>
                      <w:color w:val="000000"/>
                      <w:sz w:val="20"/>
                      <w:szCs w:val="20"/>
                    </w:rPr>
                  </w:pPr>
                  <w:r>
                    <w:rPr>
                      <w:rFonts w:hint="default"/>
                      <w:b w:val="0"/>
                      <w:color w:val="000000"/>
                      <w:spacing w:val="7"/>
                      <w:sz w:val="20"/>
                      <w:szCs w:val="20"/>
                    </w:rPr>
                    <w:t>非甲烷总烃</w:t>
                  </w:r>
                </w:p>
              </w:tc>
              <w:tc>
                <w:tcPr>
                  <w:tcW w:w="1274" w:type="dxa"/>
                  <w:tcBorders>
                    <w:top w:val="single" w:color="auto" w:sz="4" w:space="0"/>
                    <w:left w:val="single" w:color="auto" w:sz="4" w:space="0"/>
                    <w:bottom w:val="single" w:color="auto" w:sz="4" w:space="0"/>
                    <w:right w:val="single" w:color="auto" w:sz="4" w:space="0"/>
                  </w:tcBorders>
                  <w:shd w:val="clear" w:color="auto" w:fill="FFFFFF"/>
                  <w:vAlign w:val="center"/>
                </w:tcPr>
                <w:p w14:paraId="0210696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5" w:lineRule="auto"/>
                    <w:ind w:left="0" w:right="0"/>
                    <w:jc w:val="center"/>
                    <w:textAlignment w:val="baseline"/>
                    <w:rPr>
                      <w:rFonts w:hint="default" w:ascii="Times New Roman" w:hAnsi="Times New Roman" w:eastAsia="Times New Roman" w:cs="Times New Roman"/>
                      <w:b w:val="0"/>
                      <w:color w:val="000000"/>
                      <w:sz w:val="20"/>
                      <w:szCs w:val="20"/>
                    </w:rPr>
                  </w:pPr>
                  <w:r>
                    <w:rPr>
                      <w:rFonts w:hint="default" w:ascii="Times New Roman" w:hAnsi="Times New Roman" w:eastAsia="Times New Roman" w:cs="Times New Roman"/>
                      <w:b w:val="0"/>
                      <w:color w:val="000000"/>
                      <w:spacing w:val="2"/>
                      <w:sz w:val="20"/>
                      <w:szCs w:val="20"/>
                    </w:rPr>
                    <w:t>0.27</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14:paraId="74339FE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5" w:lineRule="auto"/>
                    <w:ind w:left="0" w:right="0"/>
                    <w:jc w:val="center"/>
                    <w:textAlignment w:val="baseline"/>
                    <w:rPr>
                      <w:rFonts w:hint="default" w:ascii="Times New Roman" w:hAnsi="Times New Roman" w:eastAsia="Times New Roman" w:cs="Times New Roman"/>
                      <w:b w:val="0"/>
                      <w:color w:val="000000"/>
                      <w:sz w:val="20"/>
                      <w:szCs w:val="20"/>
                    </w:rPr>
                  </w:pPr>
                  <w:r>
                    <w:rPr>
                      <w:rFonts w:hint="default" w:ascii="Times New Roman" w:hAnsi="Times New Roman" w:eastAsia="Times New Roman" w:cs="Times New Roman"/>
                      <w:b w:val="0"/>
                      <w:color w:val="000000"/>
                      <w:spacing w:val="2"/>
                      <w:sz w:val="20"/>
                      <w:szCs w:val="20"/>
                    </w:rPr>
                    <w:t>0.36</w:t>
                  </w:r>
                </w:p>
              </w:tc>
              <w:tc>
                <w:tcPr>
                  <w:tcW w:w="1008" w:type="dxa"/>
                  <w:tcBorders>
                    <w:top w:val="single" w:color="auto" w:sz="4" w:space="0"/>
                    <w:left w:val="single" w:color="auto" w:sz="4" w:space="0"/>
                    <w:bottom w:val="single" w:color="auto" w:sz="4" w:space="0"/>
                    <w:right w:val="single" w:color="auto" w:sz="4" w:space="0"/>
                  </w:tcBorders>
                  <w:shd w:val="clear" w:color="auto" w:fill="FFFFFF"/>
                  <w:vAlign w:val="center"/>
                </w:tcPr>
                <w:p w14:paraId="14270CA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5" w:lineRule="auto"/>
                    <w:ind w:left="0" w:right="0"/>
                    <w:jc w:val="center"/>
                    <w:textAlignment w:val="baseline"/>
                    <w:rPr>
                      <w:rFonts w:hint="default" w:ascii="Times New Roman" w:hAnsi="Times New Roman" w:eastAsia="Times New Roman" w:cs="Times New Roman"/>
                      <w:b w:val="0"/>
                      <w:color w:val="000000"/>
                      <w:sz w:val="20"/>
                      <w:szCs w:val="20"/>
                    </w:rPr>
                  </w:pPr>
                  <w:r>
                    <w:rPr>
                      <w:rFonts w:hint="default" w:ascii="Times New Roman" w:hAnsi="Times New Roman" w:eastAsia="Times New Roman" w:cs="Times New Roman"/>
                      <w:b w:val="0"/>
                      <w:color w:val="000000"/>
                      <w:spacing w:val="-2"/>
                      <w:sz w:val="20"/>
                      <w:szCs w:val="20"/>
                    </w:rPr>
                    <w:t>18%</w:t>
                  </w:r>
                </w:p>
              </w:tc>
              <w:tc>
                <w:tcPr>
                  <w:tcW w:w="917" w:type="dxa"/>
                  <w:tcBorders>
                    <w:top w:val="single" w:color="auto" w:sz="4" w:space="0"/>
                    <w:left w:val="single" w:color="auto" w:sz="4" w:space="0"/>
                    <w:bottom w:val="single" w:color="auto" w:sz="4" w:space="0"/>
                    <w:right w:val="single" w:color="auto" w:sz="4" w:space="0"/>
                  </w:tcBorders>
                  <w:shd w:val="clear" w:color="auto" w:fill="FFFFFF"/>
                  <w:vAlign w:val="center"/>
                </w:tcPr>
                <w:p w14:paraId="18D7997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9" w:lineRule="auto"/>
                    <w:ind w:left="0" w:right="0"/>
                    <w:jc w:val="center"/>
                    <w:textAlignment w:val="baseline"/>
                    <w:rPr>
                      <w:rFonts w:hint="default" w:ascii="Times New Roman" w:hAnsi="Times New Roman" w:eastAsia="Times New Roman" w:cs="Times New Roman"/>
                      <w:b w:val="0"/>
                      <w:color w:val="000000"/>
                      <w:sz w:val="20"/>
                      <w:szCs w:val="20"/>
                    </w:rPr>
                  </w:pPr>
                  <w:r>
                    <w:rPr>
                      <w:rFonts w:hint="default" w:ascii="Times New Roman" w:hAnsi="Times New Roman" w:eastAsia="Times New Roman" w:cs="Times New Roman"/>
                      <w:b w:val="0"/>
                      <w:color w:val="000000"/>
                      <w:spacing w:val="2"/>
                      <w:sz w:val="20"/>
                      <w:szCs w:val="20"/>
                    </w:rPr>
                    <w:t>/</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14:paraId="262C905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9" w:lineRule="auto"/>
                    <w:ind w:left="0" w:right="0"/>
                    <w:jc w:val="center"/>
                    <w:textAlignment w:val="baseline"/>
                    <w:rPr>
                      <w:rFonts w:hint="default" w:ascii="Times New Roman" w:hAnsi="Times New Roman" w:eastAsia="Times New Roman" w:cs="Times New Roman"/>
                      <w:b w:val="0"/>
                      <w:color w:val="000000"/>
                      <w:sz w:val="20"/>
                      <w:szCs w:val="20"/>
                    </w:rPr>
                  </w:pPr>
                  <w:r>
                    <w:rPr>
                      <w:rFonts w:hint="default" w:ascii="Times New Roman" w:hAnsi="Times New Roman" w:eastAsia="Times New Roman" w:cs="Times New Roman"/>
                      <w:b w:val="0"/>
                      <w:color w:val="000000"/>
                      <w:spacing w:val="2"/>
                      <w:sz w:val="20"/>
                      <w:szCs w:val="20"/>
                    </w:rPr>
                    <w:t>/</w:t>
                  </w:r>
                </w:p>
              </w:tc>
              <w:tc>
                <w:tcPr>
                  <w:tcW w:w="956" w:type="dxa"/>
                  <w:tcBorders>
                    <w:top w:val="single" w:color="auto" w:sz="4" w:space="0"/>
                    <w:left w:val="single" w:color="auto" w:sz="4" w:space="0"/>
                    <w:bottom w:val="single" w:color="auto" w:sz="4" w:space="0"/>
                    <w:right w:val="nil"/>
                  </w:tcBorders>
                  <w:shd w:val="clear" w:color="auto" w:fill="FFFFFF"/>
                  <w:vAlign w:val="center"/>
                </w:tcPr>
                <w:p w14:paraId="27F182E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9" w:lineRule="auto"/>
                    <w:ind w:left="0" w:right="0"/>
                    <w:jc w:val="center"/>
                    <w:textAlignment w:val="baseline"/>
                    <w:rPr>
                      <w:rFonts w:hint="default" w:ascii="Times New Roman" w:hAnsi="Times New Roman" w:eastAsia="Times New Roman" w:cs="Times New Roman"/>
                      <w:b w:val="0"/>
                      <w:color w:val="000000"/>
                      <w:sz w:val="20"/>
                      <w:szCs w:val="20"/>
                    </w:rPr>
                  </w:pPr>
                  <w:r>
                    <w:rPr>
                      <w:rFonts w:hint="default" w:ascii="Times New Roman" w:hAnsi="Times New Roman" w:eastAsia="Times New Roman" w:cs="Times New Roman"/>
                      <w:b w:val="0"/>
                      <w:color w:val="000000"/>
                      <w:spacing w:val="2"/>
                      <w:sz w:val="20"/>
                      <w:szCs w:val="20"/>
                    </w:rPr>
                    <w:t>/</w:t>
                  </w:r>
                </w:p>
              </w:tc>
            </w:tr>
          </w:tbl>
          <w:p w14:paraId="1D061958">
            <w:pPr>
              <w:pStyle w:val="56"/>
              <w:keepNext w:val="0"/>
              <w:keepLines w:val="0"/>
              <w:suppressLineNumbers w:val="0"/>
              <w:spacing w:before="106" w:beforeAutospacing="0" w:after="0" w:afterAutospacing="0" w:line="360" w:lineRule="auto"/>
              <w:ind w:left="115" w:right="127" w:firstLine="478"/>
              <w:rPr>
                <w:rFonts w:hint="default"/>
              </w:rPr>
            </w:pPr>
            <w:r>
              <w:rPr>
                <w:rFonts w:hint="default"/>
              </w:rPr>
              <w:t>监测及评价结果表明，评价区监测点非甲烷总烃满足</w:t>
            </w:r>
            <w:r>
              <w:rPr>
                <w:rFonts w:hint="default"/>
                <w:spacing w:val="-1"/>
              </w:rPr>
              <w:t>《大气污染物综合排放标准详解》中荐值要求（非甲烷总烃</w:t>
            </w:r>
            <w:r>
              <w:rPr>
                <w:rFonts w:hint="default" w:ascii="Times New Roman" w:hAnsi="Times New Roman" w:eastAsia="Times New Roman" w:cs="Times New Roman"/>
                <w:spacing w:val="-1"/>
              </w:rPr>
              <w:t>2.0mg/m</w:t>
            </w:r>
            <w:r>
              <w:rPr>
                <w:rFonts w:hint="default" w:ascii="Times New Roman" w:hAnsi="Times New Roman" w:eastAsia="Times New Roman" w:cs="Times New Roman"/>
                <w:spacing w:val="-1"/>
                <w:position w:val="8"/>
                <w:sz w:val="15"/>
                <w:szCs w:val="15"/>
              </w:rPr>
              <w:t>3</w:t>
            </w:r>
            <w:r>
              <w:rPr>
                <w:rFonts w:hint="default"/>
                <w:spacing w:val="-14"/>
              </w:rPr>
              <w:t>）</w:t>
            </w:r>
            <w:r>
              <w:rPr>
                <w:rFonts w:hint="default"/>
                <w:spacing w:val="-2"/>
              </w:rPr>
              <w:t>。</w:t>
            </w:r>
          </w:p>
          <w:p w14:paraId="1372AC29">
            <w:pPr>
              <w:pStyle w:val="44"/>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2、地表水环境</w:t>
            </w:r>
          </w:p>
          <w:p w14:paraId="6CC67F36">
            <w:pPr>
              <w:pStyle w:val="56"/>
              <w:keepNext w:val="0"/>
              <w:keepLines w:val="0"/>
              <w:suppressLineNumbers w:val="0"/>
              <w:spacing w:before="103" w:beforeAutospacing="0" w:after="0" w:afterAutospacing="0" w:line="360" w:lineRule="auto"/>
              <w:ind w:left="110" w:right="108" w:firstLine="485"/>
              <w:rPr>
                <w:rFonts w:hint="default"/>
              </w:rPr>
            </w:pPr>
            <w:r>
              <w:rPr>
                <w:rFonts w:hint="default"/>
                <w:spacing w:val="-1"/>
              </w:rPr>
              <w:t>项目淮河水质引用蚌埠市生态环境局发布的《</w:t>
            </w:r>
            <w:r>
              <w:rPr>
                <w:rFonts w:hint="default" w:ascii="Times New Roman" w:hAnsi="Times New Roman" w:eastAsia="Times New Roman" w:cs="Times New Roman"/>
                <w:spacing w:val="-2"/>
              </w:rPr>
              <w:t>2024</w:t>
            </w:r>
            <w:r>
              <w:rPr>
                <w:rFonts w:hint="default"/>
                <w:spacing w:val="-2"/>
              </w:rPr>
              <w:t>年蚌埠市生态环境质量状况公</w:t>
            </w:r>
            <w:r>
              <w:rPr>
                <w:rFonts w:hint="default"/>
                <w:spacing w:val="-1"/>
              </w:rPr>
              <w:t>报》中地表水环境现状评价结论。</w:t>
            </w:r>
          </w:p>
          <w:p w14:paraId="7937D22D">
            <w:pPr>
              <w:pStyle w:val="56"/>
              <w:keepNext w:val="0"/>
              <w:keepLines w:val="0"/>
              <w:suppressLineNumbers w:val="0"/>
              <w:spacing w:before="0" w:beforeAutospacing="0" w:after="0" w:afterAutospacing="0" w:line="360" w:lineRule="auto"/>
              <w:ind w:left="113" w:right="105" w:firstLine="479"/>
              <w:jc w:val="both"/>
              <w:rPr>
                <w:rFonts w:hint="default"/>
              </w:rPr>
            </w:pPr>
            <w:r>
              <w:rPr>
                <w:rFonts w:hint="default"/>
                <w:spacing w:val="31"/>
              </w:rPr>
              <w:t>淮河干流蚌埠段：沫河口断面水质类别符合《地表水环境质量标准》</w:t>
            </w:r>
            <w:r>
              <w:rPr>
                <w:rFonts w:hint="default"/>
                <w:spacing w:val="2"/>
              </w:rPr>
              <w:t>（</w:t>
            </w:r>
            <w:r>
              <w:rPr>
                <w:rFonts w:hint="default" w:ascii="Times New Roman" w:hAnsi="Times New Roman" w:eastAsia="Times New Roman" w:cs="Times New Roman"/>
              </w:rPr>
              <w:t>GB</w:t>
            </w:r>
            <w:r>
              <w:rPr>
                <w:rFonts w:hint="default" w:ascii="Times New Roman" w:hAnsi="Times New Roman" w:eastAsia="Times New Roman" w:cs="Times New Roman"/>
                <w:spacing w:val="2"/>
              </w:rPr>
              <w:t>3838-2002</w:t>
            </w:r>
            <w:r>
              <w:rPr>
                <w:rFonts w:hint="default"/>
                <w:spacing w:val="2"/>
              </w:rPr>
              <w:t>）中Ⅱ类标准，蚌埠闸上断面水质类别符合Ⅲ类标准。沫河</w:t>
            </w:r>
            <w:r>
              <w:rPr>
                <w:rFonts w:hint="default"/>
                <w:spacing w:val="1"/>
              </w:rPr>
              <w:t>口断面水</w:t>
            </w:r>
            <w:r>
              <w:rPr>
                <w:rFonts w:hint="default"/>
                <w:spacing w:val="-1"/>
              </w:rPr>
              <w:t>质状况有所好转，由良好转为优。</w:t>
            </w:r>
          </w:p>
          <w:p w14:paraId="1187B7BD">
            <w:pPr>
              <w:pStyle w:val="56"/>
              <w:keepNext w:val="0"/>
              <w:keepLines w:val="0"/>
              <w:suppressLineNumbers w:val="0"/>
              <w:spacing w:before="0" w:beforeAutospacing="0" w:after="0" w:afterAutospacing="0" w:line="360" w:lineRule="auto"/>
              <w:ind w:left="112" w:right="108" w:firstLine="480"/>
              <w:rPr>
                <w:rFonts w:hint="default"/>
              </w:rPr>
            </w:pPr>
            <w:r>
              <w:rPr>
                <w:rFonts w:hint="default"/>
              </w:rPr>
              <w:t>淮河蚌埠段支流：怀洪新河五河、浍河蚌埠固镇、茨淮新河上桥闸上、涡河怀远三桥、北淝河入淮河口、沱河关咀等</w:t>
            </w:r>
            <w:r>
              <w:rPr>
                <w:rFonts w:hint="default" w:ascii="Times New Roman" w:hAnsi="Times New Roman" w:eastAsia="Times New Roman" w:cs="Times New Roman"/>
              </w:rPr>
              <w:t>6</w:t>
            </w:r>
            <w:r>
              <w:rPr>
                <w:rFonts w:hint="default"/>
              </w:rPr>
              <w:t>个监测断面均符合Ⅲ类标准，水质状况良</w:t>
            </w:r>
            <w:r>
              <w:rPr>
                <w:rFonts w:hint="default"/>
                <w:spacing w:val="-1"/>
              </w:rPr>
              <w:t>好。</w:t>
            </w:r>
            <w:r>
              <w:rPr>
                <w:rFonts w:hint="default"/>
              </w:rPr>
              <w:t>淮河蚌埠段支流总体水质状况同比无明显变化。其中，涡河怀远三桥断面水质状况同</w:t>
            </w:r>
            <w:r>
              <w:rPr>
                <w:rFonts w:hint="default"/>
                <w:spacing w:val="-1"/>
              </w:rPr>
              <w:t>比有所下降，由优转为良好，其他</w:t>
            </w:r>
            <w:r>
              <w:rPr>
                <w:rFonts w:hint="default" w:ascii="Times New Roman" w:hAnsi="Times New Roman" w:eastAsia="Times New Roman" w:cs="Times New Roman"/>
                <w:spacing w:val="-1"/>
              </w:rPr>
              <w:t>5</w:t>
            </w:r>
            <w:r>
              <w:rPr>
                <w:rFonts w:hint="default"/>
                <w:spacing w:val="-1"/>
              </w:rPr>
              <w:t>个断面同比均无明显变化。</w:t>
            </w:r>
          </w:p>
          <w:p w14:paraId="0B654694">
            <w:pPr>
              <w:pStyle w:val="56"/>
              <w:keepNext w:val="0"/>
              <w:keepLines w:val="0"/>
              <w:suppressLineNumbers w:val="0"/>
              <w:spacing w:before="0" w:beforeAutospacing="0" w:after="0" w:afterAutospacing="0" w:line="360" w:lineRule="auto"/>
              <w:ind w:left="106" w:right="108" w:firstLine="485"/>
              <w:jc w:val="both"/>
              <w:rPr>
                <w:rFonts w:hint="default"/>
              </w:rPr>
            </w:pPr>
            <w:r>
              <w:rPr>
                <w:rFonts w:hint="default"/>
              </w:rPr>
              <w:t>淮河蚌埠段支流：怀洪新河取水口、怀洪新河固镇、新</w:t>
            </w:r>
            <w:r>
              <w:rPr>
                <w:rFonts w:hint="default"/>
                <w:spacing w:val="-1"/>
              </w:rPr>
              <w:t>开沱河闸、窑河入淮口等</w:t>
            </w:r>
            <w:r>
              <w:rPr>
                <w:rFonts w:hint="default" w:ascii="Times New Roman" w:hAnsi="Times New Roman" w:eastAsia="Times New Roman" w:cs="Times New Roman"/>
                <w:spacing w:val="2"/>
              </w:rPr>
              <w:t>4</w:t>
            </w:r>
            <w:r>
              <w:rPr>
                <w:rFonts w:hint="default"/>
                <w:spacing w:val="2"/>
              </w:rPr>
              <w:t>个断面水质类别均符合Ⅲ类标准，水质状况良好。淮河蚌埠段支流总体水质状</w:t>
            </w:r>
            <w:r>
              <w:rPr>
                <w:rFonts w:hint="default"/>
                <w:spacing w:val="1"/>
              </w:rPr>
              <w:t>况同</w:t>
            </w:r>
            <w:r>
              <w:rPr>
                <w:rFonts w:hint="default"/>
              </w:rPr>
              <w:t>比无明显变化。其中，窑河入淮口水质状况有所下降，由优转为良好，其他</w:t>
            </w:r>
            <w:r>
              <w:rPr>
                <w:rFonts w:hint="default" w:ascii="Times New Roman" w:hAnsi="Times New Roman" w:eastAsia="Times New Roman" w:cs="Times New Roman"/>
              </w:rPr>
              <w:t>3</w:t>
            </w:r>
            <w:r>
              <w:rPr>
                <w:rFonts w:hint="default"/>
              </w:rPr>
              <w:t>个断面</w:t>
            </w:r>
            <w:r>
              <w:rPr>
                <w:rFonts w:hint="default"/>
                <w:spacing w:val="-1"/>
              </w:rPr>
              <w:t>同比均无明显变化。</w:t>
            </w:r>
          </w:p>
          <w:p w14:paraId="400AAB25">
            <w:pPr>
              <w:pStyle w:val="56"/>
              <w:keepNext w:val="0"/>
              <w:keepLines w:val="0"/>
              <w:suppressLineNumbers w:val="0"/>
              <w:spacing w:before="2" w:beforeAutospacing="0" w:after="0" w:afterAutospacing="0" w:line="359" w:lineRule="auto"/>
              <w:ind w:left="115" w:right="127" w:firstLine="480"/>
              <w:rPr>
                <w:rFonts w:hint="default"/>
              </w:rPr>
            </w:pPr>
            <w:r>
              <w:rPr>
                <w:rFonts w:hint="default"/>
              </w:rPr>
              <w:t>项目纳污水体为淮河，根据公报结论可知，项</w:t>
            </w:r>
            <w:r>
              <w:rPr>
                <w:rFonts w:hint="default"/>
                <w:spacing w:val="-1"/>
              </w:rPr>
              <w:t>目所在区域的淮河水质符合《地表水环境质量标准》</w:t>
            </w:r>
            <w:r>
              <w:rPr>
                <w:rFonts w:hint="eastAsia"/>
                <w:spacing w:val="-1"/>
                <w:lang w:eastAsia="zh-CN"/>
              </w:rPr>
              <w:t>（</w:t>
            </w:r>
            <w:r>
              <w:rPr>
                <w:rFonts w:hint="default" w:ascii="Times New Roman" w:hAnsi="Times New Roman" w:eastAsia="Times New Roman" w:cs="Times New Roman"/>
                <w:spacing w:val="-1"/>
              </w:rPr>
              <w:t>GB3838-2002</w:t>
            </w:r>
            <w:r>
              <w:rPr>
                <w:rFonts w:hint="eastAsia" w:ascii="Times New Roman" w:hAnsi="Times New Roman" w:eastAsia="宋体" w:cs="Times New Roman"/>
                <w:spacing w:val="-1"/>
                <w:lang w:eastAsia="zh-CN"/>
              </w:rPr>
              <w:t>）</w:t>
            </w:r>
            <w:r>
              <w:rPr>
                <w:rFonts w:hint="default"/>
                <w:spacing w:val="-1"/>
              </w:rPr>
              <w:t>中Ⅲ类标准的要求。</w:t>
            </w:r>
          </w:p>
          <w:p w14:paraId="1F03628C">
            <w:pPr>
              <w:pStyle w:val="44"/>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3、声环境</w:t>
            </w:r>
          </w:p>
          <w:p w14:paraId="6D304928">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项目位于</w:t>
            </w:r>
            <w:r>
              <w:rPr>
                <w:rFonts w:hint="eastAsia" w:cs="Times New Roman"/>
                <w:color w:val="auto"/>
                <w:highlight w:val="none"/>
                <w:lang w:eastAsia="zh-CN"/>
              </w:rPr>
              <w:t>安徽省蚌埠市五河县开发区彩虹大道与兴潼路交口西80米</w:t>
            </w:r>
            <w:r>
              <w:rPr>
                <w:rFonts w:hint="default" w:ascii="Times New Roman" w:hAnsi="Times New Roman" w:cs="Times New Roman"/>
                <w:color w:val="auto"/>
                <w:highlight w:val="none"/>
              </w:rPr>
              <w:t>，周边50m范围内无声环境敏感点，根据《建设项目环境影响报告表编制技术指南--污染影响类》（试行）中要求，可不进行声环境质量现状监测。</w:t>
            </w:r>
          </w:p>
          <w:p w14:paraId="29F33C48">
            <w:pPr>
              <w:pStyle w:val="44"/>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4、生态环境</w:t>
            </w:r>
          </w:p>
          <w:p w14:paraId="1E0AC8A8">
            <w:pPr>
              <w:pStyle w:val="42"/>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对照安徽省蚌埠市生态保护红线集中分布范围，项目建设周边均无生态环境保护目标。无需进行生态环境调查。</w:t>
            </w:r>
          </w:p>
          <w:p w14:paraId="630EFCDF">
            <w:pPr>
              <w:pStyle w:val="44"/>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5、电磁辐射</w:t>
            </w:r>
          </w:p>
          <w:p w14:paraId="4E713515">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建设</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不属于电磁辐射类项目，</w:t>
            </w:r>
            <w:r>
              <w:rPr>
                <w:rFonts w:hint="default" w:ascii="Times New Roman" w:hAnsi="Times New Roman" w:cs="Times New Roman"/>
                <w:color w:val="auto"/>
                <w:highlight w:val="none"/>
              </w:rPr>
              <w:t>不涉及电磁辐射。</w:t>
            </w:r>
          </w:p>
          <w:p w14:paraId="34050694">
            <w:pPr>
              <w:pStyle w:val="44"/>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6、地下水、土壤环境</w:t>
            </w:r>
          </w:p>
          <w:p w14:paraId="638F94C0">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highlight w:val="none"/>
              </w:rPr>
              <w:t>建设项目</w:t>
            </w:r>
            <w:r>
              <w:rPr>
                <w:rFonts w:hint="default" w:ascii="Times New Roman" w:hAnsi="Times New Roman" w:cs="Times New Roman"/>
                <w:color w:val="auto"/>
                <w:highlight w:val="none"/>
                <w:lang w:eastAsia="zh-CN"/>
              </w:rPr>
              <w:t>厂房内地面采取硬化并</w:t>
            </w:r>
            <w:r>
              <w:rPr>
                <w:rFonts w:hint="default" w:ascii="Times New Roman" w:hAnsi="Times New Roman" w:cs="Times New Roman"/>
                <w:color w:val="auto"/>
                <w:highlight w:val="none"/>
              </w:rPr>
              <w:t>按照相关防渗要求进行分区防控处理</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正常工况下</w:t>
            </w:r>
            <w:r>
              <w:rPr>
                <w:rFonts w:hint="default" w:ascii="Times New Roman" w:hAnsi="Times New Roman" w:cs="Times New Roman"/>
                <w:color w:val="auto"/>
                <w:highlight w:val="none"/>
              </w:rPr>
              <w:t>不存在地下水、土壤环境污染途径，根据《建设项目环境影响报告表编制技术指南-污染影响类》（试行）中要求，可不开展环境质量现状调查。</w:t>
            </w:r>
          </w:p>
        </w:tc>
      </w:tr>
      <w:tr w14:paraId="49999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80" w:type="dxa"/>
            <w:noWrap w:val="0"/>
            <w:vAlign w:val="center"/>
          </w:tcPr>
          <w:p w14:paraId="312A5CEA">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72" w:leftChars="-30" w:right="-72" w:rightChars="-30"/>
              <w:jc w:val="center"/>
              <w:textAlignment w:val="auto"/>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highlight w:val="none"/>
              </w:rPr>
              <w:t>环境</w:t>
            </w:r>
          </w:p>
          <w:p w14:paraId="45345BEA">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72" w:leftChars="-30" w:right="-72" w:rightChars="-30"/>
              <w:jc w:val="center"/>
              <w:textAlignment w:val="auto"/>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highlight w:val="none"/>
              </w:rPr>
              <w:t>保护</w:t>
            </w:r>
          </w:p>
          <w:p w14:paraId="20EB3B03">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72" w:leftChars="-30" w:right="-72" w:rightChars="-30"/>
              <w:jc w:val="center"/>
              <w:textAlignment w:val="auto"/>
              <w:rPr>
                <w:rFonts w:hint="default" w:ascii="Times New Roman" w:hAnsi="Times New Roman" w:cs="Times New Roman"/>
                <w:color w:val="auto"/>
                <w:kern w:val="0"/>
                <w:highlight w:val="none"/>
              </w:rPr>
            </w:pPr>
            <w:r>
              <w:rPr>
                <w:rFonts w:hint="default" w:ascii="Times New Roman" w:hAnsi="Times New Roman" w:cs="Times New Roman"/>
                <w:b/>
                <w:bCs/>
                <w:color w:val="auto"/>
                <w:kern w:val="0"/>
                <w:highlight w:val="none"/>
              </w:rPr>
              <w:t>目标</w:t>
            </w:r>
          </w:p>
        </w:tc>
        <w:tc>
          <w:tcPr>
            <w:tcW w:w="9071" w:type="dxa"/>
            <w:noWrap w:val="0"/>
            <w:vAlign w:val="center"/>
          </w:tcPr>
          <w:p w14:paraId="3D43AC73">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1、大气环境</w:t>
            </w:r>
          </w:p>
          <w:p w14:paraId="6A55BCF7">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jc w:val="both"/>
              <w:textAlignment w:val="auto"/>
              <w:rPr>
                <w:rFonts w:hint="default" w:ascii="Times New Roman" w:hAnsi="Times New Roman" w:cs="Times New Roman"/>
                <w:color w:val="auto"/>
                <w:highlight w:val="none"/>
              </w:rPr>
            </w:pPr>
          </w:p>
          <w:p w14:paraId="6D1164C6">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color w:val="auto"/>
                <w:highlight w:val="none"/>
                <w:lang w:val="en-US" w:eastAsia="zh-CN"/>
              </w:rPr>
            </w:pPr>
            <w:r>
              <w:rPr>
                <w:rFonts w:hint="default"/>
                <w:sz w:val="24"/>
              </w:rPr>
              <mc:AlternateContent>
                <mc:Choice Requires="wps">
                  <w:drawing>
                    <wp:anchor distT="0" distB="0" distL="114300" distR="114300" simplePos="0" relativeHeight="251689984" behindDoc="0" locked="0" layoutInCell="1" allowOverlap="1">
                      <wp:simplePos x="0" y="0"/>
                      <wp:positionH relativeFrom="column">
                        <wp:posOffset>3445510</wp:posOffset>
                      </wp:positionH>
                      <wp:positionV relativeFrom="paragraph">
                        <wp:posOffset>2559685</wp:posOffset>
                      </wp:positionV>
                      <wp:extent cx="914400" cy="914400"/>
                      <wp:effectExtent l="0" t="0" r="0" b="0"/>
                      <wp:wrapNone/>
                      <wp:docPr id="78" name="文本框 78"/>
                      <wp:cNvGraphicFramePr/>
                      <a:graphic xmlns:a="http://schemas.openxmlformats.org/drawingml/2006/main">
                        <a:graphicData uri="http://schemas.microsoft.com/office/word/2010/wordprocessingShape">
                          <wps:wsp>
                            <wps:cNvSpPr txBox="1"/>
                            <wps:spPr>
                              <a:xfrm>
                                <a:off x="4404360" y="556514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67989">
                                  <w:pPr>
                                    <w:rPr>
                                      <w:rFonts w:hint="default" w:eastAsia="宋体"/>
                                      <w:color w:val="FF0000"/>
                                      <w:highlight w:val="none"/>
                                      <w:lang w:val="en-US" w:eastAsia="zh-CN"/>
                                    </w:rPr>
                                  </w:pPr>
                                  <w:r>
                                    <w:rPr>
                                      <w:rFonts w:hint="eastAsia"/>
                                      <w:color w:val="FF0000"/>
                                      <w:highlight w:val="none"/>
                                      <w:lang w:val="en-US" w:eastAsia="zh-CN"/>
                                    </w:rPr>
                                    <w:t>441m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3pt;margin-top:201.55pt;height:72pt;width:72pt;z-index:251689984;mso-width-relative:page;mso-height-relative:page;" filled="f" stroked="f" coordsize="21600,21600" o:gfxdata="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iSocdsAAAALAQAADwAAAAAAAAABACAAAAAi&#10;AAAAZHJzL2Rvd25yZXYueG1sUEsBAhQAFAAAAAgAh07iQJfVVc5AAgAAcwQAAA4AAAAAAAAAAQAg&#10;AAAAKgEAAGRycy9lMm9Eb2MueG1sUEsFBgAAAAAGAAYAWQEAANwFAAAAAA==&#10;">
                      <v:fill on="f" focussize="0,0"/>
                      <v:stroke on="f" weight="0.5pt"/>
                      <v:imagedata o:title=""/>
                      <o:lock v:ext="edit" aspectratio="f"/>
                      <v:textbox>
                        <w:txbxContent>
                          <w:p w14:paraId="36E67989">
                            <w:pPr>
                              <w:rPr>
                                <w:rFonts w:hint="default" w:eastAsia="宋体"/>
                                <w:color w:val="FF0000"/>
                                <w:highlight w:val="none"/>
                                <w:lang w:val="en-US" w:eastAsia="zh-CN"/>
                              </w:rPr>
                            </w:pPr>
                            <w:r>
                              <w:rPr>
                                <w:rFonts w:hint="eastAsia"/>
                                <w:color w:val="FF0000"/>
                                <w:highlight w:val="none"/>
                                <w:lang w:val="en-US" w:eastAsia="zh-CN"/>
                              </w:rPr>
                              <w:t>441m</w:t>
                            </w:r>
                          </w:p>
                        </w:txbxContent>
                      </v:textbox>
                    </v:shape>
                  </w:pict>
                </mc:Fallback>
              </mc:AlternateContent>
            </w:r>
            <w:r>
              <w:rPr>
                <w:rFonts w:hint="default"/>
                <w:sz w:val="24"/>
              </w:rPr>
              <mc:AlternateContent>
                <mc:Choice Requires="wps">
                  <w:drawing>
                    <wp:anchor distT="0" distB="0" distL="114300" distR="114300" simplePos="0" relativeHeight="251692032" behindDoc="0" locked="0" layoutInCell="1" allowOverlap="1">
                      <wp:simplePos x="0" y="0"/>
                      <wp:positionH relativeFrom="column">
                        <wp:posOffset>2868295</wp:posOffset>
                      </wp:positionH>
                      <wp:positionV relativeFrom="paragraph">
                        <wp:posOffset>1621155</wp:posOffset>
                      </wp:positionV>
                      <wp:extent cx="914400" cy="914400"/>
                      <wp:effectExtent l="0" t="0" r="0" b="0"/>
                      <wp:wrapNone/>
                      <wp:docPr id="59" name="文本框 59"/>
                      <wp:cNvGraphicFramePr/>
                      <a:graphic xmlns:a="http://schemas.openxmlformats.org/drawingml/2006/main">
                        <a:graphicData uri="http://schemas.microsoft.com/office/word/2010/wordprocessingShape">
                          <wps:wsp>
                            <wps:cNvSpPr txBox="1"/>
                            <wps:spPr>
                              <a:xfrm>
                                <a:off x="4479290" y="5544185"/>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32E46">
                                  <w:pPr>
                                    <w:rPr>
                                      <w:rFonts w:hint="default" w:eastAsia="宋体"/>
                                      <w:color w:val="FF0000"/>
                                      <w:highlight w:val="none"/>
                                      <w:lang w:val="en-US" w:eastAsia="zh-CN"/>
                                    </w:rPr>
                                  </w:pPr>
                                  <w:r>
                                    <w:rPr>
                                      <w:rFonts w:hint="eastAsia"/>
                                      <w:color w:val="FF0000"/>
                                      <w:highlight w:val="none"/>
                                      <w:lang w:val="en-US" w:eastAsia="zh-CN"/>
                                    </w:rPr>
                                    <w:t>500</w:t>
                                  </w:r>
                                  <w:r>
                                    <w:rPr>
                                      <w:rFonts w:hint="eastAsia" w:ascii="Times New Roman" w:eastAsia="宋体"/>
                                      <w:color w:val="FF0000"/>
                                      <w:highlight w:val="none"/>
                                      <w:lang w:val="en-US" w:eastAsia="zh-CN"/>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85pt;margin-top:127.65pt;height:72pt;width:72pt;z-index:251692032;mso-width-relative:page;mso-height-relative:page;" filled="f" stroked="f" coordsize="21600,21600" o:gfxdata="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95+gNsAAAALAQAADwAAAAAA&#10;AAABACAAAAAiAAAAZHJzL2Rvd25yZXYueG1sUEsBAhQAFAAAAAgAh07iQPRITXVJAgAAgQQAAA4A&#10;AAAAAAAAAQAgAAAAKgEAAGRycy9lMm9Eb2MueG1sUEsFBgAAAAAGAAYAWQEAAOUFAAAAAA==&#10;">
                      <v:fill on="f" focussize="0,0"/>
                      <v:stroke on="f" weight="0.5pt"/>
                      <v:imagedata o:title=""/>
                      <o:lock v:ext="edit" aspectratio="f"/>
                      <v:textbox>
                        <w:txbxContent>
                          <w:p w14:paraId="7B332E46">
                            <w:pPr>
                              <w:rPr>
                                <w:rFonts w:hint="default" w:eastAsia="宋体"/>
                                <w:color w:val="FF0000"/>
                                <w:highlight w:val="none"/>
                                <w:lang w:val="en-US" w:eastAsia="zh-CN"/>
                              </w:rPr>
                            </w:pPr>
                            <w:r>
                              <w:rPr>
                                <w:rFonts w:hint="eastAsia"/>
                                <w:color w:val="FF0000"/>
                                <w:highlight w:val="none"/>
                                <w:lang w:val="en-US" w:eastAsia="zh-CN"/>
                              </w:rPr>
                              <w:t>500</w:t>
                            </w:r>
                            <w:r>
                              <w:rPr>
                                <w:rFonts w:hint="eastAsia" w:ascii="Times New Roman" w:eastAsia="宋体"/>
                                <w:color w:val="FF0000"/>
                                <w:highlight w:val="none"/>
                                <w:lang w:val="en-US" w:eastAsia="zh-CN"/>
                              </w:rPr>
                              <w:t>m</w:t>
                            </w:r>
                          </w:p>
                        </w:txbxContent>
                      </v:textbox>
                    </v:shape>
                  </w:pict>
                </mc:Fallback>
              </mc:AlternateContent>
            </w:r>
            <w:r>
              <w:rPr>
                <w:rFonts w:hint="default"/>
                <w:sz w:val="24"/>
              </w:rPr>
              <mc:AlternateContent>
                <mc:Choice Requires="wps">
                  <w:drawing>
                    <wp:anchor distT="0" distB="0" distL="114300" distR="114300" simplePos="0" relativeHeight="251691008" behindDoc="0" locked="0" layoutInCell="1" allowOverlap="1">
                      <wp:simplePos x="0" y="0"/>
                      <wp:positionH relativeFrom="column">
                        <wp:posOffset>2660650</wp:posOffset>
                      </wp:positionH>
                      <wp:positionV relativeFrom="paragraph">
                        <wp:posOffset>1906270</wp:posOffset>
                      </wp:positionV>
                      <wp:extent cx="1076325" cy="13335"/>
                      <wp:effectExtent l="0" t="55880" r="9525" b="64135"/>
                      <wp:wrapNone/>
                      <wp:docPr id="58" name="直接箭头连接符 58"/>
                      <wp:cNvGraphicFramePr/>
                      <a:graphic xmlns:a="http://schemas.openxmlformats.org/drawingml/2006/main">
                        <a:graphicData uri="http://schemas.microsoft.com/office/word/2010/wordprocessingShape">
                          <wps:wsp>
                            <wps:cNvCnPr/>
                            <wps:spPr>
                              <a:xfrm>
                                <a:off x="3688080" y="5106670"/>
                                <a:ext cx="1076325" cy="13335"/>
                              </a:xfrm>
                              <a:prstGeom prst="straightConnector1">
                                <a:avLst/>
                              </a:prstGeom>
                              <a:noFill/>
                              <a:ln w="25400" cap="flat" cmpd="sng" algn="ctr">
                                <a:solidFill>
                                  <a:srgbClr val="FF0000"/>
                                </a:solidFill>
                                <a:prstDash val="solid"/>
                                <a:headEnd type="arrow"/>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9.5pt;margin-top:150.1pt;height:1.05pt;width:84.75pt;z-index:251691008;mso-width-relative:page;mso-height-relative:page;" filled="f" stroked="t" coordsize="21600,21600" o:gfxdata="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N5Q5NsAAAAL&#10;AQAADwAAAAAAAAABACAAAAAiAAAAZHJzL2Rvd25yZXYueG1sUEsBAhQAFAAAAAgAh07iQHeM3hsZ&#10;AgAAAQQAAA4AAAAAAAAAAQAgAAAAKgEAAGRycy9lMm9Eb2MueG1sUEsFBgAAAAAGAAYAWQEAALUF&#10;AAAAAA==&#10;">
                      <v:fill on="f" focussize="0,0"/>
                      <v:stroke weight="2pt" color="#FF0000 [3204]" joinstyle="round" startarrow="open" endarrow="open"/>
                      <v:imagedata o:title=""/>
                      <o:lock v:ext="edit" aspectratio="f"/>
                    </v:shape>
                  </w:pict>
                </mc:Fallback>
              </mc:AlternateContent>
            </w:r>
            <w:r>
              <w:rPr>
                <w:rFonts w:hint="default"/>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3945255</wp:posOffset>
                      </wp:positionH>
                      <wp:positionV relativeFrom="paragraph">
                        <wp:posOffset>3575050</wp:posOffset>
                      </wp:positionV>
                      <wp:extent cx="1499870" cy="643890"/>
                      <wp:effectExtent l="4445" t="4445" r="19685" b="18415"/>
                      <wp:wrapNone/>
                      <wp:docPr id="21" name="文本框 21"/>
                      <wp:cNvGraphicFramePr/>
                      <a:graphic xmlns:a="http://schemas.openxmlformats.org/drawingml/2006/main">
                        <a:graphicData uri="http://schemas.microsoft.com/office/word/2010/wordprocessingShape">
                          <wps:wsp>
                            <wps:cNvSpPr txBox="1"/>
                            <wps:spPr>
                              <a:xfrm>
                                <a:off x="0" y="0"/>
                                <a:ext cx="1499870" cy="643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1F2C5D">
                                  <w:pPr>
                                    <w:jc w:val="right"/>
                                    <w:rPr>
                                      <w:rFonts w:hint="eastAsia"/>
                                      <w:sz w:val="20"/>
                                      <w:szCs w:val="20"/>
                                      <w:lang w:val="en-US" w:eastAsia="zh-CN"/>
                                    </w:rPr>
                                  </w:pPr>
                                  <w:r>
                                    <w:rPr>
                                      <w:rFonts w:hint="eastAsia"/>
                                      <w:sz w:val="20"/>
                                      <w:szCs w:val="20"/>
                                      <w:lang w:val="en-US" w:eastAsia="zh-CN"/>
                                    </w:rPr>
                                    <w:t>厂界</w:t>
                                  </w:r>
                                </w:p>
                                <w:p w14:paraId="3C9BF1BC">
                                  <w:pPr>
                                    <w:jc w:val="right"/>
                                    <w:rPr>
                                      <w:rFonts w:hint="eastAsia"/>
                                      <w:sz w:val="20"/>
                                      <w:szCs w:val="20"/>
                                      <w:lang w:val="en-US" w:eastAsia="zh-CN"/>
                                    </w:rPr>
                                  </w:pPr>
                                </w:p>
                                <w:p w14:paraId="26F2C436">
                                  <w:pPr>
                                    <w:jc w:val="right"/>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大气环境评价范围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65pt;margin-top:281.5pt;height:50.7pt;width:118.1pt;z-index:251669504;mso-width-relative:page;mso-height-relative:page;" fillcolor="#FFFFFF [3201]" filled="t" stroked="t" coordsize="21600,21600" o:gfxdata="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yWfFV&#10;2AAAAAsBAAAPAAAAAAAAAAEAIAAAACIAAABkcnMvZG93bnJldi54bWxQSwECFAAUAAAACACHTuJA&#10;uUkmLFoCAAC5BAAADgAAAAAAAAABACAAAAAnAQAAZHJzL2Uyb0RvYy54bWxQSwUGAAAAAAYABgBZ&#10;AQAA8wUAAAAA&#10;">
                      <v:fill on="t" focussize="0,0"/>
                      <v:stroke weight="0.5pt" color="#000000 [3204]" joinstyle="round"/>
                      <v:imagedata o:title=""/>
                      <o:lock v:ext="edit" aspectratio="f"/>
                      <v:textbox>
                        <w:txbxContent>
                          <w:p w14:paraId="581F2C5D">
                            <w:pPr>
                              <w:jc w:val="right"/>
                              <w:rPr>
                                <w:rFonts w:hint="eastAsia"/>
                                <w:sz w:val="20"/>
                                <w:szCs w:val="20"/>
                                <w:lang w:val="en-US" w:eastAsia="zh-CN"/>
                              </w:rPr>
                            </w:pPr>
                            <w:r>
                              <w:rPr>
                                <w:rFonts w:hint="eastAsia"/>
                                <w:sz w:val="20"/>
                                <w:szCs w:val="20"/>
                                <w:lang w:val="en-US" w:eastAsia="zh-CN"/>
                              </w:rPr>
                              <w:t>厂界</w:t>
                            </w:r>
                          </w:p>
                          <w:p w14:paraId="3C9BF1BC">
                            <w:pPr>
                              <w:jc w:val="right"/>
                              <w:rPr>
                                <w:rFonts w:hint="eastAsia"/>
                                <w:sz w:val="20"/>
                                <w:szCs w:val="20"/>
                                <w:lang w:val="en-US" w:eastAsia="zh-CN"/>
                              </w:rPr>
                            </w:pPr>
                          </w:p>
                          <w:p w14:paraId="26F2C436">
                            <w:pPr>
                              <w:jc w:val="right"/>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大气环境评价范围</w:t>
                            </w:r>
                          </w:p>
                        </w:txbxContent>
                      </v:textbox>
                    </v:shape>
                  </w:pict>
                </mc:Fallback>
              </mc:AlternateContent>
            </w:r>
            <w:r>
              <w:rPr>
                <w:rFonts w:hint="default"/>
                <w:color w:val="auto"/>
                <w:sz w:val="24"/>
                <w:highlight w:val="none"/>
              </w:rPr>
              <mc:AlternateContent>
                <mc:Choice Requires="wps">
                  <w:drawing>
                    <wp:anchor distT="0" distB="0" distL="114300" distR="114300" simplePos="0" relativeHeight="251671552" behindDoc="0" locked="0" layoutInCell="1" allowOverlap="1">
                      <wp:simplePos x="0" y="0"/>
                      <wp:positionH relativeFrom="column">
                        <wp:posOffset>4026535</wp:posOffset>
                      </wp:positionH>
                      <wp:positionV relativeFrom="paragraph">
                        <wp:posOffset>3949065</wp:posOffset>
                      </wp:positionV>
                      <wp:extent cx="259715" cy="164465"/>
                      <wp:effectExtent l="12700" t="12700" r="13335" b="13335"/>
                      <wp:wrapNone/>
                      <wp:docPr id="22" name="矩形 22"/>
                      <wp:cNvGraphicFramePr/>
                      <a:graphic xmlns:a="http://schemas.openxmlformats.org/drawingml/2006/main">
                        <a:graphicData uri="http://schemas.microsoft.com/office/word/2010/wordprocessingShape">
                          <wps:wsp>
                            <wps:cNvSpPr/>
                            <wps:spPr>
                              <a:xfrm>
                                <a:off x="0" y="0"/>
                                <a:ext cx="259715" cy="164465"/>
                              </a:xfrm>
                              <a:prstGeom prst="rect">
                                <a:avLst/>
                              </a:prstGeom>
                              <a:noFill/>
                              <a:ln>
                                <a:solidFill>
                                  <a:srgbClr val="2424EA"/>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7.05pt;margin-top:310.95pt;height:12.95pt;width:20.45pt;z-index:251671552;v-text-anchor:middle;mso-width-relative:page;mso-height-relative:page;" filled="f" stroked="t" coordsize="21600,21600" o:gfxdata="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FAwwdoAAAALAQAADwAAAAAAAAABACAAAAAiAAAAZHJzL2Rvd25yZXYueG1sUEsBAhQAFAAA&#10;AAgAh07iQHEmV6dfAgAAtQQAAA4AAAAAAAAAAQAgAAAAKQEAAGRycy9lMm9Eb2MueG1sUEsFBgAA&#10;AAAGAAYAWQEAAPoFAAAAAA==&#10;">
                      <v:fill on="f" focussize="0,0"/>
                      <v:stroke weight="2pt" color="#2424EA [2404]" joinstyle="round"/>
                      <v:imagedata o:title=""/>
                      <o:lock v:ext="edit" aspectratio="f"/>
                    </v:rect>
                  </w:pict>
                </mc:Fallback>
              </mc:AlternateContent>
            </w:r>
            <w:r>
              <w:rPr>
                <w:rFonts w:hint="default"/>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4028440</wp:posOffset>
                      </wp:positionH>
                      <wp:positionV relativeFrom="paragraph">
                        <wp:posOffset>3644265</wp:posOffset>
                      </wp:positionV>
                      <wp:extent cx="259715" cy="164465"/>
                      <wp:effectExtent l="12700" t="12700" r="13335" b="13335"/>
                      <wp:wrapNone/>
                      <wp:docPr id="23" name="矩形 23"/>
                      <wp:cNvGraphicFramePr/>
                      <a:graphic xmlns:a="http://schemas.openxmlformats.org/drawingml/2006/main">
                        <a:graphicData uri="http://schemas.microsoft.com/office/word/2010/wordprocessingShape">
                          <wps:wsp>
                            <wps:cNvSpPr/>
                            <wps:spPr>
                              <a:xfrm>
                                <a:off x="0" y="0"/>
                                <a:ext cx="259715" cy="16446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7.2pt;margin-top:286.95pt;height:12.95pt;width:20.45pt;z-index:251670528;v-text-anchor:middle;mso-width-relative:page;mso-height-relative:page;" filled="f" stroked="t" coordsize="21600,21600" o:gfxdata="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cEd9sAAAALAQAADwAAAAAAAAABACAAAAAiAAAAZHJzL2Rvd25yZXYueG1sUEsBAhQAFAAA&#10;AAgAh07iQKtxUo1eAgAAtQQAAA4AAAAAAAAAAQAgAAAAKgEAAGRycy9lMm9Eb2MueG1sUEsFBgAA&#10;AAAGAAYAWQEAAPoFAAAAAA==&#10;">
                      <v:fill on="f" focussize="0,0"/>
                      <v:stroke weight="2pt" color="#FF0000 [2404]" joinstyle="round"/>
                      <v:imagedata o:title=""/>
                      <o:lock v:ext="edit" aspectratio="f"/>
                    </v:rect>
                  </w:pict>
                </mc:Fallback>
              </mc:AlternateContent>
            </w:r>
            <w:r>
              <w:rPr>
                <w:rFonts w:hint="default"/>
                <w:sz w:val="24"/>
              </w:rPr>
              <mc:AlternateContent>
                <mc:Choice Requires="wps">
                  <w:drawing>
                    <wp:anchor distT="0" distB="0" distL="114300" distR="114300" simplePos="0" relativeHeight="251660288" behindDoc="0" locked="0" layoutInCell="1" allowOverlap="1">
                      <wp:simplePos x="0" y="0"/>
                      <wp:positionH relativeFrom="column">
                        <wp:posOffset>3383280</wp:posOffset>
                      </wp:positionH>
                      <wp:positionV relativeFrom="paragraph">
                        <wp:posOffset>2867660</wp:posOffset>
                      </wp:positionV>
                      <wp:extent cx="899160" cy="667385"/>
                      <wp:effectExtent l="12700" t="12700" r="21590" b="24765"/>
                      <wp:wrapNone/>
                      <wp:docPr id="76" name="任意多边形 76"/>
                      <wp:cNvGraphicFramePr/>
                      <a:graphic xmlns:a="http://schemas.openxmlformats.org/drawingml/2006/main">
                        <a:graphicData uri="http://schemas.microsoft.com/office/word/2010/wordprocessingShape">
                          <wps:wsp>
                            <wps:cNvSpPr/>
                            <wps:spPr>
                              <a:xfrm>
                                <a:off x="4995545" y="6348730"/>
                                <a:ext cx="899160" cy="667385"/>
                              </a:xfrm>
                              <a:custGeom>
                                <a:avLst/>
                                <a:gdLst>
                                  <a:gd name="connisteX0" fmla="*/ 99695 w 1205865"/>
                                  <a:gd name="connsiteY0" fmla="*/ 0 h 959485"/>
                                  <a:gd name="connisteX1" fmla="*/ 0 w 1205865"/>
                                  <a:gd name="connsiteY1" fmla="*/ 852805 h 959485"/>
                                  <a:gd name="connisteX2" fmla="*/ 1144905 w 1205865"/>
                                  <a:gd name="connsiteY2" fmla="*/ 959485 h 959485"/>
                                  <a:gd name="connisteX3" fmla="*/ 1205865 w 1205865"/>
                                  <a:gd name="connsiteY3" fmla="*/ 114935 h 959485"/>
                                  <a:gd name="connisteX4" fmla="*/ 99695 w 1205865"/>
                                  <a:gd name="connsiteY4" fmla="*/ 0 h 95948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205865" h="959485">
                                    <a:moveTo>
                                      <a:pt x="99695" y="0"/>
                                    </a:moveTo>
                                    <a:lnTo>
                                      <a:pt x="0" y="852805"/>
                                    </a:lnTo>
                                    <a:lnTo>
                                      <a:pt x="1144905" y="959485"/>
                                    </a:lnTo>
                                    <a:lnTo>
                                      <a:pt x="1205865" y="114935"/>
                                    </a:lnTo>
                                    <a:lnTo>
                                      <a:pt x="99695" y="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66.4pt;margin-top:225.8pt;height:52.55pt;width:70.8pt;z-index:251660288;mso-width-relative:page;mso-height-relative:page;" filled="f" stroked="t" coordsize="1205865,959485" o:gfxdata="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EzxOePcAAAACwEAAA8AAAAAAAAAAQAgAAAAIgAAAGRy&#10;cy9kb3ducmV2LnhtbFBLAQIUABQAAAAIAIdO4kCBtXuTHgMAAD0IAAAOAAAAAAAAAAEAIAAAACsB&#10;AABkcnMvZTJvRG9jLnhtbFBLBQYAAAAABgAGAFkBAAC7BgAAAAA=&#10;" path="m99695,0l0,852805,1144905,959485,1205865,114935,99695,0xe">
                      <v:path o:connectlocs="74338,0;0,593182;853704,667385;899160,79944;74338,0" o:connectangles="0,0,0,0,0"/>
                      <v:fill on="f" focussize="0,0"/>
                      <v:stroke weight="2pt" color="#FF0000 [2404]" joinstyle="round"/>
                      <v:imagedata o:title=""/>
                      <o:lock v:ext="edit" aspectratio="f"/>
                    </v:shape>
                  </w:pict>
                </mc:Fallback>
              </mc:AlternateContent>
            </w:r>
            <w:r>
              <w:rPr>
                <w:rFonts w:hint="default"/>
                <w:sz w:val="24"/>
              </w:rPr>
              <mc:AlternateContent>
                <mc:Choice Requires="wps">
                  <w:drawing>
                    <wp:anchor distT="0" distB="0" distL="114300" distR="114300" simplePos="0" relativeHeight="251688960" behindDoc="0" locked="0" layoutInCell="1" allowOverlap="1">
                      <wp:simplePos x="0" y="0"/>
                      <wp:positionH relativeFrom="column">
                        <wp:posOffset>2639060</wp:posOffset>
                      </wp:positionH>
                      <wp:positionV relativeFrom="paragraph">
                        <wp:posOffset>2360295</wp:posOffset>
                      </wp:positionV>
                      <wp:extent cx="844550" cy="490220"/>
                      <wp:effectExtent l="0" t="0" r="12700" b="5080"/>
                      <wp:wrapNone/>
                      <wp:docPr id="77" name="直接箭头连接符 77"/>
                      <wp:cNvGraphicFramePr/>
                      <a:graphic xmlns:a="http://schemas.openxmlformats.org/drawingml/2006/main">
                        <a:graphicData uri="http://schemas.microsoft.com/office/word/2010/wordprocessingShape">
                          <wps:wsp>
                            <wps:cNvCnPr/>
                            <wps:spPr>
                              <a:xfrm>
                                <a:off x="3912870" y="5626735"/>
                                <a:ext cx="844550" cy="490220"/>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7.8pt;margin-top:185.85pt;height:38.6pt;width:66.5pt;z-index:251688960;mso-width-relative:page;mso-height-relative:page;" filled="f" stroked="t" coordsize="21600,21600" o:gfxdata="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3YcV72wAAAAsBAAAP&#10;AAAAAAAAAAEAIAAAACIAAABkcnMvZG93bnJldi54bWxQSwECFAAUAAAACACHTuJAIuSJOxUCAADz&#10;AwAADgAAAAAAAAABACAAAAAqAQAAZHJzL2Uyb0RvYy54bWxQSwUGAAAAAAYABgBZAQAAsQUAAAAA&#10;">
                      <v:fill on="f" focussize="0,0"/>
                      <v:stroke weight="2pt" color="#FF0000 [3204]" joinstyle="round" startarrow="open" endarrow="open"/>
                      <v:imagedata o:title=""/>
                      <o:lock v:ext="edit" aspectratio="f"/>
                    </v:shape>
                  </w:pict>
                </mc:Fallback>
              </mc:AlternateContent>
            </w:r>
            <w:r>
              <w:rPr>
                <w:rFonts w:hint="eastAsia" w:ascii="宋体" w:hAnsi="宋体" w:eastAsia="宋体" w:cs="宋体"/>
                <w:b/>
                <w:bCs/>
                <w:color w:val="auto"/>
                <w:sz w:val="24"/>
                <w:szCs w:val="24"/>
                <w:highlight w:val="none"/>
                <w:lang w:eastAsia="zh-CN"/>
              </w:rPr>
              <w:drawing>
                <wp:anchor distT="0" distB="0" distL="114300" distR="114300" simplePos="0" relativeHeight="251668480" behindDoc="0" locked="0" layoutInCell="1" allowOverlap="1">
                  <wp:simplePos x="0" y="0"/>
                  <wp:positionH relativeFrom="column">
                    <wp:posOffset>4898390</wp:posOffset>
                  </wp:positionH>
                  <wp:positionV relativeFrom="paragraph">
                    <wp:posOffset>48260</wp:posOffset>
                  </wp:positionV>
                  <wp:extent cx="551815" cy="551815"/>
                  <wp:effectExtent l="0" t="0" r="635" b="635"/>
                  <wp:wrapNone/>
                  <wp:docPr id="20" name="图片 20" descr="指北针小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指北针小图标"/>
                          <pic:cNvPicPr>
                            <a:picLocks noChangeAspect="1"/>
                          </pic:cNvPicPr>
                        </pic:nvPicPr>
                        <pic:blipFill>
                          <a:blip r:embed="rId17"/>
                          <a:stretch>
                            <a:fillRect/>
                          </a:stretch>
                        </pic:blipFill>
                        <pic:spPr>
                          <a:xfrm>
                            <a:off x="0" y="0"/>
                            <a:ext cx="551815" cy="551815"/>
                          </a:xfrm>
                          <a:prstGeom prst="rect">
                            <a:avLst/>
                          </a:prstGeom>
                        </pic:spPr>
                      </pic:pic>
                    </a:graphicData>
                  </a:graphic>
                </wp:anchor>
              </w:drawing>
            </w:r>
            <w:r>
              <w:rPr>
                <w:rFonts w:hint="default"/>
              </w:rPr>
              <w:drawing>
                <wp:inline distT="0" distB="0" distL="114300" distR="114300">
                  <wp:extent cx="5072380" cy="4149090"/>
                  <wp:effectExtent l="0" t="0" r="13970" b="3810"/>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18"/>
                          <a:stretch>
                            <a:fillRect/>
                          </a:stretch>
                        </pic:blipFill>
                        <pic:spPr>
                          <a:xfrm>
                            <a:off x="0" y="0"/>
                            <a:ext cx="5072380" cy="4149090"/>
                          </a:xfrm>
                          <a:prstGeom prst="rect">
                            <a:avLst/>
                          </a:prstGeom>
                          <a:noFill/>
                          <a:ln>
                            <a:noFill/>
                          </a:ln>
                        </pic:spPr>
                      </pic:pic>
                    </a:graphicData>
                  </a:graphic>
                </wp:inline>
              </w:drawing>
            </w:r>
          </w:p>
          <w:p w14:paraId="0E2DD11F">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jc w:val="center"/>
              <w:textAlignment w:val="auto"/>
              <w:rPr>
                <w:rFonts w:hint="default" w:eastAsia="宋体"/>
                <w:color w:val="auto"/>
                <w:highlight w:val="none"/>
                <w:lang w:val="en-US" w:eastAsia="zh-CN"/>
              </w:rPr>
            </w:pPr>
            <w:r>
              <w:rPr>
                <w:rFonts w:hint="eastAsia"/>
                <w:color w:val="auto"/>
                <w:highlight w:val="none"/>
                <w:lang w:val="en-US" w:eastAsia="zh-CN"/>
              </w:rPr>
              <w:t>图3-1大气环境500评价范围</w:t>
            </w:r>
          </w:p>
          <w:p w14:paraId="7481E93B">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eastAsia"/>
                <w:color w:val="auto"/>
                <w:highlight w:val="none"/>
                <w:lang w:eastAsia="zh-CN"/>
              </w:rPr>
            </w:pPr>
            <w:r>
              <w:rPr>
                <w:rFonts w:hint="default"/>
                <w:color w:val="auto"/>
                <w:highlight w:val="none"/>
              </w:rPr>
              <w:t>根据</w:t>
            </w:r>
            <w:r>
              <w:rPr>
                <w:rFonts w:hint="default"/>
                <w:color w:val="auto"/>
                <w:highlight w:val="none"/>
                <w:lang w:eastAsia="zh-CN"/>
              </w:rPr>
              <w:t>现场勘查</w:t>
            </w:r>
            <w:r>
              <w:rPr>
                <w:rFonts w:hint="default"/>
                <w:color w:val="auto"/>
                <w:highlight w:val="none"/>
              </w:rPr>
              <w:t>，项目厂界外500米范围内的大气环境保护目标</w:t>
            </w:r>
            <w:r>
              <w:rPr>
                <w:rFonts w:hint="eastAsia"/>
                <w:color w:val="auto"/>
                <w:highlight w:val="none"/>
                <w:lang w:val="en-US" w:eastAsia="zh-CN"/>
              </w:rPr>
              <w:t>如下表所示</w:t>
            </w:r>
            <w:r>
              <w:rPr>
                <w:rFonts w:hint="eastAsia"/>
                <w:color w:val="auto"/>
                <w:highlight w:val="none"/>
                <w:lang w:eastAsia="zh-CN"/>
              </w:rPr>
              <w:t>。</w:t>
            </w:r>
          </w:p>
          <w:p w14:paraId="747931C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val="en-US" w:eastAsia="zh-CN"/>
              </w:rPr>
            </w:pPr>
            <w:r>
              <w:rPr>
                <w:rFonts w:hint="default"/>
                <w:color w:val="auto"/>
                <w:highlight w:val="none"/>
                <w:lang w:val="en-US" w:eastAsia="zh-CN"/>
              </w:rPr>
              <w:t>表3-</w:t>
            </w:r>
            <w:r>
              <w:rPr>
                <w:rFonts w:hint="eastAsia"/>
                <w:color w:val="auto"/>
                <w:highlight w:val="none"/>
                <w:lang w:val="en-US" w:eastAsia="zh-CN"/>
              </w:rPr>
              <w:t>7</w:t>
            </w:r>
            <w:r>
              <w:rPr>
                <w:rFonts w:hint="default"/>
                <w:color w:val="auto"/>
                <w:highlight w:val="none"/>
                <w:lang w:val="en-US" w:eastAsia="zh-CN"/>
              </w:rPr>
              <w:t>项目大气环境保护目标</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1497"/>
              <w:gridCol w:w="1428"/>
              <w:gridCol w:w="695"/>
              <w:gridCol w:w="1087"/>
              <w:gridCol w:w="1393"/>
              <w:gridCol w:w="1038"/>
              <w:gridCol w:w="1094"/>
            </w:tblGrid>
            <w:tr w14:paraId="2AF22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Merge w:val="restart"/>
                  <w:noWrap w:val="0"/>
                  <w:tcMar>
                    <w:top w:w="0" w:type="dxa"/>
                    <w:left w:w="28" w:type="dxa"/>
                    <w:bottom w:w="0" w:type="dxa"/>
                    <w:right w:w="28" w:type="dxa"/>
                  </w:tcMar>
                  <w:vAlign w:val="center"/>
                </w:tcPr>
                <w:p w14:paraId="636A2F2C">
                  <w:pPr>
                    <w:keepNext w:val="0"/>
                    <w:keepLines w:val="0"/>
                    <w:pageBreakBefore w:val="0"/>
                    <w:widowControl w:val="0"/>
                    <w:suppressLineNumbers w:val="0"/>
                    <w:kinsoku/>
                    <w:wordWrap/>
                    <w:overflowPunct/>
                    <w:autoSpaceDE/>
                    <w:autoSpaceDN/>
                    <w:bidi w:val="0"/>
                    <w:adjustRightInd w:val="0"/>
                    <w:snapToGrid w:val="0"/>
                    <w:spacing w:before="126" w:beforeLines="40" w:beforeAutospacing="0" w:after="126" w:afterLines="4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名称</w:t>
                  </w:r>
                </w:p>
              </w:tc>
              <w:tc>
                <w:tcPr>
                  <w:tcW w:w="1604" w:type="pct"/>
                  <w:gridSpan w:val="2"/>
                  <w:noWrap w:val="0"/>
                  <w:tcMar>
                    <w:top w:w="0" w:type="dxa"/>
                    <w:left w:w="28" w:type="dxa"/>
                    <w:bottom w:w="0" w:type="dxa"/>
                    <w:right w:w="28" w:type="dxa"/>
                  </w:tcMar>
                  <w:vAlign w:val="center"/>
                </w:tcPr>
                <w:p w14:paraId="11D73342">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坐标</w:t>
                  </w:r>
                </w:p>
              </w:tc>
              <w:tc>
                <w:tcPr>
                  <w:tcW w:w="381" w:type="pct"/>
                  <w:vMerge w:val="restart"/>
                  <w:noWrap w:val="0"/>
                  <w:tcMar>
                    <w:top w:w="0" w:type="dxa"/>
                    <w:left w:w="28" w:type="dxa"/>
                    <w:bottom w:w="0" w:type="dxa"/>
                    <w:right w:w="28" w:type="dxa"/>
                  </w:tcMar>
                  <w:vAlign w:val="center"/>
                </w:tcPr>
                <w:p w14:paraId="2D4CB29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保护</w:t>
                  </w:r>
                </w:p>
                <w:p w14:paraId="7753C28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对象</w:t>
                  </w:r>
                </w:p>
              </w:tc>
              <w:tc>
                <w:tcPr>
                  <w:tcW w:w="596" w:type="pct"/>
                  <w:vMerge w:val="restart"/>
                  <w:noWrap w:val="0"/>
                  <w:tcMar>
                    <w:top w:w="0" w:type="dxa"/>
                    <w:left w:w="28" w:type="dxa"/>
                    <w:bottom w:w="0" w:type="dxa"/>
                    <w:right w:w="28" w:type="dxa"/>
                  </w:tcMar>
                  <w:vAlign w:val="center"/>
                </w:tcPr>
                <w:p w14:paraId="3F35B141">
                  <w:pPr>
                    <w:keepNext w:val="0"/>
                    <w:keepLines w:val="0"/>
                    <w:pageBreakBefore w:val="0"/>
                    <w:widowControl w:val="0"/>
                    <w:suppressLineNumbers w:val="0"/>
                    <w:kinsoku/>
                    <w:wordWrap/>
                    <w:overflowPunct/>
                    <w:autoSpaceDE/>
                    <w:autoSpaceDN/>
                    <w:bidi w:val="0"/>
                    <w:adjustRightInd w:val="0"/>
                    <w:snapToGrid w:val="0"/>
                    <w:spacing w:before="126" w:beforeLines="40" w:beforeAutospacing="0" w:after="126" w:afterLines="4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保护内容</w:t>
                  </w:r>
                </w:p>
              </w:tc>
              <w:tc>
                <w:tcPr>
                  <w:tcW w:w="764" w:type="pct"/>
                  <w:vMerge w:val="restart"/>
                  <w:noWrap w:val="0"/>
                  <w:tcMar>
                    <w:top w:w="0" w:type="dxa"/>
                    <w:left w:w="28" w:type="dxa"/>
                    <w:bottom w:w="0" w:type="dxa"/>
                    <w:right w:w="28" w:type="dxa"/>
                  </w:tcMar>
                  <w:vAlign w:val="center"/>
                </w:tcPr>
                <w:p w14:paraId="57658A6F">
                  <w:pPr>
                    <w:keepNext w:val="0"/>
                    <w:keepLines w:val="0"/>
                    <w:pageBreakBefore w:val="0"/>
                    <w:widowControl w:val="0"/>
                    <w:suppressLineNumbers w:val="0"/>
                    <w:kinsoku/>
                    <w:wordWrap/>
                    <w:overflowPunct/>
                    <w:autoSpaceDE/>
                    <w:autoSpaceDN/>
                    <w:bidi w:val="0"/>
                    <w:adjustRightInd w:val="0"/>
                    <w:snapToGrid w:val="0"/>
                    <w:spacing w:before="126" w:beforeLines="40" w:beforeAutospacing="0" w:after="126" w:afterLines="4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环境功能区</w:t>
                  </w:r>
                </w:p>
              </w:tc>
              <w:tc>
                <w:tcPr>
                  <w:tcW w:w="569" w:type="pct"/>
                  <w:vMerge w:val="restart"/>
                  <w:noWrap w:val="0"/>
                  <w:tcMar>
                    <w:top w:w="0" w:type="dxa"/>
                    <w:left w:w="28" w:type="dxa"/>
                    <w:bottom w:w="0" w:type="dxa"/>
                    <w:right w:w="28" w:type="dxa"/>
                  </w:tcMar>
                  <w:vAlign w:val="center"/>
                </w:tcPr>
                <w:p w14:paraId="2CC8E545">
                  <w:pPr>
                    <w:keepNext w:val="0"/>
                    <w:keepLines w:val="0"/>
                    <w:pageBreakBefore w:val="0"/>
                    <w:widowControl w:val="0"/>
                    <w:suppressLineNumbers w:val="0"/>
                    <w:kinsoku/>
                    <w:wordWrap/>
                    <w:overflowPunct/>
                    <w:autoSpaceDE/>
                    <w:autoSpaceDN/>
                    <w:bidi w:val="0"/>
                    <w:adjustRightInd w:val="0"/>
                    <w:snapToGrid w:val="0"/>
                    <w:spacing w:before="126" w:beforeLines="40" w:beforeAutospacing="0" w:after="126" w:afterLines="4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相对厂址方位</w:t>
                  </w:r>
                </w:p>
              </w:tc>
              <w:tc>
                <w:tcPr>
                  <w:tcW w:w="600" w:type="pct"/>
                  <w:vMerge w:val="restart"/>
                  <w:noWrap w:val="0"/>
                  <w:tcMar>
                    <w:top w:w="0" w:type="dxa"/>
                    <w:left w:w="28" w:type="dxa"/>
                    <w:bottom w:w="0" w:type="dxa"/>
                    <w:right w:w="28" w:type="dxa"/>
                  </w:tcMar>
                  <w:vAlign w:val="center"/>
                </w:tcPr>
                <w:p w14:paraId="69BD7DBF">
                  <w:pPr>
                    <w:keepNext w:val="0"/>
                    <w:keepLines w:val="0"/>
                    <w:pageBreakBefore w:val="0"/>
                    <w:widowControl w:val="0"/>
                    <w:suppressLineNumbers w:val="0"/>
                    <w:kinsoku/>
                    <w:wordWrap/>
                    <w:overflowPunct/>
                    <w:autoSpaceDE/>
                    <w:autoSpaceDN/>
                    <w:bidi w:val="0"/>
                    <w:adjustRightInd w:val="0"/>
                    <w:snapToGrid w:val="0"/>
                    <w:spacing w:before="126" w:beforeLines="40" w:beforeAutospacing="0" w:after="126" w:afterLines="4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相对厂界距离/m</w:t>
                  </w:r>
                </w:p>
              </w:tc>
            </w:tr>
            <w:tr w14:paraId="0FFBB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Merge w:val="continue"/>
                  <w:noWrap w:val="0"/>
                  <w:tcMar>
                    <w:top w:w="0" w:type="dxa"/>
                    <w:left w:w="28" w:type="dxa"/>
                    <w:bottom w:w="0" w:type="dxa"/>
                    <w:right w:w="28" w:type="dxa"/>
                  </w:tcMar>
                  <w:vAlign w:val="center"/>
                </w:tcPr>
                <w:p w14:paraId="753DC154">
                  <w:pPr>
                    <w:keepNext w:val="0"/>
                    <w:keepLines w:val="0"/>
                    <w:pageBreakBefore w:val="0"/>
                    <w:widowControl w:val="0"/>
                    <w:suppressLineNumbers w:val="0"/>
                    <w:kinsoku/>
                    <w:wordWrap/>
                    <w:overflowPunct/>
                    <w:autoSpaceDE/>
                    <w:autoSpaceDN/>
                    <w:bidi w:val="0"/>
                    <w:adjustRightInd w:val="0"/>
                    <w:snapToGrid w:val="0"/>
                    <w:spacing w:before="126" w:beforeLines="40" w:beforeAutospacing="0" w:after="126" w:afterLines="40" w:afterAutospacing="0"/>
                    <w:ind w:left="0" w:right="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c>
                <w:tcPr>
                  <w:tcW w:w="821" w:type="pct"/>
                  <w:noWrap w:val="0"/>
                  <w:tcMar>
                    <w:top w:w="0" w:type="dxa"/>
                    <w:left w:w="28" w:type="dxa"/>
                    <w:bottom w:w="0" w:type="dxa"/>
                    <w:right w:w="28" w:type="dxa"/>
                  </w:tcMar>
                  <w:vAlign w:val="center"/>
                </w:tcPr>
                <w:p w14:paraId="1B4977D5">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ind w:left="0" w:right="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经度</w:t>
                  </w:r>
                </w:p>
              </w:tc>
              <w:tc>
                <w:tcPr>
                  <w:tcW w:w="783" w:type="pct"/>
                  <w:noWrap w:val="0"/>
                  <w:tcMar>
                    <w:top w:w="0" w:type="dxa"/>
                    <w:left w:w="28" w:type="dxa"/>
                    <w:bottom w:w="0" w:type="dxa"/>
                    <w:right w:w="28" w:type="dxa"/>
                  </w:tcMar>
                  <w:vAlign w:val="center"/>
                </w:tcPr>
                <w:p w14:paraId="620ED2F8">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ind w:left="0" w:right="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纬度</w:t>
                  </w:r>
                </w:p>
              </w:tc>
              <w:tc>
                <w:tcPr>
                  <w:tcW w:w="381" w:type="pct"/>
                  <w:vMerge w:val="continue"/>
                  <w:noWrap w:val="0"/>
                  <w:tcMar>
                    <w:top w:w="0" w:type="dxa"/>
                    <w:left w:w="28" w:type="dxa"/>
                    <w:bottom w:w="0" w:type="dxa"/>
                    <w:right w:w="28" w:type="dxa"/>
                  </w:tcMar>
                  <w:vAlign w:val="center"/>
                </w:tcPr>
                <w:p w14:paraId="434CCE3C">
                  <w:pPr>
                    <w:keepNext w:val="0"/>
                    <w:keepLines w:val="0"/>
                    <w:pageBreakBefore w:val="0"/>
                    <w:widowControl w:val="0"/>
                    <w:suppressLineNumbers w:val="0"/>
                    <w:kinsoku/>
                    <w:wordWrap/>
                    <w:overflowPunct/>
                    <w:autoSpaceDE/>
                    <w:autoSpaceDN/>
                    <w:bidi w:val="0"/>
                    <w:adjustRightInd w:val="0"/>
                    <w:snapToGrid w:val="0"/>
                    <w:spacing w:before="126" w:beforeLines="40" w:beforeAutospacing="0" w:after="126" w:afterLines="40" w:afterAutospacing="0"/>
                    <w:ind w:left="0" w:right="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c>
                <w:tcPr>
                  <w:tcW w:w="596" w:type="pct"/>
                  <w:vMerge w:val="continue"/>
                  <w:noWrap w:val="0"/>
                  <w:tcMar>
                    <w:top w:w="0" w:type="dxa"/>
                    <w:left w:w="28" w:type="dxa"/>
                    <w:bottom w:w="0" w:type="dxa"/>
                    <w:right w:w="28" w:type="dxa"/>
                  </w:tcMar>
                  <w:vAlign w:val="center"/>
                </w:tcPr>
                <w:p w14:paraId="5E51AF14">
                  <w:pPr>
                    <w:keepNext w:val="0"/>
                    <w:keepLines w:val="0"/>
                    <w:pageBreakBefore w:val="0"/>
                    <w:widowControl w:val="0"/>
                    <w:suppressLineNumbers w:val="0"/>
                    <w:kinsoku/>
                    <w:wordWrap/>
                    <w:overflowPunct/>
                    <w:autoSpaceDE/>
                    <w:autoSpaceDN/>
                    <w:bidi w:val="0"/>
                    <w:adjustRightInd w:val="0"/>
                    <w:snapToGrid w:val="0"/>
                    <w:spacing w:before="126" w:beforeLines="40" w:beforeAutospacing="0" w:after="126" w:afterLines="40" w:afterAutospacing="0"/>
                    <w:ind w:left="0" w:right="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c>
                <w:tcPr>
                  <w:tcW w:w="764" w:type="pct"/>
                  <w:vMerge w:val="continue"/>
                  <w:noWrap w:val="0"/>
                  <w:tcMar>
                    <w:top w:w="0" w:type="dxa"/>
                    <w:left w:w="28" w:type="dxa"/>
                    <w:bottom w:w="0" w:type="dxa"/>
                    <w:right w:w="28" w:type="dxa"/>
                  </w:tcMar>
                  <w:vAlign w:val="center"/>
                </w:tcPr>
                <w:p w14:paraId="59AFE6EE">
                  <w:pPr>
                    <w:keepNext w:val="0"/>
                    <w:keepLines w:val="0"/>
                    <w:pageBreakBefore w:val="0"/>
                    <w:widowControl w:val="0"/>
                    <w:suppressLineNumbers w:val="0"/>
                    <w:kinsoku/>
                    <w:wordWrap/>
                    <w:overflowPunct/>
                    <w:autoSpaceDE/>
                    <w:autoSpaceDN/>
                    <w:bidi w:val="0"/>
                    <w:adjustRightInd w:val="0"/>
                    <w:snapToGrid w:val="0"/>
                    <w:spacing w:before="126" w:beforeLines="40" w:beforeAutospacing="0" w:after="126" w:afterLines="40" w:afterAutospacing="0"/>
                    <w:ind w:left="0" w:right="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c>
                <w:tcPr>
                  <w:tcW w:w="569" w:type="pct"/>
                  <w:vMerge w:val="continue"/>
                  <w:noWrap w:val="0"/>
                  <w:tcMar>
                    <w:top w:w="0" w:type="dxa"/>
                    <w:left w:w="28" w:type="dxa"/>
                    <w:bottom w:w="0" w:type="dxa"/>
                    <w:right w:w="28" w:type="dxa"/>
                  </w:tcMar>
                  <w:vAlign w:val="center"/>
                </w:tcPr>
                <w:p w14:paraId="562D927B">
                  <w:pPr>
                    <w:keepNext w:val="0"/>
                    <w:keepLines w:val="0"/>
                    <w:pageBreakBefore w:val="0"/>
                    <w:widowControl w:val="0"/>
                    <w:suppressLineNumbers w:val="0"/>
                    <w:kinsoku/>
                    <w:wordWrap/>
                    <w:overflowPunct/>
                    <w:autoSpaceDE/>
                    <w:autoSpaceDN/>
                    <w:bidi w:val="0"/>
                    <w:adjustRightInd w:val="0"/>
                    <w:snapToGrid w:val="0"/>
                    <w:spacing w:before="126" w:beforeLines="40" w:beforeAutospacing="0" w:after="126" w:afterLines="40" w:afterAutospacing="0"/>
                    <w:ind w:left="0" w:right="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c>
                <w:tcPr>
                  <w:tcW w:w="600" w:type="pct"/>
                  <w:vMerge w:val="continue"/>
                  <w:noWrap w:val="0"/>
                  <w:tcMar>
                    <w:top w:w="0" w:type="dxa"/>
                    <w:left w:w="28" w:type="dxa"/>
                    <w:bottom w:w="0" w:type="dxa"/>
                    <w:right w:w="28" w:type="dxa"/>
                  </w:tcMar>
                  <w:vAlign w:val="center"/>
                </w:tcPr>
                <w:p w14:paraId="602C2BAE">
                  <w:pPr>
                    <w:keepNext w:val="0"/>
                    <w:keepLines w:val="0"/>
                    <w:pageBreakBefore w:val="0"/>
                    <w:widowControl w:val="0"/>
                    <w:suppressLineNumbers w:val="0"/>
                    <w:kinsoku/>
                    <w:wordWrap/>
                    <w:overflowPunct/>
                    <w:autoSpaceDE/>
                    <w:autoSpaceDN/>
                    <w:bidi w:val="0"/>
                    <w:adjustRightInd w:val="0"/>
                    <w:snapToGrid w:val="0"/>
                    <w:spacing w:before="126" w:beforeLines="40" w:beforeAutospacing="0" w:after="126" w:afterLines="40" w:afterAutospacing="0"/>
                    <w:ind w:left="0" w:right="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r>
            <w:tr w14:paraId="2278B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noWrap w:val="0"/>
                  <w:tcMar>
                    <w:top w:w="0" w:type="dxa"/>
                    <w:left w:w="28" w:type="dxa"/>
                    <w:bottom w:w="0" w:type="dxa"/>
                    <w:right w:w="28" w:type="dxa"/>
                  </w:tcMar>
                  <w:vAlign w:val="center"/>
                </w:tcPr>
                <w:p w14:paraId="2F68F180">
                  <w:pPr>
                    <w:keepNext w:val="0"/>
                    <w:keepLines w:val="0"/>
                    <w:pageBreakBefore w:val="0"/>
                    <w:widowControl w:val="0"/>
                    <w:suppressLineNumbers w:val="0"/>
                    <w:kinsoku/>
                    <w:wordWrap/>
                    <w:overflowPunct/>
                    <w:autoSpaceDE/>
                    <w:autoSpaceDN/>
                    <w:bidi w:val="0"/>
                    <w:adjustRightInd w:val="0"/>
                    <w:snapToGrid w:val="0"/>
                    <w:spacing w:before="126" w:beforeLines="40" w:beforeAutospacing="0" w:after="126" w:afterLines="40" w:afterAutospacing="0"/>
                    <w:ind w:left="0" w:right="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五河致远实验学校</w:t>
                  </w:r>
                </w:p>
              </w:tc>
              <w:tc>
                <w:tcPr>
                  <w:tcW w:w="821" w:type="pct"/>
                  <w:noWrap w:val="0"/>
                  <w:tcMar>
                    <w:top w:w="0" w:type="dxa"/>
                    <w:left w:w="28" w:type="dxa"/>
                    <w:bottom w:w="0" w:type="dxa"/>
                    <w:right w:w="28" w:type="dxa"/>
                  </w:tcMar>
                  <w:vAlign w:val="center"/>
                </w:tcPr>
                <w:p w14:paraId="70DD63D4">
                  <w:pPr>
                    <w:keepNext w:val="0"/>
                    <w:keepLines w:val="0"/>
                    <w:pageBreakBefore w:val="0"/>
                    <w:widowControl w:val="0"/>
                    <w:suppressLineNumbers w:val="0"/>
                    <w:kinsoku/>
                    <w:wordWrap/>
                    <w:overflowPunct/>
                    <w:topLinePunct/>
                    <w:autoSpaceDE/>
                    <w:autoSpaceDN/>
                    <w:bidi w:val="0"/>
                    <w:adjustRightInd w:val="0"/>
                    <w:snapToGrid w:val="0"/>
                    <w:spacing w:before="126" w:beforeLines="40" w:beforeAutospacing="0" w:after="126" w:afterLines="40" w:afterAutospacing="0"/>
                    <w:ind w:left="0" w:right="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117.872030°</w:t>
                  </w:r>
                </w:p>
              </w:tc>
              <w:tc>
                <w:tcPr>
                  <w:tcW w:w="783" w:type="pct"/>
                  <w:noWrap w:val="0"/>
                  <w:tcMar>
                    <w:top w:w="0" w:type="dxa"/>
                    <w:left w:w="28" w:type="dxa"/>
                    <w:bottom w:w="0" w:type="dxa"/>
                    <w:right w:w="28" w:type="dxa"/>
                  </w:tcMar>
                  <w:vAlign w:val="center"/>
                </w:tcPr>
                <w:p w14:paraId="44A10465">
                  <w:pPr>
                    <w:keepNext w:val="0"/>
                    <w:keepLines w:val="0"/>
                    <w:pageBreakBefore w:val="0"/>
                    <w:widowControl w:val="0"/>
                    <w:suppressLineNumbers w:val="0"/>
                    <w:kinsoku/>
                    <w:wordWrap/>
                    <w:overflowPunct/>
                    <w:topLinePunct/>
                    <w:autoSpaceDE/>
                    <w:autoSpaceDN/>
                    <w:bidi w:val="0"/>
                    <w:adjustRightInd w:val="0"/>
                    <w:snapToGrid w:val="0"/>
                    <w:spacing w:before="126" w:beforeLines="40" w:beforeAutospacing="0" w:after="126" w:afterLines="40" w:afterAutospacing="0"/>
                    <w:ind w:left="0" w:right="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33.106566°</w:t>
                  </w:r>
                </w:p>
              </w:tc>
              <w:tc>
                <w:tcPr>
                  <w:tcW w:w="381" w:type="pct"/>
                  <w:noWrap w:val="0"/>
                  <w:tcMar>
                    <w:top w:w="0" w:type="dxa"/>
                    <w:left w:w="28" w:type="dxa"/>
                    <w:bottom w:w="0" w:type="dxa"/>
                    <w:right w:w="28" w:type="dxa"/>
                  </w:tcMar>
                  <w:vAlign w:val="center"/>
                </w:tcPr>
                <w:p w14:paraId="3B9BEC4F">
                  <w:pPr>
                    <w:keepNext w:val="0"/>
                    <w:keepLines w:val="0"/>
                    <w:pageBreakBefore w:val="0"/>
                    <w:widowControl w:val="0"/>
                    <w:suppressLineNumbers w:val="0"/>
                    <w:kinsoku/>
                    <w:wordWrap/>
                    <w:overflowPunct/>
                    <w:topLinePunct/>
                    <w:autoSpaceDE/>
                    <w:autoSpaceDN/>
                    <w:bidi w:val="0"/>
                    <w:adjustRightInd w:val="0"/>
                    <w:snapToGrid w:val="0"/>
                    <w:spacing w:before="126" w:beforeLines="40" w:beforeAutospacing="0" w:after="126" w:afterLines="40" w:afterAutospacing="0"/>
                    <w:ind w:left="0" w:right="0" w:firstLine="0" w:firstLineChars="0"/>
                    <w:jc w:val="center"/>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学生</w:t>
                  </w:r>
                </w:p>
              </w:tc>
              <w:tc>
                <w:tcPr>
                  <w:tcW w:w="596" w:type="pct"/>
                  <w:noWrap w:val="0"/>
                  <w:tcMar>
                    <w:top w:w="0" w:type="dxa"/>
                    <w:left w:w="28" w:type="dxa"/>
                    <w:bottom w:w="0" w:type="dxa"/>
                    <w:right w:w="28" w:type="dxa"/>
                  </w:tcMar>
                  <w:vAlign w:val="center"/>
                </w:tcPr>
                <w:p w14:paraId="3C13EC57">
                  <w:pPr>
                    <w:keepNext w:val="0"/>
                    <w:keepLines w:val="0"/>
                    <w:pageBreakBefore w:val="0"/>
                    <w:widowControl w:val="0"/>
                    <w:suppressLineNumbers w:val="0"/>
                    <w:kinsoku/>
                    <w:wordWrap/>
                    <w:overflowPunct/>
                    <w:topLinePunct/>
                    <w:autoSpaceDE/>
                    <w:autoSpaceDN/>
                    <w:bidi w:val="0"/>
                    <w:adjustRightInd w:val="0"/>
                    <w:snapToGrid w:val="0"/>
                    <w:spacing w:before="126" w:beforeLines="40" w:beforeAutospacing="0" w:after="126" w:afterLines="40" w:afterAutospacing="0"/>
                    <w:ind w:left="0" w:right="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约1000人</w:t>
                  </w:r>
                </w:p>
              </w:tc>
              <w:tc>
                <w:tcPr>
                  <w:tcW w:w="764" w:type="pct"/>
                  <w:noWrap w:val="0"/>
                  <w:tcMar>
                    <w:top w:w="0" w:type="dxa"/>
                    <w:left w:w="28" w:type="dxa"/>
                    <w:bottom w:w="0" w:type="dxa"/>
                    <w:right w:w="28" w:type="dxa"/>
                  </w:tcMar>
                  <w:vAlign w:val="center"/>
                </w:tcPr>
                <w:p w14:paraId="6FD285B5">
                  <w:pPr>
                    <w:keepNext w:val="0"/>
                    <w:keepLines w:val="0"/>
                    <w:pageBreakBefore w:val="0"/>
                    <w:widowControl w:val="0"/>
                    <w:suppressLineNumbers w:val="0"/>
                    <w:kinsoku/>
                    <w:wordWrap/>
                    <w:overflowPunct/>
                    <w:topLinePunct/>
                    <w:autoSpaceDE/>
                    <w:autoSpaceDN/>
                    <w:bidi w:val="0"/>
                    <w:adjustRightInd w:val="0"/>
                    <w:snapToGrid w:val="0"/>
                    <w:spacing w:before="126" w:beforeLines="40" w:beforeAutospacing="0" w:after="126" w:afterLines="40" w:afterAutospacing="0"/>
                    <w:ind w:left="0" w:right="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GB3095-2012中二级标准</w:t>
                  </w:r>
                </w:p>
              </w:tc>
              <w:tc>
                <w:tcPr>
                  <w:tcW w:w="569" w:type="pct"/>
                  <w:noWrap w:val="0"/>
                  <w:tcMar>
                    <w:top w:w="0" w:type="dxa"/>
                    <w:left w:w="28" w:type="dxa"/>
                    <w:bottom w:w="0" w:type="dxa"/>
                    <w:right w:w="28" w:type="dxa"/>
                  </w:tcMar>
                  <w:vAlign w:val="center"/>
                </w:tcPr>
                <w:p w14:paraId="68C2BE8A">
                  <w:pPr>
                    <w:keepNext w:val="0"/>
                    <w:keepLines w:val="0"/>
                    <w:pageBreakBefore w:val="0"/>
                    <w:widowControl w:val="0"/>
                    <w:suppressLineNumbers w:val="0"/>
                    <w:kinsoku/>
                    <w:wordWrap/>
                    <w:overflowPunct/>
                    <w:autoSpaceDE/>
                    <w:autoSpaceDN/>
                    <w:bidi w:val="0"/>
                    <w:adjustRightInd w:val="0"/>
                    <w:snapToGrid w:val="0"/>
                    <w:spacing w:before="126" w:beforeLines="40" w:beforeAutospacing="0" w:after="126" w:afterLines="40" w:afterAutospacing="0"/>
                    <w:ind w:left="0" w:right="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东</w:t>
                  </w:r>
                  <w:r>
                    <w:rPr>
                      <w:rFonts w:hint="eastAsia" w:ascii="Times New Roman" w:hAnsi="Times New Roman" w:eastAsia="宋体" w:cs="Times New Roman"/>
                      <w:b w:val="0"/>
                      <w:color w:val="auto"/>
                      <w:kern w:val="2"/>
                      <w:sz w:val="21"/>
                      <w:szCs w:val="21"/>
                      <w:highlight w:val="none"/>
                      <w:lang w:val="en-US" w:eastAsia="zh-CN" w:bidi="ar-SA"/>
                    </w:rPr>
                    <w:t>南</w:t>
                  </w:r>
                </w:p>
              </w:tc>
              <w:tc>
                <w:tcPr>
                  <w:tcW w:w="600" w:type="pct"/>
                  <w:noWrap w:val="0"/>
                  <w:tcMar>
                    <w:top w:w="0" w:type="dxa"/>
                    <w:left w:w="28" w:type="dxa"/>
                    <w:bottom w:w="0" w:type="dxa"/>
                    <w:right w:w="28" w:type="dxa"/>
                  </w:tcMar>
                  <w:vAlign w:val="center"/>
                </w:tcPr>
                <w:p w14:paraId="7447741E">
                  <w:pPr>
                    <w:keepNext w:val="0"/>
                    <w:keepLines w:val="0"/>
                    <w:pageBreakBefore w:val="0"/>
                    <w:widowControl w:val="0"/>
                    <w:suppressLineNumbers w:val="0"/>
                    <w:kinsoku/>
                    <w:wordWrap/>
                    <w:overflowPunct/>
                    <w:autoSpaceDE/>
                    <w:autoSpaceDN/>
                    <w:bidi w:val="0"/>
                    <w:adjustRightInd w:val="0"/>
                    <w:snapToGrid w:val="0"/>
                    <w:spacing w:before="126" w:beforeLines="40" w:beforeAutospacing="0" w:after="126" w:afterLines="40" w:afterAutospacing="0"/>
                    <w:ind w:left="0" w:right="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441</w:t>
                  </w:r>
                </w:p>
              </w:tc>
            </w:tr>
          </w:tbl>
          <w:p w14:paraId="08A738E3">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jc w:val="both"/>
              <w:textAlignment w:val="auto"/>
              <w:rPr>
                <w:rFonts w:hint="default"/>
                <w:color w:val="auto"/>
                <w:highlight w:val="none"/>
              </w:rPr>
            </w:pPr>
            <w:r>
              <w:rPr>
                <w:rFonts w:hint="default" w:ascii="Times New Roman" w:hAnsi="Times New Roman" w:cs="Times New Roman"/>
                <w:color w:val="auto"/>
                <w:highlight w:val="none"/>
              </w:rPr>
              <w:t>2、声环境</w:t>
            </w:r>
          </w:p>
          <w:p w14:paraId="72144A94">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both"/>
              <w:textAlignment w:val="auto"/>
              <w:rPr>
                <w:rFonts w:hint="default"/>
                <w:color w:val="auto"/>
                <w:highlight w:val="none"/>
              </w:rPr>
            </w:pPr>
            <w:r>
              <w:rPr>
                <w:rFonts w:hint="default"/>
                <w:sz w:val="24"/>
              </w:rPr>
              <mc:AlternateContent>
                <mc:Choice Requires="wps">
                  <w:drawing>
                    <wp:anchor distT="0" distB="0" distL="114300" distR="114300" simplePos="0" relativeHeight="251694080" behindDoc="0" locked="0" layoutInCell="1" allowOverlap="1">
                      <wp:simplePos x="0" y="0"/>
                      <wp:positionH relativeFrom="column">
                        <wp:posOffset>3651885</wp:posOffset>
                      </wp:positionH>
                      <wp:positionV relativeFrom="paragraph">
                        <wp:posOffset>1329055</wp:posOffset>
                      </wp:positionV>
                      <wp:extent cx="914400" cy="914400"/>
                      <wp:effectExtent l="0" t="0" r="0" b="0"/>
                      <wp:wrapNone/>
                      <wp:docPr id="61" name="文本框 61"/>
                      <wp:cNvGraphicFramePr/>
                      <a:graphic xmlns:a="http://schemas.openxmlformats.org/drawingml/2006/main">
                        <a:graphicData uri="http://schemas.microsoft.com/office/word/2010/wordprocessingShape">
                          <wps:wsp>
                            <wps:cNvSpPr txBox="1"/>
                            <wps:spPr>
                              <a:xfrm>
                                <a:off x="3917315" y="436753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90D62">
                                  <w:pPr>
                                    <w:rPr>
                                      <w:rFonts w:hint="default" w:eastAsia="宋体"/>
                                      <w:color w:val="FF0000"/>
                                      <w:highlight w:val="none"/>
                                      <w:lang w:val="en-US" w:eastAsia="zh-CN"/>
                                    </w:rPr>
                                  </w:pPr>
                                  <w:r>
                                    <w:rPr>
                                      <w:rFonts w:hint="eastAsia" w:ascii="Times New Roman" w:eastAsia="宋体"/>
                                      <w:color w:val="FF0000"/>
                                      <w:highlight w:val="none"/>
                                      <w:lang w:val="en-US" w:eastAsia="zh-CN"/>
                                    </w:rPr>
                                    <w:t>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7.55pt;margin-top:104.65pt;height:72pt;width:72pt;z-index:251694080;mso-width-relative:page;mso-height-relative:page;" filled="f" stroked="f" coordsize="21600,21600" o:gfxdata="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rOwK9wAAAALAQAADwAAAAAA&#10;AAABACAAAAAiAAAAZHJzL2Rvd25yZXYueG1sUEsBAhQAFAAAAAgAh07iQAdMaexIAgAAgQQAAA4A&#10;AAAAAAAAAQAgAAAAKwEAAGRycy9lMm9Eb2MueG1sUEsFBgAAAAAGAAYAWQEAAOUFAAAAAA==&#10;">
                      <v:fill on="f" focussize="0,0"/>
                      <v:stroke on="f" weight="0.5pt"/>
                      <v:imagedata o:title=""/>
                      <o:lock v:ext="edit" aspectratio="f"/>
                      <v:textbox>
                        <w:txbxContent>
                          <w:p w14:paraId="5B490D62">
                            <w:pPr>
                              <w:rPr>
                                <w:rFonts w:hint="default" w:eastAsia="宋体"/>
                                <w:color w:val="FF0000"/>
                                <w:highlight w:val="none"/>
                                <w:lang w:val="en-US" w:eastAsia="zh-CN"/>
                              </w:rPr>
                            </w:pPr>
                            <w:r>
                              <w:rPr>
                                <w:rFonts w:hint="eastAsia" w:ascii="Times New Roman" w:eastAsia="宋体"/>
                                <w:color w:val="FF0000"/>
                                <w:highlight w:val="none"/>
                                <w:lang w:val="en-US" w:eastAsia="zh-CN"/>
                              </w:rPr>
                              <w:t>50m</w:t>
                            </w:r>
                          </w:p>
                        </w:txbxContent>
                      </v:textbox>
                    </v:shape>
                  </w:pict>
                </mc:Fallback>
              </mc:AlternateContent>
            </w:r>
            <w:r>
              <w:rPr>
                <w:rFonts w:hint="default"/>
                <w:sz w:val="24"/>
              </w:rPr>
              <mc:AlternateContent>
                <mc:Choice Requires="wps">
                  <w:drawing>
                    <wp:anchor distT="0" distB="0" distL="114300" distR="114300" simplePos="0" relativeHeight="251693056" behindDoc="0" locked="0" layoutInCell="1" allowOverlap="1">
                      <wp:simplePos x="0" y="0"/>
                      <wp:positionH relativeFrom="column">
                        <wp:posOffset>3536315</wp:posOffset>
                      </wp:positionH>
                      <wp:positionV relativeFrom="paragraph">
                        <wp:posOffset>1644650</wp:posOffset>
                      </wp:positionV>
                      <wp:extent cx="676910" cy="1270"/>
                      <wp:effectExtent l="0" t="57150" r="8890" b="74930"/>
                      <wp:wrapNone/>
                      <wp:docPr id="60" name="直接箭头连接符 60"/>
                      <wp:cNvGraphicFramePr/>
                      <a:graphic xmlns:a="http://schemas.openxmlformats.org/drawingml/2006/main">
                        <a:graphicData uri="http://schemas.microsoft.com/office/word/2010/wordprocessingShape">
                          <wps:wsp>
                            <wps:cNvCnPr/>
                            <wps:spPr>
                              <a:xfrm>
                                <a:off x="3709670" y="4652645"/>
                                <a:ext cx="676910" cy="1270"/>
                              </a:xfrm>
                              <a:prstGeom prst="straightConnector1">
                                <a:avLst/>
                              </a:prstGeom>
                              <a:noFill/>
                              <a:ln w="25400" cap="flat" cmpd="sng" algn="ctr">
                                <a:solidFill>
                                  <a:srgbClr val="FF0000"/>
                                </a:solidFill>
                                <a:prstDash val="solid"/>
                                <a:headEnd type="arrow"/>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78.45pt;margin-top:129.5pt;height:0.1pt;width:53.3pt;z-index:251693056;mso-width-relative:page;mso-height-relative:page;" filled="f" stroked="t" coordsize="21600,21600" o:gfxdata="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vNL6TZAAAACwEAAA8A&#10;AAAAAAAAAQAgAAAAIgAAAGRycy9kb3ducmV2LnhtbFBLAQIUABQAAAAIAIdO4kC//p58FgIAAP8D&#10;AAAOAAAAAAAAAAEAIAAAACgBAABkcnMvZTJvRG9jLnhtbFBLBQYAAAAABgAGAFkBAACwBQAAAAA=&#10;">
                      <v:fill on="f" focussize="0,0"/>
                      <v:stroke weight="2pt" color="#FF0000 [3204]" joinstyle="round" startarrow="open" endarrow="open"/>
                      <v:imagedata o:title=""/>
                      <o:lock v:ext="edit" aspectratio="f"/>
                    </v:shape>
                  </w:pict>
                </mc:Fallback>
              </mc:AlternateContent>
            </w:r>
            <w:r>
              <w:rPr>
                <w:rFonts w:hint="eastAsia" w:ascii="宋体" w:hAnsi="宋体" w:eastAsia="宋体" w:cs="宋体"/>
                <w:b/>
                <w:bCs/>
                <w:color w:val="auto"/>
                <w:sz w:val="24"/>
                <w:szCs w:val="24"/>
                <w:highlight w:val="none"/>
                <w:lang w:eastAsia="zh-CN"/>
              </w:rPr>
              <w:drawing>
                <wp:anchor distT="0" distB="0" distL="114300" distR="114300" simplePos="0" relativeHeight="251667456" behindDoc="0" locked="0" layoutInCell="1" allowOverlap="1">
                  <wp:simplePos x="0" y="0"/>
                  <wp:positionH relativeFrom="column">
                    <wp:posOffset>5197475</wp:posOffset>
                  </wp:positionH>
                  <wp:positionV relativeFrom="paragraph">
                    <wp:posOffset>91440</wp:posOffset>
                  </wp:positionV>
                  <wp:extent cx="551815" cy="551815"/>
                  <wp:effectExtent l="0" t="0" r="635" b="635"/>
                  <wp:wrapNone/>
                  <wp:docPr id="16" name="图片 16" descr="指北针小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指北针小图标"/>
                          <pic:cNvPicPr>
                            <a:picLocks noChangeAspect="1"/>
                          </pic:cNvPicPr>
                        </pic:nvPicPr>
                        <pic:blipFill>
                          <a:blip r:embed="rId17"/>
                          <a:stretch>
                            <a:fillRect/>
                          </a:stretch>
                        </pic:blipFill>
                        <pic:spPr>
                          <a:xfrm>
                            <a:off x="0" y="0"/>
                            <a:ext cx="551815" cy="551815"/>
                          </a:xfrm>
                          <a:prstGeom prst="rect">
                            <a:avLst/>
                          </a:prstGeom>
                        </pic:spPr>
                      </pic:pic>
                    </a:graphicData>
                  </a:graphic>
                </wp:anchor>
              </w:drawing>
            </w:r>
            <w:r>
              <w:rPr>
                <w:rFonts w:hint="default"/>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4453255</wp:posOffset>
                      </wp:positionH>
                      <wp:positionV relativeFrom="paragraph">
                        <wp:posOffset>5107305</wp:posOffset>
                      </wp:positionV>
                      <wp:extent cx="259715" cy="164465"/>
                      <wp:effectExtent l="12700" t="12700" r="13335" b="13335"/>
                      <wp:wrapNone/>
                      <wp:docPr id="11" name="矩形 11"/>
                      <wp:cNvGraphicFramePr/>
                      <a:graphic xmlns:a="http://schemas.openxmlformats.org/drawingml/2006/main">
                        <a:graphicData uri="http://schemas.microsoft.com/office/word/2010/wordprocessingShape">
                          <wps:wsp>
                            <wps:cNvSpPr/>
                            <wps:spPr>
                              <a:xfrm>
                                <a:off x="0" y="0"/>
                                <a:ext cx="259715" cy="164465"/>
                              </a:xfrm>
                              <a:prstGeom prst="rect">
                                <a:avLst/>
                              </a:prstGeom>
                              <a:noFill/>
                              <a:ln>
                                <a:solidFill>
                                  <a:srgbClr val="2424EA"/>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0.65pt;margin-top:402.15pt;height:12.95pt;width:20.45pt;z-index:251666432;v-text-anchor:middle;mso-width-relative:page;mso-height-relative:page;" filled="f" stroked="t" coordsize="21600,21600" o:gfxdata="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VWnQfZAAAACwEAAA8AAAAAAAAAAQAgAAAAIgAAAGRycy9kb3ducmV2LnhtbFBLAQIUABQAAAAI&#10;AIdO4kDuCEIgXgIAALUEAAAOAAAAAAAAAAEAIAAAACgBAABkcnMvZTJvRG9jLnhtbFBLBQYAAAAA&#10;BgAGAFkBAAD4BQAAAAA=&#10;">
                      <v:fill on="f" focussize="0,0"/>
                      <v:stroke weight="2pt" color="#2424EA [2404]" joinstyle="round"/>
                      <v:imagedata o:title=""/>
                      <o:lock v:ext="edit" aspectratio="f"/>
                    </v:rect>
                  </w:pict>
                </mc:Fallback>
              </mc:AlternateContent>
            </w:r>
            <w:r>
              <w:rPr>
                <w:rFonts w:hint="default"/>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4448175</wp:posOffset>
                      </wp:positionH>
                      <wp:positionV relativeFrom="paragraph">
                        <wp:posOffset>4824730</wp:posOffset>
                      </wp:positionV>
                      <wp:extent cx="259715" cy="164465"/>
                      <wp:effectExtent l="12700" t="12700" r="13335" b="13335"/>
                      <wp:wrapNone/>
                      <wp:docPr id="9" name="矩形 9"/>
                      <wp:cNvGraphicFramePr/>
                      <a:graphic xmlns:a="http://schemas.openxmlformats.org/drawingml/2006/main">
                        <a:graphicData uri="http://schemas.microsoft.com/office/word/2010/wordprocessingShape">
                          <wps:wsp>
                            <wps:cNvSpPr/>
                            <wps:spPr>
                              <a:xfrm>
                                <a:off x="5688330" y="6483350"/>
                                <a:ext cx="259715" cy="16446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0.25pt;margin-top:379.9pt;height:12.95pt;width:20.45pt;z-index:251665408;v-text-anchor:middle;mso-width-relative:page;mso-height-relative:page;" filled="f" stroked="t" coordsize="21600,21600" o:gfxdata="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VXLaNkAAAALAQAADwAAAAAAAAABACAAAAAiAAAAZHJzL2Rvd25yZXYueG1s&#10;UEsBAhQAFAAAAAgAh07iQNRWEsZpAgAAvwQAAA4AAAAAAAAAAQAgAAAAKAEAAGRycy9lMm9Eb2Mu&#10;eG1sUEsFBgAAAAAGAAYAWQEAAAMGAAAAAA==&#10;">
                      <v:fill on="f" focussize="0,0"/>
                      <v:stroke weight="2pt" color="#FF0000 [2404]" joinstyle="round"/>
                      <v:imagedata o:title=""/>
                      <o:lock v:ext="edit" aspectratio="f"/>
                    </v:rect>
                  </w:pict>
                </mc:Fallback>
              </mc:AlternateContent>
            </w:r>
            <w:r>
              <w:rPr>
                <w:rFonts w:hint="default"/>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4355465</wp:posOffset>
                      </wp:positionH>
                      <wp:positionV relativeFrom="paragraph">
                        <wp:posOffset>4719320</wp:posOffset>
                      </wp:positionV>
                      <wp:extent cx="1398270" cy="689610"/>
                      <wp:effectExtent l="4445" t="4445" r="6985" b="10795"/>
                      <wp:wrapNone/>
                      <wp:docPr id="5" name="文本框 5"/>
                      <wp:cNvGraphicFramePr/>
                      <a:graphic xmlns:a="http://schemas.openxmlformats.org/drawingml/2006/main">
                        <a:graphicData uri="http://schemas.microsoft.com/office/word/2010/wordprocessingShape">
                          <wps:wsp>
                            <wps:cNvSpPr txBox="1"/>
                            <wps:spPr>
                              <a:xfrm>
                                <a:off x="6035040" y="6595745"/>
                                <a:ext cx="1398270" cy="689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00A74A">
                                  <w:pPr>
                                    <w:jc w:val="right"/>
                                    <w:rPr>
                                      <w:rFonts w:hint="eastAsia"/>
                                      <w:sz w:val="20"/>
                                      <w:szCs w:val="20"/>
                                      <w:lang w:val="en-US" w:eastAsia="zh-CN"/>
                                    </w:rPr>
                                  </w:pPr>
                                  <w:r>
                                    <w:rPr>
                                      <w:rFonts w:hint="eastAsia"/>
                                      <w:sz w:val="20"/>
                                      <w:szCs w:val="20"/>
                                      <w:lang w:val="en-US" w:eastAsia="zh-CN"/>
                                    </w:rPr>
                                    <w:t>厂界</w:t>
                                  </w:r>
                                </w:p>
                                <w:p w14:paraId="261A80CD">
                                  <w:pPr>
                                    <w:jc w:val="right"/>
                                    <w:rPr>
                                      <w:rFonts w:hint="eastAsia"/>
                                      <w:sz w:val="20"/>
                                      <w:szCs w:val="20"/>
                                      <w:lang w:val="en-US" w:eastAsia="zh-CN"/>
                                    </w:rPr>
                                  </w:pPr>
                                </w:p>
                                <w:p w14:paraId="3CF1AAE3">
                                  <w:pPr>
                                    <w:jc w:val="right"/>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声环境评价范围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95pt;margin-top:371.6pt;height:54.3pt;width:110.1pt;z-index:251664384;mso-width-relative:page;mso-height-relative:page;" fillcolor="#FFFFFF [3201]" filled="t" stroked="t" coordsize="21600,21600" o:gfxdata="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SpYTO2QAAAAsBAAAPAAAAAAAAAAEAIAAAACIAAABkcnMvZG93bnJldi54bWxQSwECFAAU&#10;AAAACACHTuJA6fkWDGICAADDBAAADgAAAAAAAAABACAAAAAoAQAAZHJzL2Uyb0RvYy54bWxQSwUG&#10;AAAAAAYABgBZAQAA/AUAAAAA&#10;">
                      <v:fill on="t" focussize="0,0"/>
                      <v:stroke weight="0.5pt" color="#000000 [3204]" joinstyle="round"/>
                      <v:imagedata o:title=""/>
                      <o:lock v:ext="edit" aspectratio="f"/>
                      <v:textbox>
                        <w:txbxContent>
                          <w:p w14:paraId="6E00A74A">
                            <w:pPr>
                              <w:jc w:val="right"/>
                              <w:rPr>
                                <w:rFonts w:hint="eastAsia"/>
                                <w:sz w:val="20"/>
                                <w:szCs w:val="20"/>
                                <w:lang w:val="en-US" w:eastAsia="zh-CN"/>
                              </w:rPr>
                            </w:pPr>
                            <w:r>
                              <w:rPr>
                                <w:rFonts w:hint="eastAsia"/>
                                <w:sz w:val="20"/>
                                <w:szCs w:val="20"/>
                                <w:lang w:val="en-US" w:eastAsia="zh-CN"/>
                              </w:rPr>
                              <w:t>厂界</w:t>
                            </w:r>
                          </w:p>
                          <w:p w14:paraId="261A80CD">
                            <w:pPr>
                              <w:jc w:val="right"/>
                              <w:rPr>
                                <w:rFonts w:hint="eastAsia"/>
                                <w:sz w:val="20"/>
                                <w:szCs w:val="20"/>
                                <w:lang w:val="en-US" w:eastAsia="zh-CN"/>
                              </w:rPr>
                            </w:pPr>
                          </w:p>
                          <w:p w14:paraId="3CF1AAE3">
                            <w:pPr>
                              <w:jc w:val="right"/>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声环境评价范围</w:t>
                            </w:r>
                          </w:p>
                        </w:txbxContent>
                      </v:textbox>
                    </v:shape>
                  </w:pict>
                </mc:Fallback>
              </mc:AlternateContent>
            </w:r>
            <w:r>
              <w:rPr>
                <w:rFonts w:hint="default"/>
              </w:rPr>
              <w:drawing>
                <wp:inline distT="0" distB="0" distL="114300" distR="114300">
                  <wp:extent cx="5723255" cy="5318125"/>
                  <wp:effectExtent l="0" t="0" r="10795" b="15875"/>
                  <wp:docPr id="7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5"/>
                          <pic:cNvPicPr>
                            <a:picLocks noChangeAspect="1"/>
                          </pic:cNvPicPr>
                        </pic:nvPicPr>
                        <pic:blipFill>
                          <a:blip r:embed="rId19"/>
                          <a:stretch>
                            <a:fillRect/>
                          </a:stretch>
                        </pic:blipFill>
                        <pic:spPr>
                          <a:xfrm>
                            <a:off x="0" y="0"/>
                            <a:ext cx="5723255" cy="5318125"/>
                          </a:xfrm>
                          <a:prstGeom prst="rect">
                            <a:avLst/>
                          </a:prstGeom>
                          <a:noFill/>
                          <a:ln>
                            <a:noFill/>
                          </a:ln>
                        </pic:spPr>
                      </pic:pic>
                    </a:graphicData>
                  </a:graphic>
                </wp:inline>
              </w:drawing>
            </w:r>
          </w:p>
          <w:p w14:paraId="5087BC3D">
            <w:pPr>
              <w:pStyle w:val="42"/>
              <w:keepNext w:val="0"/>
              <w:keepLines w:val="0"/>
              <w:suppressLineNumbers w:val="0"/>
              <w:bidi w:val="0"/>
              <w:spacing w:before="0" w:beforeAutospacing="0" w:after="0" w:afterAutospacing="0"/>
              <w:ind w:left="0" w:right="0"/>
              <w:jc w:val="center"/>
              <w:rPr>
                <w:rFonts w:hint="default" w:eastAsia="宋体"/>
                <w:b/>
                <w:bCs/>
                <w:color w:val="auto"/>
                <w:highlight w:val="none"/>
                <w:lang w:val="en-US" w:eastAsia="zh-CN"/>
              </w:rPr>
            </w:pPr>
            <w:r>
              <w:rPr>
                <w:rFonts w:hint="eastAsia"/>
                <w:b/>
                <w:bCs/>
                <w:color w:val="auto"/>
                <w:highlight w:val="none"/>
                <w:lang w:val="en-US" w:eastAsia="zh-CN"/>
              </w:rPr>
              <w:t>图3-2声环境50m评价范围</w:t>
            </w:r>
          </w:p>
          <w:p w14:paraId="6511B96C">
            <w:pPr>
              <w:pStyle w:val="42"/>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color w:val="auto"/>
                <w:highlight w:val="none"/>
              </w:rPr>
              <w:t>根据</w:t>
            </w:r>
            <w:r>
              <w:rPr>
                <w:rFonts w:hint="default"/>
                <w:color w:val="auto"/>
                <w:highlight w:val="none"/>
                <w:lang w:eastAsia="zh-CN"/>
              </w:rPr>
              <w:t>现场勘查</w:t>
            </w:r>
            <w:r>
              <w:rPr>
                <w:rFonts w:hint="default"/>
                <w:color w:val="auto"/>
                <w:highlight w:val="none"/>
              </w:rPr>
              <w:t>，项目50米范围内无声环境保护目标。</w:t>
            </w:r>
          </w:p>
          <w:p w14:paraId="4379C39B">
            <w:pPr>
              <w:pStyle w:val="44"/>
              <w:keepNext w:val="0"/>
              <w:keepLines w:val="0"/>
              <w:pageBreakBefore w:val="0"/>
              <w:suppressLineNumbers w:val="0"/>
              <w:kinsoku/>
              <w:wordWrap/>
              <w:bidi w:val="0"/>
              <w:adjustRightInd w:val="0"/>
              <w:snapToGrid w:val="0"/>
              <w:spacing w:before="0" w:beforeAutospacing="0" w:after="0" w:afterAutospacing="0"/>
              <w:ind w:left="0" w:right="0"/>
              <w:jc w:val="both"/>
              <w:textAlignment w:val="auto"/>
              <w:rPr>
                <w:rFonts w:hint="default"/>
                <w:color w:val="auto"/>
                <w:highlight w:val="none"/>
              </w:rPr>
            </w:pPr>
            <w:r>
              <w:rPr>
                <w:rFonts w:hint="default" w:ascii="Times New Roman" w:hAnsi="Times New Roman" w:cs="Times New Roman"/>
                <w:color w:val="auto"/>
                <w:highlight w:val="none"/>
              </w:rPr>
              <w:t>3、地下水环境</w:t>
            </w:r>
          </w:p>
          <w:p w14:paraId="2F19107F">
            <w:pPr>
              <w:pStyle w:val="44"/>
              <w:keepNext w:val="0"/>
              <w:keepLines w:val="0"/>
              <w:pageBreakBefore w:val="0"/>
              <w:suppressLineNumbers w:val="0"/>
              <w:kinsoku/>
              <w:wordWrap/>
              <w:bidi w:val="0"/>
              <w:adjustRightInd w:val="0"/>
              <w:snapToGrid w:val="0"/>
              <w:spacing w:before="0" w:beforeAutospacing="0" w:after="0" w:afterAutospacing="0"/>
              <w:ind w:left="0" w:right="0"/>
              <w:jc w:val="center"/>
              <w:textAlignment w:val="auto"/>
              <w:rPr>
                <w:rFonts w:hint="default"/>
                <w:color w:val="auto"/>
                <w:highlight w:val="none"/>
              </w:rPr>
            </w:pPr>
            <w:r>
              <w:rPr>
                <w:rFonts w:hint="default"/>
                <w:sz w:val="24"/>
              </w:rPr>
              <mc:AlternateContent>
                <mc:Choice Requires="wps">
                  <w:drawing>
                    <wp:anchor distT="0" distB="0" distL="114300" distR="114300" simplePos="0" relativeHeight="251696128" behindDoc="0" locked="0" layoutInCell="1" allowOverlap="1">
                      <wp:simplePos x="0" y="0"/>
                      <wp:positionH relativeFrom="column">
                        <wp:posOffset>3275330</wp:posOffset>
                      </wp:positionH>
                      <wp:positionV relativeFrom="paragraph">
                        <wp:posOffset>1729105</wp:posOffset>
                      </wp:positionV>
                      <wp:extent cx="914400" cy="914400"/>
                      <wp:effectExtent l="0" t="0" r="0" b="0"/>
                      <wp:wrapNone/>
                      <wp:docPr id="62" name="文本框 62"/>
                      <wp:cNvGraphicFramePr/>
                      <a:graphic xmlns:a="http://schemas.openxmlformats.org/drawingml/2006/main">
                        <a:graphicData uri="http://schemas.microsoft.com/office/word/2010/wordprocessingShape">
                          <wps:wsp>
                            <wps:cNvSpPr txBox="1"/>
                            <wps:spPr>
                              <a:xfrm>
                                <a:off x="3917315" y="436753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0CD56">
                                  <w:pPr>
                                    <w:rPr>
                                      <w:rFonts w:hint="default" w:eastAsia="宋体"/>
                                      <w:color w:val="FF0000"/>
                                      <w:highlight w:val="none"/>
                                      <w:lang w:val="en-US" w:eastAsia="zh-CN"/>
                                    </w:rPr>
                                  </w:pPr>
                                  <w:r>
                                    <w:rPr>
                                      <w:rFonts w:hint="eastAsia" w:ascii="Times New Roman" w:eastAsia="宋体"/>
                                      <w:color w:val="FF0000"/>
                                      <w:highlight w:val="none"/>
                                      <w:lang w:val="en-US" w:eastAsia="zh-CN"/>
                                    </w:rPr>
                                    <w:t>500m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9pt;margin-top:136.15pt;height:72pt;width:72pt;z-index:251696128;mso-width-relative:page;mso-height-relative:page;" filled="f" stroked="f" coordsize="21600,21600" o:gfxdata="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Mfg9twAAAALAQAADwAAAAAA&#10;AAABACAAAAAiAAAAZHJzL2Rvd25yZXYueG1sUEsBAhQAFAAAAAgAh07iQAlEf9ZIAgAAgQQAAA4A&#10;AAAAAAAAAQAgAAAAKwEAAGRycy9lMm9Eb2MueG1sUEsFBgAAAAAGAAYAWQEAAOUFAAAAAA==&#10;">
                      <v:fill on="f" focussize="0,0"/>
                      <v:stroke on="f" weight="0.5pt"/>
                      <v:imagedata o:title=""/>
                      <o:lock v:ext="edit" aspectratio="f"/>
                      <v:textbox>
                        <w:txbxContent>
                          <w:p w14:paraId="17A0CD56">
                            <w:pPr>
                              <w:rPr>
                                <w:rFonts w:hint="default" w:eastAsia="宋体"/>
                                <w:color w:val="FF0000"/>
                                <w:highlight w:val="none"/>
                                <w:lang w:val="en-US" w:eastAsia="zh-CN"/>
                              </w:rPr>
                            </w:pPr>
                            <w:r>
                              <w:rPr>
                                <w:rFonts w:hint="eastAsia" w:ascii="Times New Roman" w:eastAsia="宋体"/>
                                <w:color w:val="FF0000"/>
                                <w:highlight w:val="none"/>
                                <w:lang w:val="en-US" w:eastAsia="zh-CN"/>
                              </w:rPr>
                              <w:t>500m</w:t>
                            </w:r>
                          </w:p>
                        </w:txbxContent>
                      </v:textbox>
                    </v:shape>
                  </w:pict>
                </mc:Fallback>
              </mc:AlternateContent>
            </w:r>
            <w:r>
              <w:rPr>
                <w:rFonts w:hint="default"/>
                <w:sz w:val="24"/>
              </w:rPr>
              <mc:AlternateContent>
                <mc:Choice Requires="wps">
                  <w:drawing>
                    <wp:anchor distT="0" distB="0" distL="114300" distR="114300" simplePos="0" relativeHeight="251695104" behindDoc="0" locked="0" layoutInCell="1" allowOverlap="1">
                      <wp:simplePos x="0" y="0"/>
                      <wp:positionH relativeFrom="column">
                        <wp:posOffset>3067685</wp:posOffset>
                      </wp:positionH>
                      <wp:positionV relativeFrom="paragraph">
                        <wp:posOffset>2014220</wp:posOffset>
                      </wp:positionV>
                      <wp:extent cx="1567815" cy="11430"/>
                      <wp:effectExtent l="0" t="56515" r="13335" b="65405"/>
                      <wp:wrapNone/>
                      <wp:docPr id="63" name="直接箭头连接符 63"/>
                      <wp:cNvGraphicFramePr/>
                      <a:graphic xmlns:a="http://schemas.openxmlformats.org/drawingml/2006/main">
                        <a:graphicData uri="http://schemas.microsoft.com/office/word/2010/wordprocessingShape">
                          <wps:wsp>
                            <wps:cNvCnPr/>
                            <wps:spPr>
                              <a:xfrm>
                                <a:off x="3709670" y="4652645"/>
                                <a:ext cx="1567815" cy="11430"/>
                              </a:xfrm>
                              <a:prstGeom prst="straightConnector1">
                                <a:avLst/>
                              </a:prstGeom>
                              <a:noFill/>
                              <a:ln w="25400" cap="flat" cmpd="sng" algn="ctr">
                                <a:solidFill>
                                  <a:srgbClr val="FF0000"/>
                                </a:solidFill>
                                <a:prstDash val="solid"/>
                                <a:headEnd type="arrow"/>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1.55pt;margin-top:158.6pt;height:0.9pt;width:123.45pt;z-index:251695104;mso-width-relative:page;mso-height-relative:page;" filled="f" stroked="t" coordsize="21600,21600" o:gfxdata="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8xoch2gAA&#10;AAsBAAAPAAAAAAAAAAEAIAAAACIAAABkcnMvZG93bnJldi54bWxQSwECFAAUAAAACACHTuJA+Exs&#10;8RwCAAABBAAADgAAAAAAAAABACAAAAApAQAAZHJzL2Uyb0RvYy54bWxQSwUGAAAAAAYABgBZAQAA&#10;twUAAAAA&#10;">
                      <v:fill on="f" focussize="0,0"/>
                      <v:stroke weight="2pt" color="#FF0000 [3204]" joinstyle="round" startarrow="open" endarrow="open"/>
                      <v:imagedata o:title=""/>
                      <o:lock v:ext="edit" aspectratio="f"/>
                    </v:shape>
                  </w:pict>
                </mc:Fallback>
              </mc:AlternateContent>
            </w:r>
            <w:r>
              <w:rPr>
                <w:rFonts w:hint="default"/>
                <w:color w:val="auto"/>
                <w:sz w:val="24"/>
                <w:highlight w:val="none"/>
              </w:rPr>
              <mc:AlternateContent>
                <mc:Choice Requires="wps">
                  <w:drawing>
                    <wp:anchor distT="0" distB="0" distL="114300" distR="114300" simplePos="0" relativeHeight="251675648" behindDoc="0" locked="0" layoutInCell="1" allowOverlap="1">
                      <wp:simplePos x="0" y="0"/>
                      <wp:positionH relativeFrom="column">
                        <wp:posOffset>4378325</wp:posOffset>
                      </wp:positionH>
                      <wp:positionV relativeFrom="paragraph">
                        <wp:posOffset>4475480</wp:posOffset>
                      </wp:positionV>
                      <wp:extent cx="200660" cy="120650"/>
                      <wp:effectExtent l="12700" t="12700" r="15240" b="19050"/>
                      <wp:wrapNone/>
                      <wp:docPr id="27" name="矩形 27"/>
                      <wp:cNvGraphicFramePr/>
                      <a:graphic xmlns:a="http://schemas.openxmlformats.org/drawingml/2006/main">
                        <a:graphicData uri="http://schemas.microsoft.com/office/word/2010/wordprocessingShape">
                          <wps:wsp>
                            <wps:cNvSpPr/>
                            <wps:spPr>
                              <a:xfrm>
                                <a:off x="0" y="0"/>
                                <a:ext cx="200660" cy="120650"/>
                              </a:xfrm>
                              <a:prstGeom prst="rect">
                                <a:avLst/>
                              </a:prstGeom>
                              <a:noFill/>
                              <a:ln>
                                <a:solidFill>
                                  <a:srgbClr val="2424EA"/>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75pt;margin-top:352.4pt;height:9.5pt;width:15.8pt;z-index:251675648;v-text-anchor:middle;mso-width-relative:page;mso-height-relative:page;" filled="f" stroked="t" coordsize="21600,21600" o:gfxdata="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xo0IdkAAAALAQAADwAAAAAAAAABACAAAAAiAAAAZHJzL2Rvd25yZXYueG1sUEsBAhQAFAAAAAgA&#10;h07iQO6NqjVdAgAAtQQAAA4AAAAAAAAAAQAgAAAAKAEAAGRycy9lMm9Eb2MueG1sUEsFBgAAAAAG&#10;AAYAWQEAAPcFAAAAAA==&#10;">
                      <v:fill on="f" focussize="0,0"/>
                      <v:stroke weight="2pt" color="#2424EA [2404]" joinstyle="round"/>
                      <v:imagedata o:title=""/>
                      <o:lock v:ext="edit" aspectratio="f"/>
                    </v:rect>
                  </w:pict>
                </mc:Fallback>
              </mc:AlternateContent>
            </w:r>
            <w:r>
              <w:rPr>
                <w:rFonts w:hint="default"/>
                <w:color w:val="auto"/>
                <w:sz w:val="24"/>
                <w:highlight w:val="none"/>
              </w:rPr>
              <mc:AlternateContent>
                <mc:Choice Requires="wps">
                  <w:drawing>
                    <wp:anchor distT="0" distB="0" distL="114300" distR="114300" simplePos="0" relativeHeight="251674624" behindDoc="0" locked="0" layoutInCell="1" allowOverlap="1">
                      <wp:simplePos x="0" y="0"/>
                      <wp:positionH relativeFrom="column">
                        <wp:posOffset>4373245</wp:posOffset>
                      </wp:positionH>
                      <wp:positionV relativeFrom="paragraph">
                        <wp:posOffset>4192905</wp:posOffset>
                      </wp:positionV>
                      <wp:extent cx="200660" cy="120650"/>
                      <wp:effectExtent l="12700" t="12700" r="15240" b="19050"/>
                      <wp:wrapNone/>
                      <wp:docPr id="28" name="矩形 28"/>
                      <wp:cNvGraphicFramePr/>
                      <a:graphic xmlns:a="http://schemas.openxmlformats.org/drawingml/2006/main">
                        <a:graphicData uri="http://schemas.microsoft.com/office/word/2010/wordprocessingShape">
                          <wps:wsp>
                            <wps:cNvSpPr/>
                            <wps:spPr>
                              <a:xfrm>
                                <a:off x="0" y="0"/>
                                <a:ext cx="200660" cy="12065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35pt;margin-top:330.15pt;height:9.5pt;width:15.8pt;z-index:251674624;v-text-anchor:middle;mso-width-relative:page;mso-height-relative:page;" filled="f" stroked="t" coordsize="21600,21600" o:gfxdata="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Ha&#10;CpzZAAAACwEAAA8AAAAAAAAAAQAgAAAAIgAAAGRycy9kb3ducmV2LnhtbFBLAQIUABQAAAAIAIdO&#10;4kCsXrbcWwIAALUEAAAOAAAAAAAAAAEAIAAAACgBAABkcnMvZTJvRG9jLnhtbFBLBQYAAAAABgAG&#10;AFkBAAD1BQAAAAA=&#10;">
                      <v:fill on="f" focussize="0,0"/>
                      <v:stroke weight="2pt" color="#FF0000 [2404]" joinstyle="round"/>
                      <v:imagedata o:title=""/>
                      <o:lock v:ext="edit" aspectratio="f"/>
                    </v:rect>
                  </w:pict>
                </mc:Fallback>
              </mc:AlternateContent>
            </w:r>
            <w:r>
              <w:rPr>
                <w:rFonts w:hint="default"/>
                <w:color w:val="auto"/>
                <w:sz w:val="24"/>
                <w:highlight w:val="none"/>
              </w:rPr>
              <mc:AlternateContent>
                <mc:Choice Requires="wps">
                  <w:drawing>
                    <wp:anchor distT="0" distB="0" distL="114300" distR="114300" simplePos="0" relativeHeight="251673600" behindDoc="0" locked="0" layoutInCell="1" allowOverlap="1">
                      <wp:simplePos x="0" y="0"/>
                      <wp:positionH relativeFrom="column">
                        <wp:posOffset>4327525</wp:posOffset>
                      </wp:positionH>
                      <wp:positionV relativeFrom="paragraph">
                        <wp:posOffset>4159250</wp:posOffset>
                      </wp:positionV>
                      <wp:extent cx="1256665" cy="527685"/>
                      <wp:effectExtent l="4445" t="4445" r="15240" b="20320"/>
                      <wp:wrapNone/>
                      <wp:docPr id="25" name="文本框 25"/>
                      <wp:cNvGraphicFramePr/>
                      <a:graphic xmlns:a="http://schemas.openxmlformats.org/drawingml/2006/main">
                        <a:graphicData uri="http://schemas.microsoft.com/office/word/2010/wordprocessingShape">
                          <wps:wsp>
                            <wps:cNvSpPr txBox="1"/>
                            <wps:spPr>
                              <a:xfrm>
                                <a:off x="0" y="0"/>
                                <a:ext cx="1256665" cy="527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89ABE1">
                                  <w:pPr>
                                    <w:jc w:val="right"/>
                                    <w:rPr>
                                      <w:rFonts w:hint="eastAsia"/>
                                      <w:sz w:val="18"/>
                                      <w:szCs w:val="18"/>
                                      <w:lang w:val="en-US" w:eastAsia="zh-CN"/>
                                    </w:rPr>
                                  </w:pPr>
                                  <w:r>
                                    <w:rPr>
                                      <w:rFonts w:hint="eastAsia"/>
                                      <w:sz w:val="18"/>
                                      <w:szCs w:val="18"/>
                                      <w:lang w:val="en-US" w:eastAsia="zh-CN"/>
                                    </w:rPr>
                                    <w:t>厂界</w:t>
                                  </w:r>
                                </w:p>
                                <w:p w14:paraId="4BC3B4BC">
                                  <w:pPr>
                                    <w:jc w:val="right"/>
                                    <w:rPr>
                                      <w:rFonts w:hint="eastAsia"/>
                                      <w:sz w:val="18"/>
                                      <w:szCs w:val="18"/>
                                      <w:lang w:val="en-US" w:eastAsia="zh-CN"/>
                                    </w:rPr>
                                  </w:pPr>
                                </w:p>
                                <w:p w14:paraId="1E3901D8">
                                  <w:pPr>
                                    <w:jc w:val="right"/>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6"/>
                                      <w:szCs w:val="16"/>
                                      <w:lang w:val="en-US" w:eastAsia="zh-CN" w:bidi="ar-SA"/>
                                    </w:rPr>
                                    <w:t>地下水环境评价范围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75pt;margin-top:327.5pt;height:41.55pt;width:98.95pt;z-index:251673600;mso-width-relative:page;mso-height-relative:page;" fillcolor="#FFFFFF [3201]" filled="t" stroked="t" coordsize="21600,21600" o:gfxdata="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biGQ&#10;2AAAAAsBAAAPAAAAAAAAAAEAIAAAACIAAABkcnMvZG93bnJldi54bWxQSwECFAAUAAAACACHTuJA&#10;L5XXTVoCAAC5BAAADgAAAAAAAAABACAAAAAnAQAAZHJzL2Uyb0RvYy54bWxQSwUGAAAAAAYABgBZ&#10;AQAA8wUAAAAA&#10;">
                      <v:fill on="t" focussize="0,0"/>
                      <v:stroke weight="0.5pt" color="#000000 [3204]" joinstyle="round"/>
                      <v:imagedata o:title=""/>
                      <o:lock v:ext="edit" aspectratio="f"/>
                      <v:textbox>
                        <w:txbxContent>
                          <w:p w14:paraId="5489ABE1">
                            <w:pPr>
                              <w:jc w:val="right"/>
                              <w:rPr>
                                <w:rFonts w:hint="eastAsia"/>
                                <w:sz w:val="18"/>
                                <w:szCs w:val="18"/>
                                <w:lang w:val="en-US" w:eastAsia="zh-CN"/>
                              </w:rPr>
                            </w:pPr>
                            <w:r>
                              <w:rPr>
                                <w:rFonts w:hint="eastAsia"/>
                                <w:sz w:val="18"/>
                                <w:szCs w:val="18"/>
                                <w:lang w:val="en-US" w:eastAsia="zh-CN"/>
                              </w:rPr>
                              <w:t>厂界</w:t>
                            </w:r>
                          </w:p>
                          <w:p w14:paraId="4BC3B4BC">
                            <w:pPr>
                              <w:jc w:val="right"/>
                              <w:rPr>
                                <w:rFonts w:hint="eastAsia"/>
                                <w:sz w:val="18"/>
                                <w:szCs w:val="18"/>
                                <w:lang w:val="en-US" w:eastAsia="zh-CN"/>
                              </w:rPr>
                            </w:pPr>
                          </w:p>
                          <w:p w14:paraId="1E3901D8">
                            <w:pPr>
                              <w:jc w:val="right"/>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6"/>
                                <w:szCs w:val="16"/>
                                <w:lang w:val="en-US" w:eastAsia="zh-CN" w:bidi="ar-SA"/>
                              </w:rPr>
                              <w:t>地下水环境评价范围</w:t>
                            </w:r>
                          </w:p>
                        </w:txbxContent>
                      </v:textbox>
                    </v:shape>
                  </w:pict>
                </mc:Fallback>
              </mc:AlternateContent>
            </w:r>
            <w:r>
              <w:rPr>
                <w:rFonts w:hint="default"/>
              </w:rPr>
              <w:drawing>
                <wp:inline distT="0" distB="0" distL="114300" distR="114300">
                  <wp:extent cx="5071745" cy="4679950"/>
                  <wp:effectExtent l="0" t="0" r="14605" b="6350"/>
                  <wp:docPr id="8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pic:cNvPicPr>
                            <a:picLocks noChangeAspect="1"/>
                          </pic:cNvPicPr>
                        </pic:nvPicPr>
                        <pic:blipFill>
                          <a:blip r:embed="rId20"/>
                          <a:stretch>
                            <a:fillRect/>
                          </a:stretch>
                        </pic:blipFill>
                        <pic:spPr>
                          <a:xfrm>
                            <a:off x="0" y="0"/>
                            <a:ext cx="5071745" cy="4679950"/>
                          </a:xfrm>
                          <a:prstGeom prst="rect">
                            <a:avLst/>
                          </a:prstGeom>
                          <a:noFill/>
                          <a:ln>
                            <a:noFill/>
                          </a:ln>
                        </pic:spPr>
                      </pic:pic>
                    </a:graphicData>
                  </a:graphic>
                </wp:inline>
              </w:drawing>
            </w:r>
            <w:r>
              <w:rPr>
                <w:rFonts w:hint="eastAsia" w:ascii="宋体" w:hAnsi="宋体" w:eastAsia="宋体" w:cs="宋体"/>
                <w:b/>
                <w:bCs/>
                <w:color w:val="auto"/>
                <w:sz w:val="24"/>
                <w:szCs w:val="24"/>
                <w:highlight w:val="none"/>
                <w:lang w:eastAsia="zh-CN"/>
              </w:rPr>
              <w:drawing>
                <wp:anchor distT="0" distB="0" distL="114300" distR="114300" simplePos="0" relativeHeight="251672576" behindDoc="0" locked="0" layoutInCell="1" allowOverlap="1">
                  <wp:simplePos x="0" y="0"/>
                  <wp:positionH relativeFrom="column">
                    <wp:posOffset>5042535</wp:posOffset>
                  </wp:positionH>
                  <wp:positionV relativeFrom="paragraph">
                    <wp:posOffset>14605</wp:posOffset>
                  </wp:positionV>
                  <wp:extent cx="353695" cy="353695"/>
                  <wp:effectExtent l="0" t="0" r="8255" b="8255"/>
                  <wp:wrapNone/>
                  <wp:docPr id="26" name="图片 26" descr="指北针小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指北针小图标"/>
                          <pic:cNvPicPr>
                            <a:picLocks noChangeAspect="1"/>
                          </pic:cNvPicPr>
                        </pic:nvPicPr>
                        <pic:blipFill>
                          <a:blip r:embed="rId17"/>
                          <a:stretch>
                            <a:fillRect/>
                          </a:stretch>
                        </pic:blipFill>
                        <pic:spPr>
                          <a:xfrm>
                            <a:off x="0" y="0"/>
                            <a:ext cx="353695" cy="353695"/>
                          </a:xfrm>
                          <a:prstGeom prst="rect">
                            <a:avLst/>
                          </a:prstGeom>
                        </pic:spPr>
                      </pic:pic>
                    </a:graphicData>
                  </a:graphic>
                </wp:anchor>
              </w:drawing>
            </w:r>
          </w:p>
          <w:p w14:paraId="26CBE9D2">
            <w:pPr>
              <w:pStyle w:val="42"/>
              <w:keepNext w:val="0"/>
              <w:keepLines w:val="0"/>
              <w:suppressLineNumbers w:val="0"/>
              <w:bidi w:val="0"/>
              <w:spacing w:before="0" w:beforeAutospacing="0" w:after="0" w:afterAutospacing="0"/>
              <w:ind w:left="0" w:right="0"/>
              <w:jc w:val="center"/>
              <w:rPr>
                <w:rFonts w:hint="default" w:eastAsia="宋体"/>
                <w:b/>
                <w:bCs/>
                <w:color w:val="auto"/>
                <w:highlight w:val="none"/>
                <w:lang w:val="en-US" w:eastAsia="zh-CN"/>
              </w:rPr>
            </w:pPr>
            <w:r>
              <w:rPr>
                <w:rFonts w:hint="eastAsia"/>
                <w:b/>
                <w:bCs/>
                <w:color w:val="auto"/>
                <w:highlight w:val="none"/>
                <w:lang w:val="en-US" w:eastAsia="zh-CN"/>
              </w:rPr>
              <w:t>图3-3地下水环境500m评价范围</w:t>
            </w:r>
          </w:p>
          <w:p w14:paraId="4EC360A8">
            <w:pPr>
              <w:pStyle w:val="42"/>
              <w:keepNext w:val="0"/>
              <w:keepLines w:val="0"/>
              <w:pageBreakBefore w:val="0"/>
              <w:suppressLineNumbers w:val="0"/>
              <w:kinsoku/>
              <w:wordWrap/>
              <w:bidi w:val="0"/>
              <w:adjustRightInd w:val="0"/>
              <w:snapToGrid w:val="0"/>
              <w:spacing w:before="0" w:beforeAutospacing="0" w:after="0" w:afterAutospacing="0"/>
              <w:ind w:left="0" w:right="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现场勘查</w:t>
            </w:r>
            <w:r>
              <w:rPr>
                <w:rFonts w:hint="default" w:ascii="Times New Roman" w:hAnsi="Times New Roman" w:cs="Times New Roman"/>
                <w:color w:val="auto"/>
                <w:highlight w:val="none"/>
              </w:rPr>
              <w:t>，项目厂界外500米范围内无地下水集中式饮用水水源和热水、矿泉水、温泉等特殊地下水资源。</w:t>
            </w:r>
          </w:p>
          <w:p w14:paraId="4414E126">
            <w:pPr>
              <w:pStyle w:val="44"/>
              <w:keepNext w:val="0"/>
              <w:keepLines w:val="0"/>
              <w:pageBreakBefore w:val="0"/>
              <w:suppressLineNumbers w:val="0"/>
              <w:kinsoku/>
              <w:wordWrap/>
              <w:bidi w:val="0"/>
              <w:adjustRightInd w:val="0"/>
              <w:snapToGrid w:val="0"/>
              <w:spacing w:before="0" w:beforeAutospacing="0" w:after="0" w:afterAutospacing="0"/>
              <w:ind w:left="0" w:right="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4、生态环境</w:t>
            </w:r>
          </w:p>
          <w:p w14:paraId="1A004F5E">
            <w:pPr>
              <w:pStyle w:val="42"/>
              <w:keepNext w:val="0"/>
              <w:keepLines w:val="0"/>
              <w:pageBreakBefore w:val="0"/>
              <w:suppressLineNumbers w:val="0"/>
              <w:kinsoku/>
              <w:wordWrap/>
              <w:bidi w:val="0"/>
              <w:adjustRightInd w:val="0"/>
              <w:snapToGrid w:val="0"/>
              <w:spacing w:before="0" w:beforeAutospacing="0" w:after="0" w:afterAutospacing="0"/>
              <w:ind w:left="0" w:right="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根据现场勘查，</w:t>
            </w:r>
            <w:r>
              <w:rPr>
                <w:rFonts w:hint="default" w:ascii="Times New Roman" w:hAnsi="Times New Roman" w:cs="Times New Roman"/>
                <w:color w:val="auto"/>
                <w:highlight w:val="none"/>
              </w:rPr>
              <w:t>项目所在区域范围内无古稀树木及珍稀保护类植物；树木、草丛中已无大型哺乳动物，仅有鸟类、鼠类、蛇类、蛙类及昆虫类小型动物；区域内无珍稀</w:t>
            </w:r>
            <w:r>
              <w:rPr>
                <w:rFonts w:hint="default" w:ascii="Times New Roman" w:hAnsi="Times New Roman" w:cs="Times New Roman"/>
                <w:color w:val="auto"/>
                <w:highlight w:val="none"/>
                <w:lang w:eastAsia="zh-CN"/>
              </w:rPr>
              <w:t>动物</w:t>
            </w:r>
            <w:r>
              <w:rPr>
                <w:rFonts w:hint="default" w:ascii="Times New Roman" w:hAnsi="Times New Roman" w:cs="Times New Roman"/>
                <w:color w:val="auto"/>
                <w:highlight w:val="none"/>
              </w:rPr>
              <w:t>、植物，也无珍稀树木和保护树种。因此，区域生态系统敏感程度低。项目区域范围内无野生珍稀动植物分布，不在自然保护区、森林公园和风景名胜区范围内，故项目所在区域生态环境质量一般。</w:t>
            </w:r>
          </w:p>
          <w:p w14:paraId="0A258EC6">
            <w:pPr>
              <w:pStyle w:val="42"/>
              <w:keepNext w:val="0"/>
              <w:keepLines w:val="0"/>
              <w:pageBreakBefore w:val="0"/>
              <w:suppressLineNumbers w:val="0"/>
              <w:kinsoku/>
              <w:wordWrap/>
              <w:bidi w:val="0"/>
              <w:adjustRightInd w:val="0"/>
              <w:snapToGrid w:val="0"/>
              <w:spacing w:before="0" w:beforeAutospacing="0" w:after="0" w:afterAutospacing="0"/>
              <w:ind w:left="0" w:right="0"/>
              <w:jc w:val="both"/>
              <w:textAlignment w:val="auto"/>
              <w:rPr>
                <w:rFonts w:hint="eastAsia" w:cs="Times New Roman"/>
                <w:b/>
                <w:bCs/>
                <w:color w:val="auto"/>
                <w:highlight w:val="none"/>
                <w:lang w:val="en-US" w:eastAsia="zh-CN"/>
              </w:rPr>
            </w:pPr>
            <w:r>
              <w:rPr>
                <w:rFonts w:hint="eastAsia" w:cs="Times New Roman"/>
                <w:b/>
                <w:bCs/>
                <w:color w:val="auto"/>
                <w:highlight w:val="none"/>
                <w:lang w:val="en-US" w:eastAsia="zh-CN"/>
              </w:rPr>
              <w:t>5、地表水环境</w:t>
            </w:r>
          </w:p>
          <w:p w14:paraId="5234DA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auto"/>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根据现场勘查，</w:t>
            </w:r>
            <w:r>
              <w:rPr>
                <w:rFonts w:hint="default" w:ascii="Times New Roman" w:hAnsi="Times New Roman" w:cs="Times New Roman"/>
                <w:color w:val="auto"/>
                <w:highlight w:val="none"/>
              </w:rPr>
              <w:t>项目厂界外500米范围内</w:t>
            </w:r>
            <w:r>
              <w:rPr>
                <w:rFonts w:hint="eastAsia" w:cs="Times New Roman"/>
                <w:color w:val="auto"/>
                <w:highlight w:val="none"/>
                <w:lang w:val="en-US" w:eastAsia="zh-CN"/>
              </w:rPr>
              <w:t>无</w:t>
            </w:r>
            <w:r>
              <w:rPr>
                <w:rFonts w:hint="eastAsia" w:ascii="Times New Roman" w:hAnsi="Times New Roman" w:eastAsia="宋体" w:cs="Times New Roman"/>
                <w:color w:val="auto"/>
                <w:kern w:val="0"/>
                <w:sz w:val="24"/>
                <w:szCs w:val="24"/>
                <w:highlight w:val="none"/>
                <w:lang w:val="en-US" w:eastAsia="zh-CN" w:bidi="ar"/>
              </w:rPr>
              <w:t>地表水保护目标。</w:t>
            </w:r>
          </w:p>
          <w:p w14:paraId="5AD314CA">
            <w:pPr>
              <w:pStyle w:val="44"/>
              <w:keepNext w:val="0"/>
              <w:keepLines w:val="0"/>
              <w:pageBreakBefore w:val="0"/>
              <w:suppressLineNumbers w:val="0"/>
              <w:kinsoku/>
              <w:wordWrap/>
              <w:bidi w:val="0"/>
              <w:adjustRightInd w:val="0"/>
              <w:snapToGrid w:val="0"/>
              <w:spacing w:before="0" w:beforeAutospacing="0" w:after="0" w:afterAutospacing="0"/>
              <w:ind w:left="0" w:right="0"/>
              <w:jc w:val="center"/>
              <w:textAlignment w:val="auto"/>
              <w:rPr>
                <w:rFonts w:hint="default"/>
                <w:color w:val="auto"/>
                <w:highlight w:val="none"/>
              </w:rPr>
            </w:pPr>
            <w:r>
              <w:rPr>
                <w:rFonts w:hint="default"/>
                <w:color w:val="auto"/>
                <w:sz w:val="24"/>
                <w:highlight w:val="none"/>
              </w:rPr>
              <mc:AlternateContent>
                <mc:Choice Requires="wps">
                  <w:drawing>
                    <wp:anchor distT="0" distB="0" distL="114300" distR="114300" simplePos="0" relativeHeight="251679744" behindDoc="0" locked="0" layoutInCell="1" allowOverlap="1">
                      <wp:simplePos x="0" y="0"/>
                      <wp:positionH relativeFrom="column">
                        <wp:posOffset>4351020</wp:posOffset>
                      </wp:positionH>
                      <wp:positionV relativeFrom="paragraph">
                        <wp:posOffset>4457065</wp:posOffset>
                      </wp:positionV>
                      <wp:extent cx="200660" cy="120650"/>
                      <wp:effectExtent l="12700" t="12700" r="15240" b="19050"/>
                      <wp:wrapNone/>
                      <wp:docPr id="38" name="矩形 38"/>
                      <wp:cNvGraphicFramePr/>
                      <a:graphic xmlns:a="http://schemas.openxmlformats.org/drawingml/2006/main">
                        <a:graphicData uri="http://schemas.microsoft.com/office/word/2010/wordprocessingShape">
                          <wps:wsp>
                            <wps:cNvSpPr/>
                            <wps:spPr>
                              <a:xfrm>
                                <a:off x="0" y="0"/>
                                <a:ext cx="200660" cy="120650"/>
                              </a:xfrm>
                              <a:prstGeom prst="rect">
                                <a:avLst/>
                              </a:prstGeom>
                              <a:noFill/>
                              <a:ln>
                                <a:solidFill>
                                  <a:srgbClr val="2424EA"/>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2.6pt;margin-top:350.95pt;height:9.5pt;width:15.8pt;z-index:251679744;v-text-anchor:middle;mso-width-relative:page;mso-height-relative:page;" filled="f" stroked="t" coordsize="21600,21600" o:gfxdata="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CEHYktkAAAALAQAADwAAAAAAAAABACAAAAAiAAAAZHJzL2Rvd25yZXYueG1sUEsBAhQAFAAAAAgA&#10;h07iQDwRbz1dAgAAtQQAAA4AAAAAAAAAAQAgAAAAKAEAAGRycy9lMm9Eb2MueG1sUEsFBgAAAAAG&#10;AAYAWQEAAPcFAAAAAA==&#10;">
                      <v:fill on="f" focussize="0,0"/>
                      <v:stroke weight="2pt" color="#2424EA [2404]" joinstyle="round"/>
                      <v:imagedata o:title=""/>
                      <o:lock v:ext="edit" aspectratio="f"/>
                    </v:rect>
                  </w:pict>
                </mc:Fallback>
              </mc:AlternateContent>
            </w:r>
            <w:r>
              <w:rPr>
                <w:rFonts w:hint="default"/>
                <w:color w:val="auto"/>
                <w:sz w:val="24"/>
                <w:highlight w:val="none"/>
              </w:rPr>
              <mc:AlternateContent>
                <mc:Choice Requires="wps">
                  <w:drawing>
                    <wp:anchor distT="0" distB="0" distL="114300" distR="114300" simplePos="0" relativeHeight="251678720" behindDoc="0" locked="0" layoutInCell="1" allowOverlap="1">
                      <wp:simplePos x="0" y="0"/>
                      <wp:positionH relativeFrom="column">
                        <wp:posOffset>4345940</wp:posOffset>
                      </wp:positionH>
                      <wp:positionV relativeFrom="paragraph">
                        <wp:posOffset>4174490</wp:posOffset>
                      </wp:positionV>
                      <wp:extent cx="200660" cy="120650"/>
                      <wp:effectExtent l="12700" t="12700" r="15240" b="19050"/>
                      <wp:wrapNone/>
                      <wp:docPr id="39" name="矩形 39"/>
                      <wp:cNvGraphicFramePr/>
                      <a:graphic xmlns:a="http://schemas.openxmlformats.org/drawingml/2006/main">
                        <a:graphicData uri="http://schemas.microsoft.com/office/word/2010/wordprocessingShape">
                          <wps:wsp>
                            <wps:cNvSpPr/>
                            <wps:spPr>
                              <a:xfrm>
                                <a:off x="0" y="0"/>
                                <a:ext cx="200660" cy="12065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2.2pt;margin-top:328.7pt;height:9.5pt;width:15.8pt;z-index:251678720;v-text-anchor:middle;mso-width-relative:page;mso-height-relative:page;" filled="f" stroked="t" coordsize="21600,21600" o:gfxdata="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L&#10;oY/YAAAACwEAAA8AAAAAAAAAAQAgAAAAIgAAAGRycy9kb3ducmV2LnhtbFBLAQIUABQAAAAIAIdO&#10;4kDmRmoXXAIAALUEAAAOAAAAAAAAAAEAIAAAACcBAABkcnMvZTJvRG9jLnhtbFBLBQYAAAAABgAG&#10;AFkBAAD1BQAAAAA=&#10;">
                      <v:fill on="f" focussize="0,0"/>
                      <v:stroke weight="2pt" color="#FF0000 [2404]" joinstyle="round"/>
                      <v:imagedata o:title=""/>
                      <o:lock v:ext="edit" aspectratio="f"/>
                    </v:rect>
                  </w:pict>
                </mc:Fallback>
              </mc:AlternateContent>
            </w:r>
            <w:r>
              <w:rPr>
                <w:rFonts w:hint="default"/>
                <w:color w:val="auto"/>
                <w:sz w:val="24"/>
                <w:highlight w:val="none"/>
              </w:rPr>
              <mc:AlternateContent>
                <mc:Choice Requires="wps">
                  <w:drawing>
                    <wp:anchor distT="0" distB="0" distL="114300" distR="114300" simplePos="0" relativeHeight="251677696" behindDoc="0" locked="0" layoutInCell="1" allowOverlap="1">
                      <wp:simplePos x="0" y="0"/>
                      <wp:positionH relativeFrom="column">
                        <wp:posOffset>4300220</wp:posOffset>
                      </wp:positionH>
                      <wp:positionV relativeFrom="paragraph">
                        <wp:posOffset>4140835</wp:posOffset>
                      </wp:positionV>
                      <wp:extent cx="1256665" cy="527685"/>
                      <wp:effectExtent l="4445" t="4445" r="15240" b="20320"/>
                      <wp:wrapNone/>
                      <wp:docPr id="40" name="文本框 40"/>
                      <wp:cNvGraphicFramePr/>
                      <a:graphic xmlns:a="http://schemas.openxmlformats.org/drawingml/2006/main">
                        <a:graphicData uri="http://schemas.microsoft.com/office/word/2010/wordprocessingShape">
                          <wps:wsp>
                            <wps:cNvSpPr txBox="1"/>
                            <wps:spPr>
                              <a:xfrm>
                                <a:off x="0" y="0"/>
                                <a:ext cx="1256665" cy="527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61B6C0">
                                  <w:pPr>
                                    <w:jc w:val="right"/>
                                    <w:rPr>
                                      <w:rFonts w:hint="eastAsia"/>
                                      <w:sz w:val="18"/>
                                      <w:szCs w:val="18"/>
                                      <w:lang w:val="en-US" w:eastAsia="zh-CN"/>
                                    </w:rPr>
                                  </w:pPr>
                                  <w:r>
                                    <w:rPr>
                                      <w:rFonts w:hint="eastAsia"/>
                                      <w:sz w:val="18"/>
                                      <w:szCs w:val="18"/>
                                      <w:lang w:val="en-US" w:eastAsia="zh-CN"/>
                                    </w:rPr>
                                    <w:t>厂界</w:t>
                                  </w:r>
                                </w:p>
                                <w:p w14:paraId="4B991C77">
                                  <w:pPr>
                                    <w:jc w:val="right"/>
                                    <w:rPr>
                                      <w:rFonts w:hint="eastAsia"/>
                                      <w:sz w:val="18"/>
                                      <w:szCs w:val="18"/>
                                      <w:lang w:val="en-US" w:eastAsia="zh-CN"/>
                                    </w:rPr>
                                  </w:pPr>
                                </w:p>
                                <w:p w14:paraId="653BC750">
                                  <w:pPr>
                                    <w:jc w:val="right"/>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6"/>
                                      <w:szCs w:val="16"/>
                                      <w:lang w:val="en-US" w:eastAsia="zh-CN" w:bidi="ar-SA"/>
                                    </w:rPr>
                                    <w:t>地表水环境评价范围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6pt;margin-top:326.05pt;height:41.55pt;width:98.95pt;z-index:251677696;mso-width-relative:page;mso-height-relative:page;" fillcolor="#FFFFFF [3201]" filled="t" stroked="t" coordsize="21600,21600" o:gfxdata="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LXfY9cA&#10;AAALAQAADwAAAAAAAAABACAAAAAiAAAAZHJzL2Rvd25yZXYueG1sUEsBAhQAFAAAAAgAh07iQG9K&#10;mk5ZAgAAuQQAAA4AAAAAAAAAAQAgAAAAJgEAAGRycy9lMm9Eb2MueG1sUEsFBgAAAAAGAAYAWQEA&#10;APEFAAAAAA==&#10;">
                      <v:fill on="t" focussize="0,0"/>
                      <v:stroke weight="0.5pt" color="#000000 [3204]" joinstyle="round"/>
                      <v:imagedata o:title=""/>
                      <o:lock v:ext="edit" aspectratio="f"/>
                      <v:textbox>
                        <w:txbxContent>
                          <w:p w14:paraId="7361B6C0">
                            <w:pPr>
                              <w:jc w:val="right"/>
                              <w:rPr>
                                <w:rFonts w:hint="eastAsia"/>
                                <w:sz w:val="18"/>
                                <w:szCs w:val="18"/>
                                <w:lang w:val="en-US" w:eastAsia="zh-CN"/>
                              </w:rPr>
                            </w:pPr>
                            <w:r>
                              <w:rPr>
                                <w:rFonts w:hint="eastAsia"/>
                                <w:sz w:val="18"/>
                                <w:szCs w:val="18"/>
                                <w:lang w:val="en-US" w:eastAsia="zh-CN"/>
                              </w:rPr>
                              <w:t>厂界</w:t>
                            </w:r>
                          </w:p>
                          <w:p w14:paraId="4B991C77">
                            <w:pPr>
                              <w:jc w:val="right"/>
                              <w:rPr>
                                <w:rFonts w:hint="eastAsia"/>
                                <w:sz w:val="18"/>
                                <w:szCs w:val="18"/>
                                <w:lang w:val="en-US" w:eastAsia="zh-CN"/>
                              </w:rPr>
                            </w:pPr>
                          </w:p>
                          <w:p w14:paraId="653BC750">
                            <w:pPr>
                              <w:jc w:val="right"/>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6"/>
                                <w:szCs w:val="16"/>
                                <w:lang w:val="en-US" w:eastAsia="zh-CN" w:bidi="ar-SA"/>
                              </w:rPr>
                              <w:t>地表水环境评价范围</w:t>
                            </w:r>
                          </w:p>
                        </w:txbxContent>
                      </v:textbox>
                    </v:shape>
                  </w:pict>
                </mc:Fallback>
              </mc:AlternateContent>
            </w:r>
            <w:r>
              <w:rPr>
                <w:rFonts w:hint="eastAsia" w:ascii="宋体" w:hAnsi="宋体" w:eastAsia="宋体" w:cs="宋体"/>
                <w:b/>
                <w:bCs/>
                <w:color w:val="auto"/>
                <w:sz w:val="24"/>
                <w:szCs w:val="24"/>
                <w:highlight w:val="none"/>
                <w:lang w:eastAsia="zh-CN"/>
              </w:rPr>
              <w:drawing>
                <wp:anchor distT="0" distB="0" distL="114300" distR="114300" simplePos="0" relativeHeight="251676672" behindDoc="0" locked="0" layoutInCell="1" allowOverlap="1">
                  <wp:simplePos x="0" y="0"/>
                  <wp:positionH relativeFrom="column">
                    <wp:posOffset>5042535</wp:posOffset>
                  </wp:positionH>
                  <wp:positionV relativeFrom="paragraph">
                    <wp:posOffset>14605</wp:posOffset>
                  </wp:positionV>
                  <wp:extent cx="353695" cy="353695"/>
                  <wp:effectExtent l="0" t="0" r="8255" b="8255"/>
                  <wp:wrapNone/>
                  <wp:docPr id="37" name="图片 37" descr="指北针小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指北针小图标"/>
                          <pic:cNvPicPr>
                            <a:picLocks noChangeAspect="1"/>
                          </pic:cNvPicPr>
                        </pic:nvPicPr>
                        <pic:blipFill>
                          <a:blip r:embed="rId17"/>
                          <a:stretch>
                            <a:fillRect/>
                          </a:stretch>
                        </pic:blipFill>
                        <pic:spPr>
                          <a:xfrm>
                            <a:off x="0" y="0"/>
                            <a:ext cx="353695" cy="353695"/>
                          </a:xfrm>
                          <a:prstGeom prst="rect">
                            <a:avLst/>
                          </a:prstGeom>
                        </pic:spPr>
                      </pic:pic>
                    </a:graphicData>
                  </a:graphic>
                </wp:anchor>
              </w:drawing>
            </w:r>
            <w:r>
              <w:rPr>
                <w:rFonts w:hint="default"/>
                <w:sz w:val="24"/>
              </w:rPr>
              <mc:AlternateContent>
                <mc:Choice Requires="wps">
                  <w:drawing>
                    <wp:anchor distT="0" distB="0" distL="114300" distR="114300" simplePos="0" relativeHeight="251698176" behindDoc="0" locked="0" layoutInCell="1" allowOverlap="1">
                      <wp:simplePos x="0" y="0"/>
                      <wp:positionH relativeFrom="column">
                        <wp:posOffset>3275330</wp:posOffset>
                      </wp:positionH>
                      <wp:positionV relativeFrom="paragraph">
                        <wp:posOffset>1729105</wp:posOffset>
                      </wp:positionV>
                      <wp:extent cx="914400" cy="914400"/>
                      <wp:effectExtent l="0" t="0" r="0" b="0"/>
                      <wp:wrapNone/>
                      <wp:docPr id="68" name="文本框 68"/>
                      <wp:cNvGraphicFramePr/>
                      <a:graphic xmlns:a="http://schemas.openxmlformats.org/drawingml/2006/main">
                        <a:graphicData uri="http://schemas.microsoft.com/office/word/2010/wordprocessingShape">
                          <wps:wsp>
                            <wps:cNvSpPr txBox="1"/>
                            <wps:spPr>
                              <a:xfrm>
                                <a:off x="4324350" y="2455545"/>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57C3C">
                                  <w:pPr>
                                    <w:rPr>
                                      <w:rFonts w:hint="default" w:eastAsia="宋体"/>
                                      <w:color w:val="FF0000"/>
                                      <w:highlight w:val="none"/>
                                      <w:lang w:val="en-US" w:eastAsia="zh-CN"/>
                                    </w:rPr>
                                  </w:pPr>
                                  <w:r>
                                    <w:rPr>
                                      <w:rFonts w:hint="eastAsia" w:ascii="Times New Roman" w:eastAsia="宋体"/>
                                      <w:color w:val="FF0000"/>
                                      <w:highlight w:val="none"/>
                                      <w:lang w:val="en-US" w:eastAsia="zh-CN"/>
                                    </w:rPr>
                                    <w:t>500m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9pt;margin-top:136.15pt;height:72pt;width:72pt;z-index:251698176;mso-width-relative:page;mso-height-relative:page;" filled="f" stroked="f" coordsize="21600,21600" o:gfxdata="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Mfg9twAAAALAQAADwAAAAAAAAAB&#10;ACAAAAAiAAAAZHJzL2Rvd25yZXYueG1sUEsBAhQAFAAAAAgAh07iQG8hHFxFAgAAgQQAAA4AAAAA&#10;AAAAAQAgAAAAKwEAAGRycy9lMm9Eb2MueG1sUEsFBgAAAAAGAAYAWQEAAOIFAAAAAA==&#10;">
                      <v:fill on="f" focussize="0,0"/>
                      <v:stroke on="f" weight="0.5pt"/>
                      <v:imagedata o:title=""/>
                      <o:lock v:ext="edit" aspectratio="f"/>
                      <v:textbox>
                        <w:txbxContent>
                          <w:p w14:paraId="5AC57C3C">
                            <w:pPr>
                              <w:rPr>
                                <w:rFonts w:hint="default" w:eastAsia="宋体"/>
                                <w:color w:val="FF0000"/>
                                <w:highlight w:val="none"/>
                                <w:lang w:val="en-US" w:eastAsia="zh-CN"/>
                              </w:rPr>
                            </w:pPr>
                            <w:r>
                              <w:rPr>
                                <w:rFonts w:hint="eastAsia" w:ascii="Times New Roman" w:eastAsia="宋体"/>
                                <w:color w:val="FF0000"/>
                                <w:highlight w:val="none"/>
                                <w:lang w:val="en-US" w:eastAsia="zh-CN"/>
                              </w:rPr>
                              <w:t>500m</w:t>
                            </w:r>
                          </w:p>
                        </w:txbxContent>
                      </v:textbox>
                    </v:shape>
                  </w:pict>
                </mc:Fallback>
              </mc:AlternateContent>
            </w:r>
            <w:r>
              <w:rPr>
                <w:rFonts w:hint="default"/>
                <w:sz w:val="24"/>
              </w:rPr>
              <mc:AlternateContent>
                <mc:Choice Requires="wps">
                  <w:drawing>
                    <wp:anchor distT="0" distB="0" distL="114300" distR="114300" simplePos="0" relativeHeight="251697152" behindDoc="0" locked="0" layoutInCell="1" allowOverlap="1">
                      <wp:simplePos x="0" y="0"/>
                      <wp:positionH relativeFrom="column">
                        <wp:posOffset>3067685</wp:posOffset>
                      </wp:positionH>
                      <wp:positionV relativeFrom="paragraph">
                        <wp:posOffset>2014220</wp:posOffset>
                      </wp:positionV>
                      <wp:extent cx="1567815" cy="11430"/>
                      <wp:effectExtent l="0" t="56515" r="13335" b="65405"/>
                      <wp:wrapNone/>
                      <wp:docPr id="73" name="直接箭头连接符 73"/>
                      <wp:cNvGraphicFramePr/>
                      <a:graphic xmlns:a="http://schemas.openxmlformats.org/drawingml/2006/main">
                        <a:graphicData uri="http://schemas.microsoft.com/office/word/2010/wordprocessingShape">
                          <wps:wsp>
                            <wps:cNvCnPr/>
                            <wps:spPr>
                              <a:xfrm>
                                <a:off x="4116705" y="2740660"/>
                                <a:ext cx="1567815" cy="11430"/>
                              </a:xfrm>
                              <a:prstGeom prst="straightConnector1">
                                <a:avLst/>
                              </a:prstGeom>
                              <a:noFill/>
                              <a:ln w="25400" cap="flat" cmpd="sng" algn="ctr">
                                <a:solidFill>
                                  <a:srgbClr val="FF0000"/>
                                </a:solidFill>
                                <a:prstDash val="solid"/>
                                <a:headEnd type="arrow"/>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1.55pt;margin-top:158.6pt;height:0.9pt;width:123.45pt;z-index:251697152;mso-width-relative:page;mso-height-relative:page;" filled="f" stroked="t" coordsize="21600,21600" o:gfxdata="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MaHIdoAAAAL&#10;AQAADwAAAAAAAAABACAAAAAiAAAAZHJzL2Rvd25yZXYueG1sUEsBAhQAFAAAAAgAh07iQL6EbBEa&#10;AgAAAQQAAA4AAAAAAAAAAQAgAAAAKQEAAGRycy9lMm9Eb2MueG1sUEsFBgAAAAAGAAYAWQEAALUF&#10;AAAAAA==&#10;">
                      <v:fill on="f" focussize="0,0"/>
                      <v:stroke weight="2pt" color="#FF0000 [3204]" joinstyle="round" startarrow="open" endarrow="open"/>
                      <v:imagedata o:title=""/>
                      <o:lock v:ext="edit" aspectratio="f"/>
                    </v:shape>
                  </w:pict>
                </mc:Fallback>
              </mc:AlternateContent>
            </w:r>
            <w:r>
              <w:rPr>
                <w:rFonts w:hint="default"/>
              </w:rPr>
              <w:drawing>
                <wp:inline distT="0" distB="0" distL="114300" distR="114300">
                  <wp:extent cx="5071745" cy="4679950"/>
                  <wp:effectExtent l="0" t="0" r="14605" b="6350"/>
                  <wp:docPr id="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
                          <pic:cNvPicPr>
                            <a:picLocks noChangeAspect="1"/>
                          </pic:cNvPicPr>
                        </pic:nvPicPr>
                        <pic:blipFill>
                          <a:blip r:embed="rId20"/>
                          <a:stretch>
                            <a:fillRect/>
                          </a:stretch>
                        </pic:blipFill>
                        <pic:spPr>
                          <a:xfrm>
                            <a:off x="0" y="0"/>
                            <a:ext cx="5071745" cy="4679950"/>
                          </a:xfrm>
                          <a:prstGeom prst="rect">
                            <a:avLst/>
                          </a:prstGeom>
                          <a:noFill/>
                          <a:ln>
                            <a:noFill/>
                          </a:ln>
                        </pic:spPr>
                      </pic:pic>
                    </a:graphicData>
                  </a:graphic>
                </wp:inline>
              </w:drawing>
            </w:r>
          </w:p>
          <w:p w14:paraId="15AF8381">
            <w:pPr>
              <w:pStyle w:val="42"/>
              <w:keepNext w:val="0"/>
              <w:keepLines w:val="0"/>
              <w:suppressLineNumbers w:val="0"/>
              <w:bidi w:val="0"/>
              <w:spacing w:before="0" w:beforeAutospacing="0" w:after="0" w:afterAutospacing="0"/>
              <w:ind w:left="0" w:right="0"/>
              <w:jc w:val="center"/>
              <w:rPr>
                <w:rFonts w:hint="default" w:cs="Times New Roman"/>
                <w:color w:val="auto"/>
                <w:highlight w:val="none"/>
                <w:lang w:val="en-US" w:eastAsia="zh-CN"/>
              </w:rPr>
            </w:pPr>
            <w:r>
              <w:rPr>
                <w:rFonts w:hint="eastAsia"/>
                <w:b/>
                <w:bCs/>
                <w:color w:val="auto"/>
                <w:highlight w:val="none"/>
                <w:lang w:val="en-US" w:eastAsia="zh-CN"/>
              </w:rPr>
              <w:t>图3-4地表水环境500m评价范围</w:t>
            </w:r>
          </w:p>
        </w:tc>
      </w:tr>
      <w:tr w14:paraId="55AA1E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80" w:type="dxa"/>
            <w:noWrap w:val="0"/>
            <w:tcMar>
              <w:left w:w="28" w:type="dxa"/>
              <w:right w:w="28" w:type="dxa"/>
            </w:tcMar>
            <w:vAlign w:val="center"/>
          </w:tcPr>
          <w:p w14:paraId="7C1BE17E">
            <w:pPr>
              <w:pStyle w:val="44"/>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污染</w:t>
            </w:r>
          </w:p>
          <w:p w14:paraId="16B02824">
            <w:pPr>
              <w:pStyle w:val="44"/>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物排</w:t>
            </w:r>
          </w:p>
          <w:p w14:paraId="5DDE337B">
            <w:pPr>
              <w:pStyle w:val="44"/>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放控</w:t>
            </w:r>
          </w:p>
          <w:p w14:paraId="22FDCDE2">
            <w:pPr>
              <w:pStyle w:val="44"/>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制标</w:t>
            </w:r>
          </w:p>
          <w:p w14:paraId="1E7D65FA">
            <w:pPr>
              <w:pStyle w:val="44"/>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准</w:t>
            </w:r>
          </w:p>
        </w:tc>
        <w:tc>
          <w:tcPr>
            <w:tcW w:w="9071" w:type="dxa"/>
            <w:noWrap w:val="0"/>
            <w:vAlign w:val="center"/>
          </w:tcPr>
          <w:p w14:paraId="6E3079E0">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1、废气排放标准</w:t>
            </w:r>
          </w:p>
          <w:p w14:paraId="1B25D6A5">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eastAsia"/>
                <w:snapToGrid w:val="0"/>
                <w:color w:val="auto"/>
                <w:spacing w:val="0"/>
                <w:sz w:val="24"/>
                <w:szCs w:val="24"/>
                <w:highlight w:val="none"/>
                <w:lang w:eastAsia="zh-CN"/>
              </w:rPr>
            </w:pPr>
            <w:r>
              <w:rPr>
                <w:rFonts w:hint="eastAsia" w:cs="Times New Roman"/>
                <w:color w:val="auto"/>
                <w:highlight w:val="none"/>
                <w:lang w:val="en-US" w:eastAsia="zh-CN"/>
              </w:rPr>
              <w:t>项目施工期产生的颗粒物执行安徽地标《施工场地颗粒物排放标准》（DB34/4811-2024）表1中要求。</w:t>
            </w:r>
          </w:p>
          <w:p w14:paraId="3047190E">
            <w:pPr>
              <w:pStyle w:val="4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表3-</w:t>
            </w:r>
            <w:r>
              <w:rPr>
                <w:rFonts w:hint="eastAsia"/>
                <w:color w:val="auto"/>
                <w:highlight w:val="none"/>
                <w:lang w:val="en-US" w:eastAsia="zh-CN"/>
              </w:rPr>
              <w:t>5</w:t>
            </w:r>
            <w:r>
              <w:rPr>
                <w:rFonts w:hint="eastAsia" w:cs="Times New Roman"/>
                <w:color w:val="auto"/>
                <w:highlight w:val="none"/>
                <w:lang w:val="en-US" w:eastAsia="zh-CN"/>
              </w:rPr>
              <w:t>《施工场地颗粒物排放标准》（DB34/4811-2024）</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523"/>
              <w:gridCol w:w="1492"/>
              <w:gridCol w:w="2694"/>
              <w:gridCol w:w="3407"/>
            </w:tblGrid>
            <w:tr w14:paraId="69B49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35" w:type="pct"/>
                  <w:noWrap w:val="0"/>
                  <w:vAlign w:val="center"/>
                </w:tcPr>
                <w:p w14:paraId="298F3C68">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val="0"/>
                      <w:color w:val="auto"/>
                      <w:highlight w:val="none"/>
                    </w:rPr>
                  </w:pPr>
                  <w:r>
                    <w:rPr>
                      <w:rFonts w:hint="eastAsia" w:ascii="Times New Roman" w:hAnsi="Times New Roman" w:cs="Times New Roman"/>
                      <w:b w:val="0"/>
                      <w:bCs w:val="0"/>
                      <w:color w:val="auto"/>
                      <w:highlight w:val="none"/>
                      <w:lang w:val="en-US" w:eastAsia="zh-CN"/>
                    </w:rPr>
                    <w:t>控制</w:t>
                  </w:r>
                  <w:r>
                    <w:rPr>
                      <w:rFonts w:hint="default" w:ascii="Times New Roman" w:hAnsi="Times New Roman" w:cs="Times New Roman"/>
                      <w:b w:val="0"/>
                      <w:bCs w:val="0"/>
                      <w:color w:val="auto"/>
                      <w:highlight w:val="none"/>
                    </w:rPr>
                    <w:t>项目</w:t>
                  </w:r>
                </w:p>
              </w:tc>
              <w:tc>
                <w:tcPr>
                  <w:tcW w:w="818" w:type="pct"/>
                  <w:noWrap w:val="0"/>
                  <w:vAlign w:val="center"/>
                </w:tcPr>
                <w:p w14:paraId="0FB8F419">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eastAsia" w:ascii="Times New Roman" w:hAnsi="Times New Roman" w:eastAsia="宋体" w:cs="Times New Roman"/>
                      <w:b w:val="0"/>
                      <w:bCs w:val="0"/>
                      <w:color w:val="auto"/>
                      <w:highlight w:val="none"/>
                      <w:lang w:eastAsia="zh-CN"/>
                    </w:rPr>
                  </w:pPr>
                  <w:r>
                    <w:rPr>
                      <w:rFonts w:hint="eastAsia" w:ascii="Times New Roman" w:hAnsi="Times New Roman" w:cs="Times New Roman"/>
                      <w:b w:val="0"/>
                      <w:bCs w:val="0"/>
                      <w:color w:val="auto"/>
                      <w:highlight w:val="none"/>
                      <w:lang w:val="en-US" w:eastAsia="zh-CN"/>
                    </w:rPr>
                    <w:t>单位</w:t>
                  </w:r>
                </w:p>
              </w:tc>
              <w:tc>
                <w:tcPr>
                  <w:tcW w:w="1477" w:type="pct"/>
                  <w:noWrap w:val="0"/>
                  <w:vAlign w:val="center"/>
                </w:tcPr>
                <w:p w14:paraId="18E76C8D">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监测点浓度限值</w:t>
                  </w:r>
                </w:p>
              </w:tc>
              <w:tc>
                <w:tcPr>
                  <w:tcW w:w="1868" w:type="pct"/>
                  <w:noWrap w:val="0"/>
                  <w:vAlign w:val="center"/>
                </w:tcPr>
                <w:p w14:paraId="1D8327F6">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达标判定依据</w:t>
                  </w:r>
                </w:p>
              </w:tc>
            </w:tr>
            <w:tr w14:paraId="6F44C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35" w:type="pct"/>
                  <w:vMerge w:val="restart"/>
                  <w:noWrap w:val="0"/>
                  <w:vAlign w:val="center"/>
                </w:tcPr>
                <w:p w14:paraId="471798BC">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eastAsia"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TSP</w:t>
                  </w:r>
                </w:p>
              </w:tc>
              <w:tc>
                <w:tcPr>
                  <w:tcW w:w="818" w:type="pct"/>
                  <w:vMerge w:val="restart"/>
                  <w:noWrap w:val="0"/>
                  <w:vAlign w:val="center"/>
                </w:tcPr>
                <w:p w14:paraId="3EEEE881">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μ</w:t>
                  </w:r>
                  <w:r>
                    <w:rPr>
                      <w:rFonts w:hint="eastAsia" w:ascii="Times New Roman" w:hAnsi="Times New Roman" w:eastAsia="宋体" w:cs="Times New Roman"/>
                      <w:b w:val="0"/>
                      <w:bCs w:val="0"/>
                      <w:color w:val="auto"/>
                      <w:highlight w:val="none"/>
                      <w:lang w:val="en-US" w:eastAsia="zh-CN"/>
                    </w:rPr>
                    <w:t>g/m</w:t>
                  </w:r>
                  <w:r>
                    <w:rPr>
                      <w:rFonts w:hint="eastAsia" w:ascii="Times New Roman" w:hAnsi="Times New Roman" w:eastAsia="宋体" w:cs="Times New Roman"/>
                      <w:b w:val="0"/>
                      <w:bCs w:val="0"/>
                      <w:color w:val="auto"/>
                      <w:highlight w:val="none"/>
                      <w:vertAlign w:val="superscript"/>
                      <w:lang w:val="en-US" w:eastAsia="zh-CN"/>
                    </w:rPr>
                    <w:t>3</w:t>
                  </w:r>
                </w:p>
              </w:tc>
              <w:tc>
                <w:tcPr>
                  <w:tcW w:w="1477" w:type="pct"/>
                  <w:noWrap w:val="0"/>
                  <w:vAlign w:val="center"/>
                </w:tcPr>
                <w:p w14:paraId="0C7502DC">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1000</w:t>
                  </w:r>
                </w:p>
              </w:tc>
              <w:tc>
                <w:tcPr>
                  <w:tcW w:w="1868" w:type="pct"/>
                  <w:noWrap w:val="0"/>
                  <w:vAlign w:val="center"/>
                </w:tcPr>
                <w:p w14:paraId="60000DF5">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超标次数≤1次/日</w:t>
                  </w:r>
                </w:p>
              </w:tc>
            </w:tr>
            <w:tr w14:paraId="45979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35" w:type="pct"/>
                  <w:vMerge w:val="continue"/>
                  <w:noWrap w:val="0"/>
                  <w:vAlign w:val="center"/>
                </w:tcPr>
                <w:p w14:paraId="2970F62F">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b w:val="0"/>
                      <w:bCs w:val="0"/>
                      <w:color w:val="auto"/>
                      <w:highlight w:val="none"/>
                    </w:rPr>
                  </w:pPr>
                </w:p>
              </w:tc>
              <w:tc>
                <w:tcPr>
                  <w:tcW w:w="818" w:type="pct"/>
                  <w:vMerge w:val="continue"/>
                  <w:noWrap w:val="0"/>
                  <w:vAlign w:val="center"/>
                </w:tcPr>
                <w:p w14:paraId="5CDD2AA8">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b w:val="0"/>
                      <w:bCs w:val="0"/>
                      <w:color w:val="auto"/>
                      <w:highlight w:val="none"/>
                    </w:rPr>
                  </w:pPr>
                </w:p>
              </w:tc>
              <w:tc>
                <w:tcPr>
                  <w:tcW w:w="1477" w:type="pct"/>
                  <w:noWrap w:val="0"/>
                  <w:vAlign w:val="center"/>
                </w:tcPr>
                <w:p w14:paraId="3EB98265">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500</w:t>
                  </w:r>
                </w:p>
              </w:tc>
              <w:tc>
                <w:tcPr>
                  <w:tcW w:w="1868" w:type="pct"/>
                  <w:shd w:val="clear" w:color="auto" w:fill="auto"/>
                  <w:noWrap w:val="0"/>
                  <w:vAlign w:val="center"/>
                </w:tcPr>
                <w:p w14:paraId="5F740CE4">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超标次数≤6次/日</w:t>
                  </w:r>
                </w:p>
              </w:tc>
            </w:tr>
          </w:tbl>
          <w:p w14:paraId="372A3E78">
            <w:pPr>
              <w:pStyle w:val="44"/>
              <w:keepNext w:val="0"/>
              <w:keepLines w:val="0"/>
              <w:suppressLineNumbers w:val="0"/>
              <w:spacing w:before="0" w:beforeAutospacing="0" w:after="0" w:afterAutospacing="0"/>
              <w:ind w:left="0" w:right="0" w:firstLine="480"/>
              <w:rPr>
                <w:rFonts w:hint="default" w:cs="Times New Roman"/>
                <w:b w:val="0"/>
                <w:color w:val="auto"/>
                <w:highlight w:val="none"/>
              </w:rPr>
            </w:pPr>
            <w:r>
              <w:rPr>
                <w:rFonts w:hint="eastAsia" w:cs="Times New Roman"/>
                <w:b w:val="0"/>
                <w:color w:val="auto"/>
                <w:highlight w:val="none"/>
              </w:rPr>
              <w:t>项目废气中的颗粒物排放执行《大气污染物综合排放标准》（GB16297-1996）表2中相应排放标准要求及无组织排放监控浓度限值要求；项目运营期有组织产生的非甲烷总烃排放执行《固定源挥发性有机物综合排放标准第六部分：其他行业》（DB34/4812.6-2024）</w:t>
            </w:r>
            <w:r>
              <w:rPr>
                <w:rFonts w:hint="eastAsia" w:cs="Times New Roman"/>
                <w:b w:val="0"/>
                <w:bCs/>
                <w:color w:val="auto"/>
                <w:highlight w:val="none"/>
                <w:lang w:val="en-US" w:eastAsia="zh-CN"/>
              </w:rPr>
              <w:t>“化学纤维制造工业所有企业”</w:t>
            </w:r>
            <w:r>
              <w:rPr>
                <w:rFonts w:hint="eastAsia" w:cs="Times New Roman"/>
                <w:b w:val="0"/>
                <w:color w:val="auto"/>
                <w:highlight w:val="none"/>
              </w:rPr>
              <w:t>；厂界非甲烷总烃无组织排放执行</w:t>
            </w:r>
            <w:r>
              <w:rPr>
                <w:rFonts w:hint="default" w:cs="Times New Roman"/>
                <w:b w:val="0"/>
                <w:color w:val="auto"/>
                <w:highlight w:val="none"/>
              </w:rPr>
              <w:t>《大气污染物综合排放标准》（GB16297-1996）</w:t>
            </w:r>
            <w:r>
              <w:rPr>
                <w:rFonts w:hint="eastAsia" w:cs="Times New Roman"/>
                <w:b w:val="0"/>
                <w:color w:val="auto"/>
                <w:highlight w:val="none"/>
              </w:rPr>
              <w:t>；厂区内非甲烷总烃执行</w:t>
            </w:r>
            <w:bookmarkStart w:id="2" w:name="OLE_LINK53"/>
            <w:r>
              <w:rPr>
                <w:rFonts w:hint="eastAsia" w:cs="Times New Roman"/>
                <w:b w:val="0"/>
                <w:color w:val="auto"/>
                <w:highlight w:val="none"/>
              </w:rPr>
              <w:t>《固定源挥发性有机物综合排放标准第6部分：其他行业》</w:t>
            </w:r>
            <w:bookmarkEnd w:id="2"/>
            <w:r>
              <w:rPr>
                <w:rFonts w:hint="eastAsia" w:cs="Times New Roman"/>
                <w:b w:val="0"/>
                <w:color w:val="auto"/>
                <w:highlight w:val="none"/>
              </w:rPr>
              <w:t>（DB34/4812.6-2024）中标准。</w:t>
            </w:r>
          </w:p>
          <w:p w14:paraId="5F4FABCC">
            <w:pPr>
              <w:pStyle w:val="4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eastAsia="宋体"/>
                <w:color w:val="auto"/>
                <w:highlight w:val="none"/>
                <w:lang w:val="en-US" w:eastAsia="zh-CN"/>
              </w:rPr>
            </w:pPr>
            <w:r>
              <w:rPr>
                <w:rFonts w:hint="default"/>
                <w:color w:val="auto"/>
                <w:highlight w:val="none"/>
              </w:rPr>
              <w:t>表3-</w:t>
            </w:r>
            <w:r>
              <w:rPr>
                <w:rFonts w:hint="eastAsia"/>
                <w:color w:val="auto"/>
                <w:highlight w:val="none"/>
                <w:lang w:val="en-US" w:eastAsia="zh-CN"/>
              </w:rPr>
              <w:t>6废气污染物排放标准</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821"/>
              <w:gridCol w:w="1276"/>
              <w:gridCol w:w="1173"/>
              <w:gridCol w:w="1290"/>
              <w:gridCol w:w="938"/>
              <w:gridCol w:w="1622"/>
            </w:tblGrid>
            <w:tr w14:paraId="5F991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546" w:type="pct"/>
                  <w:noWrap w:val="0"/>
                  <w:vAlign w:val="center"/>
                </w:tcPr>
                <w:p w14:paraId="6C347287">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标准名称</w:t>
                  </w:r>
                </w:p>
              </w:tc>
              <w:tc>
                <w:tcPr>
                  <w:tcW w:w="699" w:type="pct"/>
                  <w:noWrap w:val="0"/>
                  <w:vAlign w:val="center"/>
                </w:tcPr>
                <w:p w14:paraId="17577B14">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污染物项目</w:t>
                  </w:r>
                </w:p>
              </w:tc>
              <w:tc>
                <w:tcPr>
                  <w:tcW w:w="643" w:type="pct"/>
                  <w:noWrap w:val="0"/>
                  <w:vAlign w:val="center"/>
                </w:tcPr>
                <w:p w14:paraId="1371A36C">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最高允许排放浓度（mg/m³）</w:t>
                  </w:r>
                </w:p>
              </w:tc>
              <w:tc>
                <w:tcPr>
                  <w:tcW w:w="707" w:type="pct"/>
                  <w:noWrap w:val="0"/>
                  <w:vAlign w:val="center"/>
                </w:tcPr>
                <w:p w14:paraId="331A37A5">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最高允许排放速率（kg/h）</w:t>
                  </w:r>
                </w:p>
              </w:tc>
              <w:tc>
                <w:tcPr>
                  <w:tcW w:w="514" w:type="pct"/>
                  <w:noWrap w:val="0"/>
                  <w:vAlign w:val="center"/>
                </w:tcPr>
                <w:p w14:paraId="0F964CFB">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排气筒高度（m）</w:t>
                  </w:r>
                </w:p>
              </w:tc>
              <w:tc>
                <w:tcPr>
                  <w:tcW w:w="889" w:type="pct"/>
                  <w:noWrap w:val="0"/>
                  <w:vAlign w:val="center"/>
                </w:tcPr>
                <w:p w14:paraId="562FF51D">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无组织排放监控浓度限值（mg/m³）</w:t>
                  </w:r>
                </w:p>
              </w:tc>
            </w:tr>
            <w:tr w14:paraId="24633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546" w:type="pct"/>
                  <w:noWrap w:val="0"/>
                  <w:vAlign w:val="center"/>
                </w:tcPr>
                <w:p w14:paraId="5FDAF914">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cs="Times New Roman"/>
                      <w:b w:val="0"/>
                      <w:bCs/>
                      <w:color w:val="auto"/>
                      <w:highlight w:val="none"/>
                      <w:lang w:val="en-US" w:eastAsia="zh-CN"/>
                    </w:rPr>
                  </w:pPr>
                  <w:r>
                    <w:rPr>
                      <w:rFonts w:hint="eastAsia" w:cs="Times New Roman"/>
                      <w:b w:val="0"/>
                      <w:bCs/>
                      <w:color w:val="auto"/>
                      <w:highlight w:val="none"/>
                      <w:lang w:val="en-US" w:eastAsia="zh-CN"/>
                    </w:rPr>
                    <w:t>《固定源挥发性有机物综合排放标准第6部分：其他行业》（DB34/4812.6-2024）中“化学纤维制造工业所有企业”</w:t>
                  </w:r>
                </w:p>
              </w:tc>
              <w:tc>
                <w:tcPr>
                  <w:tcW w:w="699" w:type="pct"/>
                  <w:noWrap w:val="0"/>
                  <w:vAlign w:val="center"/>
                </w:tcPr>
                <w:p w14:paraId="4B81B222">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cs="Times New Roman"/>
                      <w:b w:val="0"/>
                      <w:bCs/>
                      <w:color w:val="auto"/>
                      <w:highlight w:val="none"/>
                      <w:lang w:val="en-US" w:eastAsia="zh-CN"/>
                    </w:rPr>
                  </w:pPr>
                  <w:r>
                    <w:rPr>
                      <w:rFonts w:hint="eastAsia" w:cs="Times New Roman"/>
                      <w:b w:val="0"/>
                      <w:bCs/>
                      <w:color w:val="auto"/>
                      <w:highlight w:val="none"/>
                      <w:lang w:val="en-US" w:eastAsia="zh-CN"/>
                    </w:rPr>
                    <w:t>非甲烷总烃</w:t>
                  </w:r>
                </w:p>
              </w:tc>
              <w:tc>
                <w:tcPr>
                  <w:tcW w:w="643" w:type="pct"/>
                  <w:shd w:val="clear" w:color="auto" w:fill="auto"/>
                  <w:noWrap w:val="0"/>
                  <w:vAlign w:val="center"/>
                </w:tcPr>
                <w:p w14:paraId="7336EF99">
                  <w:pPr>
                    <w:pStyle w:val="38"/>
                    <w:keepNext w:val="0"/>
                    <w:keepLines w:val="0"/>
                    <w:pageBreakBefore w:val="0"/>
                    <w:suppressLineNumbers w:val="0"/>
                    <w:kinsoku/>
                    <w:wordWrap/>
                    <w:bidi w:val="0"/>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b w:val="0"/>
                      <w:bCs/>
                      <w:color w:val="auto"/>
                      <w:kern w:val="2"/>
                      <w:sz w:val="21"/>
                      <w:szCs w:val="24"/>
                      <w:highlight w:val="none"/>
                      <w:lang w:val="en-US" w:eastAsia="zh-CN" w:bidi="ar-SA"/>
                    </w:rPr>
                  </w:pPr>
                  <w:r>
                    <w:rPr>
                      <w:rFonts w:hint="eastAsia" w:cs="Times New Roman"/>
                      <w:b w:val="0"/>
                      <w:bCs/>
                      <w:color w:val="auto"/>
                      <w:highlight w:val="none"/>
                      <w:lang w:val="en-US" w:eastAsia="zh-CN"/>
                    </w:rPr>
                    <w:t>60</w:t>
                  </w:r>
                </w:p>
              </w:tc>
              <w:tc>
                <w:tcPr>
                  <w:tcW w:w="707" w:type="pct"/>
                  <w:shd w:val="clear" w:color="auto" w:fill="auto"/>
                  <w:noWrap w:val="0"/>
                  <w:vAlign w:val="center"/>
                </w:tcPr>
                <w:p w14:paraId="033987E1">
                  <w:pPr>
                    <w:pStyle w:val="38"/>
                    <w:keepNext w:val="0"/>
                    <w:keepLines w:val="0"/>
                    <w:pageBreakBefore w:val="0"/>
                    <w:suppressLineNumbers w:val="0"/>
                    <w:kinsoku/>
                    <w:wordWrap/>
                    <w:bidi w:val="0"/>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b w:val="0"/>
                      <w:bCs/>
                      <w:color w:val="auto"/>
                      <w:kern w:val="2"/>
                      <w:sz w:val="21"/>
                      <w:szCs w:val="24"/>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3.0</w:t>
                  </w:r>
                  <w:r>
                    <w:rPr>
                      <w:rFonts w:hint="eastAsia" w:cs="Times New Roman"/>
                      <w:b w:val="0"/>
                      <w:bCs/>
                      <w:color w:val="auto"/>
                      <w:highlight w:val="none"/>
                      <w:lang w:val="en-US" w:eastAsia="zh-CN"/>
                    </w:rPr>
                    <w:t>(1.5)</w:t>
                  </w:r>
                </w:p>
              </w:tc>
              <w:tc>
                <w:tcPr>
                  <w:tcW w:w="514" w:type="pct"/>
                  <w:vMerge w:val="restart"/>
                  <w:shd w:val="clear" w:color="auto" w:fill="auto"/>
                  <w:noWrap w:val="0"/>
                  <w:vAlign w:val="center"/>
                </w:tcPr>
                <w:p w14:paraId="06C1C947">
                  <w:pPr>
                    <w:pStyle w:val="38"/>
                    <w:keepNext w:val="0"/>
                    <w:keepLines w:val="0"/>
                    <w:pageBreakBefore w:val="0"/>
                    <w:suppressLineNumbers w:val="0"/>
                    <w:kinsoku/>
                    <w:wordWrap/>
                    <w:bidi w:val="0"/>
                    <w:adjustRightInd w:val="0"/>
                    <w:snapToGrid w:val="0"/>
                    <w:spacing w:before="0" w:beforeAutospacing="0" w:after="0" w:afterAutospacing="0"/>
                    <w:ind w:left="0" w:right="0" w:firstLine="0" w:firstLineChars="0"/>
                    <w:jc w:val="center"/>
                    <w:textAlignment w:val="auto"/>
                    <w:rPr>
                      <w:rFonts w:hint="default" w:cs="Times New Roman"/>
                      <w:b w:val="0"/>
                      <w:bCs/>
                      <w:color w:val="auto"/>
                      <w:highlight w:val="none"/>
                      <w:lang w:val="en-US" w:eastAsia="zh-CN"/>
                    </w:rPr>
                  </w:pPr>
                  <w:r>
                    <w:rPr>
                      <w:rFonts w:hint="eastAsia" w:cs="Times New Roman"/>
                      <w:b w:val="0"/>
                      <w:bCs/>
                      <w:color w:val="auto"/>
                      <w:highlight w:val="none"/>
                      <w:lang w:val="en-US" w:eastAsia="zh-CN"/>
                    </w:rPr>
                    <w:t>15</w:t>
                  </w:r>
                </w:p>
              </w:tc>
              <w:tc>
                <w:tcPr>
                  <w:tcW w:w="889" w:type="pct"/>
                  <w:shd w:val="clear" w:color="auto" w:fill="auto"/>
                  <w:noWrap w:val="0"/>
                  <w:vAlign w:val="center"/>
                </w:tcPr>
                <w:p w14:paraId="3F78040F">
                  <w:pPr>
                    <w:pStyle w:val="38"/>
                    <w:keepNext w:val="0"/>
                    <w:keepLines w:val="0"/>
                    <w:pageBreakBefore w:val="0"/>
                    <w:suppressLineNumbers w:val="0"/>
                    <w:kinsoku/>
                    <w:wordWrap/>
                    <w:bidi w:val="0"/>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b w:val="0"/>
                      <w:bCs/>
                      <w:color w:val="auto"/>
                      <w:kern w:val="2"/>
                      <w:sz w:val="21"/>
                      <w:szCs w:val="24"/>
                      <w:highlight w:val="none"/>
                      <w:lang w:val="en-US" w:eastAsia="zh-CN" w:bidi="ar-SA"/>
                    </w:rPr>
                  </w:pPr>
                  <w:r>
                    <w:rPr>
                      <w:rFonts w:hint="eastAsia" w:cs="Times New Roman"/>
                      <w:b w:val="0"/>
                      <w:bCs/>
                      <w:color w:val="auto"/>
                      <w:highlight w:val="none"/>
                      <w:lang w:val="en-US" w:eastAsia="zh-CN"/>
                    </w:rPr>
                    <w:t>/</w:t>
                  </w:r>
                </w:p>
              </w:tc>
            </w:tr>
            <w:tr w14:paraId="78BAB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546" w:type="pct"/>
                  <w:vAlign w:val="center"/>
                </w:tcPr>
                <w:p w14:paraId="23FE5A05">
                  <w:pPr>
                    <w:pStyle w:val="38"/>
                    <w:keepNext w:val="0"/>
                    <w:keepLines w:val="0"/>
                    <w:pageBreakBefore w:val="0"/>
                    <w:suppressLineNumbers w:val="0"/>
                    <w:kinsoku/>
                    <w:wordWrap/>
                    <w:bidi w:val="0"/>
                    <w:adjustRightInd w:val="0"/>
                    <w:snapToGrid w:val="0"/>
                    <w:spacing w:before="0" w:beforeAutospacing="0" w:after="0" w:afterAutospacing="0"/>
                    <w:ind w:left="0" w:right="0"/>
                    <w:jc w:val="center"/>
                    <w:textAlignment w:val="auto"/>
                    <w:rPr>
                      <w:rFonts w:hint="default" w:cs="Times New Roman"/>
                      <w:b w:val="0"/>
                      <w:bCs/>
                      <w:color w:val="auto"/>
                      <w:highlight w:val="none"/>
                      <w:lang w:val="en-US" w:eastAsia="zh-CN"/>
                    </w:rPr>
                  </w:pPr>
                  <w:r>
                    <w:rPr>
                      <w:rFonts w:hint="eastAsia" w:cs="Times New Roman"/>
                      <w:b w:val="0"/>
                      <w:bCs/>
                      <w:color w:val="auto"/>
                      <w:highlight w:val="none"/>
                      <w:lang w:val="en-US" w:eastAsia="zh-CN"/>
                    </w:rPr>
                    <w:t>本项目执行标准</w:t>
                  </w:r>
                </w:p>
              </w:tc>
              <w:tc>
                <w:tcPr>
                  <w:tcW w:w="699" w:type="pct"/>
                  <w:shd w:val="clear" w:color="auto" w:fill="auto"/>
                  <w:vAlign w:val="center"/>
                </w:tcPr>
                <w:p w14:paraId="6560EF97">
                  <w:pPr>
                    <w:pStyle w:val="38"/>
                    <w:keepNext w:val="0"/>
                    <w:keepLines w:val="0"/>
                    <w:pageBreakBefore w:val="0"/>
                    <w:suppressLineNumbers w:val="0"/>
                    <w:kinsoku/>
                    <w:wordWrap/>
                    <w:bidi w:val="0"/>
                    <w:adjustRightInd w:val="0"/>
                    <w:snapToGrid w:val="0"/>
                    <w:spacing w:before="0" w:beforeAutospacing="0" w:after="0" w:afterAutospacing="0"/>
                    <w:ind w:left="0" w:right="0" w:firstLine="0" w:firstLineChars="0"/>
                    <w:textAlignment w:val="auto"/>
                    <w:rPr>
                      <w:rFonts w:hint="eastAsia" w:ascii="Times New Roman" w:hAnsi="Times New Roman" w:eastAsia="宋体" w:cs="Times New Roman"/>
                      <w:b w:val="0"/>
                      <w:bCs/>
                      <w:color w:val="auto"/>
                      <w:kern w:val="2"/>
                      <w:sz w:val="21"/>
                      <w:szCs w:val="24"/>
                      <w:highlight w:val="none"/>
                      <w:lang w:val="en-US" w:eastAsia="zh-CN" w:bidi="ar-SA"/>
                    </w:rPr>
                  </w:pPr>
                  <w:r>
                    <w:rPr>
                      <w:rFonts w:hint="eastAsia" w:cs="Times New Roman"/>
                      <w:b w:val="0"/>
                      <w:bCs/>
                      <w:color w:val="auto"/>
                      <w:highlight w:val="none"/>
                      <w:lang w:val="en-US" w:eastAsia="zh-CN"/>
                    </w:rPr>
                    <w:t>非甲烷总烃</w:t>
                  </w:r>
                </w:p>
              </w:tc>
              <w:tc>
                <w:tcPr>
                  <w:tcW w:w="643" w:type="pct"/>
                  <w:shd w:val="clear" w:color="auto" w:fill="auto"/>
                  <w:vAlign w:val="center"/>
                </w:tcPr>
                <w:p w14:paraId="2C054A10">
                  <w:pPr>
                    <w:pStyle w:val="38"/>
                    <w:keepNext w:val="0"/>
                    <w:keepLines w:val="0"/>
                    <w:pageBreakBefore w:val="0"/>
                    <w:suppressLineNumbers w:val="0"/>
                    <w:kinsoku/>
                    <w:wordWrap/>
                    <w:bidi w:val="0"/>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b w:val="0"/>
                      <w:bCs/>
                      <w:color w:val="auto"/>
                      <w:kern w:val="2"/>
                      <w:sz w:val="21"/>
                      <w:szCs w:val="24"/>
                      <w:highlight w:val="none"/>
                      <w:lang w:val="en-US" w:eastAsia="zh-CN" w:bidi="ar-SA"/>
                    </w:rPr>
                  </w:pPr>
                  <w:r>
                    <w:rPr>
                      <w:rFonts w:hint="eastAsia" w:cs="Times New Roman"/>
                      <w:b w:val="0"/>
                      <w:bCs/>
                      <w:color w:val="auto"/>
                      <w:highlight w:val="none"/>
                      <w:lang w:val="en-US" w:eastAsia="zh-CN"/>
                    </w:rPr>
                    <w:t>60</w:t>
                  </w:r>
                </w:p>
              </w:tc>
              <w:tc>
                <w:tcPr>
                  <w:tcW w:w="707" w:type="pct"/>
                  <w:shd w:val="clear" w:color="auto" w:fill="auto"/>
                  <w:vAlign w:val="center"/>
                </w:tcPr>
                <w:p w14:paraId="2BA66550">
                  <w:pPr>
                    <w:pStyle w:val="38"/>
                    <w:keepNext w:val="0"/>
                    <w:keepLines w:val="0"/>
                    <w:pageBreakBefore w:val="0"/>
                    <w:suppressLineNumbers w:val="0"/>
                    <w:kinsoku/>
                    <w:wordWrap/>
                    <w:bidi w:val="0"/>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b w:val="0"/>
                      <w:bCs/>
                      <w:color w:val="auto"/>
                      <w:kern w:val="2"/>
                      <w:sz w:val="21"/>
                      <w:szCs w:val="24"/>
                      <w:highlight w:val="none"/>
                      <w:lang w:val="en-US" w:eastAsia="zh-CN" w:bidi="ar-SA"/>
                    </w:rPr>
                  </w:pPr>
                  <w:r>
                    <w:rPr>
                      <w:rFonts w:hint="eastAsia" w:cs="Times New Roman"/>
                      <w:b w:val="0"/>
                      <w:bCs/>
                      <w:color w:val="auto"/>
                      <w:highlight w:val="none"/>
                      <w:lang w:val="en-US" w:eastAsia="zh-CN"/>
                    </w:rPr>
                    <w:t>3.0(1.5)</w:t>
                  </w:r>
                </w:p>
              </w:tc>
              <w:tc>
                <w:tcPr>
                  <w:tcW w:w="514" w:type="pct"/>
                  <w:vMerge w:val="continue"/>
                  <w:shd w:val="clear" w:color="auto" w:fill="auto"/>
                  <w:vAlign w:val="center"/>
                </w:tcPr>
                <w:p w14:paraId="48B53950">
                  <w:pPr>
                    <w:pStyle w:val="38"/>
                    <w:keepNext w:val="0"/>
                    <w:keepLines w:val="0"/>
                    <w:pageBreakBefore w:val="0"/>
                    <w:suppressLineNumbers w:val="0"/>
                    <w:kinsoku/>
                    <w:wordWrap/>
                    <w:bidi w:val="0"/>
                    <w:adjustRightInd w:val="0"/>
                    <w:snapToGrid w:val="0"/>
                    <w:spacing w:before="0" w:beforeAutospacing="0" w:after="0" w:afterAutospacing="0"/>
                    <w:ind w:left="0" w:right="0" w:firstLine="0" w:firstLineChars="0"/>
                    <w:textAlignment w:val="auto"/>
                    <w:rPr>
                      <w:rFonts w:hint="eastAsia" w:ascii="Times New Roman" w:hAnsi="Times New Roman" w:eastAsia="宋体" w:cs="Times New Roman"/>
                      <w:b w:val="0"/>
                      <w:bCs/>
                      <w:color w:val="auto"/>
                      <w:kern w:val="2"/>
                      <w:sz w:val="21"/>
                      <w:szCs w:val="24"/>
                      <w:highlight w:val="none"/>
                      <w:lang w:val="en-US" w:eastAsia="zh-CN" w:bidi="ar-SA"/>
                    </w:rPr>
                  </w:pPr>
                </w:p>
              </w:tc>
              <w:tc>
                <w:tcPr>
                  <w:tcW w:w="889" w:type="pct"/>
                  <w:shd w:val="clear" w:color="auto" w:fill="auto"/>
                  <w:vAlign w:val="center"/>
                </w:tcPr>
                <w:p w14:paraId="387E52CF">
                  <w:pPr>
                    <w:pStyle w:val="38"/>
                    <w:keepNext w:val="0"/>
                    <w:keepLines w:val="0"/>
                    <w:pageBreakBefore w:val="0"/>
                    <w:suppressLineNumbers w:val="0"/>
                    <w:kinsoku/>
                    <w:wordWrap/>
                    <w:bidi w:val="0"/>
                    <w:adjustRightInd w:val="0"/>
                    <w:snapToGrid w:val="0"/>
                    <w:spacing w:before="0" w:beforeAutospacing="0" w:after="0" w:afterAutospacing="0"/>
                    <w:ind w:left="0" w:right="0" w:firstLine="0" w:firstLineChars="0"/>
                    <w:textAlignment w:val="auto"/>
                    <w:rPr>
                      <w:rFonts w:hint="eastAsia" w:ascii="Times New Roman" w:hAnsi="Times New Roman" w:eastAsia="宋体" w:cs="Times New Roman"/>
                      <w:b w:val="0"/>
                      <w:bCs/>
                      <w:color w:val="auto"/>
                      <w:kern w:val="2"/>
                      <w:sz w:val="21"/>
                      <w:szCs w:val="24"/>
                      <w:highlight w:val="none"/>
                      <w:lang w:val="en-US" w:eastAsia="zh-CN" w:bidi="ar-SA"/>
                    </w:rPr>
                  </w:pPr>
                  <w:r>
                    <w:rPr>
                      <w:rFonts w:hint="eastAsia" w:cs="Times New Roman"/>
                      <w:b w:val="0"/>
                      <w:bCs/>
                      <w:color w:val="auto"/>
                      <w:highlight w:val="none"/>
                      <w:lang w:val="en-US" w:eastAsia="zh-CN"/>
                    </w:rPr>
                    <w:t>/</w:t>
                  </w:r>
                </w:p>
              </w:tc>
            </w:tr>
          </w:tbl>
          <w:p w14:paraId="7EAB9EE5">
            <w:pPr>
              <w:pStyle w:val="4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b/>
                <w:bCs/>
                <w:color w:val="auto"/>
                <w:highlight w:val="none"/>
                <w:lang w:val="en-US" w:eastAsia="zh-CN"/>
              </w:rPr>
              <w:t>表3-7</w:t>
            </w:r>
            <w:r>
              <w:rPr>
                <w:rFonts w:hint="eastAsia"/>
                <w:color w:val="auto"/>
                <w:highlight w:val="none"/>
                <w:lang w:val="en-US" w:eastAsia="zh-CN"/>
              </w:rPr>
              <w:t>厂区内非甲烷总烃无组织排放标准</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5"/>
              <w:gridCol w:w="1782"/>
              <w:gridCol w:w="3045"/>
              <w:gridCol w:w="2656"/>
            </w:tblGrid>
            <w:tr w14:paraId="2EFE5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6" w:type="pct"/>
                  <w:noWrap w:val="0"/>
                  <w:vAlign w:val="center"/>
                </w:tcPr>
                <w:p w14:paraId="0B4A265A">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污染物项目</w:t>
                  </w:r>
                </w:p>
              </w:tc>
              <w:tc>
                <w:tcPr>
                  <w:tcW w:w="977" w:type="pct"/>
                  <w:noWrap w:val="0"/>
                  <w:vAlign w:val="center"/>
                </w:tcPr>
                <w:p w14:paraId="36635BC8">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最高允许排放浓度（</w:t>
                  </w:r>
                  <w:r>
                    <w:rPr>
                      <w:rFonts w:hint="default" w:ascii="Times New Roman" w:hAnsi="Times New Roman" w:eastAsia="宋体" w:cs="Times New Roman"/>
                      <w:b/>
                      <w:bCs/>
                      <w:color w:val="auto"/>
                      <w:sz w:val="21"/>
                      <w:szCs w:val="21"/>
                      <w:highlight w:val="none"/>
                      <w:lang w:val="en-US" w:eastAsia="zh-CN"/>
                    </w:rPr>
                    <w:t>mg/m³</w:t>
                  </w:r>
                  <w:r>
                    <w:rPr>
                      <w:rFonts w:hint="eastAsia" w:ascii="Times New Roman" w:hAnsi="Times New Roman" w:eastAsia="宋体" w:cs="Times New Roman"/>
                      <w:b/>
                      <w:bCs/>
                      <w:color w:val="auto"/>
                      <w:sz w:val="21"/>
                      <w:szCs w:val="21"/>
                      <w:highlight w:val="none"/>
                      <w:lang w:val="en-US" w:eastAsia="zh-CN"/>
                    </w:rPr>
                    <w:t>）</w:t>
                  </w:r>
                </w:p>
              </w:tc>
              <w:tc>
                <w:tcPr>
                  <w:tcW w:w="1669" w:type="pct"/>
                  <w:noWrap w:val="0"/>
                  <w:vAlign w:val="center"/>
                </w:tcPr>
                <w:p w14:paraId="169072BB">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限值含义</w:t>
                  </w:r>
                </w:p>
              </w:tc>
              <w:tc>
                <w:tcPr>
                  <w:tcW w:w="1456" w:type="pct"/>
                  <w:noWrap w:val="0"/>
                  <w:vAlign w:val="center"/>
                </w:tcPr>
                <w:p w14:paraId="5E318662">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无组织排放监控位置</w:t>
                  </w:r>
                </w:p>
              </w:tc>
            </w:tr>
            <w:tr w14:paraId="7C456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6" w:type="pct"/>
                  <w:vMerge w:val="restart"/>
                  <w:noWrap w:val="0"/>
                  <w:vAlign w:val="center"/>
                </w:tcPr>
                <w:p w14:paraId="19511E47">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NMHC</w:t>
                  </w:r>
                </w:p>
              </w:tc>
              <w:tc>
                <w:tcPr>
                  <w:tcW w:w="977" w:type="pct"/>
                  <w:noWrap w:val="0"/>
                  <w:vAlign w:val="center"/>
                </w:tcPr>
                <w:p w14:paraId="5DD8D1DB">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6mg/m³</w:t>
                  </w:r>
                </w:p>
              </w:tc>
              <w:tc>
                <w:tcPr>
                  <w:tcW w:w="1669" w:type="pct"/>
                  <w:noWrap w:val="0"/>
                  <w:vAlign w:val="center"/>
                </w:tcPr>
                <w:p w14:paraId="062A616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监控点处1h平均浓度值</w:t>
                  </w:r>
                </w:p>
              </w:tc>
              <w:tc>
                <w:tcPr>
                  <w:tcW w:w="1456" w:type="pct"/>
                  <w:vMerge w:val="restart"/>
                  <w:noWrap w:val="0"/>
                  <w:vAlign w:val="center"/>
                </w:tcPr>
                <w:p w14:paraId="50C4639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在厂房外设置监控点</w:t>
                  </w:r>
                </w:p>
              </w:tc>
            </w:tr>
            <w:tr w14:paraId="2571C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6" w:type="pct"/>
                  <w:vMerge w:val="continue"/>
                  <w:noWrap w:val="0"/>
                  <w:vAlign w:val="center"/>
                </w:tcPr>
                <w:p w14:paraId="3AA6C2F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77" w:type="pct"/>
                  <w:noWrap w:val="0"/>
                  <w:vAlign w:val="center"/>
                </w:tcPr>
                <w:p w14:paraId="54DEFABB">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20mg/m³</w:t>
                  </w:r>
                </w:p>
              </w:tc>
              <w:tc>
                <w:tcPr>
                  <w:tcW w:w="1669" w:type="pct"/>
                  <w:noWrap w:val="0"/>
                  <w:vAlign w:val="center"/>
                </w:tcPr>
                <w:p w14:paraId="48F6FA4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监控点处任意一次浓度值</w:t>
                  </w:r>
                </w:p>
              </w:tc>
              <w:tc>
                <w:tcPr>
                  <w:tcW w:w="1456" w:type="pct"/>
                  <w:vMerge w:val="continue"/>
                  <w:noWrap w:val="0"/>
                  <w:vAlign w:val="center"/>
                </w:tcPr>
                <w:p w14:paraId="095012DB">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bl>
          <w:p w14:paraId="5529E1CC">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color w:val="auto"/>
                <w:highlight w:val="none"/>
              </w:rPr>
            </w:pPr>
            <w:r>
              <w:rPr>
                <w:rFonts w:hint="default"/>
                <w:color w:val="auto"/>
                <w:highlight w:val="none"/>
              </w:rPr>
              <w:t>2、废水排放标准</w:t>
            </w:r>
          </w:p>
          <w:p w14:paraId="7492B3DA">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项目废水主要为生活污水，生活污水排放执行</w:t>
            </w:r>
            <w:r>
              <w:rPr>
                <w:rFonts w:hint="eastAsia"/>
                <w:b w:val="0"/>
                <w:bCs w:val="0"/>
                <w:color w:val="auto"/>
                <w:sz w:val="24"/>
                <w:highlight w:val="none"/>
                <w:lang w:eastAsia="zh-CN"/>
              </w:rPr>
              <w:t>五河县经济开发区污水处理厂</w:t>
            </w:r>
            <w:r>
              <w:rPr>
                <w:rFonts w:hint="default" w:ascii="Times New Roman" w:hAnsi="Times New Roman" w:cs="Times New Roman"/>
                <w:b w:val="0"/>
                <w:bCs w:val="0"/>
                <w:color w:val="auto"/>
                <w:highlight w:val="none"/>
                <w:lang w:val="en-US" w:eastAsia="zh-CN"/>
              </w:rPr>
              <w:t>接管</w:t>
            </w:r>
            <w:r>
              <w:rPr>
                <w:rFonts w:hint="eastAsia" w:cs="Times New Roman"/>
                <w:b w:val="0"/>
                <w:bCs w:val="0"/>
                <w:color w:val="auto"/>
                <w:sz w:val="24"/>
                <w:szCs w:val="24"/>
                <w:highlight w:val="none"/>
                <w:lang w:val="en-US" w:eastAsia="zh-CN"/>
              </w:rPr>
              <w:t>限值</w:t>
            </w:r>
            <w:r>
              <w:rPr>
                <w:rFonts w:hint="default" w:ascii="Times New Roman" w:hAnsi="Times New Roman" w:cs="Times New Roman"/>
                <w:b w:val="0"/>
                <w:bCs w:val="0"/>
                <w:color w:val="auto"/>
                <w:highlight w:val="none"/>
                <w:lang w:val="en-US" w:eastAsia="zh-CN"/>
              </w:rPr>
              <w:t>和《污水综合排放标准》（GB8978-1996）表4中三级标准排放限值，</w:t>
            </w:r>
            <w:r>
              <w:rPr>
                <w:rFonts w:hint="eastAsia" w:cs="Times New Roman"/>
                <w:b w:val="0"/>
                <w:bCs w:val="0"/>
                <w:color w:val="auto"/>
                <w:highlight w:val="none"/>
                <w:lang w:val="en-US" w:eastAsia="zh-CN"/>
              </w:rPr>
              <w:t>生产废水执行《纺织染整工业水污染物排放标准》(GB4287-2012)表2中间接排放限值及其2015年修改单要求。</w:t>
            </w:r>
            <w:r>
              <w:rPr>
                <w:rFonts w:hint="eastAsia"/>
                <w:b w:val="0"/>
                <w:bCs w:val="0"/>
                <w:color w:val="auto"/>
                <w:sz w:val="24"/>
                <w:highlight w:val="none"/>
                <w:lang w:eastAsia="zh-CN"/>
              </w:rPr>
              <w:t>五河县经济开发区污水处理厂</w:t>
            </w:r>
            <w:r>
              <w:rPr>
                <w:rFonts w:hint="default" w:ascii="Times New Roman" w:hAnsi="Times New Roman" w:cs="Times New Roman"/>
                <w:b w:val="0"/>
                <w:bCs w:val="0"/>
                <w:color w:val="auto"/>
                <w:highlight w:val="none"/>
                <w:lang w:val="en-US" w:eastAsia="zh-CN"/>
              </w:rPr>
              <w:t>处理</w:t>
            </w:r>
            <w:r>
              <w:rPr>
                <w:rFonts w:hint="eastAsia" w:cs="Times New Roman"/>
                <w:b w:val="0"/>
                <w:bCs w:val="0"/>
                <w:color w:val="auto"/>
                <w:highlight w:val="none"/>
                <w:lang w:val="en-US" w:eastAsia="zh-CN"/>
              </w:rPr>
              <w:t>达到</w:t>
            </w:r>
            <w:r>
              <w:rPr>
                <w:rFonts w:hint="default" w:ascii="Times New Roman" w:hAnsi="Times New Roman" w:cs="Times New Roman"/>
                <w:b w:val="0"/>
                <w:bCs w:val="0"/>
                <w:color w:val="auto"/>
                <w:highlight w:val="none"/>
                <w:lang w:val="en-US" w:eastAsia="zh-CN"/>
              </w:rPr>
              <w:t>《城镇污水处理厂污染物排放标准》（GB18918-2002）一级A标准</w:t>
            </w:r>
            <w:r>
              <w:rPr>
                <w:rFonts w:hint="eastAsia" w:cs="Times New Roman"/>
                <w:b w:val="0"/>
                <w:bCs w:val="0"/>
                <w:color w:val="auto"/>
                <w:highlight w:val="none"/>
                <w:lang w:val="en-US" w:eastAsia="zh-CN"/>
              </w:rPr>
              <w:t>和</w:t>
            </w:r>
            <w:r>
              <w:rPr>
                <w:rFonts w:hint="default" w:ascii="Times New Roman" w:hAnsi="Times New Roman" w:eastAsia="宋体" w:cs="Times New Roman"/>
                <w:b w:val="0"/>
                <w:bCs w:val="0"/>
                <w:color w:val="auto"/>
                <w:sz w:val="24"/>
                <w:szCs w:val="24"/>
                <w:highlight w:val="none"/>
              </w:rPr>
              <w:t>《安徽省淮河流域城镇污水处理厂和工业行业主要水污染物排放标准》（征求意见稿）中城镇污水处理厂I需执行的水质排放标准要求</w:t>
            </w:r>
            <w:r>
              <w:rPr>
                <w:rFonts w:hint="default" w:ascii="Times New Roman" w:hAnsi="Times New Roman" w:cs="Times New Roman"/>
                <w:b w:val="0"/>
                <w:bCs w:val="0"/>
                <w:color w:val="auto"/>
                <w:highlight w:val="none"/>
                <w:lang w:val="en-US" w:eastAsia="zh-CN"/>
              </w:rPr>
              <w:t>后排入</w:t>
            </w:r>
            <w:r>
              <w:rPr>
                <w:rFonts w:hint="eastAsia" w:cs="Times New Roman"/>
                <w:b w:val="0"/>
                <w:bCs w:val="0"/>
                <w:color w:val="auto"/>
                <w:highlight w:val="none"/>
                <w:lang w:val="en-US" w:eastAsia="zh-CN"/>
              </w:rPr>
              <w:t>淮河，</w:t>
            </w:r>
            <w:r>
              <w:rPr>
                <w:rFonts w:hint="default" w:ascii="Times New Roman" w:hAnsi="Times New Roman" w:cs="Times New Roman"/>
                <w:b w:val="0"/>
                <w:bCs w:val="0"/>
                <w:color w:val="auto"/>
                <w:highlight w:val="none"/>
                <w:lang w:val="en-US" w:eastAsia="zh-CN"/>
              </w:rPr>
              <w:t>标准详见下表。</w:t>
            </w:r>
          </w:p>
          <w:p w14:paraId="0CCD2A17">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8</w:t>
            </w:r>
            <w:r>
              <w:rPr>
                <w:rFonts w:hint="default" w:ascii="Times New Roman" w:hAnsi="Times New Roman" w:cs="Times New Roman"/>
                <w:color w:val="auto"/>
                <w:highlight w:val="none"/>
              </w:rPr>
              <w:t>污水排放标准（单位：mg/L，pH无量纲）</w:t>
            </w:r>
          </w:p>
          <w:tbl>
            <w:tblPr>
              <w:tblStyle w:val="26"/>
              <w:tblW w:w="8906"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Layout w:type="autofit"/>
              <w:tblCellMar>
                <w:top w:w="0" w:type="dxa"/>
                <w:left w:w="108" w:type="dxa"/>
                <w:bottom w:w="0" w:type="dxa"/>
                <w:right w:w="108" w:type="dxa"/>
              </w:tblCellMar>
            </w:tblPr>
            <w:tblGrid>
              <w:gridCol w:w="4764"/>
              <w:gridCol w:w="1060"/>
              <w:gridCol w:w="705"/>
              <w:gridCol w:w="795"/>
              <w:gridCol w:w="690"/>
              <w:gridCol w:w="892"/>
            </w:tblGrid>
            <w:tr w14:paraId="36AAD007">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454" w:hRule="atLeast"/>
                <w:jc w:val="center"/>
              </w:trPr>
              <w:tc>
                <w:tcPr>
                  <w:tcW w:w="4764" w:type="dxa"/>
                  <w:tcBorders>
                    <w:tl2br w:val="nil"/>
                    <w:tr2bl w:val="nil"/>
                  </w:tcBorders>
                  <w:noWrap w:val="0"/>
                  <w:vAlign w:val="center"/>
                </w:tcPr>
                <w:p w14:paraId="4DE20E0D">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1060" w:type="dxa"/>
                  <w:tcBorders>
                    <w:tl2br w:val="nil"/>
                    <w:tr2bl w:val="nil"/>
                  </w:tcBorders>
                  <w:noWrap w:val="0"/>
                  <w:vAlign w:val="center"/>
                </w:tcPr>
                <w:p w14:paraId="7386E427">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705" w:type="dxa"/>
                  <w:tcBorders>
                    <w:tl2br w:val="nil"/>
                    <w:tr2bl w:val="nil"/>
                  </w:tcBorders>
                  <w:noWrap w:val="0"/>
                  <w:vAlign w:val="center"/>
                </w:tcPr>
                <w:p w14:paraId="4459192A">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c>
                <w:tcPr>
                  <w:tcW w:w="795" w:type="dxa"/>
                  <w:tcBorders>
                    <w:tl2br w:val="nil"/>
                    <w:tr2bl w:val="nil"/>
                  </w:tcBorders>
                  <w:noWrap w:val="0"/>
                  <w:vAlign w:val="center"/>
                </w:tcPr>
                <w:p w14:paraId="0C1C9C18">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c>
                <w:tcPr>
                  <w:tcW w:w="690" w:type="dxa"/>
                  <w:tcBorders>
                    <w:tl2br w:val="nil"/>
                    <w:tr2bl w:val="nil"/>
                  </w:tcBorders>
                  <w:noWrap w:val="0"/>
                  <w:vAlign w:val="center"/>
                </w:tcPr>
                <w:p w14:paraId="03DCB772">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SS</w:t>
                  </w:r>
                </w:p>
              </w:tc>
              <w:tc>
                <w:tcPr>
                  <w:tcW w:w="892" w:type="dxa"/>
                  <w:tcBorders>
                    <w:tl2br w:val="nil"/>
                    <w:tr2bl w:val="nil"/>
                  </w:tcBorders>
                  <w:noWrap w:val="0"/>
                  <w:vAlign w:val="center"/>
                </w:tcPr>
                <w:p w14:paraId="7B922B1D">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r>
            <w:tr w14:paraId="58D91A8A">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454" w:hRule="atLeast"/>
                <w:jc w:val="center"/>
              </w:trPr>
              <w:tc>
                <w:tcPr>
                  <w:tcW w:w="4764" w:type="dxa"/>
                  <w:tcBorders>
                    <w:tl2br w:val="nil"/>
                    <w:tr2bl w:val="nil"/>
                  </w:tcBorders>
                  <w:noWrap w:val="0"/>
                  <w:vAlign w:val="center"/>
                </w:tcPr>
                <w:p w14:paraId="647F6433">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b w:val="0"/>
                      <w:bCs w:val="0"/>
                      <w:color w:val="auto"/>
                      <w:sz w:val="21"/>
                      <w:szCs w:val="21"/>
                      <w:highlight w:val="none"/>
                      <w:lang w:eastAsia="zh-CN"/>
                    </w:rPr>
                    <w:t>五河县经济开发区污水处理厂</w:t>
                  </w:r>
                  <w:r>
                    <w:rPr>
                      <w:rFonts w:hint="default" w:ascii="Times New Roman" w:hAnsi="Times New Roman" w:eastAsia="宋体" w:cs="Times New Roman"/>
                      <w:b w:val="0"/>
                      <w:bCs w:val="0"/>
                      <w:color w:val="auto"/>
                      <w:sz w:val="21"/>
                      <w:szCs w:val="21"/>
                      <w:highlight w:val="none"/>
                    </w:rPr>
                    <w:t>接管</w:t>
                  </w:r>
                  <w:r>
                    <w:rPr>
                      <w:rFonts w:hint="eastAsia" w:cs="Times New Roman"/>
                      <w:b w:val="0"/>
                      <w:bCs w:val="0"/>
                      <w:color w:val="auto"/>
                      <w:sz w:val="21"/>
                      <w:szCs w:val="21"/>
                      <w:highlight w:val="none"/>
                      <w:lang w:val="en-US" w:eastAsia="zh-CN"/>
                    </w:rPr>
                    <w:t>限值</w:t>
                  </w:r>
                </w:p>
              </w:tc>
              <w:tc>
                <w:tcPr>
                  <w:tcW w:w="1060" w:type="dxa"/>
                  <w:tcBorders>
                    <w:tl2br w:val="nil"/>
                    <w:tr2bl w:val="nil"/>
                  </w:tcBorders>
                  <w:noWrap w:val="0"/>
                  <w:vAlign w:val="center"/>
                </w:tcPr>
                <w:p w14:paraId="33DB1180">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6</w:t>
                  </w:r>
                  <w:r>
                    <w:rPr>
                      <w:rFonts w:hint="default" w:ascii="Times New Roman" w:hAnsi="Times New Roman" w:eastAsia="宋体"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rPr>
                    <w:t>～9</w:t>
                  </w:r>
                  <w:r>
                    <w:rPr>
                      <w:rFonts w:hint="default" w:ascii="Times New Roman" w:hAnsi="Times New Roman" w:eastAsia="宋体" w:cs="Times New Roman"/>
                      <w:b w:val="0"/>
                      <w:bCs w:val="0"/>
                      <w:color w:val="auto"/>
                      <w:sz w:val="21"/>
                      <w:szCs w:val="21"/>
                      <w:highlight w:val="none"/>
                      <w:lang w:val="en-US" w:eastAsia="zh-CN"/>
                    </w:rPr>
                    <w:t>.5</w:t>
                  </w:r>
                </w:p>
              </w:tc>
              <w:tc>
                <w:tcPr>
                  <w:tcW w:w="705" w:type="dxa"/>
                  <w:tcBorders>
                    <w:tl2br w:val="nil"/>
                    <w:tr2bl w:val="nil"/>
                  </w:tcBorders>
                  <w:noWrap w:val="0"/>
                  <w:vAlign w:val="center"/>
                </w:tcPr>
                <w:p w14:paraId="4B334868">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00</w:t>
                  </w:r>
                </w:p>
              </w:tc>
              <w:tc>
                <w:tcPr>
                  <w:tcW w:w="795" w:type="dxa"/>
                  <w:tcBorders>
                    <w:tl2br w:val="nil"/>
                    <w:tr2bl w:val="nil"/>
                  </w:tcBorders>
                  <w:noWrap w:val="0"/>
                  <w:vAlign w:val="center"/>
                </w:tcPr>
                <w:p w14:paraId="3E6951FF">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w:t>
                  </w:r>
                  <w:r>
                    <w:rPr>
                      <w:rFonts w:hint="default" w:ascii="Times New Roman" w:hAnsi="Times New Roman" w:eastAsia="宋体" w:cs="Times New Roman"/>
                      <w:b w:val="0"/>
                      <w:bCs w:val="0"/>
                      <w:color w:val="auto"/>
                      <w:sz w:val="21"/>
                      <w:szCs w:val="21"/>
                      <w:highlight w:val="none"/>
                      <w:lang w:val="en-US" w:eastAsia="zh-CN"/>
                    </w:rPr>
                    <w:t>0</w:t>
                  </w:r>
                </w:p>
              </w:tc>
              <w:tc>
                <w:tcPr>
                  <w:tcW w:w="690" w:type="dxa"/>
                  <w:tcBorders>
                    <w:tl2br w:val="nil"/>
                    <w:tr2bl w:val="nil"/>
                  </w:tcBorders>
                  <w:noWrap w:val="0"/>
                  <w:vAlign w:val="center"/>
                </w:tcPr>
                <w:p w14:paraId="0762AD2C">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w:t>
                  </w:r>
                </w:p>
              </w:tc>
              <w:tc>
                <w:tcPr>
                  <w:tcW w:w="892" w:type="dxa"/>
                  <w:tcBorders>
                    <w:tl2br w:val="nil"/>
                    <w:tr2bl w:val="nil"/>
                  </w:tcBorders>
                  <w:noWrap w:val="0"/>
                  <w:vAlign w:val="center"/>
                </w:tcPr>
                <w:p w14:paraId="5F29BDBB">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w:t>
                  </w:r>
                </w:p>
              </w:tc>
            </w:tr>
            <w:tr w14:paraId="47AF8740">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454" w:hRule="atLeast"/>
                <w:jc w:val="center"/>
              </w:trPr>
              <w:tc>
                <w:tcPr>
                  <w:tcW w:w="4764" w:type="dxa"/>
                  <w:tcBorders>
                    <w:tl2br w:val="nil"/>
                    <w:tr2bl w:val="nil"/>
                  </w:tcBorders>
                  <w:noWrap w:val="0"/>
                  <w:vAlign w:val="center"/>
                </w:tcPr>
                <w:p w14:paraId="30C36898">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b w:val="0"/>
                      <w:bCs w:val="0"/>
                      <w:color w:val="auto"/>
                      <w:sz w:val="21"/>
                      <w:szCs w:val="21"/>
                      <w:highlight w:val="none"/>
                      <w:lang w:eastAsia="zh-CN"/>
                    </w:rPr>
                  </w:pPr>
                  <w:r>
                    <w:rPr>
                      <w:rFonts w:hint="eastAsia" w:cs="Times New Roman"/>
                      <w:b w:val="0"/>
                      <w:bCs w:val="0"/>
                      <w:color w:val="auto"/>
                      <w:highlight w:val="none"/>
                      <w:lang w:val="en-US" w:eastAsia="zh-CN"/>
                    </w:rPr>
                    <w:t>《</w:t>
                  </w:r>
                  <w:r>
                    <w:rPr>
                      <w:rFonts w:hint="eastAsia" w:cs="Times New Roman"/>
                      <w:b w:val="0"/>
                      <w:bCs w:val="0"/>
                      <w:color w:val="auto"/>
                      <w:sz w:val="21"/>
                      <w:szCs w:val="21"/>
                      <w:highlight w:val="none"/>
                      <w:lang w:val="en-US" w:eastAsia="zh-CN"/>
                    </w:rPr>
                    <w:t>纺织染整工业水污染物排放标准》(GB4287-2012)表2中间接排放限值及其2015年修改单要求</w:t>
                  </w:r>
                </w:p>
              </w:tc>
              <w:tc>
                <w:tcPr>
                  <w:tcW w:w="1060" w:type="dxa"/>
                  <w:tcBorders>
                    <w:tl2br w:val="nil"/>
                    <w:tr2bl w:val="nil"/>
                  </w:tcBorders>
                  <w:noWrap w:val="0"/>
                  <w:vAlign w:val="center"/>
                </w:tcPr>
                <w:p w14:paraId="748124F9">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6-9</w:t>
                  </w:r>
                </w:p>
              </w:tc>
              <w:tc>
                <w:tcPr>
                  <w:tcW w:w="705" w:type="dxa"/>
                  <w:tcBorders>
                    <w:tl2br w:val="nil"/>
                    <w:tr2bl w:val="nil"/>
                  </w:tcBorders>
                  <w:noWrap w:val="0"/>
                  <w:vAlign w:val="center"/>
                </w:tcPr>
                <w:p w14:paraId="1FDC31C8">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w:t>
                  </w:r>
                </w:p>
              </w:tc>
              <w:tc>
                <w:tcPr>
                  <w:tcW w:w="795" w:type="dxa"/>
                  <w:tcBorders>
                    <w:tl2br w:val="nil"/>
                    <w:tr2bl w:val="nil"/>
                  </w:tcBorders>
                  <w:noWrap w:val="0"/>
                  <w:vAlign w:val="center"/>
                </w:tcPr>
                <w:p w14:paraId="6FB21D3A">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w:t>
                  </w:r>
                </w:p>
              </w:tc>
              <w:tc>
                <w:tcPr>
                  <w:tcW w:w="690" w:type="dxa"/>
                  <w:tcBorders>
                    <w:tl2br w:val="nil"/>
                    <w:tr2bl w:val="nil"/>
                  </w:tcBorders>
                  <w:noWrap w:val="0"/>
                  <w:vAlign w:val="center"/>
                </w:tcPr>
                <w:p w14:paraId="115D7A14">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100</w:t>
                  </w:r>
                </w:p>
              </w:tc>
              <w:tc>
                <w:tcPr>
                  <w:tcW w:w="892" w:type="dxa"/>
                  <w:tcBorders>
                    <w:tl2br w:val="nil"/>
                    <w:tr2bl w:val="nil"/>
                  </w:tcBorders>
                  <w:noWrap w:val="0"/>
                  <w:vAlign w:val="center"/>
                </w:tcPr>
                <w:p w14:paraId="17A807AD">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w:t>
                  </w:r>
                </w:p>
              </w:tc>
            </w:tr>
            <w:tr w14:paraId="2EA2CCF4">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454" w:hRule="atLeast"/>
                <w:jc w:val="center"/>
              </w:trPr>
              <w:tc>
                <w:tcPr>
                  <w:tcW w:w="4764" w:type="dxa"/>
                  <w:tcBorders>
                    <w:tl2br w:val="nil"/>
                    <w:tr2bl w:val="nil"/>
                  </w:tcBorders>
                  <w:noWrap w:val="0"/>
                  <w:vAlign w:val="center"/>
                </w:tcPr>
                <w:p w14:paraId="30FEBFE3">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《污水综合排放标准》（GB8978-1996）表4中三级标准排放限值</w:t>
                  </w:r>
                </w:p>
              </w:tc>
              <w:tc>
                <w:tcPr>
                  <w:tcW w:w="1060" w:type="dxa"/>
                  <w:tcBorders>
                    <w:tl2br w:val="nil"/>
                    <w:tr2bl w:val="nil"/>
                  </w:tcBorders>
                  <w:noWrap w:val="0"/>
                  <w:vAlign w:val="center"/>
                </w:tcPr>
                <w:p w14:paraId="77B6B42C">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6-9</w:t>
                  </w:r>
                </w:p>
              </w:tc>
              <w:tc>
                <w:tcPr>
                  <w:tcW w:w="705" w:type="dxa"/>
                  <w:tcBorders>
                    <w:tl2br w:val="nil"/>
                    <w:tr2bl w:val="nil"/>
                  </w:tcBorders>
                  <w:noWrap w:val="0"/>
                  <w:vAlign w:val="center"/>
                </w:tcPr>
                <w:p w14:paraId="771D97EF">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500</w:t>
                  </w:r>
                </w:p>
              </w:tc>
              <w:tc>
                <w:tcPr>
                  <w:tcW w:w="795" w:type="dxa"/>
                  <w:tcBorders>
                    <w:tl2br w:val="nil"/>
                    <w:tr2bl w:val="nil"/>
                  </w:tcBorders>
                  <w:noWrap w:val="0"/>
                  <w:vAlign w:val="center"/>
                </w:tcPr>
                <w:p w14:paraId="454A0D30">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300</w:t>
                  </w:r>
                </w:p>
              </w:tc>
              <w:tc>
                <w:tcPr>
                  <w:tcW w:w="690" w:type="dxa"/>
                  <w:tcBorders>
                    <w:tl2br w:val="nil"/>
                    <w:tr2bl w:val="nil"/>
                  </w:tcBorders>
                  <w:noWrap w:val="0"/>
                  <w:vAlign w:val="center"/>
                </w:tcPr>
                <w:p w14:paraId="3661D717">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400</w:t>
                  </w:r>
                </w:p>
              </w:tc>
              <w:tc>
                <w:tcPr>
                  <w:tcW w:w="892" w:type="dxa"/>
                  <w:tcBorders>
                    <w:tl2br w:val="nil"/>
                    <w:tr2bl w:val="nil"/>
                  </w:tcBorders>
                  <w:noWrap w:val="0"/>
                  <w:vAlign w:val="center"/>
                </w:tcPr>
                <w:p w14:paraId="4C3A93CD">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w:t>
                  </w:r>
                </w:p>
              </w:tc>
            </w:tr>
            <w:tr w14:paraId="270775D7">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454" w:hRule="atLeast"/>
                <w:jc w:val="center"/>
              </w:trPr>
              <w:tc>
                <w:tcPr>
                  <w:tcW w:w="4764" w:type="dxa"/>
                  <w:tcBorders>
                    <w:tl2br w:val="nil"/>
                    <w:tr2bl w:val="nil"/>
                  </w:tcBorders>
                  <w:noWrap w:val="0"/>
                  <w:vAlign w:val="center"/>
                </w:tcPr>
                <w:p w14:paraId="27495AA8">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本项目</w:t>
                  </w:r>
                  <w:r>
                    <w:rPr>
                      <w:rFonts w:hint="eastAsia" w:cs="Times New Roman"/>
                      <w:b w:val="0"/>
                      <w:bCs w:val="0"/>
                      <w:color w:val="auto"/>
                      <w:sz w:val="21"/>
                      <w:szCs w:val="21"/>
                      <w:highlight w:val="none"/>
                      <w:lang w:val="en-US" w:eastAsia="zh-CN"/>
                    </w:rPr>
                    <w:t>生活废水</w:t>
                  </w:r>
                  <w:r>
                    <w:rPr>
                      <w:rFonts w:hint="default" w:ascii="Times New Roman" w:hAnsi="Times New Roman" w:eastAsia="宋体" w:cs="Times New Roman"/>
                      <w:b w:val="0"/>
                      <w:bCs w:val="0"/>
                      <w:color w:val="auto"/>
                      <w:sz w:val="21"/>
                      <w:szCs w:val="21"/>
                      <w:highlight w:val="none"/>
                      <w:lang w:eastAsia="zh-CN"/>
                    </w:rPr>
                    <w:t>执行标准</w:t>
                  </w:r>
                </w:p>
              </w:tc>
              <w:tc>
                <w:tcPr>
                  <w:tcW w:w="1060" w:type="dxa"/>
                  <w:tcBorders>
                    <w:tl2br w:val="nil"/>
                    <w:tr2bl w:val="nil"/>
                  </w:tcBorders>
                  <w:noWrap w:val="0"/>
                  <w:vAlign w:val="center"/>
                </w:tcPr>
                <w:p w14:paraId="402412CD">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6～9</w:t>
                  </w:r>
                </w:p>
              </w:tc>
              <w:tc>
                <w:tcPr>
                  <w:tcW w:w="705" w:type="dxa"/>
                  <w:tcBorders>
                    <w:tl2br w:val="nil"/>
                    <w:tr2bl w:val="nil"/>
                  </w:tcBorders>
                  <w:noWrap w:val="0"/>
                  <w:vAlign w:val="center"/>
                </w:tcPr>
                <w:p w14:paraId="3B9CBE3F">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350</w:t>
                  </w:r>
                </w:p>
              </w:tc>
              <w:tc>
                <w:tcPr>
                  <w:tcW w:w="795" w:type="dxa"/>
                  <w:tcBorders>
                    <w:tl2br w:val="nil"/>
                    <w:tr2bl w:val="nil"/>
                  </w:tcBorders>
                  <w:noWrap w:val="0"/>
                  <w:vAlign w:val="center"/>
                </w:tcPr>
                <w:p w14:paraId="2B91393F">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w:t>
                  </w:r>
                  <w:r>
                    <w:rPr>
                      <w:rFonts w:hint="default" w:ascii="Times New Roman" w:hAnsi="Times New Roman" w:eastAsia="宋体" w:cs="Times New Roman"/>
                      <w:b w:val="0"/>
                      <w:bCs w:val="0"/>
                      <w:color w:val="auto"/>
                      <w:sz w:val="21"/>
                      <w:szCs w:val="21"/>
                      <w:highlight w:val="none"/>
                      <w:lang w:val="en-US" w:eastAsia="zh-CN"/>
                    </w:rPr>
                    <w:t>0</w:t>
                  </w:r>
                </w:p>
              </w:tc>
              <w:tc>
                <w:tcPr>
                  <w:tcW w:w="690" w:type="dxa"/>
                  <w:tcBorders>
                    <w:tl2br w:val="nil"/>
                    <w:tr2bl w:val="nil"/>
                  </w:tcBorders>
                  <w:noWrap w:val="0"/>
                  <w:vAlign w:val="center"/>
                </w:tcPr>
                <w:p w14:paraId="54CDF350">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00</w:t>
                  </w:r>
                </w:p>
              </w:tc>
              <w:tc>
                <w:tcPr>
                  <w:tcW w:w="892" w:type="dxa"/>
                  <w:tcBorders>
                    <w:tl2br w:val="nil"/>
                    <w:tr2bl w:val="nil"/>
                  </w:tcBorders>
                  <w:noWrap w:val="0"/>
                  <w:vAlign w:val="center"/>
                </w:tcPr>
                <w:p w14:paraId="5CAFF2F3">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w:t>
                  </w:r>
                </w:p>
              </w:tc>
            </w:tr>
            <w:tr w14:paraId="390D85B0">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454" w:hRule="atLeast"/>
                <w:jc w:val="center"/>
              </w:trPr>
              <w:tc>
                <w:tcPr>
                  <w:tcW w:w="4764" w:type="dxa"/>
                  <w:tcBorders>
                    <w:tl2br w:val="nil"/>
                    <w:tr2bl w:val="nil"/>
                  </w:tcBorders>
                  <w:noWrap w:val="0"/>
                  <w:vAlign w:val="center"/>
                </w:tcPr>
                <w:p w14:paraId="2045C9DE">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本项目</w:t>
                  </w:r>
                  <w:r>
                    <w:rPr>
                      <w:rFonts w:hint="eastAsia" w:cs="Times New Roman"/>
                      <w:b w:val="0"/>
                      <w:bCs w:val="0"/>
                      <w:color w:val="auto"/>
                      <w:sz w:val="21"/>
                      <w:szCs w:val="21"/>
                      <w:highlight w:val="none"/>
                      <w:lang w:val="en-US" w:eastAsia="zh-CN"/>
                    </w:rPr>
                    <w:t>生产废水</w:t>
                  </w:r>
                  <w:r>
                    <w:rPr>
                      <w:rFonts w:hint="default" w:ascii="Times New Roman" w:hAnsi="Times New Roman" w:eastAsia="宋体" w:cs="Times New Roman"/>
                      <w:b w:val="0"/>
                      <w:bCs w:val="0"/>
                      <w:color w:val="auto"/>
                      <w:sz w:val="21"/>
                      <w:szCs w:val="21"/>
                      <w:highlight w:val="none"/>
                      <w:lang w:eastAsia="zh-CN"/>
                    </w:rPr>
                    <w:t>执行标准</w:t>
                  </w:r>
                </w:p>
              </w:tc>
              <w:tc>
                <w:tcPr>
                  <w:tcW w:w="1060" w:type="dxa"/>
                  <w:tcBorders>
                    <w:tl2br w:val="nil"/>
                    <w:tr2bl w:val="nil"/>
                  </w:tcBorders>
                  <w:noWrap w:val="0"/>
                  <w:vAlign w:val="center"/>
                </w:tcPr>
                <w:p w14:paraId="5958CBB1">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6-9</w:t>
                  </w:r>
                </w:p>
              </w:tc>
              <w:tc>
                <w:tcPr>
                  <w:tcW w:w="705" w:type="dxa"/>
                  <w:tcBorders>
                    <w:tl2br w:val="nil"/>
                    <w:tr2bl w:val="nil"/>
                  </w:tcBorders>
                  <w:noWrap w:val="0"/>
                  <w:vAlign w:val="center"/>
                </w:tcPr>
                <w:p w14:paraId="7EE31E93">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w:t>
                  </w:r>
                </w:p>
              </w:tc>
              <w:tc>
                <w:tcPr>
                  <w:tcW w:w="795" w:type="dxa"/>
                  <w:tcBorders>
                    <w:tl2br w:val="nil"/>
                    <w:tr2bl w:val="nil"/>
                  </w:tcBorders>
                  <w:noWrap w:val="0"/>
                  <w:vAlign w:val="center"/>
                </w:tcPr>
                <w:p w14:paraId="520498D4">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w:t>
                  </w:r>
                </w:p>
              </w:tc>
              <w:tc>
                <w:tcPr>
                  <w:tcW w:w="690" w:type="dxa"/>
                  <w:tcBorders>
                    <w:tl2br w:val="nil"/>
                    <w:tr2bl w:val="nil"/>
                  </w:tcBorders>
                  <w:noWrap w:val="0"/>
                  <w:vAlign w:val="center"/>
                </w:tcPr>
                <w:p w14:paraId="119010C3">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100</w:t>
                  </w:r>
                </w:p>
              </w:tc>
              <w:tc>
                <w:tcPr>
                  <w:tcW w:w="892" w:type="dxa"/>
                  <w:tcBorders>
                    <w:tl2br w:val="nil"/>
                    <w:tr2bl w:val="nil"/>
                  </w:tcBorders>
                  <w:noWrap w:val="0"/>
                  <w:vAlign w:val="center"/>
                </w:tcPr>
                <w:p w14:paraId="2EADCB8A">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w:t>
                  </w:r>
                </w:p>
              </w:tc>
            </w:tr>
            <w:tr w14:paraId="397F69AA">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454" w:hRule="atLeast"/>
                <w:jc w:val="center"/>
              </w:trPr>
              <w:tc>
                <w:tcPr>
                  <w:tcW w:w="4764" w:type="dxa"/>
                  <w:tcBorders>
                    <w:tl2br w:val="nil"/>
                    <w:tr2bl w:val="nil"/>
                  </w:tcBorders>
                  <w:noWrap w:val="0"/>
                  <w:vAlign w:val="center"/>
                </w:tcPr>
                <w:p w14:paraId="0D01371C">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《城镇污水处理厂污染物排放标准》（GB18918-2002）一级标准中A类标准</w:t>
                  </w:r>
                </w:p>
              </w:tc>
              <w:tc>
                <w:tcPr>
                  <w:tcW w:w="1060" w:type="dxa"/>
                  <w:tcBorders>
                    <w:tl2br w:val="nil"/>
                    <w:tr2bl w:val="nil"/>
                  </w:tcBorders>
                  <w:noWrap w:val="0"/>
                  <w:vAlign w:val="center"/>
                </w:tcPr>
                <w:p w14:paraId="23202257">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6～9</w:t>
                  </w:r>
                </w:p>
              </w:tc>
              <w:tc>
                <w:tcPr>
                  <w:tcW w:w="705" w:type="dxa"/>
                  <w:tcBorders>
                    <w:tl2br w:val="nil"/>
                    <w:tr2bl w:val="nil"/>
                  </w:tcBorders>
                  <w:noWrap w:val="0"/>
                  <w:vAlign w:val="center"/>
                </w:tcPr>
                <w:p w14:paraId="079F76F9">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50</w:t>
                  </w:r>
                </w:p>
              </w:tc>
              <w:tc>
                <w:tcPr>
                  <w:tcW w:w="795" w:type="dxa"/>
                  <w:tcBorders>
                    <w:tl2br w:val="nil"/>
                    <w:tr2bl w:val="nil"/>
                  </w:tcBorders>
                  <w:noWrap w:val="0"/>
                  <w:vAlign w:val="center"/>
                </w:tcPr>
                <w:p w14:paraId="0081C981">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690" w:type="dxa"/>
                  <w:tcBorders>
                    <w:tl2br w:val="nil"/>
                    <w:tr2bl w:val="nil"/>
                  </w:tcBorders>
                  <w:noWrap w:val="0"/>
                  <w:vAlign w:val="center"/>
                </w:tcPr>
                <w:p w14:paraId="4BBAB588">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10</w:t>
                  </w:r>
                </w:p>
              </w:tc>
              <w:tc>
                <w:tcPr>
                  <w:tcW w:w="892" w:type="dxa"/>
                  <w:tcBorders>
                    <w:tl2br w:val="nil"/>
                    <w:tr2bl w:val="nil"/>
                  </w:tcBorders>
                  <w:noWrap w:val="0"/>
                  <w:vAlign w:val="center"/>
                </w:tcPr>
                <w:p w14:paraId="1867D84D">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5（8）*</w:t>
                  </w:r>
                </w:p>
              </w:tc>
            </w:tr>
            <w:tr w14:paraId="5D0A1ECA">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454" w:hRule="atLeast"/>
                <w:jc w:val="center"/>
              </w:trPr>
              <w:tc>
                <w:tcPr>
                  <w:tcW w:w="4764" w:type="dxa"/>
                  <w:tcBorders>
                    <w:tl2br w:val="nil"/>
                    <w:tr2bl w:val="nil"/>
                  </w:tcBorders>
                  <w:noWrap w:val="0"/>
                  <w:vAlign w:val="center"/>
                </w:tcPr>
                <w:p w14:paraId="69B46A2E">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《安徽省淮河流域城镇污水处理厂和工业行业主要水污染物排放标准》（征求意见稿）中城镇污水处理厂I需执行的水质排放标准要求</w:t>
                  </w:r>
                </w:p>
              </w:tc>
              <w:tc>
                <w:tcPr>
                  <w:tcW w:w="1060" w:type="dxa"/>
                  <w:tcBorders>
                    <w:tl2br w:val="nil"/>
                    <w:tr2bl w:val="nil"/>
                  </w:tcBorders>
                  <w:noWrap w:val="0"/>
                  <w:vAlign w:val="center"/>
                </w:tcPr>
                <w:p w14:paraId="02626733">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6～9</w:t>
                  </w:r>
                </w:p>
              </w:tc>
              <w:tc>
                <w:tcPr>
                  <w:tcW w:w="705" w:type="dxa"/>
                  <w:tcBorders>
                    <w:tl2br w:val="nil"/>
                    <w:tr2bl w:val="nil"/>
                  </w:tcBorders>
                  <w:noWrap w:val="0"/>
                  <w:vAlign w:val="center"/>
                </w:tcPr>
                <w:p w14:paraId="652B5778">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40</w:t>
                  </w:r>
                </w:p>
              </w:tc>
              <w:tc>
                <w:tcPr>
                  <w:tcW w:w="795" w:type="dxa"/>
                  <w:tcBorders>
                    <w:tl2br w:val="nil"/>
                    <w:tr2bl w:val="nil"/>
                  </w:tcBorders>
                  <w:noWrap w:val="0"/>
                  <w:vAlign w:val="center"/>
                </w:tcPr>
                <w:p w14:paraId="48F60CE8">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p>
              </w:tc>
              <w:tc>
                <w:tcPr>
                  <w:tcW w:w="690" w:type="dxa"/>
                  <w:tcBorders>
                    <w:tl2br w:val="nil"/>
                    <w:tr2bl w:val="nil"/>
                  </w:tcBorders>
                  <w:noWrap w:val="0"/>
                  <w:vAlign w:val="center"/>
                </w:tcPr>
                <w:p w14:paraId="31E327F0">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p>
              </w:tc>
              <w:tc>
                <w:tcPr>
                  <w:tcW w:w="892" w:type="dxa"/>
                  <w:tcBorders>
                    <w:tl2br w:val="nil"/>
                    <w:tr2bl w:val="nil"/>
                  </w:tcBorders>
                  <w:noWrap w:val="0"/>
                  <w:vAlign w:val="center"/>
                </w:tcPr>
                <w:p w14:paraId="4F69D424">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2（3）</w:t>
                  </w:r>
                  <w:r>
                    <w:rPr>
                      <w:rFonts w:hint="default" w:ascii="Times New Roman" w:hAnsi="Times New Roman" w:eastAsia="宋体" w:cs="Times New Roman"/>
                      <w:b w:val="0"/>
                      <w:bCs w:val="0"/>
                      <w:color w:val="auto"/>
                      <w:sz w:val="21"/>
                      <w:szCs w:val="21"/>
                      <w:highlight w:val="none"/>
                      <w:lang w:val="en-US" w:eastAsia="zh-CN"/>
                    </w:rPr>
                    <w:t>*</w:t>
                  </w:r>
                </w:p>
              </w:tc>
            </w:tr>
          </w:tbl>
          <w:p w14:paraId="5CFE3197">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eastAsia="宋体"/>
                <w:color w:val="auto"/>
                <w:highlight w:val="none"/>
                <w:lang w:val="en-US" w:eastAsia="zh-CN"/>
              </w:rPr>
            </w:pPr>
            <w:r>
              <w:rPr>
                <w:rFonts w:hint="default" w:ascii="Times New Roman" w:hAnsi="Times New Roman" w:cs="Times New Roman"/>
                <w:b w:val="0"/>
                <w:bCs w:val="0"/>
                <w:color w:val="auto"/>
                <w:sz w:val="21"/>
                <w:szCs w:val="21"/>
                <w:highlight w:val="none"/>
                <w:lang w:val="en-US" w:eastAsia="zh-CN"/>
              </w:rPr>
              <w:t>注：*括号外数值为水温&gt;12</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时的控制指标，括号内数值为水温≤12</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时的控制指标。</w:t>
            </w:r>
          </w:p>
          <w:p w14:paraId="40224A36">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项目生产废水经厂区一体化污水处理设施收集处理后回用于生产，回用水</w:t>
            </w:r>
            <w:r>
              <w:rPr>
                <w:rFonts w:hint="default" w:ascii="Times New Roman" w:hAnsi="Times New Roman" w:eastAsia="宋体" w:cs="Times New Roman"/>
                <w:b w:val="0"/>
                <w:bCs w:val="0"/>
                <w:color w:val="auto"/>
                <w:highlight w:val="none"/>
                <w:lang w:val="en-US" w:eastAsia="zh-CN"/>
              </w:rPr>
              <w:t>执行</w:t>
            </w:r>
            <w:r>
              <w:rPr>
                <w:rFonts w:hint="eastAsia" w:ascii="Times New Roman" w:hAnsi="Times New Roman" w:eastAsia="宋体" w:cs="Times New Roman"/>
                <w:b w:val="0"/>
                <w:bCs w:val="0"/>
                <w:color w:val="auto"/>
                <w:highlight w:val="none"/>
                <w:lang w:val="en-US" w:eastAsia="zh-CN"/>
              </w:rPr>
              <w:t>的标准为《城市污水再生利用 工业用水水质》GB/T 19923-2024表1限值。具体标准值见下表。</w:t>
            </w:r>
          </w:p>
          <w:p w14:paraId="70B564CF">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9</w:t>
            </w:r>
            <w:r>
              <w:rPr>
                <w:rFonts w:hint="eastAsia" w:ascii="Times New Roman" w:hAnsi="Times New Roman" w:cs="Times New Roman"/>
                <w:color w:val="auto"/>
                <w:highlight w:val="none"/>
                <w:lang w:val="en-US" w:eastAsia="zh-CN"/>
              </w:rPr>
              <w:t>废水回用</w:t>
            </w:r>
            <w:r>
              <w:rPr>
                <w:rFonts w:hint="default" w:ascii="Times New Roman" w:hAnsi="Times New Roman" w:cs="Times New Roman"/>
                <w:color w:val="auto"/>
                <w:highlight w:val="none"/>
              </w:rPr>
              <w:t>标准（单位：mg/L，pH无量纲）</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70"/>
              <w:gridCol w:w="3952"/>
              <w:gridCol w:w="3496"/>
            </w:tblGrid>
            <w:tr w14:paraId="21290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16" w:type="pct"/>
                  <w:noWrap w:val="0"/>
                  <w:vAlign w:val="center"/>
                </w:tcPr>
                <w:p w14:paraId="20C59237">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序号</w:t>
                  </w:r>
                </w:p>
              </w:tc>
              <w:tc>
                <w:tcPr>
                  <w:tcW w:w="2166" w:type="pct"/>
                  <w:noWrap w:val="0"/>
                  <w:vAlign w:val="center"/>
                </w:tcPr>
                <w:p w14:paraId="178FA97D">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控制项目</w:t>
                  </w:r>
                </w:p>
              </w:tc>
              <w:tc>
                <w:tcPr>
                  <w:tcW w:w="1916" w:type="pct"/>
                  <w:noWrap w:val="0"/>
                  <w:vAlign w:val="center"/>
                </w:tcPr>
                <w:p w14:paraId="18E5A68A">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限值</w:t>
                  </w:r>
                </w:p>
              </w:tc>
            </w:tr>
            <w:tr w14:paraId="13662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16" w:type="pct"/>
                  <w:noWrap w:val="0"/>
                  <w:vAlign w:val="center"/>
                </w:tcPr>
                <w:p w14:paraId="6EF2D30C">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c>
                <w:tcPr>
                  <w:tcW w:w="2166" w:type="pct"/>
                  <w:noWrap w:val="0"/>
                  <w:vAlign w:val="center"/>
                </w:tcPr>
                <w:p w14:paraId="79CB0A2B">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pH</w:t>
                  </w:r>
                </w:p>
              </w:tc>
              <w:tc>
                <w:tcPr>
                  <w:tcW w:w="1916" w:type="pct"/>
                  <w:noWrap w:val="0"/>
                  <w:vAlign w:val="center"/>
                </w:tcPr>
                <w:p w14:paraId="2E5405E4">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50</w:t>
                  </w:r>
                </w:p>
              </w:tc>
            </w:tr>
            <w:tr w14:paraId="22806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16" w:type="pct"/>
                  <w:noWrap w:val="0"/>
                  <w:vAlign w:val="center"/>
                </w:tcPr>
                <w:p w14:paraId="009A65BB">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2166" w:type="pct"/>
                  <w:noWrap w:val="0"/>
                  <w:vAlign w:val="center"/>
                </w:tcPr>
                <w:p w14:paraId="1321252C">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COD</w:t>
                  </w:r>
                </w:p>
              </w:tc>
              <w:tc>
                <w:tcPr>
                  <w:tcW w:w="1916" w:type="pct"/>
                  <w:noWrap w:val="0"/>
                  <w:vAlign w:val="center"/>
                </w:tcPr>
                <w:p w14:paraId="715D2F67">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50</w:t>
                  </w:r>
                </w:p>
              </w:tc>
            </w:tr>
            <w:tr w14:paraId="1A959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16" w:type="pct"/>
                  <w:noWrap w:val="0"/>
                  <w:vAlign w:val="center"/>
                </w:tcPr>
                <w:p w14:paraId="0D63313C">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w:t>
                  </w:r>
                </w:p>
              </w:tc>
              <w:tc>
                <w:tcPr>
                  <w:tcW w:w="2166" w:type="pct"/>
                  <w:noWrap w:val="0"/>
                  <w:vAlign w:val="center"/>
                </w:tcPr>
                <w:p w14:paraId="11E517D0">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BOD5</w:t>
                  </w:r>
                </w:p>
              </w:tc>
              <w:tc>
                <w:tcPr>
                  <w:tcW w:w="1916" w:type="pct"/>
                  <w:noWrap w:val="0"/>
                  <w:vAlign w:val="center"/>
                </w:tcPr>
                <w:p w14:paraId="1A393D6A">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r>
            <w:tr w14:paraId="5745A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16" w:type="pct"/>
                  <w:noWrap w:val="0"/>
                  <w:vAlign w:val="center"/>
                </w:tcPr>
                <w:p w14:paraId="2C816F58">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2166" w:type="pct"/>
                  <w:noWrap w:val="0"/>
                  <w:vAlign w:val="center"/>
                </w:tcPr>
                <w:p w14:paraId="7C3507B9">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氨氮</w:t>
                  </w:r>
                </w:p>
              </w:tc>
              <w:tc>
                <w:tcPr>
                  <w:tcW w:w="1916" w:type="pct"/>
                  <w:noWrap w:val="0"/>
                  <w:vAlign w:val="center"/>
                </w:tcPr>
                <w:p w14:paraId="31FEF402">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w:t>
                  </w:r>
                </w:p>
              </w:tc>
            </w:tr>
            <w:tr w14:paraId="21DCC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16" w:type="pct"/>
                  <w:noWrap w:val="0"/>
                  <w:vAlign w:val="center"/>
                </w:tcPr>
                <w:p w14:paraId="3487CF67">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w:t>
                  </w:r>
                </w:p>
              </w:tc>
              <w:tc>
                <w:tcPr>
                  <w:tcW w:w="2166" w:type="pct"/>
                  <w:noWrap w:val="0"/>
                  <w:vAlign w:val="center"/>
                </w:tcPr>
                <w:p w14:paraId="2AC699FE">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石油类</w:t>
                  </w:r>
                </w:p>
              </w:tc>
              <w:tc>
                <w:tcPr>
                  <w:tcW w:w="1916" w:type="pct"/>
                  <w:noWrap w:val="0"/>
                  <w:vAlign w:val="center"/>
                </w:tcPr>
                <w:p w14:paraId="58A61468">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r>
          </w:tbl>
          <w:p w14:paraId="1E552452">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3、噪声排放标准</w:t>
            </w:r>
          </w:p>
          <w:p w14:paraId="090B38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rPr>
            </w:pPr>
            <w:r>
              <w:rPr>
                <w:rFonts w:hint="eastAsia" w:ascii="Times New Roman" w:hAnsi="Times New Roman" w:eastAsia="宋体" w:cs="宋体"/>
                <w:color w:val="auto"/>
                <w:kern w:val="0"/>
                <w:sz w:val="24"/>
                <w:szCs w:val="24"/>
                <w:lang w:val="en-US" w:eastAsia="zh-CN" w:bidi="ar"/>
              </w:rPr>
              <w:t>施工期</w:t>
            </w:r>
            <w:r>
              <w:rPr>
                <w:rFonts w:hint="default" w:ascii="Times New Roman" w:hAnsi="Times New Roman" w:eastAsia="宋体" w:cs="宋体"/>
                <w:color w:val="auto"/>
                <w:kern w:val="0"/>
                <w:sz w:val="24"/>
                <w:szCs w:val="24"/>
                <w:lang w:val="en-US" w:eastAsia="zh-CN" w:bidi="ar"/>
              </w:rPr>
              <w:t>厂界噪声</w:t>
            </w:r>
            <w:r>
              <w:rPr>
                <w:rFonts w:hint="eastAsia" w:ascii="Times New Roman" w:hAnsi="Times New Roman" w:eastAsia="宋体" w:cs="宋体"/>
                <w:color w:val="auto"/>
                <w:kern w:val="0"/>
                <w:sz w:val="24"/>
                <w:szCs w:val="24"/>
                <w:lang w:val="en-US" w:eastAsia="zh-CN" w:bidi="ar"/>
              </w:rPr>
              <w:t>执行《建筑施工场界环境噪声排放标准》</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宋体"/>
                <w:color w:val="auto"/>
                <w:kern w:val="0"/>
                <w:sz w:val="24"/>
                <w:szCs w:val="24"/>
                <w:lang w:val="en-US" w:eastAsia="zh-CN" w:bidi="ar"/>
              </w:rPr>
              <w:t>GB 12523-2011</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宋体"/>
                <w:color w:val="auto"/>
                <w:kern w:val="0"/>
                <w:sz w:val="24"/>
                <w:szCs w:val="24"/>
                <w:lang w:val="en-US" w:eastAsia="zh-CN" w:bidi="ar"/>
              </w:rPr>
              <w:t>；</w:t>
            </w:r>
            <w:r>
              <w:rPr>
                <w:rFonts w:hint="default"/>
                <w:b w:val="0"/>
                <w:bCs w:val="0"/>
                <w:color w:val="auto"/>
                <w:highlight w:val="none"/>
              </w:rPr>
              <w:t>营运期厂界噪声排放执行《工业企业厂界环境噪声排放标准》（GB12348-2008）中3类标准限值</w:t>
            </w:r>
            <w:r>
              <w:rPr>
                <w:rFonts w:hint="default"/>
                <w:b w:val="0"/>
                <w:bCs w:val="0"/>
                <w:color w:val="auto"/>
                <w:highlight w:val="none"/>
                <w:lang w:eastAsia="zh-CN"/>
              </w:rPr>
              <w:t>；具体内容见下表。</w:t>
            </w:r>
          </w:p>
          <w:p w14:paraId="70DDBD65">
            <w:pPr>
              <w:keepNext w:val="0"/>
              <w:keepLines w:val="0"/>
              <w:widowControl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表3-10 项目施工期噪声排放执行标准</w:t>
            </w:r>
          </w:p>
          <w:tbl>
            <w:tblPr>
              <w:tblStyle w:val="26"/>
              <w:tblW w:w="85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231"/>
              <w:gridCol w:w="1701"/>
              <w:gridCol w:w="1814"/>
              <w:gridCol w:w="1814"/>
            </w:tblGrid>
            <w:tr w14:paraId="548B7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31" w:type="dxa"/>
                  <w:noWrap w:val="0"/>
                  <w:vAlign w:val="center"/>
                </w:tcPr>
                <w:p w14:paraId="6C55CB5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标准来源</w:t>
                  </w:r>
                </w:p>
              </w:tc>
              <w:tc>
                <w:tcPr>
                  <w:tcW w:w="1701" w:type="dxa"/>
                  <w:noWrap w:val="0"/>
                  <w:vAlign w:val="center"/>
                </w:tcPr>
                <w:p w14:paraId="37224C3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单位</w:t>
                  </w:r>
                </w:p>
              </w:tc>
              <w:tc>
                <w:tcPr>
                  <w:tcW w:w="1814" w:type="dxa"/>
                  <w:noWrap w:val="0"/>
                  <w:vAlign w:val="center"/>
                </w:tcPr>
                <w:p w14:paraId="6664F6F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昼间</w:t>
                  </w:r>
                </w:p>
              </w:tc>
              <w:tc>
                <w:tcPr>
                  <w:tcW w:w="1814" w:type="dxa"/>
                  <w:noWrap w:val="0"/>
                  <w:vAlign w:val="center"/>
                </w:tcPr>
                <w:p w14:paraId="6D4EC01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夜间</w:t>
                  </w:r>
                </w:p>
              </w:tc>
            </w:tr>
            <w:tr w14:paraId="23C8A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3231" w:type="dxa"/>
                  <w:noWrap w:val="0"/>
                  <w:vAlign w:val="center"/>
                </w:tcPr>
                <w:p w14:paraId="6DDD916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kern w:val="2"/>
                      <w:sz w:val="21"/>
                      <w:szCs w:val="24"/>
                      <w:lang w:val="en-US" w:eastAsia="zh-CN" w:bidi="ar-SA"/>
                    </w:rPr>
                  </w:pPr>
                  <w:r>
                    <w:rPr>
                      <w:rFonts w:hint="eastAsia" w:ascii="Times New Roman" w:hAnsi="Times New Roman" w:eastAsia="宋体" w:cs="Times New Roman"/>
                      <w:b w:val="0"/>
                      <w:bCs/>
                      <w:kern w:val="2"/>
                      <w:sz w:val="21"/>
                      <w:szCs w:val="24"/>
                      <w:lang w:val="en-US" w:eastAsia="zh-CN" w:bidi="ar-SA"/>
                    </w:rPr>
                    <w:t>《建筑施工场界环境噪声排放标准》(GB12523-2011)</w:t>
                  </w:r>
                </w:p>
              </w:tc>
              <w:tc>
                <w:tcPr>
                  <w:tcW w:w="1701" w:type="dxa"/>
                  <w:noWrap w:val="0"/>
                  <w:vAlign w:val="center"/>
                </w:tcPr>
                <w:p w14:paraId="6562194C">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kern w:val="2"/>
                      <w:sz w:val="21"/>
                      <w:szCs w:val="24"/>
                      <w:lang w:val="en-US" w:eastAsia="zh-CN" w:bidi="ar-SA"/>
                    </w:rPr>
                  </w:pPr>
                  <w:r>
                    <w:rPr>
                      <w:rFonts w:hint="default" w:ascii="Times New Roman" w:hAnsi="Times New Roman" w:eastAsia="宋体" w:cs="Times New Roman"/>
                      <w:b w:val="0"/>
                      <w:bCs/>
                      <w:kern w:val="2"/>
                      <w:sz w:val="21"/>
                      <w:szCs w:val="24"/>
                      <w:lang w:val="en-US" w:eastAsia="zh-CN" w:bidi="ar-SA"/>
                    </w:rPr>
                    <w:t>dB</w:t>
                  </w:r>
                  <w:r>
                    <w:rPr>
                      <w:rFonts w:hint="eastAsia" w:ascii="Times New Roman" w:hAnsi="Times New Roman" w:eastAsia="宋体" w:cs="Times New Roman"/>
                      <w:b w:val="0"/>
                      <w:bCs/>
                      <w:kern w:val="2"/>
                      <w:sz w:val="21"/>
                      <w:szCs w:val="24"/>
                      <w:lang w:val="en-US" w:eastAsia="zh-CN" w:bidi="ar-SA"/>
                    </w:rPr>
                    <w:t>（</w:t>
                  </w:r>
                  <w:r>
                    <w:rPr>
                      <w:rFonts w:hint="default" w:ascii="Times New Roman" w:hAnsi="Times New Roman" w:eastAsia="宋体" w:cs="Times New Roman"/>
                      <w:b w:val="0"/>
                      <w:bCs/>
                      <w:kern w:val="2"/>
                      <w:sz w:val="21"/>
                      <w:szCs w:val="24"/>
                      <w:lang w:val="en-US" w:eastAsia="zh-CN" w:bidi="ar-SA"/>
                    </w:rPr>
                    <w:t>A）</w:t>
                  </w:r>
                </w:p>
              </w:tc>
              <w:tc>
                <w:tcPr>
                  <w:tcW w:w="1814" w:type="dxa"/>
                  <w:noWrap w:val="0"/>
                  <w:vAlign w:val="center"/>
                </w:tcPr>
                <w:p w14:paraId="592397A6">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kern w:val="2"/>
                      <w:sz w:val="21"/>
                      <w:szCs w:val="24"/>
                      <w:lang w:val="en-US" w:eastAsia="zh-CN" w:bidi="ar-SA"/>
                    </w:rPr>
                  </w:pPr>
                  <w:r>
                    <w:rPr>
                      <w:rFonts w:hint="eastAsia" w:ascii="Times New Roman" w:hAnsi="Times New Roman" w:eastAsia="宋体" w:cs="Times New Roman"/>
                      <w:b w:val="0"/>
                      <w:bCs/>
                      <w:kern w:val="2"/>
                      <w:sz w:val="21"/>
                      <w:szCs w:val="24"/>
                      <w:lang w:val="en-US" w:eastAsia="zh-CN" w:bidi="ar-SA"/>
                    </w:rPr>
                    <w:t>70</w:t>
                  </w:r>
                </w:p>
              </w:tc>
              <w:tc>
                <w:tcPr>
                  <w:tcW w:w="1814" w:type="dxa"/>
                  <w:noWrap w:val="0"/>
                  <w:vAlign w:val="center"/>
                </w:tcPr>
                <w:p w14:paraId="0E664C87">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kern w:val="2"/>
                      <w:sz w:val="21"/>
                      <w:szCs w:val="24"/>
                      <w:lang w:val="en-US" w:eastAsia="zh-CN" w:bidi="ar-SA"/>
                    </w:rPr>
                  </w:pPr>
                  <w:r>
                    <w:rPr>
                      <w:rFonts w:hint="default" w:ascii="Times New Roman" w:hAnsi="Times New Roman" w:eastAsia="宋体" w:cs="Times New Roman"/>
                      <w:b w:val="0"/>
                      <w:bCs/>
                      <w:kern w:val="2"/>
                      <w:sz w:val="21"/>
                      <w:szCs w:val="24"/>
                      <w:lang w:val="en-US" w:eastAsia="zh-CN" w:bidi="ar-SA"/>
                    </w:rPr>
                    <w:t>55</w:t>
                  </w:r>
                </w:p>
              </w:tc>
            </w:tr>
          </w:tbl>
          <w:p w14:paraId="3F09505E">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b/>
                <w:bCs/>
                <w:color w:val="auto"/>
                <w:highlight w:val="none"/>
              </w:rPr>
            </w:pPr>
            <w:r>
              <w:rPr>
                <w:rFonts w:hint="default"/>
                <w:b/>
                <w:bCs/>
                <w:color w:val="auto"/>
                <w:highlight w:val="none"/>
              </w:rPr>
              <w:t>表3-</w:t>
            </w:r>
            <w:r>
              <w:rPr>
                <w:rFonts w:hint="eastAsia"/>
                <w:b/>
                <w:bCs/>
                <w:color w:val="auto"/>
                <w:highlight w:val="none"/>
                <w:lang w:val="en-US" w:eastAsia="zh-CN"/>
              </w:rPr>
              <w:t>11</w:t>
            </w:r>
            <w:r>
              <w:rPr>
                <w:rFonts w:hint="default"/>
                <w:b/>
                <w:bCs/>
                <w:color w:val="auto"/>
                <w:highlight w:val="none"/>
              </w:rPr>
              <w:t>《工业企业厂界环境噪声排放标准》（GB12348-2008）</w:t>
            </w:r>
          </w:p>
          <w:tbl>
            <w:tblPr>
              <w:tblStyle w:val="26"/>
              <w:tblW w:w="89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549"/>
              <w:gridCol w:w="1709"/>
              <w:gridCol w:w="1821"/>
              <w:gridCol w:w="1823"/>
            </w:tblGrid>
            <w:tr w14:paraId="12F02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49" w:type="dxa"/>
                  <w:noWrap w:val="0"/>
                  <w:vAlign w:val="center"/>
                </w:tcPr>
                <w:p w14:paraId="5037E9A1">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类别</w:t>
                  </w:r>
                </w:p>
              </w:tc>
              <w:tc>
                <w:tcPr>
                  <w:tcW w:w="1709" w:type="dxa"/>
                  <w:noWrap w:val="0"/>
                  <w:vAlign w:val="center"/>
                </w:tcPr>
                <w:p w14:paraId="6853851C">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1821" w:type="dxa"/>
                  <w:noWrap w:val="0"/>
                  <w:vAlign w:val="center"/>
                </w:tcPr>
                <w:p w14:paraId="0D2F92F7">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w:t>
                  </w:r>
                </w:p>
              </w:tc>
              <w:tc>
                <w:tcPr>
                  <w:tcW w:w="1823" w:type="dxa"/>
                  <w:noWrap w:val="0"/>
                  <w:vAlign w:val="center"/>
                </w:tcPr>
                <w:p w14:paraId="0E7A92A1">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w:t>
                  </w:r>
                </w:p>
              </w:tc>
            </w:tr>
            <w:tr w14:paraId="13534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549" w:type="dxa"/>
                  <w:noWrap w:val="0"/>
                  <w:vAlign w:val="center"/>
                </w:tcPr>
                <w:p w14:paraId="0252CAA3">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3类区</w:t>
                  </w:r>
                </w:p>
              </w:tc>
              <w:tc>
                <w:tcPr>
                  <w:tcW w:w="1709" w:type="dxa"/>
                  <w:noWrap w:val="0"/>
                  <w:vAlign w:val="center"/>
                </w:tcPr>
                <w:p w14:paraId="545B893D">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dB（A）</w:t>
                  </w:r>
                </w:p>
              </w:tc>
              <w:tc>
                <w:tcPr>
                  <w:tcW w:w="1821" w:type="dxa"/>
                  <w:noWrap w:val="0"/>
                  <w:vAlign w:val="center"/>
                </w:tcPr>
                <w:p w14:paraId="29FFD4A6">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65</w:t>
                  </w:r>
                </w:p>
              </w:tc>
              <w:tc>
                <w:tcPr>
                  <w:tcW w:w="1823" w:type="dxa"/>
                  <w:noWrap w:val="0"/>
                  <w:vAlign w:val="center"/>
                </w:tcPr>
                <w:p w14:paraId="1704FAB5">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55</w:t>
                  </w:r>
                </w:p>
              </w:tc>
            </w:tr>
          </w:tbl>
          <w:p w14:paraId="57C9F97D">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color w:val="auto"/>
                <w:highlight w:val="none"/>
              </w:rPr>
            </w:pPr>
            <w:r>
              <w:rPr>
                <w:rFonts w:hint="default"/>
                <w:color w:val="auto"/>
                <w:highlight w:val="none"/>
              </w:rPr>
              <w:t>4、固体废物</w:t>
            </w:r>
          </w:p>
          <w:p w14:paraId="1627DEDE">
            <w:pPr>
              <w:pStyle w:val="42"/>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rPr>
              <w:t>一般工业固体废物贮存执行</w:t>
            </w:r>
            <w:r>
              <w:rPr>
                <w:rFonts w:hint="eastAsia"/>
                <w:color w:val="auto"/>
                <w:highlight w:val="none"/>
                <w:lang w:eastAsia="zh-CN"/>
              </w:rPr>
              <w:t>《安徽省实施〈中华人民共和国固体废物污染环境防治法〉办法》</w:t>
            </w:r>
            <w:r>
              <w:rPr>
                <w:rFonts w:hint="default"/>
                <w:color w:val="auto"/>
                <w:highlight w:val="none"/>
              </w:rPr>
              <w:t>中要求</w:t>
            </w:r>
            <w:r>
              <w:rPr>
                <w:rFonts w:hint="eastAsia"/>
                <w:color w:val="auto"/>
                <w:highlight w:val="none"/>
                <w:lang w:eastAsia="zh-CN"/>
              </w:rPr>
              <w:t>；危险废物贮存执行《危险废物贮存污染控制标准》（GB18597-2023）中要求</w:t>
            </w:r>
            <w:r>
              <w:rPr>
                <w:rFonts w:hint="default"/>
                <w:color w:val="auto"/>
                <w:highlight w:val="none"/>
              </w:rPr>
              <w:t>。</w:t>
            </w:r>
          </w:p>
        </w:tc>
      </w:tr>
      <w:tr w14:paraId="24829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0" w:hRule="atLeast"/>
          <w:jc w:val="center"/>
        </w:trPr>
        <w:tc>
          <w:tcPr>
            <w:tcW w:w="680" w:type="dxa"/>
            <w:noWrap w:val="0"/>
            <w:vAlign w:val="center"/>
          </w:tcPr>
          <w:p w14:paraId="3DE5AF4C">
            <w:pPr>
              <w:pStyle w:val="44"/>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总量</w:t>
            </w:r>
          </w:p>
          <w:p w14:paraId="0DE3EBC9">
            <w:pPr>
              <w:pStyle w:val="44"/>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控制</w:t>
            </w:r>
          </w:p>
          <w:p w14:paraId="4E17C1DA">
            <w:pPr>
              <w:pStyle w:val="44"/>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指标</w:t>
            </w:r>
          </w:p>
        </w:tc>
        <w:tc>
          <w:tcPr>
            <w:tcW w:w="9071" w:type="dxa"/>
            <w:noWrap w:val="0"/>
            <w:vAlign w:val="top"/>
          </w:tcPr>
          <w:p w14:paraId="4EAE1C47">
            <w:pPr>
              <w:pStyle w:val="42"/>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根据《安徽省生态环境厅关于进一步加强建设项目新增大气主要污染物总量指标管理工作的通知》，纳入大气污染物总量控制的指标从两项增加为四项，在二氧化硫和氮氧化物的基础上增加烟（粉）尘和VOCs，因此现阶段纳入总量控制指标的污染物为CODcr、NH</w:t>
            </w:r>
            <w:r>
              <w:rPr>
                <w:rFonts w:hint="default"/>
                <w:color w:val="auto"/>
                <w:highlight w:val="none"/>
                <w:vertAlign w:val="subscript"/>
              </w:rPr>
              <w:t>3</w:t>
            </w:r>
            <w:r>
              <w:rPr>
                <w:rFonts w:hint="default"/>
                <w:color w:val="auto"/>
                <w:highlight w:val="none"/>
              </w:rPr>
              <w:t>-N、SO</w:t>
            </w:r>
            <w:r>
              <w:rPr>
                <w:rFonts w:hint="default"/>
                <w:color w:val="auto"/>
                <w:highlight w:val="none"/>
                <w:vertAlign w:val="subscript"/>
              </w:rPr>
              <w:t>2</w:t>
            </w:r>
            <w:r>
              <w:rPr>
                <w:rFonts w:hint="default"/>
                <w:color w:val="auto"/>
                <w:highlight w:val="none"/>
              </w:rPr>
              <w:t>、NOx、烟（粉）尘和VOCs。</w:t>
            </w:r>
          </w:p>
          <w:p w14:paraId="080685FD">
            <w:pPr>
              <w:pStyle w:val="42"/>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项目外排废水主要为生活污水</w:t>
            </w:r>
            <w:r>
              <w:rPr>
                <w:rFonts w:hint="eastAsia"/>
                <w:color w:val="auto"/>
                <w:highlight w:val="none"/>
                <w:lang w:val="en-US" w:eastAsia="zh-CN"/>
              </w:rPr>
              <w:t>和生产废水</w:t>
            </w:r>
            <w:r>
              <w:rPr>
                <w:rFonts w:hint="default"/>
                <w:color w:val="auto"/>
                <w:highlight w:val="none"/>
              </w:rPr>
              <w:t>。生活污水经化粪池</w:t>
            </w:r>
            <w:r>
              <w:rPr>
                <w:rFonts w:hint="eastAsia"/>
                <w:color w:val="auto"/>
                <w:highlight w:val="none"/>
                <w:lang w:eastAsia="zh-CN"/>
              </w:rPr>
              <w:t>收集</w:t>
            </w:r>
            <w:r>
              <w:rPr>
                <w:rFonts w:hint="default"/>
                <w:color w:val="auto"/>
                <w:highlight w:val="none"/>
              </w:rPr>
              <w:t>后排入市政管网，进入</w:t>
            </w:r>
            <w:r>
              <w:rPr>
                <w:rFonts w:hint="eastAsia"/>
                <w:b w:val="0"/>
                <w:bCs w:val="0"/>
                <w:color w:val="auto"/>
                <w:sz w:val="24"/>
                <w:highlight w:val="none"/>
                <w:lang w:eastAsia="zh-CN"/>
              </w:rPr>
              <w:t>五河县经济开发区污水处理厂</w:t>
            </w:r>
            <w:r>
              <w:rPr>
                <w:rFonts w:hint="default"/>
                <w:color w:val="auto"/>
                <w:highlight w:val="none"/>
              </w:rPr>
              <w:t>处理，处理达标后外排。</w:t>
            </w:r>
          </w:p>
          <w:p w14:paraId="1E0A5D1C">
            <w:pPr>
              <w:pStyle w:val="42"/>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本项目</w:t>
            </w:r>
            <w:r>
              <w:rPr>
                <w:rFonts w:hint="default"/>
                <w:color w:val="auto"/>
                <w:highlight w:val="none"/>
                <w:lang w:val="en-US" w:eastAsia="zh-CN"/>
              </w:rPr>
              <w:t>运营期废气为</w:t>
            </w:r>
            <w:r>
              <w:rPr>
                <w:rFonts w:hint="eastAsia"/>
                <w:b w:val="0"/>
                <w:color w:val="auto"/>
                <w:sz w:val="24"/>
                <w:szCs w:val="24"/>
                <w:lang w:val="en-US" w:eastAsia="zh-CN"/>
              </w:rPr>
              <w:t>加弹</w:t>
            </w:r>
            <w:r>
              <w:rPr>
                <w:rFonts w:hint="default" w:ascii="Times New Roman" w:hAnsi="Times New Roman" w:eastAsia="宋体"/>
                <w:b w:val="0"/>
                <w:color w:val="auto"/>
                <w:sz w:val="24"/>
                <w:szCs w:val="24"/>
                <w:lang w:val="en-US" w:eastAsia="zh-CN"/>
              </w:rPr>
              <w:t>废气</w:t>
            </w:r>
            <w:r>
              <w:rPr>
                <w:rFonts w:hint="eastAsia"/>
                <w:color w:val="auto"/>
                <w:highlight w:val="none"/>
                <w:lang w:val="en-US" w:eastAsia="zh-CN"/>
              </w:rPr>
              <w:t>。</w:t>
            </w:r>
          </w:p>
          <w:p w14:paraId="7FE38462">
            <w:pPr>
              <w:pStyle w:val="42"/>
              <w:keepNext w:val="0"/>
              <w:keepLines w:val="0"/>
              <w:suppressLineNumbers w:val="0"/>
              <w:bidi w:val="0"/>
              <w:spacing w:before="0" w:beforeAutospacing="0" w:after="0" w:afterAutospacing="0"/>
              <w:ind w:left="0" w:leftChars="0" w:right="0" w:firstLine="482" w:firstLineChars="200"/>
              <w:rPr>
                <w:rFonts w:hint="default"/>
                <w:color w:val="auto"/>
                <w:highlight w:val="none"/>
              </w:rPr>
            </w:pPr>
            <w:r>
              <w:rPr>
                <w:rFonts w:hint="eastAsia"/>
                <w:b/>
                <w:bCs/>
                <w:color w:val="auto"/>
                <w:highlight w:val="none"/>
                <w:lang w:val="en-US" w:eastAsia="zh-CN"/>
              </w:rPr>
              <w:t>综上：</w:t>
            </w:r>
            <w:r>
              <w:rPr>
                <w:rFonts w:hint="default"/>
                <w:b/>
                <w:bCs/>
                <w:color w:val="auto"/>
                <w:highlight w:val="none"/>
                <w:lang w:val="en-US" w:eastAsia="zh-CN"/>
              </w:rPr>
              <w:t>则项目纳入总量控制指标的污染物为VOCs</w:t>
            </w:r>
            <w:r>
              <w:rPr>
                <w:rFonts w:hint="eastAsia"/>
                <w:b/>
                <w:bCs/>
                <w:color w:val="auto"/>
                <w:highlight w:val="none"/>
                <w:lang w:val="en-US" w:eastAsia="zh-CN"/>
              </w:rPr>
              <w:t>、</w:t>
            </w:r>
            <w:r>
              <w:rPr>
                <w:rFonts w:hint="default"/>
                <w:b/>
                <w:bCs/>
                <w:color w:val="auto"/>
                <w:highlight w:val="none"/>
              </w:rPr>
              <w:t>CODcr、NH</w:t>
            </w:r>
            <w:r>
              <w:rPr>
                <w:rFonts w:hint="default"/>
                <w:b/>
                <w:bCs/>
                <w:color w:val="auto"/>
                <w:highlight w:val="none"/>
                <w:vertAlign w:val="subscript"/>
              </w:rPr>
              <w:t>3</w:t>
            </w:r>
            <w:r>
              <w:rPr>
                <w:rFonts w:hint="default"/>
                <w:b/>
                <w:bCs/>
                <w:color w:val="auto"/>
                <w:highlight w:val="none"/>
              </w:rPr>
              <w:t>-N</w:t>
            </w:r>
          </w:p>
          <w:p w14:paraId="150C5F8E">
            <w:pPr>
              <w:keepNext w:val="0"/>
              <w:keepLines w:val="0"/>
              <w:widowControl w:val="0"/>
              <w:suppressLineNumbers w:val="0"/>
              <w:spacing w:before="0" w:beforeAutospacing="0" w:after="0" w:afterAutospacing="0" w:line="211" w:lineRule="auto"/>
              <w:ind w:left="2993" w:right="0"/>
              <w:jc w:val="both"/>
              <w:rPr>
                <w:rFonts w:hint="default" w:ascii="宋体" w:hAnsi="宋体" w:eastAsia="宋体" w:cs="宋体"/>
                <w:color w:val="000000"/>
                <w:kern w:val="2"/>
                <w:sz w:val="24"/>
                <w:szCs w:val="24"/>
                <w:lang w:val="en-US" w:eastAsia="en-US" w:bidi="ar-SA"/>
              </w:rPr>
            </w:pPr>
            <w:r>
              <w:rPr>
                <w:rFonts w:hint="default" w:ascii="宋体" w:hAnsi="宋体" w:eastAsia="宋体" w:cs="宋体"/>
                <w:b/>
                <w:bCs/>
                <w:color w:val="000000"/>
                <w:spacing w:val="-2"/>
                <w:kern w:val="2"/>
                <w:sz w:val="24"/>
                <w:szCs w:val="24"/>
                <w:lang w:val="en-US" w:eastAsia="en-US" w:bidi="ar-SA"/>
              </w:rPr>
              <w:t>表</w:t>
            </w:r>
            <w:r>
              <w:rPr>
                <w:rFonts w:hint="default" w:ascii="宋体" w:hAnsi="宋体" w:eastAsia="宋体" w:cs="宋体"/>
                <w:color w:val="000000"/>
                <w:spacing w:val="-55"/>
                <w:kern w:val="2"/>
                <w:sz w:val="24"/>
                <w:szCs w:val="24"/>
                <w:lang w:val="en-US" w:eastAsia="en-US" w:bidi="ar-SA"/>
              </w:rPr>
              <w:t xml:space="preserve"> </w:t>
            </w:r>
            <w:r>
              <w:rPr>
                <w:rFonts w:hint="default" w:ascii="Times New Roman" w:hAnsi="Times New Roman" w:eastAsia="Times New Roman" w:cs="Times New Roman"/>
                <w:b/>
                <w:bCs/>
                <w:color w:val="000000"/>
                <w:spacing w:val="-2"/>
                <w:kern w:val="2"/>
                <w:sz w:val="24"/>
                <w:szCs w:val="24"/>
                <w:lang w:val="en-US" w:eastAsia="en-US" w:bidi="ar-SA"/>
              </w:rPr>
              <w:t>3-1</w:t>
            </w:r>
            <w:r>
              <w:rPr>
                <w:rFonts w:hint="eastAsia" w:ascii="Times New Roman" w:hAnsi="Times New Roman" w:eastAsia="宋体" w:cs="Times New Roman"/>
                <w:b/>
                <w:bCs/>
                <w:color w:val="000000"/>
                <w:spacing w:val="-2"/>
                <w:kern w:val="2"/>
                <w:sz w:val="24"/>
                <w:szCs w:val="24"/>
                <w:lang w:val="en-US" w:eastAsia="zh-CN" w:bidi="ar-SA"/>
              </w:rPr>
              <w:t>2</w:t>
            </w:r>
            <w:r>
              <w:rPr>
                <w:rFonts w:hint="default" w:ascii="Times New Roman" w:hAnsi="Times New Roman" w:eastAsia="Times New Roman" w:cs="Times New Roman"/>
                <w:b/>
                <w:bCs/>
                <w:color w:val="000000"/>
                <w:spacing w:val="-2"/>
                <w:kern w:val="2"/>
                <w:sz w:val="24"/>
                <w:szCs w:val="24"/>
                <w:lang w:val="en-US" w:eastAsia="en-US" w:bidi="ar-SA"/>
              </w:rPr>
              <w:t xml:space="preserve">  </w:t>
            </w:r>
            <w:r>
              <w:rPr>
                <w:rFonts w:hint="default" w:ascii="宋体" w:hAnsi="宋体" w:eastAsia="宋体" w:cs="宋体"/>
                <w:b/>
                <w:bCs/>
                <w:color w:val="000000"/>
                <w:spacing w:val="-2"/>
                <w:kern w:val="2"/>
                <w:sz w:val="24"/>
                <w:szCs w:val="24"/>
                <w:lang w:val="en-US" w:eastAsia="en-US" w:bidi="ar-SA"/>
              </w:rPr>
              <w:t>项目主要污染物排放量</w:t>
            </w:r>
          </w:p>
          <w:tbl>
            <w:tblPr>
              <w:tblStyle w:val="40"/>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111"/>
              <w:gridCol w:w="753"/>
              <w:gridCol w:w="753"/>
              <w:gridCol w:w="1677"/>
              <w:gridCol w:w="1593"/>
              <w:gridCol w:w="2228"/>
            </w:tblGrid>
            <w:tr w14:paraId="3E633B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58" w:type="pct"/>
                  <w:tcBorders>
                    <w:tl2br w:val="nil"/>
                    <w:tr2bl w:val="nil"/>
                  </w:tcBorders>
                  <w:noWrap w:val="0"/>
                  <w:vAlign w:val="center"/>
                </w:tcPr>
                <w:p w14:paraId="00091B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kern w:val="2"/>
                      <w:sz w:val="21"/>
                      <w:szCs w:val="21"/>
                      <w:lang w:val="en-US" w:eastAsia="en-US" w:bidi="ar-SA"/>
                    </w:rPr>
                  </w:pPr>
                  <w:r>
                    <w:rPr>
                      <w:rFonts w:hint="default" w:ascii="Times New Roman" w:hAnsi="Times New Roman" w:eastAsia="宋体" w:cs="Times New Roman"/>
                      <w:b/>
                      <w:bCs/>
                      <w:color w:val="000000"/>
                      <w:spacing w:val="4"/>
                      <w:kern w:val="2"/>
                      <w:sz w:val="21"/>
                      <w:szCs w:val="21"/>
                      <w:lang w:val="en-US" w:eastAsia="en-US" w:bidi="ar-SA"/>
                    </w:rPr>
                    <w:t>类别</w:t>
                  </w:r>
                </w:p>
              </w:tc>
              <w:tc>
                <w:tcPr>
                  <w:tcW w:w="826" w:type="pct"/>
                  <w:gridSpan w:val="2"/>
                  <w:tcBorders>
                    <w:tl2br w:val="nil"/>
                    <w:tr2bl w:val="nil"/>
                  </w:tcBorders>
                  <w:noWrap w:val="0"/>
                  <w:vAlign w:val="center"/>
                </w:tcPr>
                <w:p w14:paraId="7AF7A2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kern w:val="2"/>
                      <w:sz w:val="21"/>
                      <w:szCs w:val="21"/>
                      <w:lang w:val="en-US" w:eastAsia="zh-CN" w:bidi="ar-SA"/>
                    </w:rPr>
                  </w:pPr>
                  <w:r>
                    <w:rPr>
                      <w:rFonts w:hint="eastAsia" w:ascii="Times New Roman" w:hAnsi="Times New Roman" w:eastAsia="宋体" w:cs="Times New Roman"/>
                      <w:b/>
                      <w:bCs/>
                      <w:color w:val="000000"/>
                      <w:kern w:val="2"/>
                      <w:sz w:val="21"/>
                      <w:szCs w:val="21"/>
                      <w:lang w:val="en-US" w:eastAsia="zh-CN" w:bidi="ar-SA"/>
                    </w:rPr>
                    <w:t>污染物名称</w:t>
                  </w:r>
                </w:p>
              </w:tc>
              <w:tc>
                <w:tcPr>
                  <w:tcW w:w="920" w:type="pct"/>
                  <w:tcBorders>
                    <w:tl2br w:val="nil"/>
                    <w:tr2bl w:val="nil"/>
                  </w:tcBorders>
                  <w:noWrap w:val="0"/>
                  <w:vAlign w:val="center"/>
                </w:tcPr>
                <w:p w14:paraId="340827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spacing w:val="6"/>
                      <w:kern w:val="2"/>
                      <w:sz w:val="21"/>
                      <w:szCs w:val="21"/>
                      <w:lang w:val="en-US" w:eastAsia="zh-CN" w:bidi="ar-SA"/>
                    </w:rPr>
                  </w:pPr>
                  <w:r>
                    <w:rPr>
                      <w:rFonts w:hint="eastAsia" w:ascii="Times New Roman" w:hAnsi="Times New Roman" w:eastAsia="宋体" w:cs="Times New Roman"/>
                      <w:b/>
                      <w:bCs/>
                      <w:color w:val="000000"/>
                      <w:spacing w:val="6"/>
                      <w:kern w:val="2"/>
                      <w:sz w:val="21"/>
                      <w:szCs w:val="21"/>
                      <w:lang w:val="en-US" w:eastAsia="zh-CN" w:bidi="ar-SA"/>
                    </w:rPr>
                    <w:t>本项目排放量</w:t>
                  </w:r>
                </w:p>
              </w:tc>
              <w:tc>
                <w:tcPr>
                  <w:tcW w:w="874" w:type="pct"/>
                  <w:tcBorders>
                    <w:tl2br w:val="nil"/>
                    <w:tr2bl w:val="nil"/>
                  </w:tcBorders>
                  <w:noWrap w:val="0"/>
                  <w:vAlign w:val="center"/>
                </w:tcPr>
                <w:p w14:paraId="62856A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spacing w:val="6"/>
                      <w:kern w:val="2"/>
                      <w:sz w:val="21"/>
                      <w:szCs w:val="21"/>
                      <w:lang w:val="en-US" w:eastAsia="en-US" w:bidi="ar-SA"/>
                    </w:rPr>
                  </w:pPr>
                  <w:r>
                    <w:rPr>
                      <w:rFonts w:hint="default" w:ascii="Times New Roman" w:hAnsi="Times New Roman" w:eastAsia="宋体" w:cs="Times New Roman"/>
                      <w:b/>
                      <w:bCs/>
                      <w:color w:val="000000"/>
                      <w:spacing w:val="6"/>
                      <w:kern w:val="2"/>
                      <w:sz w:val="21"/>
                      <w:szCs w:val="21"/>
                      <w:lang w:val="en-US" w:eastAsia="en-US" w:bidi="ar-SA"/>
                    </w:rPr>
                    <w:t>申请</w:t>
                  </w:r>
                  <w:r>
                    <w:rPr>
                      <w:rFonts w:hint="eastAsia" w:ascii="Times New Roman" w:hAnsi="Times New Roman" w:eastAsia="宋体" w:cs="Times New Roman"/>
                      <w:b/>
                      <w:bCs/>
                      <w:color w:val="000000"/>
                      <w:spacing w:val="6"/>
                      <w:kern w:val="2"/>
                      <w:sz w:val="21"/>
                      <w:szCs w:val="21"/>
                      <w:lang w:val="en-US" w:eastAsia="zh-CN" w:bidi="ar-SA"/>
                    </w:rPr>
                    <w:t>指标</w:t>
                  </w:r>
                  <w:r>
                    <w:rPr>
                      <w:rFonts w:hint="default" w:ascii="Times New Roman" w:hAnsi="Times New Roman" w:eastAsia="宋体" w:cs="Times New Roman"/>
                      <w:b/>
                      <w:bCs/>
                      <w:color w:val="000000"/>
                      <w:spacing w:val="6"/>
                      <w:kern w:val="2"/>
                      <w:sz w:val="21"/>
                      <w:szCs w:val="21"/>
                      <w:lang w:val="en-US" w:eastAsia="en-US" w:bidi="ar-SA"/>
                    </w:rPr>
                    <w:t>量</w:t>
                  </w:r>
                </w:p>
                <w:p w14:paraId="080E39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kern w:val="2"/>
                      <w:sz w:val="21"/>
                      <w:szCs w:val="21"/>
                      <w:lang w:val="en-US" w:eastAsia="en-US" w:bidi="ar-SA"/>
                    </w:rPr>
                  </w:pPr>
                  <w:r>
                    <w:rPr>
                      <w:rFonts w:hint="default" w:ascii="Times New Roman" w:hAnsi="Times New Roman" w:eastAsia="宋体" w:cs="Times New Roman"/>
                      <w:b/>
                      <w:bCs/>
                      <w:color w:val="000000"/>
                      <w:spacing w:val="6"/>
                      <w:kern w:val="2"/>
                      <w:sz w:val="21"/>
                      <w:szCs w:val="21"/>
                      <w:lang w:val="en-US" w:eastAsia="en-US" w:bidi="ar-SA"/>
                    </w:rPr>
                    <w:t>（t/a）</w:t>
                  </w:r>
                </w:p>
              </w:tc>
              <w:tc>
                <w:tcPr>
                  <w:tcW w:w="1220" w:type="pct"/>
                  <w:tcBorders>
                    <w:tl2br w:val="nil"/>
                    <w:tr2bl w:val="nil"/>
                  </w:tcBorders>
                  <w:noWrap w:val="0"/>
                  <w:vAlign w:val="center"/>
                </w:tcPr>
                <w:p w14:paraId="17FF7C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000000"/>
                      <w:kern w:val="2"/>
                      <w:sz w:val="21"/>
                      <w:szCs w:val="21"/>
                      <w:lang w:val="en-US" w:eastAsia="en-US" w:bidi="ar-SA"/>
                    </w:rPr>
                  </w:pPr>
                  <w:r>
                    <w:rPr>
                      <w:rFonts w:hint="default" w:ascii="Times New Roman" w:hAnsi="Times New Roman" w:eastAsia="宋体" w:cs="Times New Roman"/>
                      <w:b/>
                      <w:bCs/>
                      <w:color w:val="000000"/>
                      <w:spacing w:val="3"/>
                      <w:kern w:val="2"/>
                      <w:sz w:val="21"/>
                      <w:szCs w:val="21"/>
                      <w:lang w:val="en-US" w:eastAsia="en-US" w:bidi="ar-SA"/>
                    </w:rPr>
                    <w:t>备注</w:t>
                  </w:r>
                </w:p>
              </w:tc>
            </w:tr>
            <w:tr w14:paraId="686A82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158" w:type="pct"/>
                  <w:vMerge w:val="restart"/>
                  <w:tcBorders>
                    <w:tl2br w:val="nil"/>
                    <w:tr2bl w:val="nil"/>
                  </w:tcBorders>
                  <w:noWrap w:val="0"/>
                  <w:vAlign w:val="center"/>
                </w:tcPr>
                <w:p w14:paraId="60FDC5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000000"/>
                      <w:spacing w:val="5"/>
                      <w:kern w:val="2"/>
                      <w:sz w:val="21"/>
                      <w:szCs w:val="21"/>
                      <w:lang w:val="en-US" w:eastAsia="zh-CN" w:bidi="ar-SA"/>
                    </w:rPr>
                  </w:pPr>
                  <w:r>
                    <w:rPr>
                      <w:rFonts w:hint="default" w:ascii="Times New Roman" w:hAnsi="Times New Roman" w:eastAsia="宋体" w:cs="Times New Roman"/>
                      <w:color w:val="000000"/>
                      <w:spacing w:val="5"/>
                      <w:kern w:val="2"/>
                      <w:sz w:val="21"/>
                      <w:szCs w:val="21"/>
                      <w:lang w:val="en-US" w:eastAsia="en-US" w:bidi="ar-SA"/>
                    </w:rPr>
                    <w:t>废气</w:t>
                  </w:r>
                </w:p>
              </w:tc>
              <w:tc>
                <w:tcPr>
                  <w:tcW w:w="413" w:type="pct"/>
                  <w:vMerge w:val="restart"/>
                  <w:tcBorders>
                    <w:tl2br w:val="nil"/>
                    <w:tr2bl w:val="nil"/>
                  </w:tcBorders>
                  <w:noWrap w:val="0"/>
                  <w:vAlign w:val="center"/>
                </w:tcPr>
                <w:p w14:paraId="21CDBA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pacing w:val="5"/>
                      <w:sz w:val="21"/>
                      <w:szCs w:val="21"/>
                    </w:rPr>
                    <w:t>VOCs</w:t>
                  </w:r>
                </w:p>
              </w:tc>
              <w:tc>
                <w:tcPr>
                  <w:tcW w:w="413" w:type="pct"/>
                  <w:tcBorders>
                    <w:tl2br w:val="nil"/>
                    <w:tr2bl w:val="nil"/>
                  </w:tcBorders>
                  <w:noWrap w:val="0"/>
                  <w:vAlign w:val="center"/>
                </w:tcPr>
                <w:p w14:paraId="20C1CB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5"/>
                      <w:sz w:val="21"/>
                      <w:szCs w:val="21"/>
                      <w:lang w:val="en-US" w:eastAsia="zh-CN"/>
                    </w:rPr>
                  </w:pPr>
                  <w:r>
                    <w:rPr>
                      <w:rFonts w:hint="eastAsia" w:ascii="Times New Roman" w:hAnsi="Times New Roman" w:eastAsia="宋体" w:cs="Times New Roman"/>
                      <w:color w:val="000000"/>
                      <w:spacing w:val="5"/>
                      <w:sz w:val="21"/>
                      <w:szCs w:val="21"/>
                      <w:lang w:val="en-US" w:eastAsia="zh-CN"/>
                    </w:rPr>
                    <w:t>有组织</w:t>
                  </w:r>
                </w:p>
              </w:tc>
              <w:tc>
                <w:tcPr>
                  <w:tcW w:w="920" w:type="pct"/>
                  <w:tcBorders>
                    <w:tl2br w:val="nil"/>
                    <w:tr2bl w:val="nil"/>
                  </w:tcBorders>
                  <w:noWrap w:val="0"/>
                  <w:vAlign w:val="center"/>
                </w:tcPr>
                <w:p w14:paraId="299B4A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3"/>
                      <w:sz w:val="21"/>
                      <w:szCs w:val="21"/>
                      <w:lang w:val="en-US" w:eastAsia="zh-CN"/>
                    </w:rPr>
                  </w:pPr>
                  <w:r>
                    <w:rPr>
                      <w:rFonts w:hint="eastAsia" w:ascii="Times New Roman" w:hAnsi="Times New Roman" w:eastAsia="宋体" w:cs="Times New Roman"/>
                      <w:color w:val="000000"/>
                      <w:spacing w:val="3"/>
                      <w:sz w:val="21"/>
                      <w:szCs w:val="21"/>
                      <w:lang w:val="en-US" w:eastAsia="zh-CN"/>
                    </w:rPr>
                    <w:t>0.649</w:t>
                  </w:r>
                </w:p>
              </w:tc>
              <w:tc>
                <w:tcPr>
                  <w:tcW w:w="874" w:type="pct"/>
                  <w:tcBorders>
                    <w:tl2br w:val="nil"/>
                    <w:tr2bl w:val="nil"/>
                  </w:tcBorders>
                  <w:noWrap w:val="0"/>
                  <w:vAlign w:val="center"/>
                </w:tcPr>
                <w:p w14:paraId="40A81B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0.649</w:t>
                  </w:r>
                </w:p>
              </w:tc>
              <w:tc>
                <w:tcPr>
                  <w:tcW w:w="1220" w:type="pct"/>
                  <w:vMerge w:val="restart"/>
                  <w:tcBorders>
                    <w:tl2br w:val="nil"/>
                    <w:tr2bl w:val="nil"/>
                  </w:tcBorders>
                  <w:noWrap w:val="0"/>
                  <w:vAlign w:val="center"/>
                </w:tcPr>
                <w:p w14:paraId="14631F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pacing w:val="2"/>
                      <w:sz w:val="21"/>
                      <w:szCs w:val="21"/>
                      <w:lang w:val="en-US" w:eastAsia="zh-CN"/>
                    </w:rPr>
                    <w:t>按照市生态环境主管部门总量控制要求申请</w:t>
                  </w:r>
                </w:p>
              </w:tc>
            </w:tr>
            <w:tr w14:paraId="09003F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158" w:type="pct"/>
                  <w:vMerge w:val="continue"/>
                  <w:tcBorders>
                    <w:tl2br w:val="nil"/>
                    <w:tr2bl w:val="nil"/>
                  </w:tcBorders>
                  <w:noWrap w:val="0"/>
                  <w:vAlign w:val="center"/>
                </w:tcPr>
                <w:p w14:paraId="556E0E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rPr>
                  </w:pPr>
                </w:p>
              </w:tc>
              <w:tc>
                <w:tcPr>
                  <w:tcW w:w="413" w:type="pct"/>
                  <w:vMerge w:val="continue"/>
                  <w:tcBorders>
                    <w:tl2br w:val="nil"/>
                    <w:tr2bl w:val="nil"/>
                  </w:tcBorders>
                  <w:noWrap w:val="0"/>
                  <w:vAlign w:val="center"/>
                </w:tcPr>
                <w:p w14:paraId="4CE6E6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rPr>
                  </w:pPr>
                </w:p>
              </w:tc>
              <w:tc>
                <w:tcPr>
                  <w:tcW w:w="413" w:type="pct"/>
                  <w:tcBorders>
                    <w:tl2br w:val="nil"/>
                    <w:tr2bl w:val="nil"/>
                  </w:tcBorders>
                  <w:noWrap w:val="0"/>
                  <w:vAlign w:val="center"/>
                </w:tcPr>
                <w:p w14:paraId="17A90E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5"/>
                      <w:sz w:val="21"/>
                      <w:szCs w:val="21"/>
                      <w:lang w:val="en-US" w:eastAsia="zh-CN"/>
                    </w:rPr>
                  </w:pPr>
                  <w:r>
                    <w:rPr>
                      <w:rFonts w:hint="eastAsia" w:ascii="Times New Roman" w:hAnsi="Times New Roman" w:eastAsia="宋体" w:cs="Times New Roman"/>
                      <w:color w:val="000000"/>
                      <w:spacing w:val="5"/>
                      <w:sz w:val="21"/>
                      <w:szCs w:val="21"/>
                      <w:lang w:val="en-US" w:eastAsia="zh-CN"/>
                    </w:rPr>
                    <w:t>无组织</w:t>
                  </w:r>
                </w:p>
              </w:tc>
              <w:tc>
                <w:tcPr>
                  <w:tcW w:w="920" w:type="pct"/>
                  <w:tcBorders>
                    <w:tl2br w:val="nil"/>
                    <w:tr2bl w:val="nil"/>
                  </w:tcBorders>
                  <w:noWrap w:val="0"/>
                  <w:vAlign w:val="center"/>
                </w:tcPr>
                <w:p w14:paraId="6464C5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5"/>
                      <w:sz w:val="21"/>
                      <w:szCs w:val="21"/>
                      <w:lang w:val="en-US" w:eastAsia="zh-CN"/>
                    </w:rPr>
                  </w:pPr>
                  <w:r>
                    <w:rPr>
                      <w:rFonts w:hint="eastAsia" w:ascii="Times New Roman" w:hAnsi="Times New Roman" w:eastAsia="宋体" w:cs="Times New Roman"/>
                      <w:color w:val="000000"/>
                      <w:spacing w:val="5"/>
                      <w:sz w:val="21"/>
                      <w:szCs w:val="21"/>
                      <w:lang w:val="en-US" w:eastAsia="zh-CN"/>
                    </w:rPr>
                    <w:t>0.6008</w:t>
                  </w:r>
                </w:p>
              </w:tc>
              <w:tc>
                <w:tcPr>
                  <w:tcW w:w="874" w:type="pct"/>
                  <w:tcBorders>
                    <w:tl2br w:val="nil"/>
                    <w:tr2bl w:val="nil"/>
                  </w:tcBorders>
                  <w:noWrap w:val="0"/>
                  <w:vAlign w:val="center"/>
                </w:tcPr>
                <w:p w14:paraId="36536D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5"/>
                      <w:sz w:val="21"/>
                      <w:szCs w:val="21"/>
                      <w:lang w:val="en-US" w:eastAsia="zh-CN"/>
                    </w:rPr>
                  </w:pPr>
                  <w:r>
                    <w:rPr>
                      <w:rFonts w:hint="eastAsia" w:ascii="Times New Roman" w:hAnsi="Times New Roman" w:eastAsia="宋体" w:cs="Times New Roman"/>
                      <w:color w:val="000000"/>
                      <w:spacing w:val="5"/>
                      <w:sz w:val="21"/>
                      <w:szCs w:val="21"/>
                      <w:lang w:val="en-US" w:eastAsia="zh-CN"/>
                    </w:rPr>
                    <w:t>/</w:t>
                  </w:r>
                </w:p>
              </w:tc>
              <w:tc>
                <w:tcPr>
                  <w:tcW w:w="1220" w:type="pct"/>
                  <w:vMerge w:val="continue"/>
                  <w:tcBorders>
                    <w:tl2br w:val="nil"/>
                    <w:tr2bl w:val="nil"/>
                  </w:tcBorders>
                  <w:noWrap w:val="0"/>
                  <w:vAlign w:val="center"/>
                </w:tcPr>
                <w:p w14:paraId="383786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5"/>
                      <w:sz w:val="21"/>
                      <w:szCs w:val="21"/>
                    </w:rPr>
                  </w:pPr>
                </w:p>
              </w:tc>
            </w:tr>
            <w:tr w14:paraId="6D5202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58" w:type="pct"/>
                  <w:vMerge w:val="restart"/>
                  <w:tcBorders>
                    <w:tl2br w:val="nil"/>
                    <w:tr2bl w:val="nil"/>
                  </w:tcBorders>
                  <w:noWrap w:val="0"/>
                  <w:vAlign w:val="center"/>
                </w:tcPr>
                <w:p w14:paraId="1DD222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000000"/>
                      <w:spacing w:val="5"/>
                      <w:kern w:val="2"/>
                      <w:sz w:val="21"/>
                      <w:szCs w:val="21"/>
                      <w:lang w:val="en-US" w:eastAsia="zh-CN" w:bidi="ar-SA"/>
                    </w:rPr>
                  </w:pPr>
                  <w:r>
                    <w:rPr>
                      <w:rFonts w:hint="eastAsia" w:ascii="Times New Roman" w:hAnsi="Times New Roman" w:eastAsia="宋体" w:cs="Times New Roman"/>
                      <w:color w:val="000000"/>
                      <w:spacing w:val="5"/>
                      <w:kern w:val="2"/>
                      <w:sz w:val="21"/>
                      <w:szCs w:val="21"/>
                      <w:lang w:val="en-US" w:eastAsia="zh-CN" w:bidi="ar-SA"/>
                    </w:rPr>
                    <w:t>废水</w:t>
                  </w:r>
                </w:p>
              </w:tc>
              <w:tc>
                <w:tcPr>
                  <w:tcW w:w="826" w:type="pct"/>
                  <w:gridSpan w:val="2"/>
                  <w:tcBorders>
                    <w:tl2br w:val="nil"/>
                    <w:tr2bl w:val="nil"/>
                  </w:tcBorders>
                  <w:noWrap w:val="0"/>
                  <w:vAlign w:val="center"/>
                </w:tcPr>
                <w:p w14:paraId="6EDD3D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5"/>
                      <w:sz w:val="21"/>
                      <w:szCs w:val="21"/>
                      <w:lang w:val="en-US" w:eastAsia="zh-CN"/>
                    </w:rPr>
                  </w:pPr>
                  <w:r>
                    <w:rPr>
                      <w:rFonts w:hint="eastAsia" w:ascii="Times New Roman" w:hAnsi="Times New Roman" w:eastAsia="宋体" w:cs="Times New Roman"/>
                      <w:color w:val="000000"/>
                      <w:spacing w:val="5"/>
                      <w:sz w:val="21"/>
                      <w:szCs w:val="21"/>
                      <w:lang w:val="en-US" w:eastAsia="zh-CN"/>
                    </w:rPr>
                    <w:t>COD</w:t>
                  </w:r>
                </w:p>
              </w:tc>
              <w:tc>
                <w:tcPr>
                  <w:tcW w:w="920" w:type="pct"/>
                  <w:tcBorders>
                    <w:tl2br w:val="nil"/>
                    <w:tr2bl w:val="nil"/>
                  </w:tcBorders>
                  <w:noWrap w:val="0"/>
                  <w:vAlign w:val="center"/>
                </w:tcPr>
                <w:p w14:paraId="68AAF6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3"/>
                      <w:sz w:val="21"/>
                      <w:szCs w:val="21"/>
                      <w:lang w:val="en-US" w:eastAsia="zh-CN"/>
                    </w:rPr>
                  </w:pPr>
                  <w:r>
                    <w:rPr>
                      <w:rFonts w:hint="eastAsia" w:cs="Times New Roman"/>
                      <w:color w:val="000000"/>
                      <w:spacing w:val="3"/>
                      <w:sz w:val="21"/>
                      <w:szCs w:val="21"/>
                      <w:lang w:val="en-US" w:eastAsia="zh-CN"/>
                    </w:rPr>
                    <w:t>1.0112</w:t>
                  </w:r>
                </w:p>
              </w:tc>
              <w:tc>
                <w:tcPr>
                  <w:tcW w:w="1593" w:type="dxa"/>
                  <w:tcBorders>
                    <w:tl2br w:val="nil"/>
                    <w:tr2bl w:val="nil"/>
                  </w:tcBorders>
                  <w:noWrap w:val="0"/>
                  <w:vAlign w:val="center"/>
                </w:tcPr>
                <w:p w14:paraId="1A8482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s="Times New Roman"/>
                      <w:color w:val="000000"/>
                      <w:spacing w:val="3"/>
                      <w:sz w:val="21"/>
                      <w:szCs w:val="21"/>
                      <w:lang w:val="en-US" w:eastAsia="zh-CN"/>
                    </w:rPr>
                    <w:t>1.0112</w:t>
                  </w:r>
                </w:p>
              </w:tc>
              <w:tc>
                <w:tcPr>
                  <w:tcW w:w="1220" w:type="pct"/>
                  <w:vMerge w:val="restart"/>
                  <w:tcBorders>
                    <w:tl2br w:val="nil"/>
                    <w:tr2bl w:val="nil"/>
                  </w:tcBorders>
                  <w:noWrap w:val="0"/>
                  <w:vAlign w:val="center"/>
                </w:tcPr>
                <w:p w14:paraId="7D74CB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spacing w:val="2"/>
                      <w:kern w:val="2"/>
                      <w:sz w:val="21"/>
                      <w:szCs w:val="21"/>
                      <w:lang w:val="en-US" w:eastAsia="zh-CN" w:bidi="ar-SA"/>
                    </w:rPr>
                  </w:pPr>
                  <w:r>
                    <w:rPr>
                      <w:rFonts w:hint="eastAsia" w:ascii="Times New Roman" w:hAnsi="Times New Roman" w:eastAsia="宋体" w:cs="Times New Roman"/>
                      <w:color w:val="000000"/>
                      <w:sz w:val="21"/>
                      <w:szCs w:val="21"/>
                      <w:lang w:val="en-US" w:eastAsia="zh-CN"/>
                    </w:rPr>
                    <w:t>总量纳</w:t>
                  </w:r>
                  <w:r>
                    <w:rPr>
                      <w:rFonts w:hint="eastAsia" w:ascii="Times New Roman" w:hAnsi="Times New Roman" w:eastAsia="宋体" w:cs="Times New Roman"/>
                      <w:color w:val="000000"/>
                      <w:spacing w:val="2"/>
                      <w:sz w:val="21"/>
                      <w:szCs w:val="21"/>
                      <w:lang w:val="en-US" w:eastAsia="zh-CN"/>
                    </w:rPr>
                    <w:t>入五河县经济开发区污水处理厂</w:t>
                  </w:r>
                </w:p>
              </w:tc>
            </w:tr>
            <w:tr w14:paraId="3F0543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58" w:type="pct"/>
                  <w:vMerge w:val="continue"/>
                  <w:tcBorders>
                    <w:tl2br w:val="nil"/>
                    <w:tr2bl w:val="nil"/>
                  </w:tcBorders>
                  <w:noWrap w:val="0"/>
                  <w:vAlign w:val="center"/>
                </w:tcPr>
                <w:p w14:paraId="0D0DA8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spacing w:val="5"/>
                      <w:kern w:val="2"/>
                      <w:sz w:val="21"/>
                      <w:szCs w:val="21"/>
                      <w:lang w:val="en-US" w:eastAsia="en-US" w:bidi="ar-SA"/>
                    </w:rPr>
                  </w:pPr>
                </w:p>
              </w:tc>
              <w:tc>
                <w:tcPr>
                  <w:tcW w:w="826" w:type="pct"/>
                  <w:gridSpan w:val="2"/>
                  <w:tcBorders>
                    <w:tl2br w:val="nil"/>
                    <w:tr2bl w:val="nil"/>
                  </w:tcBorders>
                  <w:noWrap w:val="0"/>
                  <w:vAlign w:val="center"/>
                </w:tcPr>
                <w:p w14:paraId="5FB03C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5"/>
                      <w:sz w:val="21"/>
                      <w:szCs w:val="21"/>
                    </w:rPr>
                  </w:pP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w:t>
                  </w:r>
                </w:p>
              </w:tc>
              <w:tc>
                <w:tcPr>
                  <w:tcW w:w="920" w:type="pct"/>
                  <w:tcBorders>
                    <w:tl2br w:val="nil"/>
                    <w:tr2bl w:val="nil"/>
                  </w:tcBorders>
                  <w:noWrap w:val="0"/>
                  <w:vAlign w:val="center"/>
                </w:tcPr>
                <w:p w14:paraId="6FBD84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3"/>
                      <w:sz w:val="21"/>
                      <w:szCs w:val="21"/>
                      <w:lang w:val="en-US" w:eastAsia="zh-CN"/>
                    </w:rPr>
                  </w:pPr>
                  <w:r>
                    <w:rPr>
                      <w:rFonts w:hint="eastAsia" w:ascii="Times New Roman" w:hAnsi="Times New Roman" w:eastAsia="宋体" w:cs="Times New Roman"/>
                      <w:color w:val="000000"/>
                      <w:spacing w:val="3"/>
                      <w:sz w:val="21"/>
                      <w:szCs w:val="21"/>
                      <w:lang w:val="en-US" w:eastAsia="zh-CN"/>
                    </w:rPr>
                    <w:t>0.0</w:t>
                  </w:r>
                  <w:r>
                    <w:rPr>
                      <w:rFonts w:hint="eastAsia" w:cs="Times New Roman"/>
                      <w:color w:val="000000"/>
                      <w:spacing w:val="3"/>
                      <w:sz w:val="21"/>
                      <w:szCs w:val="21"/>
                      <w:lang w:val="en-US" w:eastAsia="zh-CN"/>
                    </w:rPr>
                    <w:t>506</w:t>
                  </w:r>
                </w:p>
              </w:tc>
              <w:tc>
                <w:tcPr>
                  <w:tcW w:w="1593" w:type="dxa"/>
                  <w:tcBorders>
                    <w:tl2br w:val="nil"/>
                    <w:tr2bl w:val="nil"/>
                  </w:tcBorders>
                  <w:noWrap w:val="0"/>
                  <w:vAlign w:val="center"/>
                </w:tcPr>
                <w:p w14:paraId="6F1635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pacing w:val="3"/>
                      <w:sz w:val="21"/>
                      <w:szCs w:val="21"/>
                      <w:lang w:val="en-US" w:eastAsia="zh-CN"/>
                    </w:rPr>
                    <w:t>0.0</w:t>
                  </w:r>
                  <w:r>
                    <w:rPr>
                      <w:rFonts w:hint="eastAsia" w:cs="Times New Roman"/>
                      <w:color w:val="000000"/>
                      <w:spacing w:val="3"/>
                      <w:sz w:val="21"/>
                      <w:szCs w:val="21"/>
                      <w:lang w:val="en-US" w:eastAsia="zh-CN"/>
                    </w:rPr>
                    <w:t>506</w:t>
                  </w:r>
                </w:p>
              </w:tc>
              <w:tc>
                <w:tcPr>
                  <w:tcW w:w="1220" w:type="pct"/>
                  <w:vMerge w:val="continue"/>
                  <w:tcBorders>
                    <w:tl2br w:val="nil"/>
                    <w:tr2bl w:val="nil"/>
                  </w:tcBorders>
                  <w:noWrap w:val="0"/>
                  <w:vAlign w:val="center"/>
                </w:tcPr>
                <w:p w14:paraId="6AB385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000000"/>
                      <w:spacing w:val="2"/>
                      <w:kern w:val="2"/>
                      <w:sz w:val="21"/>
                      <w:szCs w:val="21"/>
                      <w:lang w:val="en-US" w:eastAsia="zh-CN" w:bidi="ar-SA"/>
                    </w:rPr>
                  </w:pPr>
                </w:p>
              </w:tc>
            </w:tr>
            <w:tr w14:paraId="13936A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00" w:type="pct"/>
                  <w:gridSpan w:val="6"/>
                  <w:tcBorders>
                    <w:tl2br w:val="nil"/>
                    <w:tr2bl w:val="nil"/>
                  </w:tcBorders>
                  <w:noWrap w:val="0"/>
                  <w:vAlign w:val="center"/>
                </w:tcPr>
                <w:p w14:paraId="1546C7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000000"/>
                      <w:spacing w:val="2"/>
                      <w:kern w:val="2"/>
                      <w:sz w:val="21"/>
                      <w:szCs w:val="21"/>
                      <w:lang w:val="en-US" w:eastAsia="zh-CN" w:bidi="ar-SA"/>
                    </w:rPr>
                  </w:pPr>
                  <w:r>
                    <w:rPr>
                      <w:rFonts w:hint="eastAsia" w:ascii="Times New Roman" w:hAnsi="Times New Roman" w:eastAsia="宋体" w:cs="Times New Roman"/>
                      <w:color w:val="000000"/>
                      <w:sz w:val="21"/>
                      <w:szCs w:val="21"/>
                      <w:lang w:val="en-US" w:eastAsia="zh-CN"/>
                    </w:rPr>
                    <w:t>备注：根据蚌埠</w:t>
                  </w:r>
                  <w:r>
                    <w:rPr>
                      <w:rFonts w:hint="eastAsia" w:ascii="Times New Roman" w:hAnsi="Times New Roman" w:eastAsia="宋体" w:cs="Times New Roman"/>
                      <w:color w:val="000000"/>
                      <w:spacing w:val="2"/>
                      <w:sz w:val="21"/>
                      <w:szCs w:val="21"/>
                      <w:lang w:val="en-US" w:eastAsia="zh-CN"/>
                    </w:rPr>
                    <w:t>市生态环境主管部门总量控制要求，针对废气有组织排放量进行申请指标量，具体申请指标量以蚌埠市生态环境主管部门审批为准。</w:t>
                  </w:r>
                </w:p>
              </w:tc>
            </w:tr>
          </w:tbl>
          <w:p w14:paraId="745CEFA1">
            <w:pPr>
              <w:pStyle w:val="42"/>
              <w:keepNext w:val="0"/>
              <w:keepLines w:val="0"/>
              <w:suppressLineNumbers w:val="0"/>
              <w:bidi w:val="0"/>
              <w:spacing w:before="0" w:beforeAutospacing="0" w:after="0" w:afterAutospacing="0"/>
              <w:ind w:left="0" w:leftChars="0" w:right="0" w:firstLine="480" w:firstLineChars="200"/>
              <w:rPr>
                <w:rFonts w:hint="default"/>
                <w:color w:val="auto"/>
                <w:highlight w:val="none"/>
                <w:lang w:val="en-US" w:eastAsia="zh-CN"/>
              </w:rPr>
            </w:pPr>
          </w:p>
          <w:p w14:paraId="4BC1B956">
            <w:pPr>
              <w:pStyle w:val="42"/>
              <w:keepNext w:val="0"/>
              <w:keepLines w:val="0"/>
              <w:suppressLineNumbers w:val="0"/>
              <w:bidi w:val="0"/>
              <w:spacing w:before="0" w:beforeAutospacing="0" w:after="0" w:afterAutospacing="0"/>
              <w:ind w:left="0" w:right="0"/>
              <w:rPr>
                <w:rFonts w:hint="eastAsia"/>
                <w:color w:val="auto"/>
                <w:highlight w:val="none"/>
                <w:lang w:val="en-US" w:eastAsia="zh-CN"/>
              </w:rPr>
            </w:pPr>
          </w:p>
          <w:p w14:paraId="5CABACBA">
            <w:pPr>
              <w:pStyle w:val="42"/>
              <w:keepNext w:val="0"/>
              <w:keepLines w:val="0"/>
              <w:suppressLineNumbers w:val="0"/>
              <w:bidi w:val="0"/>
              <w:spacing w:before="0" w:beforeAutospacing="0" w:after="0" w:afterAutospacing="0"/>
              <w:ind w:left="0" w:right="0"/>
              <w:rPr>
                <w:rFonts w:hint="eastAsia"/>
                <w:color w:val="auto"/>
                <w:highlight w:val="none"/>
                <w:lang w:val="en-US" w:eastAsia="zh-CN"/>
              </w:rPr>
            </w:pPr>
          </w:p>
        </w:tc>
      </w:tr>
    </w:tbl>
    <w:p w14:paraId="466C454A">
      <w:pPr>
        <w:keepNext w:val="0"/>
        <w:keepLines w:val="0"/>
        <w:pageBreakBefore w:val="0"/>
        <w:widowControl w:val="0"/>
        <w:shd w:val="clear" w:color="auto" w:fill="auto"/>
        <w:kinsoku/>
        <w:wordWrap/>
        <w:overflowPunct/>
        <w:topLinePunct/>
        <w:autoSpaceDE/>
        <w:autoSpaceDN/>
        <w:bidi w:val="0"/>
        <w:adjustRightInd w:val="0"/>
        <w:snapToGrid w:val="0"/>
        <w:spacing w:before="157" w:beforeLines="50" w:line="360" w:lineRule="auto"/>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24"/>
          <w:szCs w:val="24"/>
          <w:highlight w:val="none"/>
        </w:rPr>
        <w:br w:type="page"/>
      </w:r>
      <w:r>
        <w:rPr>
          <w:rStyle w:val="35"/>
          <w:rFonts w:hint="default" w:ascii="Times New Roman" w:hAnsi="Times New Roman" w:cs="Times New Roman"/>
          <w:color w:val="auto"/>
          <w:highlight w:val="none"/>
        </w:rPr>
        <w:t>四、主要环境影响和保护措施</w:t>
      </w:r>
    </w:p>
    <w:tbl>
      <w:tblPr>
        <w:tblStyle w:val="26"/>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680"/>
        <w:gridCol w:w="9071"/>
      </w:tblGrid>
      <w:tr w14:paraId="636478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928" w:hRule="atLeast"/>
          <w:jc w:val="center"/>
        </w:trPr>
        <w:tc>
          <w:tcPr>
            <w:tcW w:w="680" w:type="dxa"/>
            <w:noWrap w:val="0"/>
            <w:tcMar>
              <w:left w:w="28" w:type="dxa"/>
              <w:right w:w="28" w:type="dxa"/>
            </w:tcMar>
            <w:vAlign w:val="center"/>
          </w:tcPr>
          <w:p w14:paraId="47C44C01">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施工</w:t>
            </w:r>
          </w:p>
          <w:p w14:paraId="1970A04A">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期环</w:t>
            </w:r>
          </w:p>
          <w:p w14:paraId="572084AA">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境保</w:t>
            </w:r>
          </w:p>
          <w:p w14:paraId="0C4FA7ED">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护措</w:t>
            </w:r>
          </w:p>
          <w:p w14:paraId="71DE277D">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Cs/>
                <w:color w:val="auto"/>
                <w:highlight w:val="none"/>
              </w:rPr>
            </w:pPr>
            <w:r>
              <w:rPr>
                <w:rFonts w:hint="default" w:ascii="Times New Roman" w:hAnsi="Times New Roman" w:cs="Times New Roman"/>
                <w:b/>
                <w:bCs/>
                <w:color w:val="auto"/>
                <w:highlight w:val="none"/>
              </w:rPr>
              <w:t>施</w:t>
            </w:r>
          </w:p>
        </w:tc>
        <w:tc>
          <w:tcPr>
            <w:tcW w:w="9071" w:type="dxa"/>
            <w:noWrap w:val="0"/>
            <w:vAlign w:val="center"/>
          </w:tcPr>
          <w:p w14:paraId="1197ED49">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eastAsia"/>
                <w:color w:val="auto"/>
              </w:rPr>
            </w:pPr>
            <w:r>
              <w:rPr>
                <w:rFonts w:hint="eastAsia"/>
                <w:color w:val="auto"/>
                <w:lang w:val="en-US" w:eastAsia="zh-CN"/>
              </w:rPr>
              <w:t>本项目施工期产生的环境影响相对营运期而言属于短期和暂时影响，施工期结束影响即告停止，但仍需采取相应的环保措施降低对周边环境影响。</w:t>
            </w:r>
          </w:p>
          <w:p w14:paraId="76FF8827">
            <w:pPr>
              <w:pStyle w:val="44"/>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一、大气环境</w:t>
            </w:r>
          </w:p>
          <w:p w14:paraId="1FD4C296">
            <w:pPr>
              <w:pStyle w:val="4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项目施工期产生施工废气主要为施工扬尘。</w:t>
            </w:r>
          </w:p>
          <w:p w14:paraId="6B32F790">
            <w:pPr>
              <w:pStyle w:val="42"/>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在整个施工期间，产生扬尘的作业主要有土地平整、打桩、开挖、回填、道路浇注、建材运输、露天堆放、装卸和搅拌等过程，如遇干旱无雨季节，在大风时，施工扬尘将更严重。</w:t>
            </w:r>
          </w:p>
          <w:p w14:paraId="013629D9">
            <w:pPr>
              <w:pStyle w:val="42"/>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为了减少施工过程产生的粉尘对周边环境的影响，根据《安徽省建筑工程施工扬尘污染防治规定》和《蚌埠市建设工程施工扬尘治理强化整治专项行动工作方案》要求，本项目施工时应达到以下环保要求：</w:t>
            </w:r>
          </w:p>
          <w:p w14:paraId="46A976CA">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①施工现场实行围挡封闭。主要路段施工现场围挡高度不得低于2.5米，一般路段施工现场围挡高度不得低于1.8米。围</w:t>
            </w:r>
            <w:r>
              <w:rPr>
                <w:rFonts w:hint="eastAsia"/>
                <w:color w:val="auto"/>
                <w:lang w:val="en-US" w:eastAsia="zh-CN"/>
              </w:rPr>
              <w:t>挡</w:t>
            </w:r>
            <w:r>
              <w:rPr>
                <w:rFonts w:hint="default"/>
                <w:color w:val="auto"/>
                <w:lang w:val="en-US" w:eastAsia="zh-CN"/>
              </w:rPr>
              <w:t>底边应当封闭并设置防溢沉淀井，不得有泥浆外漏。</w:t>
            </w:r>
          </w:p>
          <w:p w14:paraId="0F0309F1">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②施工现场出入口道路实施混凝土硬化并配备车辆冲洗设施。对驶出施工现场的机动车辆冲洗干净，方可上路，并建立车辆冲洗</w:t>
            </w:r>
            <w:r>
              <w:rPr>
                <w:rFonts w:hint="eastAsia"/>
                <w:color w:val="auto"/>
                <w:lang w:val="en-US" w:eastAsia="zh-CN"/>
              </w:rPr>
              <w:t>台账</w:t>
            </w:r>
            <w:r>
              <w:rPr>
                <w:rFonts w:hint="default"/>
                <w:color w:val="auto"/>
                <w:lang w:val="en-US" w:eastAsia="zh-CN"/>
              </w:rPr>
              <w:t>。</w:t>
            </w:r>
          </w:p>
          <w:p w14:paraId="453AF494">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③施工现场内道路、加工区、办公区、生活区实施混凝土硬化。硬化后的地面，不得有浮土、积土，裸露场地应当采取覆盖或绿化措施。</w:t>
            </w:r>
          </w:p>
          <w:p w14:paraId="16E671C3">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④施工现场设置洒水降尘设施，尽量缩短起尘操作时间，安排专人定时洒水降尘。</w:t>
            </w:r>
          </w:p>
          <w:p w14:paraId="0582B9C5">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⑤施工现场土方开挖后尽快完成回填，不能及时回填的场地，采取覆盖等防尘措施；砂石等散体材料集中堆放并覆盖。</w:t>
            </w:r>
          </w:p>
          <w:p w14:paraId="31B0469F">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⑥渣土等建筑垃圾集中、分类堆放，严密遮盖，采用封闭式管道或装袋清运，严禁高处</w:t>
            </w:r>
            <w:r>
              <w:rPr>
                <w:rFonts w:hint="eastAsia"/>
                <w:color w:val="auto"/>
                <w:lang w:val="en-US" w:eastAsia="zh-CN"/>
              </w:rPr>
              <w:t>抛洒</w:t>
            </w:r>
            <w:r>
              <w:rPr>
                <w:rFonts w:hint="default"/>
                <w:color w:val="auto"/>
                <w:lang w:val="en-US" w:eastAsia="zh-CN"/>
              </w:rPr>
              <w:t>。需要运输、处理的，按照市容环境卫生行政主管部门规定的时间、线路和要求，清运到指定的场所处理。外脚手架应当设置悬挂密目式安全网封闭，并保持严密整洁拆除安全网前应先行淋湿，再行拆除，防止刮风扬尘和工作扬尘。</w:t>
            </w:r>
          </w:p>
          <w:p w14:paraId="5017C670">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⑦施工现场禁止焚烧沥青、油毡、橡胶、塑料、皮革、垃圾以及其他产生有毒有害烟尘和恶臭气体的物质。</w:t>
            </w:r>
          </w:p>
          <w:p w14:paraId="578A6ED8">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⑧施工现场使用商品混凝土和预拌砂浆</w:t>
            </w:r>
            <w:r>
              <w:rPr>
                <w:rFonts w:hint="eastAsia"/>
                <w:color w:val="auto"/>
                <w:lang w:val="en-US" w:eastAsia="zh-CN"/>
              </w:rPr>
              <w:t>，</w:t>
            </w:r>
            <w:r>
              <w:rPr>
                <w:rFonts w:hint="default"/>
                <w:color w:val="auto"/>
                <w:lang w:val="en-US" w:eastAsia="zh-CN"/>
              </w:rPr>
              <w:t>搅拌混凝土和砂浆采取封闭、降尘措施。</w:t>
            </w:r>
          </w:p>
          <w:p w14:paraId="3CE579F9">
            <w:pPr>
              <w:pStyle w:val="42"/>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⑨运进或运出工地</w:t>
            </w:r>
            <w:r>
              <w:rPr>
                <w:rFonts w:hint="eastAsia"/>
                <w:color w:val="auto"/>
                <w:lang w:val="en-US" w:eastAsia="zh-CN"/>
              </w:rPr>
              <w:t>的土方、砂石、粉煤灰、建筑垃圾等易产生扬尘的材料，应采取封闭运输。</w:t>
            </w:r>
          </w:p>
          <w:p w14:paraId="5FF9FEA9">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⑩根据《安徽省重污染天气应急预案》启动Ⅲ级</w:t>
            </w:r>
            <w:r>
              <w:rPr>
                <w:rFonts w:hint="eastAsia"/>
                <w:color w:val="auto"/>
                <w:lang w:val="en-US" w:eastAsia="zh-CN"/>
              </w:rPr>
              <w:t>（</w:t>
            </w:r>
            <w:r>
              <w:rPr>
                <w:rFonts w:hint="default"/>
                <w:color w:val="auto"/>
                <w:lang w:val="en-US" w:eastAsia="zh-CN"/>
              </w:rPr>
              <w:t>黄色</w:t>
            </w:r>
            <w:r>
              <w:rPr>
                <w:rFonts w:hint="eastAsia"/>
                <w:color w:val="auto"/>
                <w:lang w:val="en-US" w:eastAsia="zh-CN"/>
              </w:rPr>
              <w:t>）</w:t>
            </w:r>
            <w:r>
              <w:rPr>
                <w:rFonts w:hint="default"/>
                <w:color w:val="auto"/>
                <w:lang w:val="en-US" w:eastAsia="zh-CN"/>
              </w:rPr>
              <w:t>预警以上或气象预报风速达到五级以上时，不得进行土方挖填和转运、拆除、道路路面鼓风机吹灰等易产生扬尘的作业。</w:t>
            </w:r>
          </w:p>
          <w:p w14:paraId="7F273A0A">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⑪施工扬尘严格执行6个100%：施工工地周边100%围挡；出入车辆100%冲洗；拆迁工地100%湿法作业；渣土车辆100%密闭运输；施工现场地面100%硬化；物料堆放100%覆盖。确保施工现场扬尘治理工作100%达标。</w:t>
            </w:r>
          </w:p>
          <w:p w14:paraId="2D136297">
            <w:pPr>
              <w:pStyle w:val="44"/>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二、水环境</w:t>
            </w:r>
          </w:p>
          <w:p w14:paraId="6315AE93">
            <w:pPr>
              <w:pStyle w:val="4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施工期水污染源主要为施工人员产生的生活污水及施工废水。</w:t>
            </w:r>
          </w:p>
          <w:p w14:paraId="228D4A00">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生活污水主要污染物为有机物和悬浮物，生活污水经临时化粪池预处理后排入园区污水管网，达到五河县经济开发区污水处理厂接管标准后排入污水处理厂处理，不直接向地表水环境排放。</w:t>
            </w:r>
          </w:p>
          <w:p w14:paraId="303F39CE">
            <w:pPr>
              <w:pStyle w:val="4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施工废水中主要污染物为泥砂、悬浮颗粒物和少量矿物油，结合建筑施工需要，在施工区设置独立的施工废水隔油沉淀池，施工机械冲洗废水经隔油沉淀池处理后，用于施工场地的洒水降尘，不向外排放。</w:t>
            </w:r>
          </w:p>
          <w:p w14:paraId="24821BDF">
            <w:pPr>
              <w:pStyle w:val="4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项目严格按照防渗要求，采用耐腐蚀防渗材料，对污水管线收集系统及固体废物存放场所进行设计和施工，杜绝渗漏和外流；各建筑材料、未及时清运的建筑垃圾均遮盖好，避免雨水冲刷，形成径流污染地下水；施工期加强施工机械的维修管理，防止机械漏油，需要维修机械统一送至专业维修点维修，不在施工现场设置维修点。</w:t>
            </w:r>
          </w:p>
          <w:p w14:paraId="44D394F1">
            <w:pPr>
              <w:pStyle w:val="42"/>
              <w:keepNext w:val="0"/>
              <w:keepLines w:val="0"/>
              <w:suppressLineNumbers w:val="0"/>
              <w:bidi w:val="0"/>
              <w:spacing w:before="0" w:beforeAutospacing="0" w:after="0" w:afterAutospacing="0"/>
              <w:ind w:left="0" w:right="0"/>
              <w:rPr>
                <w:rFonts w:hint="eastAsia" w:ascii="宋体" w:hAnsi="宋体" w:eastAsia="宋体" w:cs="宋体"/>
                <w:color w:val="auto"/>
                <w:kern w:val="0"/>
                <w:szCs w:val="24"/>
                <w:lang w:val="en-US" w:eastAsia="zh-CN" w:bidi="ar"/>
              </w:rPr>
            </w:pPr>
            <w:r>
              <w:rPr>
                <w:rFonts w:hint="eastAsia"/>
                <w:color w:val="auto"/>
                <w:lang w:val="en-US" w:eastAsia="zh-CN"/>
              </w:rPr>
              <w:t>根据类比资料，临时化粪池、隔油沉淀池、污水收集管道及固体废物存放场所均采取防渗处理后，项目施工期对地下水环境造成的影响很小。综上所述，本项目施工期施工废水及生活污水对水环境的影响较小。</w:t>
            </w:r>
          </w:p>
          <w:p w14:paraId="52D3B2FB">
            <w:pPr>
              <w:pStyle w:val="44"/>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三、噪声环境</w:t>
            </w:r>
          </w:p>
          <w:p w14:paraId="087E6D54">
            <w:pPr>
              <w:pStyle w:val="4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（1）噪声源</w:t>
            </w:r>
          </w:p>
          <w:p w14:paraId="2D6512E6">
            <w:pPr>
              <w:pStyle w:val="4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施工期噪声主要来自施工区土石方开挖、夯实、打桩、混凝土搅拌等施工噪声，各种运输车辆及吊车等噪声，装修阶段一般施工时间较短，声源数量较少。</w:t>
            </w:r>
          </w:p>
          <w:p w14:paraId="646E29D1">
            <w:pPr>
              <w:pStyle w:val="4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为了减少施工过程产生的噪声对周边环境的影响，根据《中华人民共和国噪声污染防治法》，项目施工期间应采取以下特殊措施：</w:t>
            </w:r>
          </w:p>
          <w:p w14:paraId="6C1F1A77">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①合理选择施工机械放置位置，对动力机械设备进行定期的维修、养护，防止因设备部件松动或消声器破坏而加大其工作的声级。</w:t>
            </w:r>
          </w:p>
          <w:p w14:paraId="4293E60F">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②合理选择运输车辆的行驶路线，尽量绕开居民点、学校。</w:t>
            </w:r>
          </w:p>
          <w:p w14:paraId="7703DCCE">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③加强施工管理，提倡文明施工。</w:t>
            </w:r>
          </w:p>
          <w:p w14:paraId="3C10FC05">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④详细调查并掌握邻近居民点、学校等敏感点分布情况及与本项目的距离，并在此基础上进行工程设计，确保易产生振动的施工设备或设置作业区在安全距离以外。</w:t>
            </w:r>
          </w:p>
          <w:p w14:paraId="23B64B46">
            <w:pPr>
              <w:pStyle w:val="42"/>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⑤要求施工方加强施工过程中的管理工作，注意对挖掘机和运输车辆的定期维修保养，使其保持最佳工作状态，使噪声影响降低到最小范围</w:t>
            </w:r>
            <w:r>
              <w:rPr>
                <w:rFonts w:hint="eastAsia"/>
                <w:color w:val="auto"/>
                <w:lang w:val="en-US" w:eastAsia="zh-CN"/>
              </w:rPr>
              <w:t>。</w:t>
            </w:r>
          </w:p>
          <w:p w14:paraId="051AD881">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⑥施工单位必须在工程开工十五日以前向工程所在地县级以上地方人民政府生态环境主管部门申报该工程的项目名称、施工场所和期限、可能产生的环境噪声值以及所采取的环境噪声污染防治措施的情况。</w:t>
            </w:r>
          </w:p>
          <w:p w14:paraId="466C7EF4">
            <w:pPr>
              <w:pStyle w:val="42"/>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⑦禁止夜间进行产生环境噪声污染的建筑施工作业，但抢修、抢险作业和因</w:t>
            </w:r>
            <w:r>
              <w:rPr>
                <w:rFonts w:hint="eastAsia"/>
                <w:color w:val="auto"/>
                <w:lang w:val="en-US" w:eastAsia="zh-CN"/>
              </w:rPr>
              <w:t>生产工艺</w:t>
            </w:r>
            <w:r>
              <w:rPr>
                <w:rFonts w:hint="default"/>
                <w:color w:val="auto"/>
                <w:lang w:val="en-US" w:eastAsia="zh-CN"/>
              </w:rPr>
              <w:t>要求或者特殊需</w:t>
            </w:r>
            <w:r>
              <w:rPr>
                <w:rFonts w:hint="eastAsia"/>
                <w:color w:val="auto"/>
                <w:lang w:val="en-US" w:eastAsia="zh-CN"/>
              </w:rPr>
              <w:t>要必须连续作业的除外。因特殊需要必须连续作业的，必须有县级以上人民政府或者其他有关主管部门的证明，并在周围敏感点张贴告示。</w:t>
            </w:r>
          </w:p>
          <w:p w14:paraId="6B277FE6">
            <w:pPr>
              <w:pStyle w:val="44"/>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四、固体废物影响分析</w:t>
            </w:r>
          </w:p>
          <w:p w14:paraId="3EE1C5C0">
            <w:pPr>
              <w:pStyle w:val="4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项目施工期产生的固体废物主要有工程开挖产生的土石方、施工场地产生的建筑垃圾和施工人员产生的生活垃圾。</w:t>
            </w:r>
          </w:p>
          <w:p w14:paraId="55B6DBCF">
            <w:pPr>
              <w:pStyle w:val="4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环评要求项目将挖方妥善处置；施工产生的建筑垃圾应集中堆放，由施工单位运至市政指定建筑废渣专用堆放场，以免影响施工和环境卫生；施工人员产生的生活垃圾应全部及时外运至城市垃圾处理场进行处置。</w:t>
            </w:r>
          </w:p>
          <w:p w14:paraId="60BCCFC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2" w:firstLineChars="200"/>
              <w:jc w:val="both"/>
              <w:textAlignment w:val="auto"/>
              <w:rPr>
                <w:rFonts w:hint="default" w:ascii="Times New Roman" w:hAnsi="Times New Roman" w:cs="Times New Roman"/>
                <w:color w:val="auto"/>
                <w:highlight w:val="none"/>
              </w:rPr>
            </w:pPr>
            <w:r>
              <w:rPr>
                <w:rFonts w:hint="eastAsia"/>
                <w:color w:val="auto"/>
                <w:lang w:val="en-US" w:eastAsia="zh-CN"/>
              </w:rPr>
              <w:t>在落实以上环保措施后，本项目产生的固体废物不会对区域环境产生不利影响，但值得注意的是建筑垃圾和生活垃圾应分类收集、分类存放、分类运输和分类处置，不得混装。</w:t>
            </w:r>
          </w:p>
        </w:tc>
      </w:tr>
      <w:tr w14:paraId="0344B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928" w:hRule="atLeast"/>
          <w:jc w:val="center"/>
        </w:trPr>
        <w:tc>
          <w:tcPr>
            <w:tcW w:w="680" w:type="dxa"/>
            <w:noWrap w:val="0"/>
            <w:tcMar>
              <w:left w:w="28" w:type="dxa"/>
              <w:right w:w="28" w:type="dxa"/>
            </w:tcMar>
            <w:vAlign w:val="center"/>
          </w:tcPr>
          <w:p w14:paraId="72629CF1">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运营</w:t>
            </w:r>
          </w:p>
          <w:p w14:paraId="6F5A783A">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期环</w:t>
            </w:r>
          </w:p>
          <w:p w14:paraId="7006330C">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境影</w:t>
            </w:r>
          </w:p>
          <w:p w14:paraId="2F61A49F">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响和</w:t>
            </w:r>
          </w:p>
          <w:p w14:paraId="53E29DD4">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保护</w:t>
            </w:r>
          </w:p>
          <w:p w14:paraId="118AC729">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措施</w:t>
            </w:r>
          </w:p>
        </w:tc>
        <w:tc>
          <w:tcPr>
            <w:tcW w:w="9071" w:type="dxa"/>
            <w:noWrap w:val="0"/>
            <w:vAlign w:val="center"/>
          </w:tcPr>
          <w:p w14:paraId="777D6203">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一、废气</w:t>
            </w:r>
          </w:p>
          <w:p w14:paraId="296424F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70" w:firstLineChars="200"/>
              <w:jc w:val="left"/>
              <w:textAlignment w:val="baseline"/>
              <w:rPr>
                <w:rFonts w:hint="default" w:ascii="宋体" w:hAnsi="宋体" w:eastAsia="宋体" w:cs="宋体"/>
                <w:b/>
                <w:bCs/>
                <w:snapToGrid w:val="0"/>
                <w:color w:val="000000"/>
                <w:spacing w:val="-3"/>
                <w:kern w:val="0"/>
                <w:sz w:val="24"/>
                <w:szCs w:val="24"/>
                <w:lang w:val="en-US" w:eastAsia="en-US" w:bidi="ar-SA"/>
              </w:rPr>
            </w:pPr>
            <w:r>
              <w:rPr>
                <w:rFonts w:hint="default" w:ascii="宋体" w:hAnsi="宋体" w:eastAsia="宋体" w:cs="宋体"/>
                <w:b/>
                <w:bCs/>
                <w:snapToGrid w:val="0"/>
                <w:color w:val="000000"/>
                <w:spacing w:val="-3"/>
                <w:kern w:val="0"/>
                <w:sz w:val="24"/>
                <w:szCs w:val="24"/>
                <w:lang w:val="en-US" w:eastAsia="en-US" w:bidi="ar-SA"/>
              </w:rPr>
              <w:t>1、废气污染源强分析</w:t>
            </w:r>
          </w:p>
          <w:p w14:paraId="3DBC4C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72" w:firstLineChars="200"/>
              <w:jc w:val="left"/>
              <w:textAlignment w:val="baseline"/>
              <w:rPr>
                <w:rFonts w:hint="default" w:ascii="宋体" w:hAnsi="宋体" w:eastAsia="宋体" w:cs="宋体"/>
                <w:snapToGrid w:val="0"/>
                <w:color w:val="000000"/>
                <w:spacing w:val="-2"/>
                <w:kern w:val="0"/>
                <w:position w:val="2"/>
                <w:sz w:val="24"/>
                <w:szCs w:val="24"/>
                <w:lang w:val="en-US" w:eastAsia="en-US" w:bidi="ar-SA"/>
              </w:rPr>
            </w:pPr>
            <w:r>
              <w:rPr>
                <w:rFonts w:hint="default" w:ascii="宋体" w:hAnsi="宋体" w:eastAsia="宋体" w:cs="宋体"/>
                <w:snapToGrid w:val="0"/>
                <w:color w:val="000000"/>
                <w:spacing w:val="-2"/>
                <w:kern w:val="0"/>
                <w:position w:val="2"/>
                <w:sz w:val="24"/>
                <w:szCs w:val="24"/>
                <w:lang w:val="en-US" w:eastAsia="en-US" w:bidi="ar-SA"/>
              </w:rPr>
              <w:t>（</w:t>
            </w:r>
            <w:r>
              <w:rPr>
                <w:rFonts w:hint="default" w:ascii="Times New Roman" w:hAnsi="Times New Roman" w:eastAsia="Times New Roman" w:cs="Times New Roman"/>
                <w:snapToGrid w:val="0"/>
                <w:color w:val="000000"/>
                <w:spacing w:val="-2"/>
                <w:kern w:val="0"/>
                <w:position w:val="2"/>
                <w:sz w:val="24"/>
                <w:szCs w:val="24"/>
                <w:lang w:val="en-US" w:eastAsia="en-US" w:bidi="ar-SA"/>
              </w:rPr>
              <w:t>1</w:t>
            </w:r>
            <w:r>
              <w:rPr>
                <w:rFonts w:hint="default" w:ascii="宋体" w:hAnsi="宋体" w:eastAsia="宋体" w:cs="宋体"/>
                <w:snapToGrid w:val="0"/>
                <w:color w:val="000000"/>
                <w:spacing w:val="-2"/>
                <w:kern w:val="0"/>
                <w:position w:val="2"/>
                <w:sz w:val="24"/>
                <w:szCs w:val="24"/>
                <w:lang w:val="en-US" w:eastAsia="en-US" w:bidi="ar-SA"/>
              </w:rPr>
              <w:t>）有机废气（加弹油剂挥发废气）</w:t>
            </w:r>
          </w:p>
          <w:p w14:paraId="1BD95C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68" w:firstLineChars="200"/>
              <w:jc w:val="left"/>
              <w:textAlignment w:val="baseline"/>
              <w:rPr>
                <w:rFonts w:hint="default" w:ascii="宋体" w:hAnsi="宋体" w:eastAsia="宋体" w:cs="宋体"/>
                <w:snapToGrid w:val="0"/>
                <w:color w:val="000000"/>
                <w:kern w:val="0"/>
                <w:sz w:val="24"/>
                <w:szCs w:val="24"/>
                <w:lang w:val="en-US" w:eastAsia="en-US" w:bidi="ar-SA"/>
              </w:rPr>
            </w:pPr>
            <w:r>
              <w:rPr>
                <w:rFonts w:hint="default" w:ascii="宋体" w:hAnsi="宋体" w:eastAsia="宋体" w:cs="宋体"/>
                <w:snapToGrid w:val="0"/>
                <w:color w:val="000000"/>
                <w:spacing w:val="-3"/>
                <w:kern w:val="0"/>
                <w:sz w:val="24"/>
                <w:szCs w:val="24"/>
                <w:lang w:val="en-US" w:eastAsia="en-US" w:bidi="ar-SA"/>
              </w:rPr>
              <w:t>加弹油剂挥发废气：上、下热箱定型过程油剂挥发会产生油烟，在上油过</w:t>
            </w:r>
            <w:r>
              <w:rPr>
                <w:rFonts w:hint="default" w:ascii="宋体" w:hAnsi="宋体" w:eastAsia="宋体" w:cs="宋体"/>
                <w:snapToGrid w:val="0"/>
                <w:color w:val="000000"/>
                <w:spacing w:val="9"/>
                <w:kern w:val="0"/>
                <w:sz w:val="24"/>
                <w:szCs w:val="24"/>
                <w:lang w:val="en-US" w:eastAsia="en-US" w:bidi="ar-SA"/>
              </w:rPr>
              <w:t>程中油剂挥发再次产生油烟。本项目加弹用</w:t>
            </w:r>
            <w:r>
              <w:rPr>
                <w:rFonts w:hint="default" w:ascii="Times New Roman" w:hAnsi="Times New Roman" w:eastAsia="Times New Roman" w:cs="Times New Roman"/>
                <w:snapToGrid w:val="0"/>
                <w:color w:val="000000"/>
                <w:kern w:val="0"/>
                <w:sz w:val="24"/>
                <w:szCs w:val="24"/>
                <w:lang w:val="en-US" w:eastAsia="en-US" w:bidi="ar-SA"/>
              </w:rPr>
              <w:t>POY</w:t>
            </w:r>
            <w:r>
              <w:rPr>
                <w:rFonts w:hint="default" w:ascii="宋体" w:hAnsi="宋体" w:eastAsia="宋体" w:cs="宋体"/>
                <w:snapToGrid w:val="0"/>
                <w:color w:val="000000"/>
                <w:spacing w:val="9"/>
                <w:kern w:val="0"/>
                <w:sz w:val="24"/>
                <w:szCs w:val="24"/>
                <w:lang w:val="en-US" w:eastAsia="en-US" w:bidi="ar-SA"/>
              </w:rPr>
              <w:t>涤纶丝原料含油率约</w:t>
            </w:r>
            <w:r>
              <w:rPr>
                <w:rFonts w:hint="default" w:ascii="Times New Roman" w:hAnsi="Times New Roman" w:eastAsia="Times New Roman" w:cs="Times New Roman"/>
                <w:snapToGrid w:val="0"/>
                <w:color w:val="000000"/>
                <w:spacing w:val="9"/>
                <w:kern w:val="0"/>
                <w:sz w:val="24"/>
                <w:szCs w:val="24"/>
                <w:lang w:val="en-US" w:eastAsia="en-US" w:bidi="ar-SA"/>
              </w:rPr>
              <w:t>0.3</w:t>
            </w:r>
            <w:r>
              <w:rPr>
                <w:rFonts w:hint="eastAsia" w:eastAsia="宋体" w:cs="Times New Roman"/>
                <w:snapToGrid w:val="0"/>
                <w:color w:val="000000"/>
                <w:spacing w:val="9"/>
                <w:kern w:val="0"/>
                <w:sz w:val="24"/>
                <w:szCs w:val="24"/>
                <w:lang w:val="en-US" w:eastAsia="zh-CN" w:bidi="ar-SA"/>
              </w:rPr>
              <w:t>～</w:t>
            </w:r>
            <w:r>
              <w:rPr>
                <w:rFonts w:hint="default" w:ascii="Times New Roman" w:hAnsi="Times New Roman" w:eastAsia="Times New Roman" w:cs="Times New Roman"/>
                <w:snapToGrid w:val="0"/>
                <w:color w:val="000000"/>
                <w:spacing w:val="-2"/>
                <w:kern w:val="0"/>
                <w:sz w:val="24"/>
                <w:szCs w:val="24"/>
                <w:lang w:val="en-US" w:eastAsia="en-US" w:bidi="ar-SA"/>
              </w:rPr>
              <w:t>0.4%</w:t>
            </w:r>
            <w:r>
              <w:rPr>
                <w:rFonts w:hint="default" w:ascii="宋体" w:hAnsi="宋体" w:eastAsia="宋体" w:cs="宋体"/>
                <w:snapToGrid w:val="0"/>
                <w:color w:val="000000"/>
                <w:spacing w:val="-2"/>
                <w:kern w:val="0"/>
                <w:sz w:val="24"/>
                <w:szCs w:val="24"/>
                <w:lang w:val="en-US" w:eastAsia="en-US" w:bidi="ar-SA"/>
              </w:rPr>
              <w:t>（本次评价按平均值</w:t>
            </w:r>
            <w:r>
              <w:rPr>
                <w:rFonts w:hint="default" w:ascii="Times New Roman" w:hAnsi="Times New Roman" w:eastAsia="Times New Roman" w:cs="Times New Roman"/>
                <w:snapToGrid w:val="0"/>
                <w:color w:val="000000"/>
                <w:spacing w:val="-2"/>
                <w:kern w:val="0"/>
                <w:sz w:val="24"/>
                <w:szCs w:val="24"/>
                <w:lang w:val="en-US" w:eastAsia="en-US" w:bidi="ar-SA"/>
              </w:rPr>
              <w:t>0.35%</w:t>
            </w:r>
            <w:r>
              <w:rPr>
                <w:rFonts w:hint="default" w:ascii="宋体" w:hAnsi="宋体" w:eastAsia="宋体" w:cs="宋体"/>
                <w:snapToGrid w:val="0"/>
                <w:color w:val="000000"/>
                <w:spacing w:val="-2"/>
                <w:kern w:val="0"/>
                <w:sz w:val="24"/>
                <w:szCs w:val="24"/>
                <w:lang w:val="en-US" w:eastAsia="en-US" w:bidi="ar-SA"/>
              </w:rPr>
              <w:t>计</w:t>
            </w:r>
            <w:r>
              <w:rPr>
                <w:rFonts w:hint="default" w:ascii="宋体" w:hAnsi="宋体" w:eastAsia="宋体" w:cs="宋体"/>
                <w:snapToGrid w:val="0"/>
                <w:color w:val="000000"/>
                <w:spacing w:val="3"/>
                <w:kern w:val="0"/>
                <w:sz w:val="24"/>
                <w:szCs w:val="24"/>
                <w:lang w:val="en-US" w:eastAsia="en-US" w:bidi="ar-SA"/>
              </w:rPr>
              <w:t>），</w:t>
            </w:r>
            <w:r>
              <w:rPr>
                <w:rFonts w:hint="default" w:ascii="宋体" w:hAnsi="宋体" w:eastAsia="宋体" w:cs="宋体"/>
                <w:snapToGrid w:val="0"/>
                <w:color w:val="000000"/>
                <w:spacing w:val="-2"/>
                <w:kern w:val="0"/>
                <w:sz w:val="24"/>
                <w:szCs w:val="24"/>
                <w:lang w:val="en-US" w:eastAsia="en-US" w:bidi="ar-SA"/>
              </w:rPr>
              <w:t>在加热定型过程中油剂挥发，上、下热</w:t>
            </w:r>
            <w:r>
              <w:rPr>
                <w:rFonts w:hint="default" w:ascii="宋体" w:hAnsi="宋体" w:eastAsia="宋体" w:cs="宋体"/>
                <w:snapToGrid w:val="0"/>
                <w:color w:val="000000"/>
                <w:spacing w:val="-1"/>
                <w:kern w:val="0"/>
                <w:sz w:val="24"/>
                <w:szCs w:val="24"/>
                <w:lang w:val="en-US" w:eastAsia="en-US" w:bidi="ar-SA"/>
              </w:rPr>
              <w:t>箱定型产生油烟，本项目年加工</w:t>
            </w:r>
            <w:r>
              <w:rPr>
                <w:rFonts w:hint="default" w:ascii="Times New Roman" w:hAnsi="Times New Roman" w:eastAsia="Times New Roman" w:cs="Times New Roman"/>
                <w:snapToGrid w:val="0"/>
                <w:color w:val="000000"/>
                <w:spacing w:val="-1"/>
                <w:kern w:val="0"/>
                <w:sz w:val="24"/>
                <w:szCs w:val="24"/>
                <w:lang w:val="en-US" w:eastAsia="en-US" w:bidi="ar-SA"/>
              </w:rPr>
              <w:t>POY</w:t>
            </w:r>
            <w:r>
              <w:rPr>
                <w:rFonts w:hint="default" w:ascii="宋体" w:hAnsi="宋体" w:eastAsia="宋体" w:cs="宋体"/>
                <w:snapToGrid w:val="0"/>
                <w:color w:val="000000"/>
                <w:spacing w:val="-1"/>
                <w:kern w:val="0"/>
                <w:sz w:val="24"/>
                <w:szCs w:val="24"/>
                <w:lang w:val="en-US" w:eastAsia="en-US" w:bidi="ar-SA"/>
              </w:rPr>
              <w:t>丝</w:t>
            </w:r>
            <w:r>
              <w:rPr>
                <w:rFonts w:hint="default" w:ascii="Times New Roman" w:hAnsi="Times New Roman" w:eastAsia="Times New Roman" w:cs="Times New Roman"/>
                <w:snapToGrid w:val="0"/>
                <w:color w:val="000000"/>
                <w:spacing w:val="-1"/>
                <w:kern w:val="0"/>
                <w:sz w:val="24"/>
                <w:szCs w:val="24"/>
                <w:lang w:val="en-US" w:eastAsia="en-US" w:bidi="ar-SA"/>
              </w:rPr>
              <w:t>1</w:t>
            </w:r>
            <w:r>
              <w:rPr>
                <w:rFonts w:hint="eastAsia" w:ascii="Times New Roman" w:hAnsi="Times New Roman" w:eastAsia="宋体" w:cs="Times New Roman"/>
                <w:snapToGrid w:val="0"/>
                <w:color w:val="000000"/>
                <w:spacing w:val="-1"/>
                <w:kern w:val="0"/>
                <w:sz w:val="24"/>
                <w:szCs w:val="24"/>
                <w:lang w:val="en-US" w:eastAsia="zh-CN" w:bidi="ar-SA"/>
              </w:rPr>
              <w:t>20</w:t>
            </w:r>
            <w:r>
              <w:rPr>
                <w:rFonts w:hint="default" w:ascii="Times New Roman" w:hAnsi="Times New Roman" w:eastAsia="Times New Roman" w:cs="Times New Roman"/>
                <w:snapToGrid w:val="0"/>
                <w:color w:val="000000"/>
                <w:spacing w:val="-1"/>
                <w:kern w:val="0"/>
                <w:sz w:val="24"/>
                <w:szCs w:val="24"/>
                <w:lang w:val="en-US" w:eastAsia="en-US" w:bidi="ar-SA"/>
              </w:rPr>
              <w:t>00t</w:t>
            </w:r>
            <w:r>
              <w:rPr>
                <w:rFonts w:hint="default" w:ascii="宋体" w:hAnsi="宋体" w:eastAsia="宋体" w:cs="宋体"/>
                <w:snapToGrid w:val="0"/>
                <w:color w:val="000000"/>
                <w:spacing w:val="-1"/>
                <w:kern w:val="0"/>
                <w:sz w:val="24"/>
                <w:szCs w:val="24"/>
                <w:lang w:val="en-US" w:eastAsia="en-US" w:bidi="ar-SA"/>
              </w:rPr>
              <w:t>，通过两道定型后，油剂含量</w:t>
            </w:r>
            <w:r>
              <w:rPr>
                <w:rFonts w:hint="default" w:ascii="宋体" w:hAnsi="宋体" w:eastAsia="宋体" w:cs="宋体"/>
                <w:snapToGrid w:val="0"/>
                <w:color w:val="000000"/>
                <w:spacing w:val="-2"/>
                <w:kern w:val="0"/>
                <w:sz w:val="24"/>
                <w:szCs w:val="24"/>
                <w:lang w:val="en-US" w:eastAsia="en-US" w:bidi="ar-SA"/>
              </w:rPr>
              <w:t>下降到</w:t>
            </w:r>
            <w:r>
              <w:rPr>
                <w:rFonts w:hint="default" w:ascii="Times New Roman" w:hAnsi="Times New Roman" w:eastAsia="Times New Roman" w:cs="Times New Roman"/>
                <w:snapToGrid w:val="0"/>
                <w:color w:val="000000"/>
                <w:spacing w:val="-2"/>
                <w:kern w:val="0"/>
                <w:sz w:val="24"/>
                <w:szCs w:val="24"/>
                <w:lang w:val="en-US" w:eastAsia="en-US" w:bidi="ar-SA"/>
              </w:rPr>
              <w:t>0.3%</w:t>
            </w:r>
            <w:r>
              <w:rPr>
                <w:rFonts w:hint="default" w:ascii="宋体" w:hAnsi="宋体" w:eastAsia="宋体" w:cs="宋体"/>
                <w:snapToGrid w:val="0"/>
                <w:color w:val="000000"/>
                <w:spacing w:val="-2"/>
                <w:kern w:val="0"/>
                <w:sz w:val="24"/>
                <w:szCs w:val="24"/>
                <w:lang w:val="en-US" w:eastAsia="en-US" w:bidi="ar-SA"/>
              </w:rPr>
              <w:t>，则上、下热箱定型过程产生油烟约</w:t>
            </w:r>
            <w:r>
              <w:rPr>
                <w:rFonts w:hint="eastAsia" w:ascii="Times New Roman" w:hAnsi="Times New Roman" w:eastAsia="宋体" w:cs="Times New Roman"/>
                <w:snapToGrid w:val="0"/>
                <w:color w:val="000000"/>
                <w:spacing w:val="-2"/>
                <w:kern w:val="0"/>
                <w:sz w:val="24"/>
                <w:szCs w:val="24"/>
                <w:lang w:val="en-US" w:eastAsia="zh-CN" w:bidi="ar-SA"/>
              </w:rPr>
              <w:t>6</w:t>
            </w:r>
            <w:r>
              <w:rPr>
                <w:rFonts w:hint="default" w:ascii="Times New Roman" w:hAnsi="Times New Roman" w:eastAsia="Times New Roman" w:cs="Times New Roman"/>
                <w:snapToGrid w:val="0"/>
                <w:color w:val="000000"/>
                <w:spacing w:val="-2"/>
                <w:kern w:val="0"/>
                <w:sz w:val="24"/>
                <w:szCs w:val="24"/>
                <w:lang w:val="en-US" w:eastAsia="en-US" w:bidi="ar-SA"/>
              </w:rPr>
              <w:t>t/a</w:t>
            </w:r>
            <w:r>
              <w:rPr>
                <w:rFonts w:hint="default" w:ascii="宋体" w:hAnsi="宋体" w:eastAsia="宋体" w:cs="宋体"/>
                <w:snapToGrid w:val="0"/>
                <w:color w:val="000000"/>
                <w:spacing w:val="-2"/>
                <w:kern w:val="0"/>
                <w:sz w:val="24"/>
                <w:szCs w:val="24"/>
                <w:lang w:val="en-US" w:eastAsia="en-US" w:bidi="ar-SA"/>
              </w:rPr>
              <w:t>。</w:t>
            </w:r>
          </w:p>
          <w:p w14:paraId="229897F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92" w:firstLineChars="200"/>
              <w:jc w:val="both"/>
              <w:textAlignment w:val="baseline"/>
              <w:rPr>
                <w:rFonts w:hint="default" w:ascii="宋体" w:hAnsi="宋体" w:eastAsia="宋体" w:cs="宋体"/>
                <w:snapToGrid w:val="0"/>
                <w:color w:val="000000"/>
                <w:spacing w:val="-2"/>
                <w:kern w:val="0"/>
                <w:sz w:val="24"/>
                <w:szCs w:val="24"/>
                <w:lang w:val="en-US" w:eastAsia="en-US" w:bidi="ar-SA"/>
              </w:rPr>
            </w:pPr>
            <w:r>
              <w:rPr>
                <w:rFonts w:hint="default" w:ascii="宋体" w:hAnsi="宋体" w:eastAsia="宋体" w:cs="宋体"/>
                <w:snapToGrid w:val="0"/>
                <w:color w:val="000000"/>
                <w:spacing w:val="3"/>
                <w:kern w:val="0"/>
                <w:sz w:val="24"/>
                <w:szCs w:val="24"/>
                <w:lang w:val="en-US" w:eastAsia="en-US" w:bidi="ar-SA"/>
              </w:rPr>
              <w:t>本项目加弹用</w:t>
            </w:r>
            <w:r>
              <w:rPr>
                <w:rFonts w:hint="default" w:ascii="Times New Roman" w:hAnsi="Times New Roman" w:eastAsia="Times New Roman" w:cs="Times New Roman"/>
                <w:snapToGrid w:val="0"/>
                <w:color w:val="000000"/>
                <w:kern w:val="0"/>
                <w:sz w:val="24"/>
                <w:szCs w:val="24"/>
                <w:lang w:val="en-US" w:eastAsia="en-US" w:bidi="ar-SA"/>
              </w:rPr>
              <w:t>POY</w:t>
            </w:r>
            <w:r>
              <w:rPr>
                <w:rFonts w:hint="default" w:ascii="宋体" w:hAnsi="宋体" w:eastAsia="宋体" w:cs="宋体"/>
                <w:snapToGrid w:val="0"/>
                <w:color w:val="000000"/>
                <w:spacing w:val="3"/>
                <w:kern w:val="0"/>
                <w:sz w:val="24"/>
                <w:szCs w:val="24"/>
                <w:lang w:val="en-US" w:eastAsia="en-US" w:bidi="ar-SA"/>
              </w:rPr>
              <w:t>涤纶丝原料在上、下热箱定型后，涤纶丝的含油率下</w:t>
            </w:r>
            <w:r>
              <w:rPr>
                <w:rFonts w:hint="default" w:ascii="宋体" w:hAnsi="宋体" w:eastAsia="宋体" w:cs="宋体"/>
                <w:snapToGrid w:val="0"/>
                <w:color w:val="000000"/>
                <w:spacing w:val="-2"/>
                <w:kern w:val="0"/>
                <w:sz w:val="24"/>
                <w:szCs w:val="24"/>
                <w:lang w:val="en-US" w:eastAsia="en-US" w:bidi="ar-SA"/>
              </w:rPr>
              <w:t>降至</w:t>
            </w:r>
            <w:r>
              <w:rPr>
                <w:rFonts w:hint="default" w:ascii="Times New Roman" w:hAnsi="Times New Roman" w:eastAsia="Times New Roman" w:cs="Times New Roman"/>
                <w:snapToGrid w:val="0"/>
                <w:color w:val="000000"/>
                <w:spacing w:val="-2"/>
                <w:kern w:val="0"/>
                <w:sz w:val="24"/>
                <w:szCs w:val="24"/>
                <w:lang w:val="en-US" w:eastAsia="en-US" w:bidi="ar-SA"/>
              </w:rPr>
              <w:t>0.3%</w:t>
            </w:r>
            <w:r>
              <w:rPr>
                <w:rFonts w:hint="default" w:ascii="宋体" w:hAnsi="宋体" w:eastAsia="宋体" w:cs="宋体"/>
                <w:snapToGrid w:val="0"/>
                <w:color w:val="000000"/>
                <w:spacing w:val="-2"/>
                <w:kern w:val="0"/>
                <w:sz w:val="24"/>
                <w:szCs w:val="24"/>
                <w:lang w:val="en-US" w:eastAsia="en-US" w:bidi="ar-SA"/>
              </w:rPr>
              <w:t>，含油率较低，不能满足后续生产要求，要对涤纶丝进行上油处理，提高涤纶丝的含油率，加弹工序上油过程中使用的是防飞</w:t>
            </w:r>
            <w:r>
              <w:rPr>
                <w:rFonts w:hint="default" w:ascii="宋体" w:hAnsi="宋体" w:eastAsia="宋体" w:cs="宋体"/>
                <w:snapToGrid w:val="0"/>
                <w:color w:val="000000"/>
                <w:spacing w:val="-3"/>
                <w:kern w:val="0"/>
                <w:sz w:val="24"/>
                <w:szCs w:val="24"/>
                <w:lang w:val="en-US" w:eastAsia="en-US" w:bidi="ar-SA"/>
              </w:rPr>
              <w:t>溅油剂，防飞溅油剂</w:t>
            </w:r>
            <w:r>
              <w:rPr>
                <w:rFonts w:hint="default" w:ascii="宋体" w:hAnsi="宋体" w:eastAsia="宋体" w:cs="宋体"/>
                <w:snapToGrid w:val="0"/>
                <w:color w:val="000000"/>
                <w:spacing w:val="-2"/>
                <w:kern w:val="0"/>
                <w:sz w:val="24"/>
                <w:szCs w:val="24"/>
                <w:lang w:val="en-US" w:eastAsia="en-US" w:bidi="ar-SA"/>
              </w:rPr>
              <w:t>主要成分为矿物油、多种表面活性剂、少量渗透剂，外观</w:t>
            </w:r>
            <w:r>
              <w:rPr>
                <w:rFonts w:hint="default" w:ascii="宋体" w:hAnsi="宋体" w:eastAsia="宋体" w:cs="宋体"/>
                <w:snapToGrid w:val="0"/>
                <w:color w:val="000000"/>
                <w:spacing w:val="-3"/>
                <w:kern w:val="0"/>
                <w:sz w:val="24"/>
                <w:szCs w:val="24"/>
                <w:lang w:val="en-US" w:eastAsia="en-US" w:bidi="ar-SA"/>
              </w:rPr>
              <w:t>淡黄色至黄</w:t>
            </w:r>
            <w:r>
              <w:rPr>
                <w:rFonts w:hint="default" w:ascii="宋体" w:hAnsi="宋体" w:eastAsia="宋体" w:cs="宋体"/>
                <w:snapToGrid w:val="0"/>
                <w:color w:val="000000"/>
                <w:kern w:val="0"/>
                <w:sz w:val="24"/>
                <w:szCs w:val="24"/>
                <w:lang w:val="en-US" w:eastAsia="en-US" w:bidi="ar-SA"/>
              </w:rPr>
              <w:fldChar w:fldCharType="begin"/>
            </w:r>
            <w:r>
              <w:rPr>
                <w:rFonts w:hint="default" w:ascii="宋体" w:hAnsi="宋体" w:eastAsia="宋体" w:cs="宋体"/>
                <w:snapToGrid w:val="0"/>
                <w:color w:val="000000"/>
                <w:kern w:val="0"/>
                <w:sz w:val="24"/>
                <w:szCs w:val="24"/>
                <w:lang w:val="en-US" w:eastAsia="en-US" w:bidi="ar-SA"/>
              </w:rPr>
              <w:instrText xml:space="preserve"> HYPERLINK "http://www.yuancailiao.net/trade/394.aspx" </w:instrText>
            </w:r>
            <w:r>
              <w:rPr>
                <w:rFonts w:hint="default" w:ascii="宋体" w:hAnsi="宋体" w:eastAsia="宋体" w:cs="宋体"/>
                <w:snapToGrid w:val="0"/>
                <w:color w:val="000000"/>
                <w:kern w:val="0"/>
                <w:sz w:val="24"/>
                <w:szCs w:val="24"/>
                <w:lang w:val="en-US" w:eastAsia="en-US" w:bidi="ar-SA"/>
              </w:rPr>
              <w:fldChar w:fldCharType="separate"/>
            </w:r>
            <w:r>
              <w:rPr>
                <w:rFonts w:hint="default" w:ascii="宋体" w:hAnsi="宋体" w:eastAsia="宋体" w:cs="宋体"/>
                <w:snapToGrid w:val="0"/>
                <w:color w:val="000000"/>
                <w:spacing w:val="-3"/>
                <w:kern w:val="0"/>
                <w:sz w:val="24"/>
                <w:szCs w:val="24"/>
                <w:lang w:val="en-US" w:eastAsia="en-US" w:bidi="ar-SA"/>
              </w:rPr>
              <w:t>色</w:t>
            </w:r>
            <w:r>
              <w:rPr>
                <w:rFonts w:hint="default" w:ascii="宋体" w:hAnsi="宋体" w:eastAsia="宋体" w:cs="宋体"/>
                <w:snapToGrid w:val="0"/>
                <w:color w:val="000000"/>
                <w:spacing w:val="-3"/>
                <w:kern w:val="0"/>
                <w:sz w:val="24"/>
                <w:szCs w:val="24"/>
                <w:lang w:val="en-US" w:eastAsia="en-US" w:bidi="ar-SA"/>
              </w:rPr>
              <w:fldChar w:fldCharType="end"/>
            </w:r>
            <w:r>
              <w:rPr>
                <w:rFonts w:hint="default" w:ascii="宋体" w:hAnsi="宋体" w:eastAsia="宋体" w:cs="宋体"/>
                <w:snapToGrid w:val="0"/>
                <w:color w:val="000000"/>
                <w:spacing w:val="-3"/>
                <w:kern w:val="0"/>
                <w:sz w:val="24"/>
                <w:szCs w:val="24"/>
                <w:lang w:val="en-US" w:eastAsia="en-US" w:bidi="ar-SA"/>
              </w:rPr>
              <w:t>粘状透</w:t>
            </w:r>
            <w:r>
              <w:rPr>
                <w:rFonts w:hint="default" w:ascii="宋体" w:hAnsi="宋体" w:eastAsia="宋体" w:cs="宋体"/>
                <w:snapToGrid w:val="0"/>
                <w:color w:val="000000"/>
                <w:kern w:val="0"/>
                <w:sz w:val="24"/>
                <w:szCs w:val="24"/>
                <w:lang w:val="en-US" w:eastAsia="en-US" w:bidi="ar-SA"/>
              </w:rPr>
              <w:t>明油状液体，热稳定性较好。防飞溅油剂在使</w:t>
            </w:r>
            <w:r>
              <w:rPr>
                <w:rFonts w:hint="default" w:ascii="宋体" w:hAnsi="宋体" w:eastAsia="宋体" w:cs="宋体"/>
                <w:snapToGrid w:val="0"/>
                <w:color w:val="000000"/>
                <w:spacing w:val="-1"/>
                <w:kern w:val="0"/>
                <w:sz w:val="24"/>
                <w:szCs w:val="24"/>
                <w:lang w:val="en-US" w:eastAsia="en-US" w:bidi="ar-SA"/>
              </w:rPr>
              <w:t>用过程中，常温下挥发量很少，类比《江苏华拓纺织科技有限公司年产</w:t>
            </w:r>
            <w:r>
              <w:rPr>
                <w:rFonts w:hint="default" w:ascii="Times New Roman" w:hAnsi="Times New Roman" w:eastAsia="Times New Roman" w:cs="Times New Roman"/>
                <w:snapToGrid w:val="0"/>
                <w:color w:val="000000"/>
                <w:spacing w:val="-1"/>
                <w:kern w:val="0"/>
                <w:sz w:val="24"/>
                <w:szCs w:val="24"/>
                <w:lang w:val="en-US" w:eastAsia="en-US" w:bidi="ar-SA"/>
              </w:rPr>
              <w:t>3</w:t>
            </w:r>
            <w:r>
              <w:rPr>
                <w:rFonts w:hint="default" w:ascii="宋体" w:hAnsi="宋体" w:eastAsia="宋体" w:cs="宋体"/>
                <w:snapToGrid w:val="0"/>
                <w:color w:val="000000"/>
                <w:spacing w:val="-1"/>
                <w:kern w:val="0"/>
                <w:sz w:val="24"/>
                <w:szCs w:val="24"/>
                <w:lang w:val="en-US" w:eastAsia="en-US" w:bidi="ar-SA"/>
              </w:rPr>
              <w:t>亿米纺织面料和</w:t>
            </w:r>
            <w:r>
              <w:rPr>
                <w:rFonts w:hint="default" w:ascii="Times New Roman" w:hAnsi="Times New Roman" w:eastAsia="Times New Roman" w:cs="Times New Roman"/>
                <w:snapToGrid w:val="0"/>
                <w:color w:val="000000"/>
                <w:spacing w:val="-1"/>
                <w:kern w:val="0"/>
                <w:sz w:val="24"/>
                <w:szCs w:val="24"/>
                <w:lang w:val="en-US" w:eastAsia="en-US" w:bidi="ar-SA"/>
              </w:rPr>
              <w:t>50</w:t>
            </w:r>
            <w:r>
              <w:rPr>
                <w:rFonts w:hint="default" w:ascii="Times New Roman" w:hAnsi="Times New Roman" w:eastAsia="Times New Roman" w:cs="Times New Roman"/>
                <w:snapToGrid w:val="0"/>
                <w:color w:val="000000"/>
                <w:spacing w:val="-2"/>
                <w:kern w:val="0"/>
                <w:sz w:val="24"/>
                <w:szCs w:val="24"/>
                <w:lang w:val="en-US" w:eastAsia="en-US" w:bidi="ar-SA"/>
              </w:rPr>
              <w:t>0</w:t>
            </w:r>
            <w:r>
              <w:rPr>
                <w:rFonts w:hint="default" w:ascii="宋体" w:hAnsi="宋体" w:eastAsia="宋体" w:cs="宋体"/>
                <w:snapToGrid w:val="0"/>
                <w:color w:val="000000"/>
                <w:spacing w:val="-2"/>
                <w:kern w:val="0"/>
                <w:sz w:val="24"/>
                <w:szCs w:val="24"/>
                <w:lang w:val="en-US" w:eastAsia="en-US" w:bidi="ar-SA"/>
              </w:rPr>
              <w:t>万套家纺用品项</w:t>
            </w:r>
            <w:r>
              <w:rPr>
                <w:rFonts w:hint="default" w:ascii="宋体" w:hAnsi="宋体" w:eastAsia="宋体" w:cs="宋体"/>
                <w:snapToGrid w:val="0"/>
                <w:color w:val="000000"/>
                <w:spacing w:val="-4"/>
                <w:kern w:val="0"/>
                <w:sz w:val="24"/>
                <w:szCs w:val="24"/>
                <w:lang w:val="en-US" w:eastAsia="en-US" w:bidi="ar-SA"/>
              </w:rPr>
              <w:t>目环境影响报告书》（</w:t>
            </w:r>
            <w:r>
              <w:rPr>
                <w:rFonts w:hint="default" w:ascii="Times New Roman" w:hAnsi="Times New Roman" w:eastAsia="Times New Roman" w:cs="Times New Roman"/>
                <w:snapToGrid w:val="0"/>
                <w:color w:val="000000"/>
                <w:spacing w:val="-4"/>
                <w:kern w:val="0"/>
                <w:sz w:val="24"/>
                <w:szCs w:val="24"/>
                <w:lang w:val="en-US" w:eastAsia="en-US" w:bidi="ar-SA"/>
              </w:rPr>
              <w:t>2020</w:t>
            </w:r>
            <w:r>
              <w:rPr>
                <w:rFonts w:hint="default" w:ascii="宋体" w:hAnsi="宋体" w:eastAsia="宋体" w:cs="宋体"/>
                <w:snapToGrid w:val="0"/>
                <w:color w:val="000000"/>
                <w:spacing w:val="-4"/>
                <w:kern w:val="0"/>
                <w:sz w:val="24"/>
                <w:szCs w:val="24"/>
                <w:lang w:val="en-US" w:eastAsia="en-US" w:bidi="ar-SA"/>
              </w:rPr>
              <w:t>年</w:t>
            </w:r>
            <w:r>
              <w:rPr>
                <w:rFonts w:hint="default" w:ascii="Times New Roman" w:hAnsi="Times New Roman" w:eastAsia="Times New Roman" w:cs="Times New Roman"/>
                <w:snapToGrid w:val="0"/>
                <w:color w:val="000000"/>
                <w:spacing w:val="-4"/>
                <w:kern w:val="0"/>
                <w:sz w:val="24"/>
                <w:szCs w:val="24"/>
                <w:lang w:val="en-US" w:eastAsia="en-US" w:bidi="ar-SA"/>
              </w:rPr>
              <w:t>7</w:t>
            </w:r>
            <w:r>
              <w:rPr>
                <w:rFonts w:hint="default" w:ascii="宋体" w:hAnsi="宋体" w:eastAsia="宋体" w:cs="宋体"/>
                <w:snapToGrid w:val="0"/>
                <w:color w:val="000000"/>
                <w:spacing w:val="-4"/>
                <w:kern w:val="0"/>
                <w:sz w:val="24"/>
                <w:szCs w:val="24"/>
                <w:lang w:val="en-US" w:eastAsia="en-US" w:bidi="ar-SA"/>
              </w:rPr>
              <w:t>月</w:t>
            </w:r>
            <w:r>
              <w:rPr>
                <w:rFonts w:hint="default" w:ascii="Times New Roman" w:hAnsi="Times New Roman" w:eastAsia="Times New Roman" w:cs="Times New Roman"/>
                <w:snapToGrid w:val="0"/>
                <w:color w:val="000000"/>
                <w:spacing w:val="-4"/>
                <w:kern w:val="0"/>
                <w:sz w:val="24"/>
                <w:szCs w:val="24"/>
                <w:lang w:val="en-US" w:eastAsia="en-US" w:bidi="ar-SA"/>
              </w:rPr>
              <w:t>9</w:t>
            </w:r>
            <w:r>
              <w:rPr>
                <w:rFonts w:hint="default" w:ascii="宋体" w:hAnsi="宋体" w:eastAsia="宋体" w:cs="宋体"/>
                <w:snapToGrid w:val="0"/>
                <w:color w:val="000000"/>
                <w:spacing w:val="-4"/>
                <w:kern w:val="0"/>
                <w:sz w:val="24"/>
                <w:szCs w:val="24"/>
                <w:lang w:val="en-US" w:eastAsia="en-US" w:bidi="ar-SA"/>
              </w:rPr>
              <w:t>日以宿环建管</w:t>
            </w:r>
            <w:r>
              <w:rPr>
                <w:rFonts w:hint="eastAsia" w:ascii="宋体" w:hAnsi="宋体" w:cs="宋体"/>
                <w:snapToGrid w:val="0"/>
                <w:color w:val="000000"/>
                <w:spacing w:val="-4"/>
                <w:kern w:val="0"/>
                <w:sz w:val="24"/>
                <w:szCs w:val="24"/>
                <w:lang w:val="en-US" w:eastAsia="zh-CN" w:bidi="ar-SA"/>
              </w:rPr>
              <w:t>〔2020〕8号</w:t>
            </w:r>
            <w:r>
              <w:rPr>
                <w:rFonts w:hint="default" w:ascii="宋体" w:hAnsi="宋体" w:eastAsia="宋体" w:cs="宋体"/>
                <w:snapToGrid w:val="0"/>
                <w:color w:val="000000"/>
                <w:spacing w:val="-4"/>
                <w:kern w:val="0"/>
                <w:sz w:val="24"/>
                <w:szCs w:val="24"/>
                <w:lang w:val="en-US" w:eastAsia="en-US" w:bidi="ar-SA"/>
              </w:rPr>
              <w:t>批复</w:t>
            </w:r>
            <w:r>
              <w:rPr>
                <w:rFonts w:hint="default" w:ascii="宋体" w:hAnsi="宋体" w:eastAsia="宋体" w:cs="宋体"/>
                <w:snapToGrid w:val="0"/>
                <w:color w:val="000000"/>
                <w:spacing w:val="-22"/>
                <w:kern w:val="0"/>
                <w:sz w:val="24"/>
                <w:szCs w:val="24"/>
                <w:lang w:val="en-US" w:eastAsia="en-US" w:bidi="ar-SA"/>
              </w:rPr>
              <w:t>），</w:t>
            </w:r>
            <w:r>
              <w:rPr>
                <w:rFonts w:hint="default" w:ascii="宋体" w:hAnsi="宋体" w:eastAsia="宋体" w:cs="宋体"/>
                <w:snapToGrid w:val="0"/>
                <w:color w:val="000000"/>
                <w:spacing w:val="-4"/>
                <w:kern w:val="0"/>
                <w:sz w:val="24"/>
                <w:szCs w:val="24"/>
                <w:lang w:val="en-US" w:eastAsia="en-US" w:bidi="ar-SA"/>
              </w:rPr>
              <w:t>挥发产</w:t>
            </w:r>
            <w:r>
              <w:rPr>
                <w:rFonts w:hint="default" w:ascii="宋体" w:hAnsi="宋体" w:eastAsia="宋体" w:cs="宋体"/>
                <w:snapToGrid w:val="0"/>
                <w:color w:val="000000"/>
                <w:spacing w:val="3"/>
                <w:kern w:val="0"/>
                <w:sz w:val="24"/>
                <w:szCs w:val="24"/>
                <w:lang w:val="en-US" w:eastAsia="en-US" w:bidi="ar-SA"/>
              </w:rPr>
              <w:t>生油烟量约</w:t>
            </w:r>
            <w:r>
              <w:rPr>
                <w:rFonts w:hint="default" w:ascii="Times New Roman" w:hAnsi="Times New Roman" w:eastAsia="Times New Roman" w:cs="Times New Roman"/>
                <w:snapToGrid w:val="0"/>
                <w:color w:val="000000"/>
                <w:spacing w:val="3"/>
                <w:kern w:val="0"/>
                <w:sz w:val="24"/>
                <w:szCs w:val="24"/>
                <w:lang w:val="en-US" w:eastAsia="en-US" w:bidi="ar-SA"/>
              </w:rPr>
              <w:t>1</w:t>
            </w:r>
            <w:r>
              <w:rPr>
                <w:rFonts w:hint="default" w:ascii="Times New Roman" w:hAnsi="Times New Roman" w:eastAsia="Times New Roman" w:cs="Times New Roman"/>
                <w:snapToGrid w:val="0"/>
                <w:color w:val="000000"/>
                <w:kern w:val="0"/>
                <w:sz w:val="24"/>
                <w:szCs w:val="24"/>
                <w:lang w:val="en-US" w:eastAsia="en-US" w:bidi="ar-SA"/>
              </w:rPr>
              <w:t>kg</w:t>
            </w:r>
            <w:r>
              <w:rPr>
                <w:rFonts w:hint="default" w:ascii="Times New Roman" w:hAnsi="Times New Roman" w:eastAsia="Times New Roman" w:cs="Times New Roman"/>
                <w:snapToGrid w:val="0"/>
                <w:color w:val="000000"/>
                <w:spacing w:val="3"/>
                <w:kern w:val="0"/>
                <w:sz w:val="24"/>
                <w:szCs w:val="24"/>
                <w:lang w:val="en-US" w:eastAsia="en-US" w:bidi="ar-SA"/>
              </w:rPr>
              <w:t>/t</w:t>
            </w:r>
            <w:r>
              <w:rPr>
                <w:rFonts w:hint="default" w:ascii="宋体" w:hAnsi="宋体" w:eastAsia="宋体" w:cs="宋体"/>
                <w:snapToGrid w:val="0"/>
                <w:color w:val="000000"/>
                <w:spacing w:val="3"/>
                <w:kern w:val="0"/>
                <w:sz w:val="24"/>
                <w:szCs w:val="24"/>
                <w:lang w:val="en-US" w:eastAsia="en-US" w:bidi="ar-SA"/>
              </w:rPr>
              <w:t>油剂，本项目油剂使用量约</w:t>
            </w:r>
            <w:r>
              <w:rPr>
                <w:rFonts w:hint="eastAsia" w:ascii="Times New Roman" w:hAnsi="Times New Roman" w:eastAsia="宋体" w:cs="Times New Roman"/>
                <w:snapToGrid w:val="0"/>
                <w:color w:val="000000"/>
                <w:spacing w:val="3"/>
                <w:kern w:val="0"/>
                <w:sz w:val="24"/>
                <w:szCs w:val="24"/>
                <w:lang w:val="en-US" w:eastAsia="zh-CN" w:bidi="ar-SA"/>
              </w:rPr>
              <w:t>8</w:t>
            </w:r>
            <w:r>
              <w:rPr>
                <w:rFonts w:hint="default" w:ascii="Times New Roman" w:hAnsi="Times New Roman" w:eastAsia="Times New Roman" w:cs="Times New Roman"/>
                <w:snapToGrid w:val="0"/>
                <w:color w:val="000000"/>
                <w:spacing w:val="3"/>
                <w:kern w:val="0"/>
                <w:sz w:val="24"/>
                <w:szCs w:val="24"/>
                <w:lang w:val="en-US" w:eastAsia="en-US" w:bidi="ar-SA"/>
              </w:rPr>
              <w:t>t/a</w:t>
            </w:r>
            <w:r>
              <w:rPr>
                <w:rFonts w:hint="default" w:ascii="宋体" w:hAnsi="宋体" w:eastAsia="宋体" w:cs="宋体"/>
                <w:snapToGrid w:val="0"/>
                <w:color w:val="000000"/>
                <w:spacing w:val="3"/>
                <w:kern w:val="0"/>
                <w:sz w:val="24"/>
                <w:szCs w:val="24"/>
                <w:lang w:val="en-US" w:eastAsia="en-US" w:bidi="ar-SA"/>
              </w:rPr>
              <w:t>，则上</w:t>
            </w:r>
            <w:r>
              <w:rPr>
                <w:rFonts w:hint="default" w:ascii="宋体" w:hAnsi="宋体" w:eastAsia="宋体" w:cs="宋体"/>
                <w:snapToGrid w:val="0"/>
                <w:color w:val="000000"/>
                <w:spacing w:val="2"/>
                <w:kern w:val="0"/>
                <w:sz w:val="24"/>
                <w:szCs w:val="24"/>
                <w:lang w:val="en-US" w:eastAsia="en-US" w:bidi="ar-SA"/>
              </w:rPr>
              <w:t>油过程产生油烟约</w:t>
            </w:r>
            <w:r>
              <w:rPr>
                <w:rFonts w:hint="default" w:ascii="Times New Roman" w:hAnsi="Times New Roman" w:eastAsia="Times New Roman" w:cs="Times New Roman"/>
                <w:snapToGrid w:val="0"/>
                <w:color w:val="000000"/>
                <w:spacing w:val="-1"/>
                <w:kern w:val="0"/>
                <w:sz w:val="24"/>
                <w:szCs w:val="24"/>
                <w:lang w:val="en-US" w:eastAsia="en-US" w:bidi="ar-SA"/>
              </w:rPr>
              <w:t>0.0</w:t>
            </w:r>
            <w:r>
              <w:rPr>
                <w:rFonts w:hint="eastAsia" w:ascii="Times New Roman" w:hAnsi="Times New Roman" w:eastAsia="宋体" w:cs="Times New Roman"/>
                <w:snapToGrid w:val="0"/>
                <w:color w:val="000000"/>
                <w:spacing w:val="-1"/>
                <w:kern w:val="0"/>
                <w:sz w:val="24"/>
                <w:szCs w:val="24"/>
                <w:lang w:val="en-US" w:eastAsia="zh-CN" w:bidi="ar-SA"/>
              </w:rPr>
              <w:t>08</w:t>
            </w:r>
            <w:r>
              <w:rPr>
                <w:rFonts w:hint="default" w:ascii="Times New Roman" w:hAnsi="Times New Roman" w:eastAsia="Times New Roman" w:cs="Times New Roman"/>
                <w:snapToGrid w:val="0"/>
                <w:color w:val="000000"/>
                <w:spacing w:val="-1"/>
                <w:kern w:val="0"/>
                <w:sz w:val="24"/>
                <w:szCs w:val="24"/>
                <w:lang w:val="en-US" w:eastAsia="en-US" w:bidi="ar-SA"/>
              </w:rPr>
              <w:t>t/a</w:t>
            </w:r>
            <w:r>
              <w:rPr>
                <w:rFonts w:hint="default" w:ascii="宋体" w:hAnsi="宋体" w:eastAsia="宋体" w:cs="宋体"/>
                <w:snapToGrid w:val="0"/>
                <w:color w:val="000000"/>
                <w:spacing w:val="-1"/>
                <w:kern w:val="0"/>
                <w:sz w:val="24"/>
                <w:szCs w:val="24"/>
                <w:lang w:val="en-US" w:eastAsia="en-US" w:bidi="ar-SA"/>
              </w:rPr>
              <w:t>。因此本项目加弹过程非甲烷总烃产生</w:t>
            </w:r>
            <w:r>
              <w:rPr>
                <w:rFonts w:hint="default" w:ascii="宋体" w:hAnsi="宋体" w:eastAsia="宋体" w:cs="宋体"/>
                <w:snapToGrid w:val="0"/>
                <w:color w:val="000000"/>
                <w:spacing w:val="-2"/>
                <w:kern w:val="0"/>
                <w:sz w:val="24"/>
                <w:szCs w:val="24"/>
                <w:lang w:val="en-US" w:eastAsia="en-US" w:bidi="ar-SA"/>
              </w:rPr>
              <w:t>总量为</w:t>
            </w:r>
            <w:r>
              <w:rPr>
                <w:rFonts w:hint="eastAsia" w:ascii="Times New Roman" w:hAnsi="Times New Roman" w:eastAsia="宋体" w:cs="Times New Roman"/>
                <w:snapToGrid w:val="0"/>
                <w:color w:val="000000"/>
                <w:spacing w:val="-2"/>
                <w:kern w:val="0"/>
                <w:sz w:val="24"/>
                <w:szCs w:val="24"/>
                <w:lang w:val="en-US" w:eastAsia="zh-CN" w:bidi="ar-SA"/>
              </w:rPr>
              <w:t>6.008</w:t>
            </w:r>
            <w:r>
              <w:rPr>
                <w:rFonts w:hint="default" w:ascii="Times New Roman" w:hAnsi="Times New Roman" w:eastAsia="Times New Roman" w:cs="Times New Roman"/>
                <w:snapToGrid w:val="0"/>
                <w:color w:val="000000"/>
                <w:spacing w:val="-2"/>
                <w:kern w:val="0"/>
                <w:sz w:val="24"/>
                <w:szCs w:val="24"/>
                <w:lang w:val="en-US" w:eastAsia="en-US" w:bidi="ar-SA"/>
              </w:rPr>
              <w:t>t/a</w:t>
            </w:r>
            <w:r>
              <w:rPr>
                <w:rFonts w:hint="default" w:ascii="宋体" w:hAnsi="宋体" w:eastAsia="宋体" w:cs="宋体"/>
                <w:snapToGrid w:val="0"/>
                <w:color w:val="000000"/>
                <w:spacing w:val="-2"/>
                <w:kern w:val="0"/>
                <w:sz w:val="24"/>
                <w:szCs w:val="24"/>
                <w:lang w:val="en-US" w:eastAsia="en-US" w:bidi="ar-SA"/>
              </w:rPr>
              <w:t>。</w:t>
            </w:r>
          </w:p>
          <w:p w14:paraId="7BEA4C2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default" w:ascii="Calibri" w:hAnsi="Calibri" w:eastAsia="宋体" w:cs="Times New Roman"/>
                <w:spacing w:val="-1"/>
                <w:sz w:val="24"/>
                <w:szCs w:val="24"/>
              </w:rPr>
            </w:pPr>
            <w:r>
              <w:rPr>
                <w:rFonts w:hint="default" w:ascii="Calibri" w:hAnsi="Calibri" w:eastAsia="宋体" w:cs="Times New Roman"/>
                <w:sz w:val="24"/>
                <w:szCs w:val="24"/>
              </w:rPr>
              <w:t>综上，本项目生产过程中非甲烷总烃产生总</w:t>
            </w:r>
            <w:r>
              <w:rPr>
                <w:rFonts w:hint="default" w:ascii="Calibri" w:hAnsi="Calibri" w:eastAsia="宋体" w:cs="Times New Roman"/>
                <w:spacing w:val="-1"/>
                <w:sz w:val="24"/>
                <w:szCs w:val="24"/>
              </w:rPr>
              <w:t>量约</w:t>
            </w:r>
            <w:r>
              <w:rPr>
                <w:rFonts w:hint="eastAsia" w:ascii="Times New Roman" w:hAnsi="Times New Roman" w:eastAsia="宋体" w:cs="Times New Roman"/>
                <w:spacing w:val="-1"/>
                <w:sz w:val="24"/>
                <w:szCs w:val="24"/>
                <w:lang w:val="en-US" w:eastAsia="zh-CN"/>
              </w:rPr>
              <w:t>6.008</w:t>
            </w:r>
            <w:r>
              <w:rPr>
                <w:rFonts w:hint="default" w:ascii="Times New Roman" w:hAnsi="Times New Roman" w:eastAsia="Times New Roman" w:cs="Times New Roman"/>
                <w:spacing w:val="-1"/>
                <w:sz w:val="24"/>
                <w:szCs w:val="24"/>
              </w:rPr>
              <w:t>t/a</w:t>
            </w:r>
            <w:r>
              <w:rPr>
                <w:rFonts w:hint="eastAsia" w:ascii="Times New Roman" w:hAnsi="Times New Roman" w:eastAsia="宋体" w:cs="Times New Roman"/>
                <w:spacing w:val="-1"/>
                <w:sz w:val="24"/>
                <w:szCs w:val="24"/>
                <w:lang w:eastAsia="zh-CN"/>
              </w:rPr>
              <w:t>，</w:t>
            </w:r>
            <w:r>
              <w:rPr>
                <w:rFonts w:hint="eastAsia" w:ascii="Times New Roman" w:hAnsi="Times New Roman" w:eastAsia="宋体" w:cs="Times New Roman"/>
                <w:spacing w:val="-1"/>
                <w:sz w:val="24"/>
                <w:szCs w:val="24"/>
                <w:lang w:val="en-US" w:eastAsia="zh-CN"/>
              </w:rPr>
              <w:t>产生速率2.50kg/h</w:t>
            </w:r>
            <w:r>
              <w:rPr>
                <w:rFonts w:hint="default" w:ascii="Calibri" w:hAnsi="Calibri" w:eastAsia="宋体" w:cs="Times New Roman"/>
                <w:spacing w:val="-1"/>
                <w:sz w:val="24"/>
                <w:szCs w:val="24"/>
              </w:rPr>
              <w:t>。</w:t>
            </w:r>
          </w:p>
          <w:p w14:paraId="3D97F5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加弹</w:t>
            </w:r>
            <w:r>
              <w:rPr>
                <w:rFonts w:hint="default" w:ascii="Times New Roman" w:hAnsi="Times New Roman" w:eastAsia="宋体" w:cs="Times New Roman"/>
                <w:color w:val="auto"/>
                <w:kern w:val="0"/>
                <w:sz w:val="24"/>
                <w:szCs w:val="24"/>
                <w:highlight w:val="none"/>
                <w:lang w:val="en-US" w:eastAsia="zh-CN" w:bidi="ar"/>
              </w:rPr>
              <w:t>工序平均每天工作时间</w:t>
            </w:r>
            <w:r>
              <w:rPr>
                <w:rFonts w:hint="eastAsia" w:ascii="Times New Roman" w:hAnsi="Times New Roman" w:eastAsia="宋体" w:cs="Times New Roman"/>
                <w:color w:val="auto"/>
                <w:kern w:val="0"/>
                <w:sz w:val="24"/>
                <w:szCs w:val="24"/>
                <w:highlight w:val="none"/>
                <w:lang w:val="en-US" w:eastAsia="zh-CN" w:bidi="ar"/>
              </w:rPr>
              <w:t>24</w:t>
            </w:r>
            <w:r>
              <w:rPr>
                <w:rFonts w:hint="default" w:ascii="Times New Roman" w:hAnsi="Times New Roman" w:eastAsia="宋体" w:cs="Times New Roman"/>
                <w:color w:val="auto"/>
                <w:kern w:val="0"/>
                <w:sz w:val="24"/>
                <w:szCs w:val="24"/>
                <w:highlight w:val="none"/>
                <w:lang w:val="en-US" w:eastAsia="zh-CN" w:bidi="ar"/>
              </w:rPr>
              <w:t>小时，年工作</w:t>
            </w:r>
            <w:r>
              <w:rPr>
                <w:rFonts w:hint="eastAsia" w:ascii="Times New Roman" w:hAnsi="Times New Roman" w:eastAsia="宋体" w:cs="Times New Roman"/>
                <w:color w:val="auto"/>
                <w:kern w:val="0"/>
                <w:sz w:val="24"/>
                <w:szCs w:val="24"/>
                <w:highlight w:val="none"/>
                <w:lang w:val="en-US" w:eastAsia="zh-CN" w:bidi="ar"/>
              </w:rPr>
              <w:t>72</w:t>
            </w:r>
            <w:r>
              <w:rPr>
                <w:rFonts w:hint="default" w:ascii="Times New Roman" w:hAnsi="Times New Roman" w:eastAsia="宋体" w:cs="Times New Roman"/>
                <w:color w:val="auto"/>
                <w:kern w:val="0"/>
                <w:sz w:val="24"/>
                <w:szCs w:val="24"/>
                <w:highlight w:val="none"/>
                <w:lang w:val="en-US" w:eastAsia="zh-CN" w:bidi="ar"/>
              </w:rPr>
              <w:t>00小时，</w:t>
            </w:r>
            <w:r>
              <w:rPr>
                <w:rFonts w:hint="eastAsia" w:ascii="Times New Roman" w:hAnsi="Times New Roman" w:eastAsia="宋体" w:cs="Times New Roman"/>
                <w:color w:val="auto"/>
                <w:kern w:val="0"/>
                <w:sz w:val="24"/>
                <w:szCs w:val="24"/>
                <w:highlight w:val="none"/>
                <w:lang w:val="en-US" w:eastAsia="zh-CN" w:bidi="ar"/>
              </w:rPr>
              <w:t>产生速率为1.11kg/h。</w:t>
            </w:r>
            <w:r>
              <w:rPr>
                <w:rFonts w:hint="default" w:ascii="宋体" w:hAnsi="宋体" w:eastAsia="宋体" w:cs="宋体"/>
                <w:snapToGrid w:val="0"/>
                <w:color w:val="000000"/>
                <w:spacing w:val="-3"/>
                <w:kern w:val="0"/>
                <w:sz w:val="24"/>
                <w:szCs w:val="24"/>
                <w:lang w:val="en-US" w:eastAsia="en-US" w:bidi="ar-SA"/>
              </w:rPr>
              <w:t>油剂挥发产生的</w:t>
            </w:r>
            <w:r>
              <w:rPr>
                <w:rFonts w:hint="default" w:ascii="宋体" w:hAnsi="宋体" w:eastAsia="宋体" w:cs="宋体"/>
                <w:snapToGrid w:val="0"/>
                <w:color w:val="000000"/>
                <w:spacing w:val="-5"/>
                <w:kern w:val="0"/>
                <w:sz w:val="24"/>
                <w:szCs w:val="24"/>
                <w:lang w:val="en-US" w:eastAsia="en-US" w:bidi="ar-SA"/>
              </w:rPr>
              <w:t>油烟经密闭气管由配套风机抽出</w:t>
            </w:r>
            <w:r>
              <w:rPr>
                <w:rFonts w:hint="default" w:ascii="Times New Roman" w:hAnsi="Times New Roman" w:eastAsia="宋体" w:cs="Times New Roman"/>
                <w:color w:val="auto"/>
                <w:kern w:val="0"/>
                <w:sz w:val="24"/>
                <w:szCs w:val="24"/>
                <w:highlight w:val="none"/>
                <w:lang w:val="en-US" w:eastAsia="zh-CN" w:bidi="ar"/>
              </w:rPr>
              <w:t>（收集效率为9</w:t>
            </w:r>
            <w:r>
              <w:rPr>
                <w:rFonts w:hint="eastAsia" w:ascii="Times New Roman" w:hAnsi="Times New Roman" w:eastAsia="宋体"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后通入</w:t>
            </w:r>
            <w:r>
              <w:rPr>
                <w:rFonts w:hint="default" w:ascii="Calibri" w:hAnsi="Calibri" w:eastAsia="宋体" w:cs="Times New Roman"/>
                <w:color w:val="000000"/>
                <w:spacing w:val="-4"/>
                <w:kern w:val="0"/>
                <w:sz w:val="24"/>
                <w:szCs w:val="24"/>
                <w:lang w:val="en-US" w:eastAsia="zh-CN" w:bidi="ar"/>
              </w:rPr>
              <w:t>活性炭吸附脱附</w:t>
            </w:r>
            <w:r>
              <w:rPr>
                <w:rFonts w:hint="eastAsia" w:ascii="Calibri" w:hAnsi="Calibri" w:eastAsia="宋体" w:cs="Times New Roman"/>
                <w:color w:val="000000"/>
                <w:spacing w:val="-4"/>
                <w:kern w:val="0"/>
                <w:sz w:val="24"/>
                <w:szCs w:val="24"/>
                <w:lang w:val="en-US" w:eastAsia="zh-CN" w:bidi="ar"/>
              </w:rPr>
              <w:t>+催化燃烧</w:t>
            </w:r>
            <w:r>
              <w:rPr>
                <w:rFonts w:hint="eastAsia" w:ascii="Times New Roman" w:hAnsi="Times New Roman" w:eastAsia="宋体" w:cs="Times New Roman"/>
                <w:color w:val="auto"/>
                <w:kern w:val="0"/>
                <w:sz w:val="24"/>
                <w:szCs w:val="24"/>
                <w:highlight w:val="none"/>
                <w:lang w:val="en-US" w:eastAsia="zh-CN" w:bidi="ar"/>
              </w:rPr>
              <w:t>通过15m高排气筒DA001有组织排放</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活性炭</w:t>
            </w:r>
            <w:r>
              <w:rPr>
                <w:rFonts w:hint="default" w:ascii="Times New Roman" w:hAnsi="Times New Roman" w:eastAsia="宋体" w:cs="Times New Roman"/>
                <w:color w:val="auto"/>
                <w:kern w:val="0"/>
                <w:sz w:val="24"/>
                <w:szCs w:val="24"/>
                <w:highlight w:val="none"/>
                <w:lang w:val="en-US" w:eastAsia="zh-CN" w:bidi="ar"/>
              </w:rPr>
              <w:t>处理效率</w:t>
            </w:r>
            <w:r>
              <w:rPr>
                <w:rFonts w:hint="eastAsia" w:ascii="Times New Roman" w:hAnsi="Times New Roman" w:eastAsia="宋体" w:cs="Times New Roman"/>
                <w:color w:val="auto"/>
                <w:kern w:val="0"/>
                <w:sz w:val="24"/>
                <w:szCs w:val="24"/>
                <w:highlight w:val="none"/>
                <w:lang w:val="en-US" w:eastAsia="zh-CN" w:bidi="ar"/>
              </w:rPr>
              <w:t>取90</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，催化燃烧处理效率取98%，总体处理效率为90%×98%=88%</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，未收集的</w:t>
            </w:r>
            <w:r>
              <w:rPr>
                <w:rFonts w:hint="default" w:ascii="Calibri" w:hAnsi="Calibri" w:eastAsia="宋体" w:cs="Times New Roman"/>
                <w:color w:val="000000"/>
                <w:kern w:val="0"/>
                <w:sz w:val="24"/>
                <w:szCs w:val="24"/>
                <w:lang w:val="en-US" w:eastAsia="zh-CN" w:bidi="ar"/>
              </w:rPr>
              <w:t>非甲烷总烃</w:t>
            </w:r>
            <w:r>
              <w:rPr>
                <w:rFonts w:hint="default" w:ascii="Times New Roman" w:hAnsi="Times New Roman" w:eastAsia="宋体" w:cs="Times New Roman"/>
                <w:color w:val="auto"/>
                <w:kern w:val="0"/>
                <w:sz w:val="24"/>
                <w:szCs w:val="24"/>
                <w:highlight w:val="none"/>
                <w:lang w:val="en-US" w:eastAsia="zh-CN" w:bidi="ar"/>
              </w:rPr>
              <w:t>在车间内</w:t>
            </w:r>
            <w:r>
              <w:rPr>
                <w:rFonts w:hint="eastAsia" w:ascii="Times New Roman" w:hAnsi="Times New Roman" w:eastAsia="宋体" w:cs="Times New Roman"/>
                <w:color w:val="auto"/>
                <w:kern w:val="0"/>
                <w:sz w:val="24"/>
                <w:szCs w:val="24"/>
                <w:highlight w:val="none"/>
                <w:lang w:val="en-US" w:eastAsia="zh-CN" w:bidi="ar"/>
              </w:rPr>
              <w:t>无组织排放。项目共设置12台加弹机，根据企业提供资料，</w:t>
            </w:r>
            <w:r>
              <w:rPr>
                <w:rFonts w:hint="default" w:ascii="Times New Roman" w:hAnsi="Times New Roman" w:eastAsia="宋体" w:cs="Times New Roman"/>
                <w:color w:val="auto"/>
                <w:kern w:val="0"/>
                <w:sz w:val="24"/>
                <w:szCs w:val="24"/>
                <w:highlight w:val="none"/>
                <w:lang w:val="en-US" w:eastAsia="zh-CN" w:bidi="ar"/>
              </w:rPr>
              <w:t>项目设计风量取</w:t>
            </w:r>
            <w:r>
              <w:rPr>
                <w:rFonts w:hint="eastAsia" w:ascii="Times New Roman" w:hAnsi="Times New Roman" w:eastAsia="宋体" w:cs="Times New Roman"/>
                <w:color w:val="auto"/>
                <w:kern w:val="0"/>
                <w:sz w:val="24"/>
                <w:szCs w:val="24"/>
                <w:highlight w:val="none"/>
                <w:lang w:val="en-US" w:eastAsia="zh-CN" w:bidi="ar"/>
              </w:rPr>
              <w:t>20000</w:t>
            </w:r>
            <w:r>
              <w:rPr>
                <w:rFonts w:hint="default" w:ascii="Times New Roman" w:hAnsi="Times New Roman" w:eastAsia="宋体" w:cs="Times New Roman"/>
                <w:color w:val="auto"/>
                <w:kern w:val="0"/>
                <w:sz w:val="24"/>
                <w:szCs w:val="24"/>
                <w:highlight w:val="none"/>
                <w:lang w:val="en-US" w:eastAsia="zh-CN" w:bidi="ar"/>
              </w:rPr>
              <w:t>m³/h。</w:t>
            </w:r>
          </w:p>
          <w:p w14:paraId="2E3090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则收集后的</w:t>
            </w:r>
            <w:r>
              <w:rPr>
                <w:rFonts w:hint="eastAsia" w:ascii="Times New Roman" w:hAnsi="Times New Roman" w:eastAsia="宋体" w:cs="Times New Roman"/>
                <w:color w:val="auto"/>
                <w:kern w:val="0"/>
                <w:sz w:val="24"/>
                <w:szCs w:val="24"/>
                <w:highlight w:val="none"/>
                <w:lang w:val="en-US" w:eastAsia="zh-CN" w:bidi="ar"/>
              </w:rPr>
              <w:t>非甲烷总烃</w:t>
            </w:r>
            <w:r>
              <w:rPr>
                <w:rFonts w:hint="default" w:ascii="Times New Roman" w:hAnsi="Times New Roman" w:eastAsia="宋体" w:cs="Times New Roman"/>
                <w:color w:val="auto"/>
                <w:kern w:val="0"/>
                <w:sz w:val="24"/>
                <w:szCs w:val="24"/>
                <w:highlight w:val="none"/>
                <w:lang w:val="en-US" w:eastAsia="zh-CN" w:bidi="ar"/>
              </w:rPr>
              <w:t>量为</w:t>
            </w:r>
            <w:r>
              <w:rPr>
                <w:rFonts w:hint="eastAsia" w:ascii="Times New Roman" w:hAnsi="Times New Roman" w:eastAsia="宋体" w:cs="Times New Roman"/>
                <w:color w:val="auto"/>
                <w:kern w:val="0"/>
                <w:sz w:val="24"/>
                <w:szCs w:val="24"/>
                <w:highlight w:val="none"/>
                <w:lang w:val="en-US" w:eastAsia="zh-CN" w:bidi="ar"/>
              </w:rPr>
              <w:t>5.41</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，产生速率为</w:t>
            </w:r>
            <w:r>
              <w:rPr>
                <w:rFonts w:hint="eastAsia" w:cs="Times New Roman"/>
                <w:color w:val="auto"/>
                <w:kern w:val="0"/>
                <w:sz w:val="24"/>
                <w:szCs w:val="24"/>
                <w:highlight w:val="none"/>
                <w:lang w:val="en-US" w:eastAsia="zh-CN" w:bidi="ar"/>
              </w:rPr>
              <w:t>0.75</w:t>
            </w:r>
            <w:r>
              <w:rPr>
                <w:rFonts w:hint="eastAsia" w:ascii="Times New Roman" w:hAnsi="Times New Roman" w:eastAsia="宋体" w:cs="Times New Roman"/>
                <w:color w:val="auto"/>
                <w:kern w:val="0"/>
                <w:sz w:val="24"/>
                <w:szCs w:val="24"/>
                <w:highlight w:val="none"/>
                <w:lang w:val="en-US" w:eastAsia="zh-CN" w:bidi="ar"/>
              </w:rPr>
              <w:t>kg</w:t>
            </w:r>
            <w:r>
              <w:rPr>
                <w:rFonts w:hint="default" w:ascii="Times New Roman" w:hAnsi="Times New Roman" w:eastAsia="宋体" w:cs="Times New Roman"/>
                <w:color w:val="auto"/>
                <w:kern w:val="0"/>
                <w:sz w:val="24"/>
                <w:szCs w:val="24"/>
                <w:highlight w:val="none"/>
                <w:lang w:val="en-US" w:eastAsia="zh-CN" w:bidi="ar"/>
              </w:rPr>
              <w:t>/h；经处理后</w:t>
            </w:r>
            <w:r>
              <w:rPr>
                <w:rFonts w:hint="eastAsia" w:ascii="Times New Roman" w:hAnsi="Times New Roman" w:eastAsia="宋体" w:cs="Times New Roman"/>
                <w:color w:val="auto"/>
                <w:kern w:val="0"/>
                <w:sz w:val="24"/>
                <w:szCs w:val="24"/>
                <w:highlight w:val="none"/>
                <w:lang w:val="en-US" w:eastAsia="zh-CN" w:bidi="ar"/>
              </w:rPr>
              <w:t>非甲烷总烃</w:t>
            </w:r>
            <w:r>
              <w:rPr>
                <w:rFonts w:hint="default" w:ascii="Times New Roman" w:hAnsi="Times New Roman" w:eastAsia="宋体" w:cs="Times New Roman"/>
                <w:color w:val="auto"/>
                <w:kern w:val="0"/>
                <w:sz w:val="24"/>
                <w:szCs w:val="24"/>
                <w:highlight w:val="none"/>
                <w:lang w:val="en-US" w:eastAsia="zh-CN" w:bidi="ar"/>
              </w:rPr>
              <w:t>排放量为</w:t>
            </w:r>
            <w:r>
              <w:rPr>
                <w:rFonts w:hint="eastAsia" w:ascii="Times New Roman" w:hAnsi="Times New Roman" w:eastAsia="宋体" w:cs="Times New Roman"/>
                <w:color w:val="auto"/>
                <w:kern w:val="0"/>
                <w:sz w:val="24"/>
                <w:szCs w:val="24"/>
                <w:highlight w:val="none"/>
                <w:lang w:val="en-US" w:eastAsia="zh-CN" w:bidi="ar"/>
              </w:rPr>
              <w:t>0.649</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，产生速率为0.</w:t>
            </w:r>
            <w:r>
              <w:rPr>
                <w:rFonts w:hint="eastAsia" w:cs="Times New Roman"/>
                <w:color w:val="auto"/>
                <w:kern w:val="0"/>
                <w:sz w:val="24"/>
                <w:szCs w:val="24"/>
                <w:highlight w:val="none"/>
                <w:lang w:val="en-US" w:eastAsia="zh-CN" w:bidi="ar"/>
              </w:rPr>
              <w:t>09</w:t>
            </w:r>
            <w:r>
              <w:rPr>
                <w:rFonts w:hint="eastAsia" w:ascii="Times New Roman" w:hAnsi="Times New Roman" w:eastAsia="宋体" w:cs="Times New Roman"/>
                <w:color w:val="auto"/>
                <w:kern w:val="0"/>
                <w:sz w:val="24"/>
                <w:szCs w:val="24"/>
                <w:highlight w:val="none"/>
                <w:lang w:val="en-US" w:eastAsia="zh-CN" w:bidi="ar"/>
              </w:rPr>
              <w:t>kg</w:t>
            </w:r>
            <w:r>
              <w:rPr>
                <w:rFonts w:hint="default" w:ascii="Times New Roman" w:hAnsi="Times New Roman" w:eastAsia="宋体" w:cs="Times New Roman"/>
                <w:color w:val="auto"/>
                <w:kern w:val="0"/>
                <w:sz w:val="24"/>
                <w:szCs w:val="24"/>
                <w:highlight w:val="none"/>
                <w:lang w:val="en-US" w:eastAsia="zh-CN" w:bidi="ar"/>
              </w:rPr>
              <w:t>/h；未收集的</w:t>
            </w:r>
            <w:r>
              <w:rPr>
                <w:rFonts w:hint="eastAsia" w:ascii="Times New Roman" w:hAnsi="Times New Roman" w:eastAsia="宋体" w:cs="Times New Roman"/>
                <w:color w:val="auto"/>
                <w:kern w:val="0"/>
                <w:sz w:val="24"/>
                <w:szCs w:val="24"/>
                <w:highlight w:val="none"/>
                <w:lang w:val="en-US" w:eastAsia="zh-CN" w:bidi="ar"/>
              </w:rPr>
              <w:t>非甲烷总烃</w:t>
            </w:r>
            <w:r>
              <w:rPr>
                <w:rFonts w:hint="default" w:ascii="Times New Roman" w:hAnsi="Times New Roman" w:eastAsia="宋体" w:cs="Times New Roman"/>
                <w:color w:val="auto"/>
                <w:kern w:val="0"/>
                <w:sz w:val="24"/>
                <w:szCs w:val="24"/>
                <w:highlight w:val="none"/>
                <w:lang w:val="en-US" w:eastAsia="zh-CN" w:bidi="ar"/>
              </w:rPr>
              <w:t>量为</w:t>
            </w:r>
            <w:r>
              <w:rPr>
                <w:rFonts w:hint="eastAsia" w:ascii="Times New Roman" w:hAnsi="Times New Roman" w:eastAsia="宋体" w:cs="Times New Roman"/>
                <w:color w:val="auto"/>
                <w:kern w:val="0"/>
                <w:sz w:val="24"/>
                <w:szCs w:val="24"/>
                <w:highlight w:val="none"/>
                <w:lang w:val="en-US" w:eastAsia="zh-CN" w:bidi="ar"/>
              </w:rPr>
              <w:t>0.6008t/a，产生速率为0.</w:t>
            </w:r>
            <w:r>
              <w:rPr>
                <w:rFonts w:hint="eastAsia" w:cs="Times New Roman"/>
                <w:color w:val="auto"/>
                <w:kern w:val="0"/>
                <w:sz w:val="24"/>
                <w:szCs w:val="24"/>
                <w:highlight w:val="none"/>
                <w:lang w:val="en-US" w:eastAsia="zh-CN" w:bidi="ar"/>
              </w:rPr>
              <w:t>0834</w:t>
            </w:r>
            <w:r>
              <w:rPr>
                <w:rFonts w:hint="eastAsia" w:ascii="Times New Roman" w:hAnsi="Times New Roman" w:eastAsia="宋体" w:cs="Times New Roman"/>
                <w:color w:val="auto"/>
                <w:kern w:val="0"/>
                <w:sz w:val="24"/>
                <w:szCs w:val="24"/>
                <w:highlight w:val="none"/>
                <w:lang w:val="en-US" w:eastAsia="zh-CN" w:bidi="ar"/>
              </w:rPr>
              <w:t>kg</w:t>
            </w:r>
            <w:r>
              <w:rPr>
                <w:rFonts w:hint="default" w:ascii="Times New Roman" w:hAnsi="Times New Roman" w:eastAsia="宋体" w:cs="Times New Roman"/>
                <w:color w:val="auto"/>
                <w:kern w:val="0"/>
                <w:sz w:val="24"/>
                <w:szCs w:val="24"/>
                <w:highlight w:val="none"/>
                <w:lang w:val="en-US" w:eastAsia="zh-CN" w:bidi="ar"/>
              </w:rPr>
              <w:t>/h；综上，</w:t>
            </w:r>
            <w:r>
              <w:rPr>
                <w:rFonts w:hint="eastAsia" w:ascii="Times New Roman" w:hAnsi="Times New Roman" w:eastAsia="宋体" w:cs="Times New Roman"/>
                <w:color w:val="auto"/>
                <w:kern w:val="0"/>
                <w:sz w:val="24"/>
                <w:szCs w:val="24"/>
                <w:highlight w:val="none"/>
                <w:lang w:val="en-US" w:eastAsia="zh-CN" w:bidi="ar"/>
              </w:rPr>
              <w:t>非甲烷总烃</w:t>
            </w:r>
            <w:r>
              <w:rPr>
                <w:rFonts w:hint="default" w:ascii="Times New Roman" w:hAnsi="Times New Roman" w:eastAsia="宋体" w:cs="Times New Roman"/>
                <w:color w:val="auto"/>
                <w:kern w:val="0"/>
                <w:sz w:val="24"/>
                <w:szCs w:val="24"/>
                <w:highlight w:val="none"/>
                <w:lang w:val="en-US" w:eastAsia="zh-CN" w:bidi="ar"/>
              </w:rPr>
              <w:t>排放总量为</w:t>
            </w:r>
            <w:r>
              <w:rPr>
                <w:rFonts w:hint="eastAsia" w:ascii="Times New Roman" w:hAnsi="Times New Roman" w:eastAsia="宋体" w:cs="Times New Roman"/>
                <w:color w:val="auto"/>
                <w:kern w:val="0"/>
                <w:sz w:val="24"/>
                <w:szCs w:val="24"/>
                <w:highlight w:val="none"/>
                <w:lang w:val="en-US" w:eastAsia="zh-CN" w:bidi="ar"/>
              </w:rPr>
              <w:t>1.25t/a，产生速率为0.</w:t>
            </w:r>
            <w:r>
              <w:rPr>
                <w:rFonts w:hint="eastAsia" w:cs="Times New Roman"/>
                <w:color w:val="auto"/>
                <w:kern w:val="0"/>
                <w:sz w:val="24"/>
                <w:szCs w:val="24"/>
                <w:highlight w:val="none"/>
                <w:lang w:val="en-US" w:eastAsia="zh-CN" w:bidi="ar"/>
              </w:rPr>
              <w:t>174</w:t>
            </w:r>
            <w:r>
              <w:rPr>
                <w:rFonts w:hint="eastAsia" w:ascii="Times New Roman" w:hAnsi="Times New Roman" w:eastAsia="宋体" w:cs="Times New Roman"/>
                <w:color w:val="auto"/>
                <w:kern w:val="0"/>
                <w:sz w:val="24"/>
                <w:szCs w:val="24"/>
                <w:highlight w:val="none"/>
                <w:lang w:val="en-US" w:eastAsia="zh-CN" w:bidi="ar"/>
              </w:rPr>
              <w:t>kg</w:t>
            </w:r>
            <w:r>
              <w:rPr>
                <w:rFonts w:hint="default" w:ascii="Times New Roman" w:hAnsi="Times New Roman" w:eastAsia="宋体" w:cs="Times New Roman"/>
                <w:color w:val="auto"/>
                <w:kern w:val="0"/>
                <w:sz w:val="24"/>
                <w:szCs w:val="24"/>
                <w:highlight w:val="none"/>
                <w:lang w:val="en-US" w:eastAsia="zh-CN" w:bidi="ar"/>
              </w:rPr>
              <w:t>/h。</w:t>
            </w:r>
          </w:p>
          <w:p w14:paraId="4FF33F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1</w:t>
            </w:r>
            <w:r>
              <w:rPr>
                <w:rFonts w:hint="default" w:ascii="Times New Roman" w:hAnsi="Times New Roman" w:eastAsia="宋体" w:cs="Times New Roman"/>
                <w:b/>
                <w:bCs/>
                <w:color w:val="auto"/>
                <w:kern w:val="0"/>
                <w:sz w:val="24"/>
                <w:szCs w:val="24"/>
                <w:highlight w:val="none"/>
                <w:lang w:val="en-US" w:eastAsia="zh-CN" w:bidi="ar"/>
              </w:rPr>
              <w:t xml:space="preserve"> 项目</w:t>
            </w:r>
            <w:r>
              <w:rPr>
                <w:rFonts w:hint="eastAsia" w:ascii="Times New Roman" w:hAnsi="Times New Roman" w:eastAsia="宋体" w:cs="Times New Roman"/>
                <w:b/>
                <w:bCs/>
                <w:color w:val="auto"/>
                <w:kern w:val="0"/>
                <w:sz w:val="24"/>
                <w:szCs w:val="24"/>
                <w:highlight w:val="none"/>
                <w:lang w:val="en-US" w:eastAsia="zh-CN" w:bidi="ar"/>
              </w:rPr>
              <w:t>DA001非甲烷总烃</w:t>
            </w:r>
            <w:r>
              <w:rPr>
                <w:rFonts w:hint="default" w:ascii="Times New Roman" w:hAnsi="Times New Roman" w:eastAsia="宋体" w:cs="Times New Roman"/>
                <w:b/>
                <w:bCs/>
                <w:color w:val="auto"/>
                <w:kern w:val="0"/>
                <w:sz w:val="24"/>
                <w:szCs w:val="24"/>
                <w:highlight w:val="none"/>
                <w:lang w:val="en-US" w:eastAsia="zh-CN" w:bidi="ar"/>
              </w:rPr>
              <w:t>产生和排放情况</w:t>
            </w:r>
          </w:p>
          <w:tbl>
            <w:tblPr>
              <w:tblStyle w:val="26"/>
              <w:tblW w:w="895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33"/>
              <w:gridCol w:w="729"/>
              <w:gridCol w:w="562"/>
              <w:gridCol w:w="639"/>
              <w:gridCol w:w="692"/>
              <w:gridCol w:w="751"/>
              <w:gridCol w:w="768"/>
              <w:gridCol w:w="1907"/>
              <w:gridCol w:w="719"/>
              <w:gridCol w:w="692"/>
              <w:gridCol w:w="761"/>
            </w:tblGrid>
            <w:tr w14:paraId="49572E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733" w:type="dxa"/>
                  <w:vMerge w:val="restart"/>
                  <w:tcBorders>
                    <w:top w:val="single" w:color="auto" w:sz="12" w:space="0"/>
                  </w:tcBorders>
                  <w:noWrap w:val="0"/>
                  <w:vAlign w:val="center"/>
                </w:tcPr>
                <w:p w14:paraId="5D9A19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污染源编号</w:t>
                  </w:r>
                </w:p>
              </w:tc>
              <w:tc>
                <w:tcPr>
                  <w:tcW w:w="729" w:type="dxa"/>
                  <w:vMerge w:val="restart"/>
                  <w:tcBorders>
                    <w:top w:val="single" w:color="auto" w:sz="12" w:space="0"/>
                  </w:tcBorders>
                  <w:noWrap w:val="0"/>
                  <w:vAlign w:val="center"/>
                </w:tcPr>
                <w:p w14:paraId="5C3310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处理设施</w:t>
                  </w:r>
                </w:p>
              </w:tc>
              <w:tc>
                <w:tcPr>
                  <w:tcW w:w="562" w:type="dxa"/>
                  <w:vMerge w:val="restart"/>
                  <w:tcBorders>
                    <w:top w:val="single" w:color="auto" w:sz="12" w:space="0"/>
                  </w:tcBorders>
                  <w:noWrap w:val="0"/>
                  <w:vAlign w:val="center"/>
                </w:tcPr>
                <w:p w14:paraId="336604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污染物</w:t>
                  </w:r>
                </w:p>
              </w:tc>
              <w:tc>
                <w:tcPr>
                  <w:tcW w:w="639" w:type="dxa"/>
                  <w:vMerge w:val="restart"/>
                  <w:tcBorders>
                    <w:top w:val="single" w:color="auto" w:sz="12" w:space="0"/>
                  </w:tcBorders>
                  <w:noWrap w:val="0"/>
                  <w:vAlign w:val="center"/>
                </w:tcPr>
                <w:p w14:paraId="563A00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风量m³/h</w:t>
                  </w:r>
                </w:p>
              </w:tc>
              <w:tc>
                <w:tcPr>
                  <w:tcW w:w="2211" w:type="dxa"/>
                  <w:gridSpan w:val="3"/>
                  <w:tcBorders>
                    <w:top w:val="single" w:color="auto" w:sz="12" w:space="0"/>
                  </w:tcBorders>
                  <w:noWrap w:val="0"/>
                  <w:vAlign w:val="center"/>
                </w:tcPr>
                <w:p w14:paraId="794195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处理前</w:t>
                  </w:r>
                </w:p>
              </w:tc>
              <w:tc>
                <w:tcPr>
                  <w:tcW w:w="1907" w:type="dxa"/>
                  <w:vMerge w:val="restart"/>
                  <w:tcBorders>
                    <w:top w:val="single" w:color="auto" w:sz="12" w:space="0"/>
                  </w:tcBorders>
                  <w:noWrap w:val="0"/>
                  <w:vAlign w:val="center"/>
                </w:tcPr>
                <w:p w14:paraId="721E72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风量m³/h</w:t>
                  </w:r>
                </w:p>
              </w:tc>
              <w:tc>
                <w:tcPr>
                  <w:tcW w:w="2172" w:type="dxa"/>
                  <w:gridSpan w:val="3"/>
                  <w:tcBorders>
                    <w:top w:val="single" w:color="auto" w:sz="12" w:space="0"/>
                  </w:tcBorders>
                  <w:noWrap w:val="0"/>
                  <w:vAlign w:val="center"/>
                </w:tcPr>
                <w:p w14:paraId="1AF091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处理后</w:t>
                  </w:r>
                </w:p>
              </w:tc>
            </w:tr>
            <w:tr w14:paraId="5FCD80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33" w:type="dxa"/>
                  <w:vMerge w:val="continue"/>
                  <w:noWrap w:val="0"/>
                  <w:vAlign w:val="center"/>
                </w:tcPr>
                <w:p w14:paraId="0F0361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p>
              </w:tc>
              <w:tc>
                <w:tcPr>
                  <w:tcW w:w="729" w:type="dxa"/>
                  <w:vMerge w:val="continue"/>
                  <w:noWrap w:val="0"/>
                  <w:vAlign w:val="center"/>
                </w:tcPr>
                <w:p w14:paraId="7FEC43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p>
              </w:tc>
              <w:tc>
                <w:tcPr>
                  <w:tcW w:w="562" w:type="dxa"/>
                  <w:vMerge w:val="continue"/>
                  <w:noWrap w:val="0"/>
                  <w:vAlign w:val="center"/>
                </w:tcPr>
                <w:p w14:paraId="65EF6D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p>
              </w:tc>
              <w:tc>
                <w:tcPr>
                  <w:tcW w:w="639" w:type="dxa"/>
                  <w:vMerge w:val="continue"/>
                  <w:noWrap w:val="0"/>
                  <w:vAlign w:val="center"/>
                </w:tcPr>
                <w:p w14:paraId="522CD4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p>
              </w:tc>
              <w:tc>
                <w:tcPr>
                  <w:tcW w:w="692" w:type="dxa"/>
                  <w:noWrap w:val="0"/>
                  <w:vAlign w:val="center"/>
                </w:tcPr>
                <w:p w14:paraId="730889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收集</w:t>
                  </w:r>
                  <w:r>
                    <w:rPr>
                      <w:rFonts w:hint="default" w:ascii="Times New Roman" w:hAnsi="Times New Roman" w:eastAsia="宋体" w:cs="Times New Roman"/>
                      <w:b/>
                      <w:bCs/>
                      <w:color w:val="auto"/>
                      <w:kern w:val="0"/>
                      <w:sz w:val="21"/>
                      <w:szCs w:val="21"/>
                      <w:highlight w:val="none"/>
                      <w:lang w:val="en-US" w:eastAsia="zh-CN" w:bidi="ar"/>
                    </w:rPr>
                    <w:t>量t/a</w:t>
                  </w:r>
                </w:p>
              </w:tc>
              <w:tc>
                <w:tcPr>
                  <w:tcW w:w="751" w:type="dxa"/>
                  <w:noWrap w:val="0"/>
                  <w:vAlign w:val="center"/>
                </w:tcPr>
                <w:p w14:paraId="75D431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产生速率</w:t>
                  </w:r>
                  <w:r>
                    <w:rPr>
                      <w:rFonts w:hint="eastAsia" w:ascii="Times New Roman" w:hAnsi="Times New Roman" w:eastAsia="宋体" w:cs="Times New Roman"/>
                      <w:b/>
                      <w:bCs/>
                      <w:color w:val="auto"/>
                      <w:kern w:val="0"/>
                      <w:sz w:val="21"/>
                      <w:szCs w:val="21"/>
                      <w:highlight w:val="none"/>
                      <w:lang w:val="en-US" w:eastAsia="zh-CN" w:bidi="ar"/>
                    </w:rPr>
                    <w:t>kg</w:t>
                  </w:r>
                  <w:r>
                    <w:rPr>
                      <w:rFonts w:hint="default" w:ascii="Times New Roman" w:hAnsi="Times New Roman" w:eastAsia="宋体" w:cs="Times New Roman"/>
                      <w:b/>
                      <w:bCs/>
                      <w:color w:val="auto"/>
                      <w:kern w:val="0"/>
                      <w:sz w:val="21"/>
                      <w:szCs w:val="21"/>
                      <w:highlight w:val="none"/>
                      <w:lang w:val="en-US" w:eastAsia="zh-CN" w:bidi="ar"/>
                    </w:rPr>
                    <w:t>/h</w:t>
                  </w:r>
                </w:p>
              </w:tc>
              <w:tc>
                <w:tcPr>
                  <w:tcW w:w="768" w:type="dxa"/>
                  <w:noWrap w:val="0"/>
                  <w:vAlign w:val="center"/>
                </w:tcPr>
                <w:p w14:paraId="5F669A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产生浓度mg/m³</w:t>
                  </w:r>
                </w:p>
              </w:tc>
              <w:tc>
                <w:tcPr>
                  <w:tcW w:w="1907" w:type="dxa"/>
                  <w:vMerge w:val="continue"/>
                  <w:noWrap w:val="0"/>
                  <w:vAlign w:val="center"/>
                </w:tcPr>
                <w:p w14:paraId="78722F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p>
              </w:tc>
              <w:tc>
                <w:tcPr>
                  <w:tcW w:w="719" w:type="dxa"/>
                  <w:noWrap w:val="0"/>
                  <w:vAlign w:val="center"/>
                </w:tcPr>
                <w:p w14:paraId="1EBA4A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排放量t/a</w:t>
                  </w:r>
                </w:p>
              </w:tc>
              <w:tc>
                <w:tcPr>
                  <w:tcW w:w="692" w:type="dxa"/>
                  <w:noWrap w:val="0"/>
                  <w:vAlign w:val="center"/>
                </w:tcPr>
                <w:p w14:paraId="3615DB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排放速率</w:t>
                  </w:r>
                  <w:r>
                    <w:rPr>
                      <w:rFonts w:hint="eastAsia" w:ascii="Times New Roman" w:hAnsi="Times New Roman" w:eastAsia="宋体" w:cs="Times New Roman"/>
                      <w:b/>
                      <w:bCs/>
                      <w:color w:val="auto"/>
                      <w:kern w:val="0"/>
                      <w:sz w:val="21"/>
                      <w:szCs w:val="21"/>
                      <w:highlight w:val="none"/>
                      <w:lang w:val="en-US" w:eastAsia="zh-CN" w:bidi="ar"/>
                    </w:rPr>
                    <w:t>kg</w:t>
                  </w:r>
                  <w:r>
                    <w:rPr>
                      <w:rFonts w:hint="default" w:ascii="Times New Roman" w:hAnsi="Times New Roman" w:eastAsia="宋体" w:cs="Times New Roman"/>
                      <w:b/>
                      <w:bCs/>
                      <w:color w:val="auto"/>
                      <w:kern w:val="0"/>
                      <w:sz w:val="21"/>
                      <w:szCs w:val="21"/>
                      <w:highlight w:val="none"/>
                      <w:lang w:val="en-US" w:eastAsia="zh-CN" w:bidi="ar"/>
                    </w:rPr>
                    <w:t>/h</w:t>
                  </w:r>
                </w:p>
              </w:tc>
              <w:tc>
                <w:tcPr>
                  <w:tcW w:w="761" w:type="dxa"/>
                  <w:noWrap w:val="0"/>
                  <w:vAlign w:val="center"/>
                </w:tcPr>
                <w:p w14:paraId="2044F2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排放浓度mg/m³</w:t>
                  </w:r>
                </w:p>
              </w:tc>
            </w:tr>
            <w:tr w14:paraId="7C7548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33" w:type="dxa"/>
                  <w:noWrap w:val="0"/>
                  <w:vAlign w:val="center"/>
                </w:tcPr>
                <w:p w14:paraId="74E436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DA001</w:t>
                  </w:r>
                </w:p>
              </w:tc>
              <w:tc>
                <w:tcPr>
                  <w:tcW w:w="729" w:type="dxa"/>
                  <w:noWrap w:val="0"/>
                  <w:vAlign w:val="center"/>
                </w:tcPr>
                <w:p w14:paraId="27888E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ar"/>
                    </w:rPr>
                  </w:pPr>
                  <w:r>
                    <w:rPr>
                      <w:rFonts w:hint="eastAsia" w:ascii="Calibri" w:hAnsi="Calibri" w:cs="Times New Roman"/>
                      <w:color w:val="000000"/>
                      <w:spacing w:val="-4"/>
                      <w:kern w:val="0"/>
                      <w:sz w:val="21"/>
                      <w:szCs w:val="21"/>
                      <w:lang w:val="en-US" w:eastAsia="zh-CN" w:bidi="ar"/>
                    </w:rPr>
                    <w:t>活性炭</w:t>
                  </w:r>
                  <w:r>
                    <w:rPr>
                      <w:rFonts w:hint="default" w:ascii="Calibri" w:hAnsi="Calibri" w:eastAsia="宋体" w:cs="Times New Roman"/>
                      <w:color w:val="000000"/>
                      <w:spacing w:val="-4"/>
                      <w:kern w:val="0"/>
                      <w:sz w:val="21"/>
                      <w:szCs w:val="21"/>
                      <w:lang w:val="en-US" w:eastAsia="zh-CN" w:bidi="ar"/>
                    </w:rPr>
                    <w:t>吸附脱附</w:t>
                  </w:r>
                  <w:r>
                    <w:rPr>
                      <w:rFonts w:hint="eastAsia" w:ascii="Calibri" w:hAnsi="Calibri" w:eastAsia="宋体" w:cs="Times New Roman"/>
                      <w:color w:val="000000"/>
                      <w:spacing w:val="-4"/>
                      <w:kern w:val="0"/>
                      <w:sz w:val="21"/>
                      <w:szCs w:val="21"/>
                      <w:lang w:val="en-US" w:eastAsia="zh-CN" w:bidi="ar"/>
                    </w:rPr>
                    <w:t>+催化燃烧</w:t>
                  </w:r>
                </w:p>
              </w:tc>
              <w:tc>
                <w:tcPr>
                  <w:tcW w:w="562" w:type="dxa"/>
                  <w:noWrap w:val="0"/>
                  <w:vAlign w:val="center"/>
                </w:tcPr>
                <w:p w14:paraId="4D61E7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非甲烷总烃</w:t>
                  </w:r>
                </w:p>
              </w:tc>
              <w:tc>
                <w:tcPr>
                  <w:tcW w:w="639" w:type="dxa"/>
                  <w:noWrap w:val="0"/>
                  <w:vAlign w:val="center"/>
                </w:tcPr>
                <w:p w14:paraId="43E6F6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20000</w:t>
                  </w:r>
                </w:p>
              </w:tc>
              <w:tc>
                <w:tcPr>
                  <w:tcW w:w="692" w:type="dxa"/>
                  <w:noWrap w:val="0"/>
                  <w:vAlign w:val="center"/>
                </w:tcPr>
                <w:p w14:paraId="4EF862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5.41</w:t>
                  </w:r>
                </w:p>
              </w:tc>
              <w:tc>
                <w:tcPr>
                  <w:tcW w:w="751" w:type="dxa"/>
                  <w:noWrap w:val="0"/>
                  <w:vAlign w:val="center"/>
                </w:tcPr>
                <w:p w14:paraId="28D1EB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1.00</w:t>
                  </w:r>
                </w:p>
              </w:tc>
              <w:tc>
                <w:tcPr>
                  <w:tcW w:w="768" w:type="dxa"/>
                  <w:noWrap w:val="0"/>
                  <w:vAlign w:val="center"/>
                </w:tcPr>
                <w:p w14:paraId="33A504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50</w:t>
                  </w:r>
                </w:p>
              </w:tc>
              <w:tc>
                <w:tcPr>
                  <w:tcW w:w="1907" w:type="dxa"/>
                  <w:noWrap w:val="0"/>
                  <w:vAlign w:val="center"/>
                </w:tcPr>
                <w:p w14:paraId="089FBA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20000</w:t>
                  </w:r>
                </w:p>
              </w:tc>
              <w:tc>
                <w:tcPr>
                  <w:tcW w:w="719" w:type="dxa"/>
                  <w:noWrap w:val="0"/>
                  <w:vAlign w:val="center"/>
                </w:tcPr>
                <w:p w14:paraId="0728DF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0.649</w:t>
                  </w:r>
                </w:p>
              </w:tc>
              <w:tc>
                <w:tcPr>
                  <w:tcW w:w="692" w:type="dxa"/>
                  <w:noWrap w:val="0"/>
                  <w:vAlign w:val="center"/>
                </w:tcPr>
                <w:p w14:paraId="661832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0.09</w:t>
                  </w:r>
                </w:p>
              </w:tc>
              <w:tc>
                <w:tcPr>
                  <w:tcW w:w="761" w:type="dxa"/>
                  <w:noWrap w:val="0"/>
                  <w:vAlign w:val="center"/>
                </w:tcPr>
                <w:p w14:paraId="5CD7AD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4.5</w:t>
                  </w:r>
                </w:p>
              </w:tc>
            </w:tr>
          </w:tbl>
          <w:p w14:paraId="135ADCE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w:t>
            </w:r>
            <w:r>
              <w:rPr>
                <w:rFonts w:hint="eastAsia" w:ascii="Times New Roman" w:hAnsi="Times New Roman" w:eastAsia="宋体" w:cs="Times New Roman"/>
                <w:color w:val="auto"/>
                <w:kern w:val="0"/>
                <w:sz w:val="24"/>
                <w:szCs w:val="24"/>
                <w:highlight w:val="none"/>
                <w:lang w:val="en-US" w:eastAsia="zh-CN" w:bidi="ar"/>
              </w:rPr>
              <w:t>加弹</w:t>
            </w:r>
            <w:r>
              <w:rPr>
                <w:rFonts w:hint="default" w:ascii="Times New Roman" w:hAnsi="Times New Roman" w:eastAsia="宋体" w:cs="Times New Roman"/>
                <w:color w:val="auto"/>
                <w:kern w:val="0"/>
                <w:sz w:val="24"/>
                <w:szCs w:val="24"/>
                <w:highlight w:val="none"/>
                <w:u w:val="none"/>
                <w:lang w:val="en-US" w:eastAsia="zh-CN" w:bidi="ar"/>
              </w:rPr>
              <w:t>项目</w:t>
            </w:r>
            <w:r>
              <w:rPr>
                <w:rFonts w:hint="eastAsia" w:ascii="Times New Roman" w:hAnsi="Times New Roman" w:eastAsia="宋体" w:cs="Times New Roman"/>
                <w:color w:val="auto"/>
                <w:kern w:val="0"/>
                <w:sz w:val="24"/>
                <w:szCs w:val="24"/>
                <w:highlight w:val="none"/>
                <w:lang w:val="en-US" w:eastAsia="zh-CN" w:bidi="ar"/>
              </w:rPr>
              <w:t>非甲烷总烃</w:t>
            </w:r>
            <w:r>
              <w:rPr>
                <w:rFonts w:hint="default" w:ascii="Times New Roman" w:hAnsi="Times New Roman" w:eastAsia="宋体" w:cs="Times New Roman"/>
                <w:color w:val="auto"/>
                <w:kern w:val="0"/>
                <w:sz w:val="24"/>
                <w:szCs w:val="24"/>
                <w:highlight w:val="none"/>
                <w:u w:val="none"/>
                <w:lang w:val="en-US" w:eastAsia="zh-CN" w:bidi="ar"/>
              </w:rPr>
              <w:t>排放口基本情况，见下表。</w:t>
            </w:r>
          </w:p>
          <w:p w14:paraId="0620BE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kern w:val="0"/>
                <w:sz w:val="24"/>
                <w:szCs w:val="24"/>
                <w:highlight w:val="none"/>
                <w:u w:val="none"/>
                <w:lang w:val="en-US" w:eastAsia="zh-CN" w:bidi="ar"/>
              </w:rPr>
            </w:pPr>
            <w:r>
              <w:rPr>
                <w:rFonts w:hint="default" w:ascii="Times New Roman" w:hAnsi="Times New Roman" w:eastAsia="宋体" w:cs="Times New Roman"/>
                <w:b/>
                <w:bCs/>
                <w:color w:val="auto"/>
                <w:kern w:val="0"/>
                <w:sz w:val="24"/>
                <w:szCs w:val="24"/>
                <w:highlight w:val="none"/>
                <w:u w:val="none"/>
                <w:lang w:val="en-US" w:eastAsia="zh-CN" w:bidi="ar"/>
              </w:rPr>
              <w:t>表</w:t>
            </w:r>
            <w:r>
              <w:rPr>
                <w:rFonts w:hint="eastAsia" w:cs="Times New Roman"/>
                <w:b/>
                <w:bCs/>
                <w:color w:val="auto"/>
                <w:kern w:val="0"/>
                <w:sz w:val="24"/>
                <w:szCs w:val="24"/>
                <w:highlight w:val="none"/>
                <w:u w:val="none"/>
                <w:lang w:val="en-US" w:eastAsia="zh-CN" w:bidi="ar"/>
              </w:rPr>
              <w:t>4</w:t>
            </w:r>
            <w:r>
              <w:rPr>
                <w:rFonts w:hint="default" w:ascii="Times New Roman" w:hAnsi="Times New Roman" w:eastAsia="宋体" w:cs="Times New Roman"/>
                <w:b/>
                <w:bCs/>
                <w:color w:val="auto"/>
                <w:kern w:val="0"/>
                <w:sz w:val="24"/>
                <w:szCs w:val="24"/>
                <w:highlight w:val="none"/>
                <w:u w:val="none"/>
                <w:lang w:val="en-US" w:eastAsia="zh-CN" w:bidi="ar"/>
              </w:rPr>
              <w:t>-</w:t>
            </w:r>
            <w:r>
              <w:rPr>
                <w:rFonts w:hint="eastAsia" w:ascii="Times New Roman" w:hAnsi="Times New Roman" w:eastAsia="宋体" w:cs="Times New Roman"/>
                <w:b/>
                <w:bCs/>
                <w:color w:val="auto"/>
                <w:kern w:val="0"/>
                <w:sz w:val="24"/>
                <w:szCs w:val="24"/>
                <w:highlight w:val="none"/>
                <w:u w:val="none"/>
                <w:lang w:val="en-US" w:eastAsia="zh-CN" w:bidi="ar"/>
              </w:rPr>
              <w:t>2</w:t>
            </w:r>
            <w:r>
              <w:rPr>
                <w:rFonts w:hint="default" w:ascii="Times New Roman" w:hAnsi="Times New Roman" w:eastAsia="宋体" w:cs="Times New Roman"/>
                <w:b/>
                <w:bCs/>
                <w:color w:val="auto"/>
                <w:kern w:val="0"/>
                <w:sz w:val="24"/>
                <w:szCs w:val="24"/>
                <w:highlight w:val="none"/>
                <w:u w:val="none"/>
                <w:lang w:val="en-US" w:eastAsia="zh-CN" w:bidi="ar"/>
              </w:rPr>
              <w:t xml:space="preserve"> 项目</w:t>
            </w:r>
            <w:r>
              <w:rPr>
                <w:rFonts w:hint="eastAsia" w:ascii="Times New Roman" w:hAnsi="Times New Roman" w:eastAsia="宋体" w:cs="Times New Roman"/>
                <w:b/>
                <w:bCs/>
                <w:color w:val="auto"/>
                <w:kern w:val="0"/>
                <w:sz w:val="24"/>
                <w:szCs w:val="24"/>
                <w:highlight w:val="none"/>
                <w:u w:val="none"/>
                <w:lang w:val="en-US" w:eastAsia="zh-CN" w:bidi="ar"/>
              </w:rPr>
              <w:t>DA001</w:t>
            </w:r>
            <w:r>
              <w:rPr>
                <w:rFonts w:hint="default" w:ascii="Times New Roman" w:hAnsi="Times New Roman" w:eastAsia="宋体" w:cs="Times New Roman"/>
                <w:b/>
                <w:bCs/>
                <w:color w:val="auto"/>
                <w:kern w:val="0"/>
                <w:sz w:val="24"/>
                <w:szCs w:val="24"/>
                <w:highlight w:val="none"/>
                <w:u w:val="none"/>
                <w:lang w:val="en-US" w:eastAsia="zh-CN" w:bidi="ar"/>
              </w:rPr>
              <w:t>排放口基本情况</w:t>
            </w:r>
          </w:p>
          <w:tbl>
            <w:tblPr>
              <w:tblStyle w:val="26"/>
              <w:tblW w:w="88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045"/>
              <w:gridCol w:w="1318"/>
              <w:gridCol w:w="1244"/>
              <w:gridCol w:w="1147"/>
              <w:gridCol w:w="1094"/>
              <w:gridCol w:w="765"/>
              <w:gridCol w:w="734"/>
              <w:gridCol w:w="730"/>
              <w:gridCol w:w="777"/>
            </w:tblGrid>
            <w:tr w14:paraId="62521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045" w:type="dxa"/>
                  <w:vMerge w:val="restart"/>
                  <w:noWrap w:val="0"/>
                  <w:vAlign w:val="center"/>
                </w:tcPr>
                <w:p w14:paraId="0D57C2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r>
                    <w:rPr>
                      <w:rFonts w:hint="default" w:ascii="Times New Roman" w:hAnsi="Times New Roman" w:eastAsia="宋体" w:cs="Times New Roman"/>
                      <w:b/>
                      <w:bCs/>
                      <w:color w:val="auto"/>
                      <w:kern w:val="0"/>
                      <w:sz w:val="21"/>
                      <w:szCs w:val="21"/>
                      <w:highlight w:val="none"/>
                      <w:u w:val="none"/>
                      <w:lang w:val="en-US" w:eastAsia="zh-CN" w:bidi="ar"/>
                    </w:rPr>
                    <w:t>污染源</w:t>
                  </w:r>
                </w:p>
                <w:p w14:paraId="122ADE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r>
                    <w:rPr>
                      <w:rFonts w:hint="default" w:ascii="Times New Roman" w:hAnsi="Times New Roman" w:eastAsia="宋体" w:cs="Times New Roman"/>
                      <w:b/>
                      <w:bCs/>
                      <w:color w:val="auto"/>
                      <w:kern w:val="0"/>
                      <w:sz w:val="21"/>
                      <w:szCs w:val="21"/>
                      <w:highlight w:val="none"/>
                      <w:u w:val="none"/>
                      <w:lang w:val="en-US" w:eastAsia="zh-CN" w:bidi="ar"/>
                    </w:rPr>
                    <w:t>编号</w:t>
                  </w:r>
                </w:p>
              </w:tc>
              <w:tc>
                <w:tcPr>
                  <w:tcW w:w="1318" w:type="dxa"/>
                  <w:vMerge w:val="restart"/>
                  <w:noWrap w:val="0"/>
                  <w:vAlign w:val="center"/>
                </w:tcPr>
                <w:p w14:paraId="403AF6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r>
                    <w:rPr>
                      <w:rFonts w:hint="default" w:ascii="Times New Roman" w:hAnsi="Times New Roman" w:eastAsia="宋体" w:cs="Times New Roman"/>
                      <w:b/>
                      <w:bCs/>
                      <w:color w:val="auto"/>
                      <w:kern w:val="0"/>
                      <w:sz w:val="21"/>
                      <w:szCs w:val="21"/>
                      <w:highlight w:val="none"/>
                      <w:u w:val="none"/>
                      <w:lang w:val="en-US" w:eastAsia="zh-CN" w:bidi="ar"/>
                    </w:rPr>
                    <w:t>污染源名称</w:t>
                  </w:r>
                </w:p>
              </w:tc>
              <w:tc>
                <w:tcPr>
                  <w:tcW w:w="2391" w:type="dxa"/>
                  <w:gridSpan w:val="2"/>
                  <w:noWrap w:val="0"/>
                  <w:vAlign w:val="center"/>
                </w:tcPr>
                <w:p w14:paraId="75F6EB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r>
                    <w:rPr>
                      <w:rFonts w:hint="default" w:ascii="Times New Roman" w:hAnsi="Times New Roman" w:eastAsia="宋体" w:cs="Times New Roman"/>
                      <w:b/>
                      <w:bCs/>
                      <w:color w:val="auto"/>
                      <w:kern w:val="0"/>
                      <w:sz w:val="21"/>
                      <w:szCs w:val="21"/>
                      <w:highlight w:val="none"/>
                      <w:u w:val="none"/>
                      <w:lang w:val="en-US" w:eastAsia="zh-CN" w:bidi="ar"/>
                    </w:rPr>
                    <w:t>地理坐标</w:t>
                  </w:r>
                </w:p>
              </w:tc>
              <w:tc>
                <w:tcPr>
                  <w:tcW w:w="1094" w:type="dxa"/>
                  <w:vMerge w:val="restart"/>
                  <w:noWrap w:val="0"/>
                  <w:vAlign w:val="center"/>
                </w:tcPr>
                <w:p w14:paraId="5BDC53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auto"/>
                      <w:kern w:val="0"/>
                      <w:sz w:val="21"/>
                      <w:szCs w:val="21"/>
                      <w:highlight w:val="none"/>
                      <w:u w:val="none"/>
                      <w:lang w:val="en-US" w:eastAsia="zh-CN" w:bidi="ar"/>
                    </w:rPr>
                  </w:pPr>
                  <w:r>
                    <w:rPr>
                      <w:rFonts w:hint="eastAsia" w:ascii="Times New Roman" w:hAnsi="Times New Roman" w:eastAsia="宋体" w:cs="Times New Roman"/>
                      <w:b/>
                      <w:bCs/>
                      <w:color w:val="auto"/>
                      <w:kern w:val="0"/>
                      <w:sz w:val="21"/>
                      <w:szCs w:val="21"/>
                      <w:highlight w:val="none"/>
                      <w:u w:val="none"/>
                      <w:lang w:val="en-US" w:eastAsia="zh-CN" w:bidi="ar"/>
                    </w:rPr>
                    <w:t>风量</w:t>
                  </w:r>
                </w:p>
                <w:p w14:paraId="1769B1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r>
                    <w:rPr>
                      <w:rFonts w:hint="default" w:ascii="Times New Roman" w:hAnsi="Times New Roman" w:eastAsia="宋体" w:cs="Times New Roman"/>
                      <w:b/>
                      <w:bCs/>
                      <w:color w:val="auto"/>
                      <w:kern w:val="0"/>
                      <w:sz w:val="21"/>
                      <w:szCs w:val="21"/>
                      <w:highlight w:val="none"/>
                      <w:u w:val="none"/>
                      <w:lang w:val="en-US" w:eastAsia="zh-CN" w:bidi="ar"/>
                    </w:rPr>
                    <w:t>m³/h</w:t>
                  </w:r>
                </w:p>
              </w:tc>
              <w:tc>
                <w:tcPr>
                  <w:tcW w:w="765" w:type="dxa"/>
                  <w:vMerge w:val="restart"/>
                  <w:noWrap w:val="0"/>
                  <w:vAlign w:val="center"/>
                </w:tcPr>
                <w:p w14:paraId="124E72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r>
                    <w:rPr>
                      <w:rFonts w:hint="default" w:ascii="Times New Roman" w:hAnsi="Times New Roman" w:eastAsia="宋体" w:cs="Times New Roman"/>
                      <w:b/>
                      <w:bCs/>
                      <w:color w:val="auto"/>
                      <w:kern w:val="0"/>
                      <w:sz w:val="21"/>
                      <w:szCs w:val="21"/>
                      <w:highlight w:val="none"/>
                      <w:u w:val="none"/>
                      <w:lang w:val="en-US" w:eastAsia="zh-CN" w:bidi="ar"/>
                    </w:rPr>
                    <w:t>排放高度m</w:t>
                  </w:r>
                </w:p>
              </w:tc>
              <w:tc>
                <w:tcPr>
                  <w:tcW w:w="734" w:type="dxa"/>
                  <w:vMerge w:val="restart"/>
                  <w:noWrap w:val="0"/>
                  <w:vAlign w:val="center"/>
                </w:tcPr>
                <w:p w14:paraId="5D563A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r>
                    <w:rPr>
                      <w:rFonts w:hint="default" w:ascii="Times New Roman" w:hAnsi="Times New Roman" w:eastAsia="宋体" w:cs="Times New Roman"/>
                      <w:b/>
                      <w:bCs/>
                      <w:color w:val="auto"/>
                      <w:kern w:val="0"/>
                      <w:sz w:val="21"/>
                      <w:szCs w:val="21"/>
                      <w:highlight w:val="none"/>
                      <w:u w:val="none"/>
                      <w:lang w:val="en-US" w:eastAsia="zh-CN" w:bidi="ar"/>
                    </w:rPr>
                    <w:t>管道内径m</w:t>
                  </w:r>
                </w:p>
              </w:tc>
              <w:tc>
                <w:tcPr>
                  <w:tcW w:w="730" w:type="dxa"/>
                  <w:vMerge w:val="restart"/>
                  <w:noWrap w:val="0"/>
                  <w:vAlign w:val="center"/>
                </w:tcPr>
                <w:p w14:paraId="47B6E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r>
                    <w:rPr>
                      <w:rFonts w:hint="default" w:ascii="Times New Roman" w:hAnsi="Times New Roman" w:eastAsia="宋体" w:cs="Times New Roman"/>
                      <w:b/>
                      <w:bCs/>
                      <w:color w:val="auto"/>
                      <w:kern w:val="0"/>
                      <w:sz w:val="21"/>
                      <w:szCs w:val="21"/>
                      <w:highlight w:val="none"/>
                      <w:u w:val="none"/>
                      <w:lang w:val="en-US" w:eastAsia="zh-CN" w:bidi="ar"/>
                    </w:rPr>
                    <w:t>温度</w:t>
                  </w:r>
                </w:p>
                <w:p w14:paraId="0F6114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r>
                    <w:rPr>
                      <w:rFonts w:hint="default" w:ascii="Times New Roman" w:hAnsi="Times New Roman" w:eastAsia="宋体" w:cs="Times New Roman"/>
                      <w:b/>
                      <w:bCs/>
                      <w:color w:val="auto"/>
                      <w:kern w:val="0"/>
                      <w:sz w:val="21"/>
                      <w:szCs w:val="21"/>
                      <w:highlight w:val="none"/>
                      <w:u w:val="none"/>
                      <w:lang w:val="en-US" w:eastAsia="zh-CN" w:bidi="ar"/>
                    </w:rPr>
                    <w:t>℃</w:t>
                  </w:r>
                </w:p>
              </w:tc>
              <w:tc>
                <w:tcPr>
                  <w:tcW w:w="777" w:type="dxa"/>
                  <w:vMerge w:val="restart"/>
                  <w:noWrap w:val="0"/>
                  <w:vAlign w:val="center"/>
                </w:tcPr>
                <w:p w14:paraId="0B6060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r>
                    <w:rPr>
                      <w:rFonts w:hint="default" w:ascii="Times New Roman" w:hAnsi="Times New Roman" w:eastAsia="宋体" w:cs="Times New Roman"/>
                      <w:b/>
                      <w:bCs/>
                      <w:color w:val="auto"/>
                      <w:kern w:val="0"/>
                      <w:sz w:val="21"/>
                      <w:szCs w:val="21"/>
                      <w:highlight w:val="none"/>
                      <w:u w:val="none"/>
                      <w:lang w:val="en-US" w:eastAsia="zh-CN" w:bidi="ar"/>
                    </w:rPr>
                    <w:t>排放口类型</w:t>
                  </w:r>
                </w:p>
              </w:tc>
            </w:tr>
            <w:tr w14:paraId="36C60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045" w:type="dxa"/>
                  <w:vMerge w:val="continue"/>
                  <w:noWrap w:val="0"/>
                  <w:vAlign w:val="center"/>
                </w:tcPr>
                <w:p w14:paraId="7F7B68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p>
              </w:tc>
              <w:tc>
                <w:tcPr>
                  <w:tcW w:w="1318" w:type="dxa"/>
                  <w:vMerge w:val="continue"/>
                  <w:noWrap w:val="0"/>
                  <w:vAlign w:val="center"/>
                </w:tcPr>
                <w:p w14:paraId="788634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p>
              </w:tc>
              <w:tc>
                <w:tcPr>
                  <w:tcW w:w="1244" w:type="dxa"/>
                  <w:noWrap w:val="0"/>
                  <w:vAlign w:val="center"/>
                </w:tcPr>
                <w:p w14:paraId="2771EC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r>
                    <w:rPr>
                      <w:rFonts w:hint="default" w:ascii="Times New Roman" w:hAnsi="Times New Roman" w:eastAsia="宋体" w:cs="Times New Roman"/>
                      <w:b/>
                      <w:bCs/>
                      <w:color w:val="auto"/>
                      <w:kern w:val="0"/>
                      <w:sz w:val="21"/>
                      <w:szCs w:val="21"/>
                      <w:highlight w:val="none"/>
                      <w:u w:val="none"/>
                      <w:lang w:val="en-US" w:eastAsia="zh-CN" w:bidi="ar"/>
                    </w:rPr>
                    <w:t>经度</w:t>
                  </w:r>
                </w:p>
              </w:tc>
              <w:tc>
                <w:tcPr>
                  <w:tcW w:w="1147" w:type="dxa"/>
                  <w:noWrap w:val="0"/>
                  <w:vAlign w:val="center"/>
                </w:tcPr>
                <w:p w14:paraId="1EBAF7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r>
                    <w:rPr>
                      <w:rFonts w:hint="default" w:ascii="Times New Roman" w:hAnsi="Times New Roman" w:eastAsia="宋体" w:cs="Times New Roman"/>
                      <w:b/>
                      <w:bCs/>
                      <w:color w:val="auto"/>
                      <w:kern w:val="0"/>
                      <w:sz w:val="21"/>
                      <w:szCs w:val="21"/>
                      <w:highlight w:val="none"/>
                      <w:u w:val="none"/>
                      <w:lang w:val="en-US" w:eastAsia="zh-CN" w:bidi="ar"/>
                    </w:rPr>
                    <w:t>纬度</w:t>
                  </w:r>
                </w:p>
              </w:tc>
              <w:tc>
                <w:tcPr>
                  <w:tcW w:w="1094" w:type="dxa"/>
                  <w:vMerge w:val="continue"/>
                  <w:noWrap w:val="0"/>
                  <w:vAlign w:val="center"/>
                </w:tcPr>
                <w:p w14:paraId="185606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p>
              </w:tc>
              <w:tc>
                <w:tcPr>
                  <w:tcW w:w="765" w:type="dxa"/>
                  <w:vMerge w:val="continue"/>
                  <w:noWrap w:val="0"/>
                  <w:vAlign w:val="center"/>
                </w:tcPr>
                <w:p w14:paraId="73B595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p>
              </w:tc>
              <w:tc>
                <w:tcPr>
                  <w:tcW w:w="734" w:type="dxa"/>
                  <w:vMerge w:val="continue"/>
                  <w:noWrap w:val="0"/>
                  <w:vAlign w:val="center"/>
                </w:tcPr>
                <w:p w14:paraId="169C23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p>
              </w:tc>
              <w:tc>
                <w:tcPr>
                  <w:tcW w:w="730" w:type="dxa"/>
                  <w:vMerge w:val="continue"/>
                  <w:noWrap w:val="0"/>
                  <w:vAlign w:val="center"/>
                </w:tcPr>
                <w:p w14:paraId="40646F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p>
              </w:tc>
              <w:tc>
                <w:tcPr>
                  <w:tcW w:w="777" w:type="dxa"/>
                  <w:vMerge w:val="continue"/>
                  <w:noWrap w:val="0"/>
                  <w:vAlign w:val="center"/>
                </w:tcPr>
                <w:p w14:paraId="4F0EB9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u w:val="none"/>
                      <w:lang w:val="en-US" w:eastAsia="zh-CN" w:bidi="ar"/>
                    </w:rPr>
                  </w:pPr>
                </w:p>
              </w:tc>
            </w:tr>
            <w:tr w14:paraId="09F17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045" w:type="dxa"/>
                  <w:noWrap w:val="0"/>
                  <w:vAlign w:val="center"/>
                </w:tcPr>
                <w:p w14:paraId="051E81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kern w:val="0"/>
                      <w:sz w:val="21"/>
                      <w:szCs w:val="21"/>
                      <w:highlight w:val="none"/>
                      <w:u w:val="none"/>
                      <w:lang w:val="en-US" w:eastAsia="zh-CN" w:bidi="ar"/>
                    </w:rPr>
                    <w:t>DA001</w:t>
                  </w:r>
                </w:p>
              </w:tc>
              <w:tc>
                <w:tcPr>
                  <w:tcW w:w="1318" w:type="dxa"/>
                  <w:noWrap w:val="0"/>
                  <w:vAlign w:val="center"/>
                </w:tcPr>
                <w:p w14:paraId="703AEB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
                    </w:rPr>
                  </w:pPr>
                  <w:r>
                    <w:rPr>
                      <w:rFonts w:hint="eastAsia" w:cs="Times New Roman"/>
                      <w:color w:val="auto"/>
                      <w:kern w:val="0"/>
                      <w:sz w:val="21"/>
                      <w:szCs w:val="21"/>
                      <w:highlight w:val="none"/>
                      <w:lang w:val="en-US" w:eastAsia="zh-CN" w:bidi="ar"/>
                    </w:rPr>
                    <w:t>1#废气</w:t>
                  </w:r>
                  <w:r>
                    <w:rPr>
                      <w:rFonts w:hint="default" w:ascii="Times New Roman" w:hAnsi="Times New Roman" w:eastAsia="宋体" w:cs="Times New Roman"/>
                      <w:b w:val="0"/>
                      <w:bCs w:val="0"/>
                      <w:color w:val="auto"/>
                      <w:kern w:val="0"/>
                      <w:sz w:val="21"/>
                      <w:szCs w:val="21"/>
                      <w:highlight w:val="none"/>
                      <w:u w:val="none"/>
                      <w:lang w:val="en-US" w:eastAsia="zh-CN" w:bidi="ar"/>
                    </w:rPr>
                    <w:t>排放口</w:t>
                  </w:r>
                </w:p>
              </w:tc>
              <w:tc>
                <w:tcPr>
                  <w:tcW w:w="1244" w:type="dxa"/>
                  <w:noWrap w:val="0"/>
                  <w:vAlign w:val="center"/>
                </w:tcPr>
                <w:p w14:paraId="383554D6">
                  <w:pPr>
                    <w:keepNext w:val="0"/>
                    <w:keepLines w:val="0"/>
                    <w:widowControl w:val="0"/>
                    <w:suppressLineNumbers w:val="0"/>
                    <w:topLinePunct/>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117.866391°</w:t>
                  </w:r>
                </w:p>
              </w:tc>
              <w:tc>
                <w:tcPr>
                  <w:tcW w:w="1147" w:type="dxa"/>
                  <w:noWrap w:val="0"/>
                  <w:vAlign w:val="center"/>
                </w:tcPr>
                <w:p w14:paraId="403A69B7">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firstLine="0" w:firstLineChars="0"/>
                    <w:jc w:val="both"/>
                    <w:textAlignment w:val="auto"/>
                    <w:rPr>
                      <w:rFonts w:hint="default" w:ascii="Times New Roman" w:hAnsi="Times New Roman" w:eastAsia="宋体" w:cs="Times New Roman"/>
                      <w:b w:val="0"/>
                      <w:b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0"/>
                      <w:sz w:val="21"/>
                      <w:szCs w:val="21"/>
                      <w:highlight w:val="none"/>
                      <w:u w:val="none"/>
                      <w:lang w:val="en-US" w:eastAsia="zh-CN" w:bidi="ar"/>
                    </w:rPr>
                    <w:t>33.110340°</w:t>
                  </w:r>
                </w:p>
              </w:tc>
              <w:tc>
                <w:tcPr>
                  <w:tcW w:w="1094" w:type="dxa"/>
                  <w:noWrap w:val="0"/>
                  <w:vAlign w:val="center"/>
                </w:tcPr>
                <w:p w14:paraId="5BAE7D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kern w:val="0"/>
                      <w:sz w:val="21"/>
                      <w:szCs w:val="21"/>
                      <w:highlight w:val="none"/>
                      <w:u w:val="none"/>
                      <w:lang w:val="en-US" w:eastAsia="zh-CN" w:bidi="ar"/>
                    </w:rPr>
                    <w:t>20000</w:t>
                  </w:r>
                </w:p>
              </w:tc>
              <w:tc>
                <w:tcPr>
                  <w:tcW w:w="765" w:type="dxa"/>
                  <w:noWrap w:val="0"/>
                  <w:vAlign w:val="center"/>
                </w:tcPr>
                <w:p w14:paraId="57CC1F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kern w:val="0"/>
                      <w:sz w:val="21"/>
                      <w:szCs w:val="21"/>
                      <w:highlight w:val="none"/>
                      <w:u w:val="none"/>
                      <w:lang w:val="en-US" w:eastAsia="zh-CN" w:bidi="ar"/>
                    </w:rPr>
                    <w:t>15</w:t>
                  </w:r>
                </w:p>
              </w:tc>
              <w:tc>
                <w:tcPr>
                  <w:tcW w:w="734" w:type="dxa"/>
                  <w:noWrap w:val="0"/>
                  <w:vAlign w:val="center"/>
                </w:tcPr>
                <w:p w14:paraId="20BDEE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kern w:val="0"/>
                      <w:sz w:val="21"/>
                      <w:szCs w:val="21"/>
                      <w:highlight w:val="none"/>
                      <w:u w:val="none"/>
                      <w:lang w:val="en-US" w:eastAsia="zh-CN" w:bidi="ar"/>
                    </w:rPr>
                    <w:t>0.</w:t>
                  </w:r>
                  <w:r>
                    <w:rPr>
                      <w:rFonts w:hint="eastAsia" w:cs="Times New Roman"/>
                      <w:b w:val="0"/>
                      <w:bCs w:val="0"/>
                      <w:color w:val="auto"/>
                      <w:kern w:val="0"/>
                      <w:sz w:val="21"/>
                      <w:szCs w:val="21"/>
                      <w:highlight w:val="none"/>
                      <w:u w:val="none"/>
                      <w:lang w:val="en-US" w:eastAsia="zh-CN" w:bidi="ar"/>
                    </w:rPr>
                    <w:t>7</w:t>
                  </w:r>
                </w:p>
              </w:tc>
              <w:tc>
                <w:tcPr>
                  <w:tcW w:w="730" w:type="dxa"/>
                  <w:noWrap w:val="0"/>
                  <w:vAlign w:val="center"/>
                </w:tcPr>
                <w:p w14:paraId="077BA2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kern w:val="0"/>
                      <w:sz w:val="21"/>
                      <w:szCs w:val="21"/>
                      <w:highlight w:val="none"/>
                      <w:u w:val="none"/>
                      <w:lang w:val="en-US" w:eastAsia="zh-CN" w:bidi="ar"/>
                    </w:rPr>
                    <w:t>25</w:t>
                  </w:r>
                </w:p>
              </w:tc>
              <w:tc>
                <w:tcPr>
                  <w:tcW w:w="777" w:type="dxa"/>
                  <w:noWrap w:val="0"/>
                  <w:vAlign w:val="center"/>
                </w:tcPr>
                <w:p w14:paraId="388164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0"/>
                      <w:sz w:val="21"/>
                      <w:szCs w:val="21"/>
                      <w:highlight w:val="none"/>
                      <w:u w:val="none"/>
                      <w:lang w:val="en-US" w:eastAsia="zh-CN" w:bidi="ar"/>
                    </w:rPr>
                    <w:t>一般排放口</w:t>
                  </w:r>
                </w:p>
              </w:tc>
            </w:tr>
          </w:tbl>
          <w:p w14:paraId="096DF66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食堂油烟</w:t>
            </w:r>
          </w:p>
          <w:p w14:paraId="3EACEE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食堂在烹饪食物时产生的油烟，主要由不可见微油滴组成。</w:t>
            </w:r>
            <w:r>
              <w:rPr>
                <w:rFonts w:hint="eastAsia" w:cs="Times New Roman"/>
                <w:color w:val="auto"/>
                <w:kern w:val="0"/>
                <w:sz w:val="24"/>
                <w:szCs w:val="24"/>
                <w:highlight w:val="none"/>
                <w:lang w:val="en-US" w:eastAsia="zh-CN" w:bidi="ar"/>
              </w:rPr>
              <w:t>根据类比调查和有关资料</w:t>
            </w:r>
            <w:r>
              <w:rPr>
                <w:rFonts w:hint="default" w:ascii="Times New Roman" w:hAnsi="Times New Roman" w:eastAsia="宋体" w:cs="Times New Roman"/>
                <w:color w:val="auto"/>
                <w:kern w:val="0"/>
                <w:sz w:val="24"/>
                <w:szCs w:val="24"/>
                <w:highlight w:val="none"/>
                <w:lang w:val="en-US" w:eastAsia="zh-CN" w:bidi="ar"/>
              </w:rPr>
              <w:t>，每人每天耗食用油量约为30g，就餐人数按</w:t>
            </w:r>
            <w:r>
              <w:rPr>
                <w:rFonts w:hint="eastAsia" w:ascii="Times New Roman" w:hAnsi="Times New Roman" w:eastAsia="宋体" w:cs="Times New Roman"/>
                <w:color w:val="auto"/>
                <w:kern w:val="0"/>
                <w:sz w:val="24"/>
                <w:szCs w:val="24"/>
                <w:highlight w:val="none"/>
                <w:lang w:val="en-US" w:eastAsia="zh-CN" w:bidi="ar"/>
              </w:rPr>
              <w:t>10</w:t>
            </w:r>
            <w:r>
              <w:rPr>
                <w:rFonts w:hint="default" w:ascii="Times New Roman" w:hAnsi="Times New Roman" w:eastAsia="宋体" w:cs="Times New Roman"/>
                <w:color w:val="auto"/>
                <w:kern w:val="0"/>
                <w:sz w:val="24"/>
                <w:szCs w:val="24"/>
                <w:highlight w:val="none"/>
                <w:lang w:val="en-US" w:eastAsia="zh-CN" w:bidi="ar"/>
              </w:rPr>
              <w:t>0人计，油烟含量约占耗油量的2%，则油烟产生量为</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kg/a。项目灶头数为2个，根据《饮食业油烟排放标准》（试行）（GB18483-2001），本项目食堂规模为小型，食堂油烟经油烟净化器（收集率为90%，去除效率为60%）处理后于楼顶高空排放，风机风量为4000m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/h，炉灶平均每天使用4h，计算得油烟收集量为</w:t>
            </w:r>
            <w:r>
              <w:rPr>
                <w:rFonts w:hint="eastAsia" w:ascii="Times New Roman" w:hAnsi="Times New Roman" w:eastAsia="宋体" w:cs="Times New Roman"/>
                <w:color w:val="auto"/>
                <w:kern w:val="0"/>
                <w:sz w:val="24"/>
                <w:szCs w:val="24"/>
                <w:highlight w:val="none"/>
                <w:lang w:val="en-US" w:eastAsia="zh-CN" w:bidi="ar"/>
              </w:rPr>
              <w:t>16.2</w:t>
            </w:r>
            <w:r>
              <w:rPr>
                <w:rFonts w:hint="default" w:ascii="Times New Roman" w:hAnsi="Times New Roman" w:eastAsia="宋体" w:cs="Times New Roman"/>
                <w:color w:val="auto"/>
                <w:kern w:val="0"/>
                <w:sz w:val="24"/>
                <w:szCs w:val="24"/>
                <w:highlight w:val="none"/>
                <w:lang w:val="en-US" w:eastAsia="zh-CN" w:bidi="ar"/>
              </w:rPr>
              <w:t>kg/a，产生浓度为</w:t>
            </w:r>
            <w:r>
              <w:rPr>
                <w:rFonts w:hint="eastAsia" w:ascii="Times New Roman" w:hAnsi="Times New Roman" w:eastAsia="宋体" w:cs="Times New Roman"/>
                <w:color w:val="auto"/>
                <w:kern w:val="0"/>
                <w:sz w:val="24"/>
                <w:szCs w:val="24"/>
                <w:highlight w:val="none"/>
                <w:lang w:val="en-US" w:eastAsia="zh-CN" w:bidi="ar"/>
              </w:rPr>
              <w:t>3.37</w:t>
            </w:r>
            <w:r>
              <w:rPr>
                <w:rFonts w:hint="default" w:ascii="Times New Roman" w:hAnsi="Times New Roman" w:eastAsia="宋体" w:cs="Times New Roman"/>
                <w:color w:val="auto"/>
                <w:kern w:val="0"/>
                <w:sz w:val="24"/>
                <w:szCs w:val="24"/>
                <w:highlight w:val="none"/>
                <w:lang w:val="en-US" w:eastAsia="zh-CN" w:bidi="ar"/>
              </w:rPr>
              <w:t>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，处理后排放量为</w:t>
            </w:r>
            <w:r>
              <w:rPr>
                <w:rFonts w:hint="eastAsia" w:ascii="Times New Roman" w:hAnsi="Times New Roman" w:eastAsia="宋体" w:cs="Times New Roman"/>
                <w:color w:val="auto"/>
                <w:kern w:val="0"/>
                <w:sz w:val="24"/>
                <w:szCs w:val="24"/>
                <w:highlight w:val="none"/>
                <w:lang w:val="en-US" w:eastAsia="zh-CN" w:bidi="ar"/>
              </w:rPr>
              <w:t>6.48</w:t>
            </w:r>
            <w:r>
              <w:rPr>
                <w:rFonts w:hint="default" w:ascii="Times New Roman" w:hAnsi="Times New Roman" w:eastAsia="宋体" w:cs="Times New Roman"/>
                <w:color w:val="auto"/>
                <w:kern w:val="0"/>
                <w:sz w:val="24"/>
                <w:szCs w:val="24"/>
                <w:highlight w:val="none"/>
                <w:lang w:val="en-US" w:eastAsia="zh-CN" w:bidi="ar"/>
              </w:rPr>
              <w:t>kg/a，排放浓度为</w:t>
            </w:r>
            <w:r>
              <w:rPr>
                <w:rFonts w:hint="eastAsia" w:ascii="Times New Roman" w:hAnsi="Times New Roman" w:eastAsia="宋体" w:cs="Times New Roman"/>
                <w:color w:val="auto"/>
                <w:kern w:val="0"/>
                <w:sz w:val="24"/>
                <w:szCs w:val="24"/>
                <w:highlight w:val="none"/>
                <w:lang w:val="en-US" w:eastAsia="zh-CN" w:bidi="ar"/>
              </w:rPr>
              <w:t>1.35</w:t>
            </w:r>
            <w:r>
              <w:rPr>
                <w:rFonts w:hint="default" w:ascii="Times New Roman" w:hAnsi="Times New Roman" w:eastAsia="宋体" w:cs="Times New Roman"/>
                <w:color w:val="auto"/>
                <w:kern w:val="0"/>
                <w:sz w:val="24"/>
                <w:szCs w:val="24"/>
                <w:highlight w:val="none"/>
                <w:lang w:val="en-US" w:eastAsia="zh-CN" w:bidi="ar"/>
              </w:rPr>
              <w:t>mg/m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14:paraId="6BEF66B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default"/>
                <w:color w:val="auto"/>
                <w:sz w:val="24"/>
                <w:highlight w:val="none"/>
              </w:rPr>
            </w:pPr>
            <w:r>
              <w:rPr>
                <w:rFonts w:hint="eastAsia" w:ascii="Times New Roman" w:eastAsia="宋体"/>
                <w:color w:val="auto"/>
                <w:lang w:val="en-US" w:eastAsia="zh-CN"/>
              </w:rPr>
              <w:t>（</w:t>
            </w:r>
            <w:r>
              <w:rPr>
                <w:rFonts w:hint="eastAsia"/>
                <w:color w:val="auto"/>
                <w:lang w:val="en-US" w:eastAsia="zh-CN"/>
              </w:rPr>
              <w:t>3</w:t>
            </w:r>
            <w:r>
              <w:rPr>
                <w:rFonts w:hint="eastAsia" w:ascii="Times New Roman" w:eastAsia="宋体"/>
                <w:color w:val="auto"/>
                <w:lang w:val="en-US" w:eastAsia="zh-CN"/>
              </w:rPr>
              <w:t>）</w:t>
            </w:r>
            <w:r>
              <w:rPr>
                <w:rFonts w:hint="eastAsia" w:ascii="Times New Roman" w:eastAsia="宋体"/>
                <w:color w:val="auto"/>
                <w:sz w:val="24"/>
                <w:highlight w:val="none"/>
                <w:lang w:val="en-US" w:eastAsia="zh-CN"/>
              </w:rPr>
              <w:t>危废暂存间废气</w:t>
            </w:r>
          </w:p>
          <w:p w14:paraId="1992FF8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olor w:val="auto"/>
                <w:sz w:val="24"/>
                <w:highlight w:val="none"/>
                <w:lang w:eastAsia="zh-CN"/>
              </w:rPr>
            </w:pPr>
            <w:r>
              <w:rPr>
                <w:rFonts w:hint="eastAsia" w:ascii="Times New Roman" w:hAnsi="Times New Roman" w:eastAsia="宋体" w:cs="Times New Roman"/>
                <w:color w:val="auto"/>
                <w:kern w:val="2"/>
                <w:sz w:val="24"/>
                <w:szCs w:val="24"/>
                <w:highlight w:val="none"/>
                <w:lang w:val="en-US" w:eastAsia="zh-CN" w:bidi="ar-SA"/>
              </w:rPr>
              <w:t>本项目考虑危废暂存间内可能会有有机废气逸散，</w:t>
            </w:r>
            <w:r>
              <w:rPr>
                <w:rFonts w:hint="eastAsia" w:ascii="Times New Roman" w:eastAsia="宋体"/>
                <w:color w:val="auto"/>
                <w:sz w:val="24"/>
                <w:highlight w:val="none"/>
                <w:lang w:val="en-US" w:eastAsia="zh-CN"/>
              </w:rPr>
              <w:t>危废暂存间设置于</w:t>
            </w:r>
            <w:r>
              <w:rPr>
                <w:rFonts w:hint="eastAsia" w:cs="宋体"/>
                <w:color w:val="auto"/>
                <w:kern w:val="0"/>
                <w:sz w:val="24"/>
                <w:highlight w:val="none"/>
                <w:lang w:val="en-US" w:eastAsia="zh-CN" w:bidi="ar"/>
              </w:rPr>
              <w:t>生产厂房北侧（建筑面积为25m</w:t>
            </w:r>
            <w:r>
              <w:rPr>
                <w:rFonts w:hint="eastAsia" w:cs="宋体"/>
                <w:color w:val="auto"/>
                <w:kern w:val="0"/>
                <w:sz w:val="24"/>
                <w:highlight w:val="none"/>
                <w:vertAlign w:val="superscript"/>
                <w:lang w:val="en-US" w:eastAsia="zh-CN" w:bidi="ar"/>
              </w:rPr>
              <w:t>2</w:t>
            </w:r>
            <w:r>
              <w:rPr>
                <w:rFonts w:hint="eastAsia" w:cs="宋体"/>
                <w:color w:val="auto"/>
                <w:kern w:val="0"/>
                <w:sz w:val="24"/>
                <w:highlight w:val="none"/>
                <w:lang w:val="en-US" w:eastAsia="zh-CN" w:bidi="ar"/>
              </w:rPr>
              <w:t>，高3m），</w:t>
            </w:r>
            <w:r>
              <w:rPr>
                <w:rFonts w:hint="eastAsia" w:ascii="Times New Roman" w:hAnsi="Times New Roman" w:eastAsia="宋体" w:cs="Times New Roman"/>
                <w:color w:val="auto"/>
                <w:kern w:val="2"/>
                <w:sz w:val="24"/>
                <w:szCs w:val="24"/>
                <w:highlight w:val="none"/>
                <w:lang w:val="en-US" w:eastAsia="zh-CN" w:bidi="ar-SA"/>
              </w:rPr>
              <w:t>根据《危险废物贮存污染控制标准》（GB18597-2023）要求，需对危废暂存间废气进行收集和净化。危废暂存间废气产生量较小，本次环评不对其进行定量计算</w:t>
            </w:r>
            <w:r>
              <w:rPr>
                <w:rFonts w:hint="eastAsia" w:eastAsia="宋体"/>
                <w:color w:val="auto"/>
                <w:sz w:val="24"/>
                <w:highlight w:val="none"/>
                <w:lang w:eastAsia="zh-CN"/>
              </w:rPr>
              <w:t>。</w:t>
            </w:r>
          </w:p>
          <w:p w14:paraId="4A3F66D2">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eastAsia"/>
                <w:color w:val="auto"/>
                <w:lang w:val="en-US" w:eastAsia="zh-CN"/>
              </w:rPr>
              <w:t>危废暂存间</w:t>
            </w:r>
            <w:r>
              <w:rPr>
                <w:rFonts w:hint="eastAsia" w:cs="Times New Roman"/>
                <w:color w:val="auto"/>
                <w:lang w:val="en-US" w:eastAsia="zh-CN"/>
              </w:rPr>
              <w:t>设置抽风系统，危废暂存间废气经密闭收集后通过</w:t>
            </w:r>
            <w:r>
              <w:rPr>
                <w:rFonts w:hint="eastAsia" w:cs="Times New Roman"/>
                <w:color w:val="auto"/>
                <w:sz w:val="24"/>
                <w:lang w:val="en-US" w:eastAsia="zh-CN"/>
              </w:rPr>
              <w:t>活性炭吸附脱附+催化燃烧</w:t>
            </w:r>
            <w:r>
              <w:rPr>
                <w:rFonts w:hint="eastAsia" w:ascii="Times New Roman" w:hAnsi="Times New Roman" w:cs="Times New Roman"/>
                <w:color w:val="auto"/>
                <w:sz w:val="24"/>
                <w:lang w:val="en-US" w:eastAsia="zh-CN"/>
              </w:rPr>
              <w:t>装置</w:t>
            </w:r>
            <w:r>
              <w:rPr>
                <w:rFonts w:hint="eastAsia" w:cs="Times New Roman"/>
                <w:color w:val="auto"/>
                <w:lang w:val="en-US" w:eastAsia="zh-CN"/>
              </w:rPr>
              <w:t>处理后通过</w:t>
            </w:r>
            <w:r>
              <w:rPr>
                <w:rFonts w:hint="eastAsia"/>
                <w:color w:val="auto"/>
                <w:lang w:val="en-US" w:eastAsia="zh-CN"/>
              </w:rPr>
              <w:t>一根15m高排气筒（DA001）排放。</w:t>
            </w:r>
          </w:p>
        </w:tc>
      </w:tr>
    </w:tbl>
    <w:p w14:paraId="0776FC9C">
      <w:pPr>
        <w:keepNext w:val="0"/>
        <w:keepLines w:val="0"/>
        <w:pageBreakBefore w:val="0"/>
        <w:widowControl w:val="0"/>
        <w:shd w:val="clear" w:color="auto" w:fill="auto"/>
        <w:kinsoku/>
        <w:wordWrap/>
        <w:overflowPunct/>
        <w:topLinePunct/>
        <w:autoSpaceDE/>
        <w:autoSpaceDN/>
        <w:bidi w:val="0"/>
        <w:adjustRightInd w:val="0"/>
        <w:snapToGrid w:val="0"/>
        <w:ind w:left="-120" w:leftChars="-50" w:right="-120" w:rightChars="-50"/>
        <w:jc w:val="center"/>
        <w:textAlignment w:val="auto"/>
        <w:rPr>
          <w:rFonts w:hint="default" w:ascii="Times New Roman" w:hAnsi="Times New Roman" w:cs="Times New Roman"/>
          <w:b/>
          <w:color w:val="auto"/>
          <w:highlight w:val="none"/>
        </w:rPr>
        <w:sectPr>
          <w:pgSz w:w="11907" w:h="16840"/>
          <w:pgMar w:top="1134" w:right="1134" w:bottom="1134" w:left="1134" w:header="737" w:footer="737" w:gutter="0"/>
          <w:pgBorders>
            <w:top w:val="none" w:sz="0" w:space="0"/>
            <w:left w:val="none" w:sz="0" w:space="0"/>
            <w:bottom w:val="none" w:sz="0" w:space="0"/>
            <w:right w:val="none" w:sz="0" w:space="0"/>
          </w:pgBorders>
          <w:pgNumType w:fmt="decimal"/>
          <w:cols w:space="0" w:num="1"/>
          <w:rtlGutter w:val="0"/>
          <w:docGrid w:linePitch="312" w:charSpace="0"/>
        </w:sectPr>
      </w:pPr>
    </w:p>
    <w:p w14:paraId="18C8C411">
      <w:pPr>
        <w:pStyle w:val="49"/>
        <w:jc w:val="both"/>
        <w:rPr>
          <w:rFonts w:hint="default" w:ascii="Times New Roman" w:hAnsi="Times New Roman" w:eastAsia="宋体" w:cs="Times New Roman"/>
          <w:b/>
          <w:color w:val="auto"/>
          <w:kern w:val="2"/>
          <w:sz w:val="24"/>
          <w:szCs w:val="24"/>
          <w:highlight w:val="none"/>
          <w:lang w:val="en-US" w:eastAsia="zh-CN" w:bidi="ar-SA"/>
        </w:rPr>
      </w:pPr>
    </w:p>
    <w:p w14:paraId="03A2ECB0">
      <w:pPr>
        <w:pStyle w:val="48"/>
        <w:spacing w:before="120" w:beforeLines="50" w:line="360" w:lineRule="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表4</w:t>
      </w:r>
      <w:r>
        <w:rPr>
          <w:rFonts w:hint="eastAsia" w:ascii="Times New Roman" w:hAnsi="Times New Roman" w:eastAsia="宋体" w:cs="Times New Roman"/>
          <w:b/>
          <w:color w:val="auto"/>
          <w:kern w:val="2"/>
          <w:sz w:val="24"/>
          <w:szCs w:val="24"/>
          <w:highlight w:val="none"/>
          <w:lang w:val="en-US" w:eastAsia="zh-CN" w:bidi="ar-SA"/>
        </w:rPr>
        <w:t>-</w:t>
      </w:r>
      <w:r>
        <w:rPr>
          <w:rFonts w:hint="eastAsia" w:eastAsia="宋体" w:cs="Times New Roman"/>
          <w:b/>
          <w:color w:val="auto"/>
          <w:kern w:val="2"/>
          <w:sz w:val="24"/>
          <w:szCs w:val="24"/>
          <w:highlight w:val="none"/>
          <w:lang w:val="en-US" w:eastAsia="zh-CN" w:bidi="ar-SA"/>
        </w:rPr>
        <w:t>3</w:t>
      </w:r>
      <w:r>
        <w:rPr>
          <w:rFonts w:hint="default" w:ascii="Times New Roman" w:hAnsi="Times New Roman" w:eastAsia="宋体" w:cs="Times New Roman"/>
          <w:b/>
          <w:color w:val="auto"/>
          <w:kern w:val="2"/>
          <w:sz w:val="24"/>
          <w:szCs w:val="24"/>
          <w:highlight w:val="none"/>
          <w:lang w:val="en-US" w:eastAsia="zh-CN" w:bidi="ar-SA"/>
        </w:rPr>
        <w:t>本项目废气产生排放情况一览表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73"/>
        <w:gridCol w:w="602"/>
        <w:gridCol w:w="590"/>
        <w:gridCol w:w="790"/>
        <w:gridCol w:w="925"/>
        <w:gridCol w:w="1231"/>
        <w:gridCol w:w="1187"/>
        <w:gridCol w:w="1234"/>
        <w:gridCol w:w="793"/>
        <w:gridCol w:w="984"/>
        <w:gridCol w:w="1022"/>
        <w:gridCol w:w="1181"/>
        <w:gridCol w:w="1187"/>
        <w:gridCol w:w="1290"/>
        <w:gridCol w:w="791"/>
      </w:tblGrid>
      <w:tr w14:paraId="38DBA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97" w:type="pct"/>
            <w:vMerge w:val="restart"/>
            <w:noWrap w:val="0"/>
            <w:vAlign w:val="center"/>
          </w:tcPr>
          <w:p w14:paraId="7516BF79">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排气筒编号</w:t>
            </w:r>
          </w:p>
        </w:tc>
        <w:tc>
          <w:tcPr>
            <w:tcW w:w="205" w:type="pct"/>
            <w:vMerge w:val="restart"/>
            <w:noWrap w:val="0"/>
            <w:vAlign w:val="center"/>
          </w:tcPr>
          <w:p w14:paraId="1E745BA7">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产污环节</w:t>
            </w:r>
          </w:p>
        </w:tc>
        <w:tc>
          <w:tcPr>
            <w:tcW w:w="201" w:type="pct"/>
            <w:vMerge w:val="restart"/>
            <w:noWrap w:val="0"/>
            <w:vAlign w:val="center"/>
          </w:tcPr>
          <w:p w14:paraId="5EB67121">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269" w:type="pct"/>
            <w:vMerge w:val="restart"/>
            <w:noWrap w:val="0"/>
            <w:vAlign w:val="center"/>
          </w:tcPr>
          <w:p w14:paraId="78429A8B">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排放形式</w:t>
            </w:r>
          </w:p>
        </w:tc>
        <w:tc>
          <w:tcPr>
            <w:tcW w:w="315" w:type="pct"/>
            <w:vMerge w:val="restart"/>
            <w:noWrap w:val="0"/>
            <w:vAlign w:val="center"/>
          </w:tcPr>
          <w:p w14:paraId="7E8F31AD">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风</w:t>
            </w:r>
            <w:r>
              <w:rPr>
                <w:rFonts w:hint="default" w:ascii="Times New Roman" w:hAnsi="Times New Roman" w:cs="Times New Roman"/>
                <w:color w:val="auto"/>
                <w:sz w:val="21"/>
                <w:szCs w:val="21"/>
                <w:highlight w:val="none"/>
              </w:rPr>
              <w:t>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p>
        </w:tc>
        <w:tc>
          <w:tcPr>
            <w:tcW w:w="1243" w:type="pct"/>
            <w:gridSpan w:val="3"/>
            <w:noWrap w:val="0"/>
            <w:vAlign w:val="center"/>
          </w:tcPr>
          <w:p w14:paraId="651DA3A0">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污染物产生</w:t>
            </w:r>
          </w:p>
        </w:tc>
        <w:tc>
          <w:tcPr>
            <w:tcW w:w="605" w:type="pct"/>
            <w:gridSpan w:val="2"/>
            <w:noWrap w:val="0"/>
            <w:vAlign w:val="center"/>
          </w:tcPr>
          <w:p w14:paraId="09199E0A">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治理措施</w:t>
            </w:r>
          </w:p>
        </w:tc>
        <w:tc>
          <w:tcPr>
            <w:tcW w:w="348" w:type="pct"/>
            <w:vMerge w:val="restart"/>
            <w:noWrap w:val="0"/>
            <w:vAlign w:val="center"/>
          </w:tcPr>
          <w:p w14:paraId="3A763A0D">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排气筒风</w:t>
            </w:r>
            <w:r>
              <w:rPr>
                <w:rFonts w:hint="default" w:ascii="Times New Roman" w:hAnsi="Times New Roman" w:cs="Times New Roman"/>
                <w:color w:val="auto"/>
                <w:sz w:val="21"/>
                <w:szCs w:val="21"/>
                <w:highlight w:val="none"/>
              </w:rPr>
              <w:t>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p>
        </w:tc>
        <w:tc>
          <w:tcPr>
            <w:tcW w:w="1245" w:type="pct"/>
            <w:gridSpan w:val="3"/>
            <w:noWrap w:val="0"/>
            <w:vAlign w:val="center"/>
          </w:tcPr>
          <w:p w14:paraId="5E665B6D">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w:t>
            </w:r>
          </w:p>
        </w:tc>
        <w:tc>
          <w:tcPr>
            <w:tcW w:w="269" w:type="pct"/>
            <w:vMerge w:val="restart"/>
            <w:noWrap w:val="0"/>
            <w:vAlign w:val="center"/>
          </w:tcPr>
          <w:p w14:paraId="092F1EF8">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排放时间h</w:t>
            </w:r>
          </w:p>
        </w:tc>
      </w:tr>
      <w:tr w14:paraId="5A333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97" w:type="pct"/>
            <w:vMerge w:val="continue"/>
            <w:noWrap w:val="0"/>
            <w:vAlign w:val="center"/>
          </w:tcPr>
          <w:p w14:paraId="4AF8ADEA">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p>
        </w:tc>
        <w:tc>
          <w:tcPr>
            <w:tcW w:w="205" w:type="pct"/>
            <w:vMerge w:val="continue"/>
            <w:noWrap w:val="0"/>
            <w:vAlign w:val="center"/>
          </w:tcPr>
          <w:p w14:paraId="1F26711A">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p>
        </w:tc>
        <w:tc>
          <w:tcPr>
            <w:tcW w:w="201" w:type="pct"/>
            <w:vMerge w:val="continue"/>
            <w:noWrap w:val="0"/>
            <w:vAlign w:val="center"/>
          </w:tcPr>
          <w:p w14:paraId="0A000BC6">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p>
        </w:tc>
        <w:tc>
          <w:tcPr>
            <w:tcW w:w="269" w:type="pct"/>
            <w:vMerge w:val="continue"/>
            <w:noWrap w:val="0"/>
            <w:vAlign w:val="center"/>
          </w:tcPr>
          <w:p w14:paraId="7CB17F64">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p>
        </w:tc>
        <w:tc>
          <w:tcPr>
            <w:tcW w:w="315" w:type="pct"/>
            <w:vMerge w:val="continue"/>
            <w:noWrap w:val="0"/>
            <w:vAlign w:val="center"/>
          </w:tcPr>
          <w:p w14:paraId="391CD7D4">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p>
        </w:tc>
        <w:tc>
          <w:tcPr>
            <w:tcW w:w="419" w:type="pct"/>
            <w:noWrap w:val="0"/>
            <w:vAlign w:val="center"/>
          </w:tcPr>
          <w:p w14:paraId="3C02017D">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浓度mg/m</w:t>
            </w:r>
            <w:r>
              <w:rPr>
                <w:rFonts w:hint="default" w:ascii="Times New Roman" w:hAnsi="Times New Roman" w:cs="Times New Roman"/>
                <w:color w:val="auto"/>
                <w:sz w:val="21"/>
                <w:szCs w:val="21"/>
                <w:highlight w:val="none"/>
                <w:vertAlign w:val="superscript"/>
              </w:rPr>
              <w:t>3</w:t>
            </w:r>
          </w:p>
        </w:tc>
        <w:tc>
          <w:tcPr>
            <w:tcW w:w="404" w:type="pct"/>
            <w:noWrap w:val="0"/>
            <w:vAlign w:val="center"/>
          </w:tcPr>
          <w:p w14:paraId="6AB52E52">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速率kg/h</w:t>
            </w:r>
          </w:p>
        </w:tc>
        <w:tc>
          <w:tcPr>
            <w:tcW w:w="418" w:type="pct"/>
            <w:noWrap w:val="0"/>
            <w:vAlign w:val="center"/>
          </w:tcPr>
          <w:p w14:paraId="0A96E375">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产生量t/a</w:t>
            </w:r>
          </w:p>
        </w:tc>
        <w:tc>
          <w:tcPr>
            <w:tcW w:w="270" w:type="pct"/>
            <w:noWrap w:val="0"/>
            <w:vAlign w:val="center"/>
          </w:tcPr>
          <w:p w14:paraId="5E6704C9">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w:t>
            </w:r>
          </w:p>
        </w:tc>
        <w:tc>
          <w:tcPr>
            <w:tcW w:w="335" w:type="pct"/>
            <w:noWrap w:val="0"/>
            <w:vAlign w:val="center"/>
          </w:tcPr>
          <w:p w14:paraId="3397B2C5">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效率</w:t>
            </w:r>
          </w:p>
        </w:tc>
        <w:tc>
          <w:tcPr>
            <w:tcW w:w="348" w:type="pct"/>
            <w:vMerge w:val="continue"/>
            <w:noWrap w:val="0"/>
            <w:vAlign w:val="center"/>
          </w:tcPr>
          <w:p w14:paraId="03372DF0">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p>
        </w:tc>
        <w:tc>
          <w:tcPr>
            <w:tcW w:w="402" w:type="pct"/>
            <w:noWrap w:val="0"/>
            <w:vAlign w:val="center"/>
          </w:tcPr>
          <w:p w14:paraId="0ADDD3D2">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浓度mg/m</w:t>
            </w:r>
            <w:r>
              <w:rPr>
                <w:rFonts w:hint="default" w:ascii="Times New Roman" w:hAnsi="Times New Roman" w:cs="Times New Roman"/>
                <w:color w:val="auto"/>
                <w:sz w:val="21"/>
                <w:szCs w:val="21"/>
                <w:highlight w:val="none"/>
                <w:vertAlign w:val="superscript"/>
              </w:rPr>
              <w:t>3</w:t>
            </w:r>
          </w:p>
        </w:tc>
        <w:tc>
          <w:tcPr>
            <w:tcW w:w="404" w:type="pct"/>
            <w:noWrap w:val="0"/>
            <w:vAlign w:val="center"/>
          </w:tcPr>
          <w:p w14:paraId="0B66883D">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速率kg/h</w:t>
            </w:r>
          </w:p>
        </w:tc>
        <w:tc>
          <w:tcPr>
            <w:tcW w:w="437" w:type="pct"/>
            <w:noWrap w:val="0"/>
            <w:vAlign w:val="center"/>
          </w:tcPr>
          <w:p w14:paraId="7DF60504">
            <w:pPr>
              <w:pStyle w:val="4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排放量t/a</w:t>
            </w:r>
          </w:p>
        </w:tc>
        <w:tc>
          <w:tcPr>
            <w:tcW w:w="269" w:type="pct"/>
            <w:vMerge w:val="continue"/>
            <w:noWrap w:val="0"/>
            <w:vAlign w:val="center"/>
          </w:tcPr>
          <w:p w14:paraId="7DB25668">
            <w:pPr>
              <w:pStyle w:val="47"/>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rPr>
                <w:rFonts w:hint="default" w:ascii="Times New Roman" w:hAnsi="Times New Roman" w:cs="Times New Roman"/>
                <w:color w:val="auto"/>
                <w:sz w:val="21"/>
                <w:szCs w:val="21"/>
                <w:highlight w:val="none"/>
              </w:rPr>
            </w:pPr>
          </w:p>
        </w:tc>
      </w:tr>
      <w:tr w14:paraId="59E62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97" w:type="pct"/>
            <w:vMerge w:val="restart"/>
            <w:noWrap w:val="0"/>
            <w:vAlign w:val="center"/>
          </w:tcPr>
          <w:p w14:paraId="6C416761">
            <w:pPr>
              <w:pStyle w:val="47"/>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DA001</w:t>
            </w:r>
          </w:p>
        </w:tc>
        <w:tc>
          <w:tcPr>
            <w:tcW w:w="205" w:type="pct"/>
            <w:vMerge w:val="restart"/>
            <w:noWrap w:val="0"/>
            <w:vAlign w:val="center"/>
          </w:tcPr>
          <w:p w14:paraId="7D50528A">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u w:val="none"/>
                <w:lang w:val="en-US" w:eastAsia="zh-CN"/>
              </w:rPr>
              <w:t>活性炭吸附脱附+催化燃烧</w:t>
            </w:r>
          </w:p>
        </w:tc>
        <w:tc>
          <w:tcPr>
            <w:tcW w:w="201" w:type="pct"/>
            <w:vMerge w:val="restart"/>
            <w:noWrap w:val="0"/>
            <w:vAlign w:val="center"/>
          </w:tcPr>
          <w:p w14:paraId="2D0FE773">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269" w:type="pct"/>
            <w:noWrap w:val="0"/>
            <w:vAlign w:val="center"/>
          </w:tcPr>
          <w:p w14:paraId="29847F97">
            <w:pPr>
              <w:pStyle w:val="47"/>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有组织</w:t>
            </w:r>
          </w:p>
        </w:tc>
        <w:tc>
          <w:tcPr>
            <w:tcW w:w="315" w:type="pct"/>
            <w:noWrap w:val="0"/>
            <w:vAlign w:val="center"/>
          </w:tcPr>
          <w:p w14:paraId="4BC7A59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20000</w:t>
            </w:r>
          </w:p>
        </w:tc>
        <w:tc>
          <w:tcPr>
            <w:tcW w:w="419" w:type="pct"/>
            <w:noWrap w:val="0"/>
            <w:vAlign w:val="center"/>
          </w:tcPr>
          <w:p w14:paraId="3DD8BE8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50</w:t>
            </w:r>
          </w:p>
        </w:tc>
        <w:tc>
          <w:tcPr>
            <w:tcW w:w="404" w:type="pct"/>
            <w:noWrap w:val="0"/>
            <w:vAlign w:val="center"/>
          </w:tcPr>
          <w:p w14:paraId="48E1C33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1.00</w:t>
            </w:r>
          </w:p>
        </w:tc>
        <w:tc>
          <w:tcPr>
            <w:tcW w:w="418" w:type="pct"/>
            <w:noWrap w:val="0"/>
            <w:vAlign w:val="center"/>
          </w:tcPr>
          <w:p w14:paraId="33C7D6A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5.41</w:t>
            </w:r>
          </w:p>
        </w:tc>
        <w:tc>
          <w:tcPr>
            <w:tcW w:w="270" w:type="pct"/>
            <w:vMerge w:val="restart"/>
            <w:noWrap w:val="0"/>
            <w:vAlign w:val="center"/>
          </w:tcPr>
          <w:p w14:paraId="3320A284">
            <w:pPr>
              <w:pStyle w:val="47"/>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r>
              <w:rPr>
                <w:rFonts w:hint="eastAsia" w:cs="Times New Roman"/>
                <w:color w:val="auto"/>
                <w:highlight w:val="none"/>
                <w:lang w:val="en-US" w:eastAsia="zh-CN"/>
              </w:rPr>
              <w:t>非甲烷总烃</w:t>
            </w:r>
          </w:p>
        </w:tc>
        <w:tc>
          <w:tcPr>
            <w:tcW w:w="335" w:type="pct"/>
            <w:vMerge w:val="restart"/>
            <w:noWrap w:val="0"/>
            <w:vAlign w:val="center"/>
          </w:tcPr>
          <w:p w14:paraId="5745D03A">
            <w:pPr>
              <w:pStyle w:val="47"/>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88%</w:t>
            </w:r>
          </w:p>
        </w:tc>
        <w:tc>
          <w:tcPr>
            <w:tcW w:w="348" w:type="pct"/>
            <w:vMerge w:val="restart"/>
            <w:noWrap w:val="0"/>
            <w:vAlign w:val="center"/>
          </w:tcPr>
          <w:p w14:paraId="570B49D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20000</w:t>
            </w:r>
          </w:p>
        </w:tc>
        <w:tc>
          <w:tcPr>
            <w:tcW w:w="402" w:type="pct"/>
            <w:noWrap w:val="0"/>
            <w:vAlign w:val="center"/>
          </w:tcPr>
          <w:p w14:paraId="6756967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4.5</w:t>
            </w:r>
          </w:p>
        </w:tc>
        <w:tc>
          <w:tcPr>
            <w:tcW w:w="404" w:type="pct"/>
            <w:noWrap w:val="0"/>
            <w:vAlign w:val="center"/>
          </w:tcPr>
          <w:p w14:paraId="4A149F1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09</w:t>
            </w:r>
          </w:p>
        </w:tc>
        <w:tc>
          <w:tcPr>
            <w:tcW w:w="437" w:type="pct"/>
            <w:noWrap w:val="0"/>
            <w:vAlign w:val="center"/>
          </w:tcPr>
          <w:p w14:paraId="1B7DC25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0.649</w:t>
            </w:r>
          </w:p>
        </w:tc>
        <w:tc>
          <w:tcPr>
            <w:tcW w:w="269" w:type="pct"/>
            <w:vMerge w:val="restart"/>
            <w:shd w:val="clear" w:color="auto" w:fill="auto"/>
            <w:noWrap w:val="0"/>
            <w:vAlign w:val="center"/>
          </w:tcPr>
          <w:p w14:paraId="49999C63">
            <w:pPr>
              <w:pStyle w:val="47"/>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7200</w:t>
            </w:r>
          </w:p>
        </w:tc>
      </w:tr>
      <w:tr w14:paraId="6A29C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97" w:type="pct"/>
            <w:vMerge w:val="continue"/>
            <w:noWrap w:val="0"/>
            <w:vAlign w:val="center"/>
          </w:tcPr>
          <w:p w14:paraId="7678DC52">
            <w:pPr>
              <w:pStyle w:val="47"/>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rPr>
                <w:rFonts w:hint="default" w:ascii="Times New Roman" w:hAnsi="Times New Roman" w:cs="Times New Roman"/>
                <w:color w:val="auto"/>
                <w:sz w:val="21"/>
                <w:szCs w:val="21"/>
                <w:highlight w:val="none"/>
              </w:rPr>
            </w:pPr>
          </w:p>
        </w:tc>
        <w:tc>
          <w:tcPr>
            <w:tcW w:w="205" w:type="pct"/>
            <w:vMerge w:val="continue"/>
            <w:noWrap w:val="0"/>
            <w:vAlign w:val="center"/>
          </w:tcPr>
          <w:p w14:paraId="682D55B3">
            <w:pPr>
              <w:pStyle w:val="47"/>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rPr>
                <w:rFonts w:hint="default" w:ascii="Times New Roman" w:hAnsi="Times New Roman" w:cs="Times New Roman"/>
                <w:color w:val="auto"/>
                <w:sz w:val="21"/>
                <w:szCs w:val="21"/>
                <w:highlight w:val="none"/>
              </w:rPr>
            </w:pPr>
          </w:p>
        </w:tc>
        <w:tc>
          <w:tcPr>
            <w:tcW w:w="201" w:type="pct"/>
            <w:vMerge w:val="continue"/>
            <w:noWrap w:val="0"/>
            <w:vAlign w:val="center"/>
          </w:tcPr>
          <w:p w14:paraId="43385310">
            <w:pPr>
              <w:pStyle w:val="47"/>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rPr>
                <w:rFonts w:hint="default" w:ascii="Times New Roman" w:hAnsi="Times New Roman" w:cs="Times New Roman"/>
                <w:color w:val="auto"/>
                <w:sz w:val="21"/>
                <w:szCs w:val="21"/>
                <w:highlight w:val="none"/>
              </w:rPr>
            </w:pPr>
          </w:p>
        </w:tc>
        <w:tc>
          <w:tcPr>
            <w:tcW w:w="269" w:type="pct"/>
            <w:noWrap w:val="0"/>
            <w:vAlign w:val="center"/>
          </w:tcPr>
          <w:p w14:paraId="4CDA06C2">
            <w:pPr>
              <w:pStyle w:val="47"/>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w:t>
            </w:r>
          </w:p>
        </w:tc>
        <w:tc>
          <w:tcPr>
            <w:tcW w:w="315" w:type="pct"/>
            <w:noWrap w:val="0"/>
            <w:vAlign w:val="center"/>
          </w:tcPr>
          <w:p w14:paraId="2DECA5C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19" w:type="pct"/>
            <w:noWrap w:val="0"/>
            <w:vAlign w:val="center"/>
          </w:tcPr>
          <w:p w14:paraId="4640611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04" w:type="pct"/>
            <w:noWrap w:val="0"/>
            <w:vAlign w:val="center"/>
          </w:tcPr>
          <w:p w14:paraId="7F7B2CC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0.0834</w:t>
            </w:r>
          </w:p>
        </w:tc>
        <w:tc>
          <w:tcPr>
            <w:tcW w:w="418" w:type="pct"/>
            <w:noWrap w:val="0"/>
            <w:vAlign w:val="center"/>
          </w:tcPr>
          <w:p w14:paraId="6921ED8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0.6008</w:t>
            </w:r>
          </w:p>
        </w:tc>
        <w:tc>
          <w:tcPr>
            <w:tcW w:w="270" w:type="pct"/>
            <w:vMerge w:val="continue"/>
            <w:noWrap w:val="0"/>
            <w:vAlign w:val="center"/>
          </w:tcPr>
          <w:p w14:paraId="27BA5ADE">
            <w:pPr>
              <w:pStyle w:val="47"/>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rPr>
                <w:rFonts w:hint="default" w:ascii="Times New Roman" w:hAnsi="Times New Roman" w:cs="Times New Roman"/>
                <w:color w:val="auto"/>
                <w:sz w:val="21"/>
                <w:szCs w:val="21"/>
                <w:highlight w:val="none"/>
              </w:rPr>
            </w:pPr>
          </w:p>
        </w:tc>
        <w:tc>
          <w:tcPr>
            <w:tcW w:w="335" w:type="pct"/>
            <w:vMerge w:val="continue"/>
            <w:noWrap w:val="0"/>
            <w:vAlign w:val="center"/>
          </w:tcPr>
          <w:p w14:paraId="79B24073">
            <w:pPr>
              <w:pStyle w:val="47"/>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rPr>
                <w:rFonts w:hint="default" w:ascii="Times New Roman" w:hAnsi="Times New Roman" w:cs="Times New Roman"/>
                <w:color w:val="auto"/>
                <w:sz w:val="21"/>
                <w:szCs w:val="21"/>
                <w:highlight w:val="none"/>
              </w:rPr>
            </w:pPr>
          </w:p>
        </w:tc>
        <w:tc>
          <w:tcPr>
            <w:tcW w:w="348" w:type="pct"/>
            <w:vMerge w:val="continue"/>
            <w:noWrap w:val="0"/>
            <w:vAlign w:val="center"/>
          </w:tcPr>
          <w:p w14:paraId="29EC804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highlight w:val="none"/>
              </w:rPr>
            </w:pPr>
          </w:p>
        </w:tc>
        <w:tc>
          <w:tcPr>
            <w:tcW w:w="402" w:type="pct"/>
            <w:noWrap w:val="0"/>
            <w:vAlign w:val="center"/>
          </w:tcPr>
          <w:p w14:paraId="420584E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04" w:type="pct"/>
            <w:noWrap w:val="0"/>
            <w:vAlign w:val="center"/>
          </w:tcPr>
          <w:p w14:paraId="7CA9D18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0.0834</w:t>
            </w:r>
          </w:p>
        </w:tc>
        <w:tc>
          <w:tcPr>
            <w:tcW w:w="437" w:type="pct"/>
            <w:noWrap w:val="0"/>
            <w:vAlign w:val="center"/>
          </w:tcPr>
          <w:p w14:paraId="6454353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0.6008</w:t>
            </w:r>
          </w:p>
        </w:tc>
        <w:tc>
          <w:tcPr>
            <w:tcW w:w="269" w:type="pct"/>
            <w:vMerge w:val="continue"/>
            <w:shd w:val="clear" w:color="auto" w:fill="auto"/>
            <w:noWrap w:val="0"/>
            <w:vAlign w:val="center"/>
          </w:tcPr>
          <w:p w14:paraId="2B3E351C">
            <w:pPr>
              <w:pStyle w:val="47"/>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p>
        </w:tc>
      </w:tr>
    </w:tbl>
    <w:p w14:paraId="40238C37">
      <w:pPr>
        <w:pStyle w:val="48"/>
        <w:spacing w:before="120" w:beforeLines="50" w:line="360" w:lineRule="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表4</w:t>
      </w:r>
      <w:r>
        <w:rPr>
          <w:rFonts w:hint="eastAsia" w:eastAsia="宋体" w:cs="Times New Roman"/>
          <w:b/>
          <w:color w:val="auto"/>
          <w:kern w:val="2"/>
          <w:sz w:val="21"/>
          <w:szCs w:val="21"/>
          <w:highlight w:val="none"/>
          <w:lang w:val="en-US" w:eastAsia="zh-CN" w:bidi="ar-SA"/>
        </w:rPr>
        <w:t>-4</w:t>
      </w:r>
      <w:r>
        <w:rPr>
          <w:rFonts w:hint="default" w:ascii="Times New Roman" w:hAnsi="Times New Roman" w:eastAsia="宋体" w:cs="Times New Roman"/>
          <w:b/>
          <w:color w:val="auto"/>
          <w:kern w:val="2"/>
          <w:sz w:val="21"/>
          <w:szCs w:val="21"/>
          <w:highlight w:val="none"/>
          <w:lang w:val="en-US" w:eastAsia="zh-CN" w:bidi="ar-SA"/>
        </w:rPr>
        <w:t>废气排放口污染物排放情况一览表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2311"/>
        <w:gridCol w:w="1142"/>
        <w:gridCol w:w="878"/>
        <w:gridCol w:w="1228"/>
        <w:gridCol w:w="1009"/>
        <w:gridCol w:w="1287"/>
        <w:gridCol w:w="1293"/>
        <w:gridCol w:w="929"/>
        <w:gridCol w:w="1198"/>
        <w:gridCol w:w="855"/>
        <w:gridCol w:w="856"/>
        <w:gridCol w:w="918"/>
      </w:tblGrid>
      <w:tr w14:paraId="14BE7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6" w:type="pct"/>
            <w:vMerge w:val="restart"/>
            <w:noWrap w:val="0"/>
            <w:vAlign w:val="center"/>
          </w:tcPr>
          <w:p w14:paraId="333215A2">
            <w:pPr>
              <w:pStyle w:val="47"/>
              <w:keepNext w:val="0"/>
              <w:keepLines w:val="0"/>
              <w:suppressLineNumbers w:val="0"/>
              <w:spacing w:before="0" w:beforeAutospacing="0" w:after="0" w:afterAutospacing="0"/>
              <w:ind w:left="0" w:right="0"/>
              <w:rPr>
                <w:rFonts w:hint="default"/>
                <w:b/>
                <w:bCs/>
                <w:color w:val="auto"/>
                <w:sz w:val="21"/>
                <w:szCs w:val="21"/>
                <w:highlight w:val="none"/>
              </w:rPr>
            </w:pPr>
            <w:r>
              <w:rPr>
                <w:rFonts w:hint="default"/>
                <w:b/>
                <w:bCs/>
                <w:color w:val="auto"/>
                <w:sz w:val="21"/>
                <w:szCs w:val="21"/>
                <w:highlight w:val="none"/>
              </w:rPr>
              <w:t>排气筒编号</w:t>
            </w:r>
          </w:p>
        </w:tc>
        <w:tc>
          <w:tcPr>
            <w:tcW w:w="551" w:type="pct"/>
            <w:vMerge w:val="restart"/>
            <w:noWrap w:val="0"/>
            <w:vAlign w:val="center"/>
          </w:tcPr>
          <w:p w14:paraId="091458D9">
            <w:pPr>
              <w:pStyle w:val="47"/>
              <w:keepNext w:val="0"/>
              <w:keepLines w:val="0"/>
              <w:suppressLineNumbers w:val="0"/>
              <w:spacing w:before="0" w:beforeAutospacing="0" w:after="0" w:afterAutospacing="0"/>
              <w:ind w:left="0" w:right="0"/>
              <w:rPr>
                <w:rFonts w:hint="default"/>
                <w:b/>
                <w:bCs/>
                <w:color w:val="auto"/>
                <w:sz w:val="21"/>
                <w:szCs w:val="21"/>
                <w:highlight w:val="none"/>
              </w:rPr>
            </w:pPr>
            <w:r>
              <w:rPr>
                <w:rFonts w:hint="default"/>
                <w:b/>
                <w:bCs/>
                <w:color w:val="auto"/>
                <w:sz w:val="21"/>
                <w:szCs w:val="21"/>
                <w:highlight w:val="none"/>
              </w:rPr>
              <w:t>坐标</w:t>
            </w:r>
          </w:p>
        </w:tc>
        <w:tc>
          <w:tcPr>
            <w:tcW w:w="405" w:type="pct"/>
            <w:vMerge w:val="restart"/>
            <w:noWrap w:val="0"/>
            <w:vAlign w:val="center"/>
          </w:tcPr>
          <w:p w14:paraId="4C3AC0C7">
            <w:pPr>
              <w:pStyle w:val="47"/>
              <w:keepNext w:val="0"/>
              <w:keepLines w:val="0"/>
              <w:suppressLineNumbers w:val="0"/>
              <w:spacing w:before="0" w:beforeAutospacing="0" w:after="0" w:afterAutospacing="0"/>
              <w:ind w:left="0" w:right="0"/>
              <w:rPr>
                <w:rFonts w:hint="default"/>
                <w:b/>
                <w:bCs/>
                <w:color w:val="auto"/>
                <w:sz w:val="21"/>
                <w:szCs w:val="21"/>
                <w:highlight w:val="none"/>
              </w:rPr>
            </w:pPr>
            <w:r>
              <w:rPr>
                <w:rFonts w:hint="default"/>
                <w:b/>
                <w:bCs/>
                <w:color w:val="auto"/>
                <w:sz w:val="21"/>
                <w:szCs w:val="21"/>
                <w:highlight w:val="none"/>
              </w:rPr>
              <w:t>污染物种类</w:t>
            </w:r>
          </w:p>
        </w:tc>
        <w:tc>
          <w:tcPr>
            <w:tcW w:w="316" w:type="pct"/>
            <w:vMerge w:val="restart"/>
            <w:noWrap w:val="0"/>
            <w:vAlign w:val="center"/>
          </w:tcPr>
          <w:p w14:paraId="58E14166">
            <w:pPr>
              <w:pStyle w:val="47"/>
              <w:keepNext w:val="0"/>
              <w:keepLines w:val="0"/>
              <w:suppressLineNumbers w:val="0"/>
              <w:spacing w:before="0" w:beforeAutospacing="0" w:after="0" w:afterAutospacing="0"/>
              <w:ind w:left="0" w:right="0"/>
              <w:rPr>
                <w:rFonts w:hint="default"/>
                <w:b/>
                <w:bCs/>
                <w:color w:val="auto"/>
                <w:sz w:val="21"/>
                <w:szCs w:val="21"/>
                <w:highlight w:val="none"/>
              </w:rPr>
            </w:pPr>
            <w:r>
              <w:rPr>
                <w:rFonts w:hint="default"/>
                <w:b/>
                <w:bCs/>
                <w:color w:val="auto"/>
                <w:sz w:val="21"/>
                <w:szCs w:val="21"/>
                <w:highlight w:val="none"/>
              </w:rPr>
              <w:t>风量m</w:t>
            </w:r>
            <w:r>
              <w:rPr>
                <w:rFonts w:hint="default"/>
                <w:b/>
                <w:bCs/>
                <w:color w:val="auto"/>
                <w:sz w:val="21"/>
                <w:szCs w:val="21"/>
                <w:highlight w:val="none"/>
                <w:vertAlign w:val="superscript"/>
              </w:rPr>
              <w:t>3</w:t>
            </w:r>
            <w:r>
              <w:rPr>
                <w:rFonts w:hint="default"/>
                <w:b/>
                <w:bCs/>
                <w:color w:val="auto"/>
                <w:sz w:val="21"/>
                <w:szCs w:val="21"/>
                <w:highlight w:val="none"/>
              </w:rPr>
              <w:t>/h</w:t>
            </w:r>
          </w:p>
        </w:tc>
        <w:tc>
          <w:tcPr>
            <w:tcW w:w="1248" w:type="pct"/>
            <w:gridSpan w:val="3"/>
            <w:noWrap w:val="0"/>
            <w:vAlign w:val="center"/>
          </w:tcPr>
          <w:p w14:paraId="40EB162D">
            <w:pPr>
              <w:pStyle w:val="47"/>
              <w:keepNext w:val="0"/>
              <w:keepLines w:val="0"/>
              <w:suppressLineNumbers w:val="0"/>
              <w:spacing w:before="0" w:beforeAutospacing="0" w:after="0" w:afterAutospacing="0"/>
              <w:ind w:left="0" w:right="0"/>
              <w:rPr>
                <w:rFonts w:hint="default"/>
                <w:b/>
                <w:bCs/>
                <w:color w:val="auto"/>
                <w:sz w:val="21"/>
                <w:szCs w:val="21"/>
                <w:highlight w:val="none"/>
              </w:rPr>
            </w:pPr>
            <w:r>
              <w:rPr>
                <w:rFonts w:hint="default"/>
                <w:b/>
                <w:bCs/>
                <w:color w:val="auto"/>
                <w:sz w:val="21"/>
                <w:szCs w:val="21"/>
                <w:highlight w:val="none"/>
              </w:rPr>
              <w:t>污染物排放情况</w:t>
            </w:r>
          </w:p>
        </w:tc>
        <w:tc>
          <w:tcPr>
            <w:tcW w:w="789" w:type="pct"/>
            <w:gridSpan w:val="2"/>
            <w:noWrap w:val="0"/>
            <w:vAlign w:val="center"/>
          </w:tcPr>
          <w:p w14:paraId="253FAC15">
            <w:pPr>
              <w:pStyle w:val="47"/>
              <w:keepNext w:val="0"/>
              <w:keepLines w:val="0"/>
              <w:suppressLineNumbers w:val="0"/>
              <w:spacing w:before="0" w:beforeAutospacing="0" w:after="0" w:afterAutospacing="0"/>
              <w:ind w:left="0" w:right="0"/>
              <w:rPr>
                <w:rFonts w:hint="default"/>
                <w:b/>
                <w:bCs/>
                <w:color w:val="auto"/>
                <w:sz w:val="21"/>
                <w:szCs w:val="21"/>
                <w:highlight w:val="none"/>
              </w:rPr>
            </w:pPr>
            <w:r>
              <w:rPr>
                <w:rFonts w:hint="default"/>
                <w:b/>
                <w:bCs/>
                <w:color w:val="auto"/>
                <w:sz w:val="21"/>
                <w:szCs w:val="21"/>
                <w:highlight w:val="none"/>
              </w:rPr>
              <w:t>排放标准</w:t>
            </w:r>
          </w:p>
        </w:tc>
        <w:tc>
          <w:tcPr>
            <w:tcW w:w="424" w:type="pct"/>
            <w:vMerge w:val="restart"/>
            <w:noWrap w:val="0"/>
            <w:vAlign w:val="center"/>
          </w:tcPr>
          <w:p w14:paraId="1A1CD9FF">
            <w:pPr>
              <w:pStyle w:val="47"/>
              <w:keepNext w:val="0"/>
              <w:keepLines w:val="0"/>
              <w:suppressLineNumbers w:val="0"/>
              <w:spacing w:before="0" w:beforeAutospacing="0" w:after="0" w:afterAutospacing="0"/>
              <w:ind w:left="0" w:right="0"/>
              <w:rPr>
                <w:rFonts w:hint="default"/>
                <w:b/>
                <w:bCs/>
                <w:color w:val="auto"/>
                <w:sz w:val="21"/>
                <w:szCs w:val="21"/>
                <w:highlight w:val="none"/>
              </w:rPr>
            </w:pPr>
            <w:r>
              <w:rPr>
                <w:rFonts w:hint="default"/>
                <w:b/>
                <w:bCs/>
                <w:color w:val="auto"/>
                <w:sz w:val="21"/>
                <w:szCs w:val="21"/>
                <w:highlight w:val="none"/>
              </w:rPr>
              <w:t>排气筒类型</w:t>
            </w:r>
          </w:p>
        </w:tc>
        <w:tc>
          <w:tcPr>
            <w:tcW w:w="308" w:type="pct"/>
            <w:vMerge w:val="restart"/>
            <w:shd w:val="clear" w:color="auto" w:fill="auto"/>
            <w:noWrap w:val="0"/>
            <w:vAlign w:val="center"/>
          </w:tcPr>
          <w:p w14:paraId="38D300B7">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排放高度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lang w:val="en-US" w:eastAsia="zh-CN"/>
              </w:rPr>
              <w:t>）</w:t>
            </w:r>
          </w:p>
        </w:tc>
        <w:tc>
          <w:tcPr>
            <w:tcW w:w="308" w:type="pct"/>
            <w:vMerge w:val="restart"/>
            <w:shd w:val="clear" w:color="auto" w:fill="auto"/>
            <w:noWrap w:val="0"/>
            <w:vAlign w:val="center"/>
          </w:tcPr>
          <w:p w14:paraId="6F08CEFB">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管道内径</w:t>
            </w:r>
            <w:r>
              <w:rPr>
                <w:rFonts w:hint="default" w:ascii="Times New Roman" w:hAnsi="Times New Roman" w:eastAsia="宋体" w:cs="Times New Roman"/>
                <w:color w:val="auto"/>
                <w:sz w:val="21"/>
                <w:szCs w:val="21"/>
                <w:highlight w:val="none"/>
                <w:lang w:val="en-US" w:eastAsia="zh-CN"/>
              </w:rPr>
              <w:t>（m）</w:t>
            </w:r>
          </w:p>
        </w:tc>
        <w:tc>
          <w:tcPr>
            <w:tcW w:w="329" w:type="pct"/>
            <w:vMerge w:val="restart"/>
            <w:shd w:val="clear" w:color="auto" w:fill="auto"/>
            <w:noWrap w:val="0"/>
            <w:vAlign w:val="center"/>
          </w:tcPr>
          <w:p w14:paraId="1DF9E28E">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温度</w:t>
            </w:r>
          </w:p>
          <w:p w14:paraId="7FE128A3">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p>
        </w:tc>
      </w:tr>
      <w:tr w14:paraId="38846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6" w:type="pct"/>
            <w:vMerge w:val="continue"/>
            <w:noWrap w:val="0"/>
            <w:vAlign w:val="center"/>
          </w:tcPr>
          <w:p w14:paraId="216474DB">
            <w:pPr>
              <w:pStyle w:val="47"/>
              <w:keepNext w:val="0"/>
              <w:keepLines w:val="0"/>
              <w:suppressLineNumbers w:val="0"/>
              <w:spacing w:before="0" w:beforeAutospacing="0" w:after="0" w:afterAutospacing="0"/>
              <w:ind w:left="0" w:right="0"/>
              <w:rPr>
                <w:rFonts w:hint="default"/>
                <w:color w:val="auto"/>
                <w:sz w:val="21"/>
                <w:szCs w:val="21"/>
                <w:highlight w:val="none"/>
              </w:rPr>
            </w:pPr>
          </w:p>
        </w:tc>
        <w:tc>
          <w:tcPr>
            <w:tcW w:w="551" w:type="pct"/>
            <w:vMerge w:val="continue"/>
            <w:noWrap w:val="0"/>
            <w:vAlign w:val="center"/>
          </w:tcPr>
          <w:p w14:paraId="1EEF4BA1">
            <w:pPr>
              <w:pStyle w:val="47"/>
              <w:keepNext w:val="0"/>
              <w:keepLines w:val="0"/>
              <w:suppressLineNumbers w:val="0"/>
              <w:spacing w:before="0" w:beforeAutospacing="0" w:after="0" w:afterAutospacing="0"/>
              <w:ind w:left="0" w:right="0"/>
              <w:rPr>
                <w:rFonts w:hint="default"/>
                <w:color w:val="auto"/>
                <w:sz w:val="21"/>
                <w:szCs w:val="21"/>
                <w:highlight w:val="none"/>
              </w:rPr>
            </w:pPr>
          </w:p>
        </w:tc>
        <w:tc>
          <w:tcPr>
            <w:tcW w:w="405" w:type="pct"/>
            <w:vMerge w:val="continue"/>
            <w:noWrap w:val="0"/>
            <w:vAlign w:val="center"/>
          </w:tcPr>
          <w:p w14:paraId="215A7C00">
            <w:pPr>
              <w:pStyle w:val="47"/>
              <w:keepNext w:val="0"/>
              <w:keepLines w:val="0"/>
              <w:suppressLineNumbers w:val="0"/>
              <w:spacing w:before="0" w:beforeAutospacing="0" w:after="0" w:afterAutospacing="0"/>
              <w:ind w:left="0" w:right="0"/>
              <w:rPr>
                <w:rFonts w:hint="default"/>
                <w:color w:val="auto"/>
                <w:sz w:val="21"/>
                <w:szCs w:val="21"/>
                <w:highlight w:val="none"/>
              </w:rPr>
            </w:pPr>
          </w:p>
        </w:tc>
        <w:tc>
          <w:tcPr>
            <w:tcW w:w="316" w:type="pct"/>
            <w:vMerge w:val="continue"/>
            <w:noWrap w:val="0"/>
            <w:vAlign w:val="center"/>
          </w:tcPr>
          <w:p w14:paraId="1EB1A2F6">
            <w:pPr>
              <w:pStyle w:val="47"/>
              <w:keepNext w:val="0"/>
              <w:keepLines w:val="0"/>
              <w:suppressLineNumbers w:val="0"/>
              <w:spacing w:before="0" w:beforeAutospacing="0" w:after="0" w:afterAutospacing="0"/>
              <w:ind w:left="0" w:right="0"/>
              <w:rPr>
                <w:rFonts w:hint="default"/>
                <w:color w:val="auto"/>
                <w:sz w:val="21"/>
                <w:szCs w:val="21"/>
                <w:highlight w:val="none"/>
              </w:rPr>
            </w:pPr>
          </w:p>
        </w:tc>
        <w:tc>
          <w:tcPr>
            <w:tcW w:w="434" w:type="pct"/>
            <w:noWrap w:val="0"/>
            <w:vAlign w:val="center"/>
          </w:tcPr>
          <w:p w14:paraId="50DC91AF">
            <w:pPr>
              <w:pStyle w:val="47"/>
              <w:keepNext w:val="0"/>
              <w:keepLines w:val="0"/>
              <w:suppressLineNumbers w:val="0"/>
              <w:spacing w:before="0" w:beforeAutospacing="0" w:after="0" w:afterAutospacing="0"/>
              <w:ind w:left="0" w:right="0"/>
              <w:rPr>
                <w:rFonts w:hint="default"/>
                <w:b/>
                <w:bCs/>
                <w:color w:val="auto"/>
                <w:sz w:val="21"/>
                <w:szCs w:val="21"/>
                <w:highlight w:val="none"/>
              </w:rPr>
            </w:pPr>
            <w:r>
              <w:rPr>
                <w:rFonts w:hint="default"/>
                <w:b/>
                <w:bCs/>
                <w:color w:val="auto"/>
                <w:sz w:val="21"/>
                <w:szCs w:val="21"/>
                <w:highlight w:val="none"/>
              </w:rPr>
              <w:t>浓度mg/m</w:t>
            </w:r>
            <w:r>
              <w:rPr>
                <w:rFonts w:hint="default"/>
                <w:b/>
                <w:bCs/>
                <w:color w:val="auto"/>
                <w:sz w:val="21"/>
                <w:szCs w:val="21"/>
                <w:highlight w:val="none"/>
                <w:vertAlign w:val="superscript"/>
              </w:rPr>
              <w:t>3</w:t>
            </w:r>
          </w:p>
        </w:tc>
        <w:tc>
          <w:tcPr>
            <w:tcW w:w="360" w:type="pct"/>
            <w:noWrap w:val="0"/>
            <w:vAlign w:val="center"/>
          </w:tcPr>
          <w:p w14:paraId="2421FAAD">
            <w:pPr>
              <w:pStyle w:val="47"/>
              <w:keepNext w:val="0"/>
              <w:keepLines w:val="0"/>
              <w:suppressLineNumbers w:val="0"/>
              <w:spacing w:before="0" w:beforeAutospacing="0" w:after="0" w:afterAutospacing="0"/>
              <w:ind w:left="0" w:right="0"/>
              <w:rPr>
                <w:rFonts w:hint="default"/>
                <w:b/>
                <w:bCs/>
                <w:color w:val="auto"/>
                <w:sz w:val="21"/>
                <w:szCs w:val="21"/>
                <w:highlight w:val="none"/>
              </w:rPr>
            </w:pPr>
            <w:r>
              <w:rPr>
                <w:rFonts w:hint="default"/>
                <w:b/>
                <w:bCs/>
                <w:color w:val="auto"/>
                <w:sz w:val="21"/>
                <w:szCs w:val="21"/>
                <w:highlight w:val="none"/>
              </w:rPr>
              <w:t>速率kg/h</w:t>
            </w:r>
          </w:p>
        </w:tc>
        <w:tc>
          <w:tcPr>
            <w:tcW w:w="453" w:type="pct"/>
            <w:noWrap w:val="0"/>
            <w:vAlign w:val="center"/>
          </w:tcPr>
          <w:p w14:paraId="5215B16A">
            <w:pPr>
              <w:pStyle w:val="47"/>
              <w:keepNext w:val="0"/>
              <w:keepLines w:val="0"/>
              <w:suppressLineNumbers w:val="0"/>
              <w:spacing w:before="0" w:beforeAutospacing="0" w:after="0" w:afterAutospacing="0"/>
              <w:ind w:left="0" w:right="0"/>
              <w:rPr>
                <w:rFonts w:hint="default"/>
                <w:b/>
                <w:bCs/>
                <w:color w:val="auto"/>
                <w:sz w:val="21"/>
                <w:szCs w:val="21"/>
                <w:highlight w:val="none"/>
              </w:rPr>
            </w:pPr>
            <w:r>
              <w:rPr>
                <w:rFonts w:hint="default"/>
                <w:b/>
                <w:bCs/>
                <w:color w:val="auto"/>
                <w:sz w:val="21"/>
                <w:szCs w:val="21"/>
                <w:highlight w:val="none"/>
              </w:rPr>
              <w:t>排放量t/a</w:t>
            </w:r>
          </w:p>
        </w:tc>
        <w:tc>
          <w:tcPr>
            <w:tcW w:w="456" w:type="pct"/>
            <w:noWrap w:val="0"/>
            <w:vAlign w:val="center"/>
          </w:tcPr>
          <w:p w14:paraId="231A0DB4">
            <w:pPr>
              <w:pStyle w:val="47"/>
              <w:keepNext w:val="0"/>
              <w:keepLines w:val="0"/>
              <w:suppressLineNumbers w:val="0"/>
              <w:spacing w:before="0" w:beforeAutospacing="0" w:after="0" w:afterAutospacing="0"/>
              <w:ind w:left="0" w:right="0"/>
              <w:rPr>
                <w:rFonts w:hint="default"/>
                <w:b/>
                <w:bCs/>
                <w:color w:val="auto"/>
                <w:sz w:val="21"/>
                <w:szCs w:val="21"/>
                <w:highlight w:val="none"/>
              </w:rPr>
            </w:pPr>
            <w:r>
              <w:rPr>
                <w:rFonts w:hint="default"/>
                <w:b/>
                <w:bCs/>
                <w:color w:val="auto"/>
                <w:sz w:val="21"/>
                <w:szCs w:val="21"/>
                <w:highlight w:val="none"/>
              </w:rPr>
              <w:t>浓度mg/m</w:t>
            </w:r>
            <w:r>
              <w:rPr>
                <w:rFonts w:hint="default"/>
                <w:b/>
                <w:bCs/>
                <w:color w:val="auto"/>
                <w:sz w:val="21"/>
                <w:szCs w:val="21"/>
                <w:highlight w:val="none"/>
                <w:vertAlign w:val="superscript"/>
              </w:rPr>
              <w:t>3</w:t>
            </w:r>
          </w:p>
        </w:tc>
        <w:tc>
          <w:tcPr>
            <w:tcW w:w="332" w:type="pct"/>
            <w:noWrap w:val="0"/>
            <w:vAlign w:val="center"/>
          </w:tcPr>
          <w:p w14:paraId="64792399">
            <w:pPr>
              <w:pStyle w:val="47"/>
              <w:keepNext w:val="0"/>
              <w:keepLines w:val="0"/>
              <w:suppressLineNumbers w:val="0"/>
              <w:spacing w:before="0" w:beforeAutospacing="0" w:after="0" w:afterAutospacing="0"/>
              <w:ind w:left="0" w:right="0"/>
              <w:rPr>
                <w:rFonts w:hint="default"/>
                <w:b/>
                <w:bCs/>
                <w:color w:val="auto"/>
                <w:sz w:val="21"/>
                <w:szCs w:val="21"/>
                <w:highlight w:val="none"/>
              </w:rPr>
            </w:pPr>
            <w:r>
              <w:rPr>
                <w:rFonts w:hint="default"/>
                <w:b/>
                <w:bCs/>
                <w:color w:val="auto"/>
                <w:sz w:val="21"/>
                <w:szCs w:val="21"/>
                <w:highlight w:val="none"/>
              </w:rPr>
              <w:t>速率kg/h</w:t>
            </w:r>
          </w:p>
        </w:tc>
        <w:tc>
          <w:tcPr>
            <w:tcW w:w="424" w:type="pct"/>
            <w:vMerge w:val="continue"/>
            <w:noWrap w:val="0"/>
            <w:vAlign w:val="center"/>
          </w:tcPr>
          <w:p w14:paraId="3E7BDFDD">
            <w:pPr>
              <w:pStyle w:val="47"/>
              <w:keepNext w:val="0"/>
              <w:keepLines w:val="0"/>
              <w:suppressLineNumbers w:val="0"/>
              <w:spacing w:before="0" w:beforeAutospacing="0" w:after="0" w:afterAutospacing="0"/>
              <w:ind w:left="0" w:right="0"/>
              <w:rPr>
                <w:rFonts w:hint="default"/>
                <w:color w:val="auto"/>
                <w:sz w:val="21"/>
                <w:szCs w:val="21"/>
                <w:highlight w:val="none"/>
              </w:rPr>
            </w:pPr>
          </w:p>
        </w:tc>
        <w:tc>
          <w:tcPr>
            <w:tcW w:w="308" w:type="pct"/>
            <w:vMerge w:val="continue"/>
            <w:shd w:val="clear" w:color="auto" w:fill="auto"/>
            <w:noWrap w:val="0"/>
            <w:vAlign w:val="center"/>
          </w:tcPr>
          <w:p w14:paraId="51F73755">
            <w:pPr>
              <w:pStyle w:val="3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color w:val="auto"/>
                <w:kern w:val="2"/>
                <w:sz w:val="21"/>
                <w:szCs w:val="21"/>
                <w:highlight w:val="none"/>
                <w:lang w:val="en-US" w:eastAsia="zh-CN" w:bidi="ar-SA"/>
              </w:rPr>
            </w:pPr>
          </w:p>
        </w:tc>
        <w:tc>
          <w:tcPr>
            <w:tcW w:w="308" w:type="pct"/>
            <w:vMerge w:val="continue"/>
            <w:shd w:val="clear" w:color="auto" w:fill="auto"/>
            <w:noWrap w:val="0"/>
            <w:vAlign w:val="center"/>
          </w:tcPr>
          <w:p w14:paraId="11375119">
            <w:pPr>
              <w:pStyle w:val="3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color w:val="auto"/>
                <w:kern w:val="2"/>
                <w:sz w:val="21"/>
                <w:szCs w:val="21"/>
                <w:highlight w:val="none"/>
                <w:lang w:val="en-US" w:eastAsia="zh-CN" w:bidi="ar-SA"/>
              </w:rPr>
            </w:pPr>
          </w:p>
        </w:tc>
        <w:tc>
          <w:tcPr>
            <w:tcW w:w="329" w:type="pct"/>
            <w:vMerge w:val="continue"/>
            <w:shd w:val="clear" w:color="auto" w:fill="auto"/>
            <w:noWrap w:val="0"/>
            <w:vAlign w:val="center"/>
          </w:tcPr>
          <w:p w14:paraId="55153D22">
            <w:pPr>
              <w:pStyle w:val="3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color w:val="auto"/>
                <w:kern w:val="2"/>
                <w:sz w:val="21"/>
                <w:szCs w:val="21"/>
                <w:highlight w:val="none"/>
                <w:lang w:val="en-US" w:eastAsia="zh-CN" w:bidi="ar-SA"/>
              </w:rPr>
            </w:pPr>
          </w:p>
        </w:tc>
      </w:tr>
      <w:tr w14:paraId="2C1BC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6" w:type="pct"/>
            <w:noWrap w:val="0"/>
            <w:vAlign w:val="center"/>
          </w:tcPr>
          <w:p w14:paraId="116DAFCB">
            <w:pPr>
              <w:pStyle w:val="47"/>
              <w:keepNext w:val="0"/>
              <w:keepLines w:val="0"/>
              <w:suppressLineNumbers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DA00</w:t>
            </w:r>
            <w:r>
              <w:rPr>
                <w:rFonts w:hint="eastAsia"/>
                <w:color w:val="auto"/>
                <w:sz w:val="21"/>
                <w:szCs w:val="21"/>
                <w:highlight w:val="none"/>
              </w:rPr>
              <w:t>1</w:t>
            </w:r>
          </w:p>
        </w:tc>
        <w:tc>
          <w:tcPr>
            <w:tcW w:w="551" w:type="pct"/>
            <w:shd w:val="clear" w:color="auto" w:fill="auto"/>
            <w:noWrap w:val="0"/>
            <w:vAlign w:val="center"/>
          </w:tcPr>
          <w:p w14:paraId="15F7161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117.866391°</w:t>
            </w:r>
            <w:r>
              <w:rPr>
                <w:rFonts w:hint="eastAsia" w:cs="Times New Roman"/>
                <w:b w:val="0"/>
                <w:bCs w:val="0"/>
                <w:color w:val="auto"/>
                <w:sz w:val="21"/>
                <w:szCs w:val="21"/>
                <w:highlight w:val="none"/>
                <w:u w:val="none"/>
                <w:lang w:val="en-US" w:eastAsia="zh-CN"/>
              </w:rPr>
              <w:t>,</w:t>
            </w:r>
            <w:r>
              <w:rPr>
                <w:rFonts w:hint="default" w:ascii="Times New Roman" w:hAnsi="Times New Roman" w:eastAsia="宋体" w:cs="Times New Roman"/>
                <w:b w:val="0"/>
                <w:bCs w:val="0"/>
                <w:color w:val="auto"/>
                <w:sz w:val="21"/>
                <w:szCs w:val="21"/>
                <w:highlight w:val="none"/>
                <w:u w:val="none"/>
                <w:lang w:val="en-US" w:eastAsia="zh-CN"/>
              </w:rPr>
              <w:t>33.110340°</w:t>
            </w:r>
          </w:p>
        </w:tc>
        <w:tc>
          <w:tcPr>
            <w:tcW w:w="405" w:type="pct"/>
            <w:shd w:val="clear" w:color="auto" w:fill="auto"/>
            <w:noWrap w:val="0"/>
            <w:vAlign w:val="center"/>
          </w:tcPr>
          <w:p w14:paraId="28D6C9C6">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非甲烷总烃</w:t>
            </w:r>
          </w:p>
        </w:tc>
        <w:tc>
          <w:tcPr>
            <w:tcW w:w="316" w:type="pct"/>
            <w:noWrap w:val="0"/>
            <w:vAlign w:val="center"/>
          </w:tcPr>
          <w:p w14:paraId="6997C2A8">
            <w:pPr>
              <w:pStyle w:val="47"/>
              <w:keepNext w:val="0"/>
              <w:keepLines w:val="0"/>
              <w:suppressLineNumbers w:val="0"/>
              <w:bidi w:val="0"/>
              <w:spacing w:before="0" w:beforeAutospacing="0" w:after="0" w:afterAutospacing="0"/>
              <w:ind w:left="0" w:right="0"/>
              <w:rPr>
                <w:rFonts w:hint="default"/>
                <w:color w:val="auto"/>
                <w:sz w:val="21"/>
                <w:szCs w:val="21"/>
                <w:highlight w:val="none"/>
              </w:rPr>
            </w:pPr>
            <w:r>
              <w:rPr>
                <w:rFonts w:hint="eastAsia" w:cs="Times New Roman"/>
                <w:color w:val="auto"/>
                <w:sz w:val="21"/>
                <w:szCs w:val="21"/>
                <w:highlight w:val="none"/>
                <w:lang w:val="en-US" w:eastAsia="zh-CN"/>
              </w:rPr>
              <w:t>20000</w:t>
            </w:r>
          </w:p>
        </w:tc>
        <w:tc>
          <w:tcPr>
            <w:tcW w:w="1228" w:type="dxa"/>
            <w:shd w:val="clear" w:color="auto" w:fill="auto"/>
            <w:noWrap w:val="0"/>
            <w:vAlign w:val="center"/>
          </w:tcPr>
          <w:p w14:paraId="5DC6DDD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4.5</w:t>
            </w:r>
          </w:p>
        </w:tc>
        <w:tc>
          <w:tcPr>
            <w:tcW w:w="1009" w:type="dxa"/>
            <w:shd w:val="clear" w:color="auto" w:fill="auto"/>
            <w:noWrap w:val="0"/>
            <w:vAlign w:val="center"/>
          </w:tcPr>
          <w:p w14:paraId="6207DF6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09</w:t>
            </w:r>
          </w:p>
        </w:tc>
        <w:tc>
          <w:tcPr>
            <w:tcW w:w="1287" w:type="dxa"/>
            <w:shd w:val="clear" w:color="auto" w:fill="auto"/>
            <w:noWrap w:val="0"/>
            <w:vAlign w:val="center"/>
          </w:tcPr>
          <w:p w14:paraId="3A85BFA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0.649</w:t>
            </w:r>
          </w:p>
        </w:tc>
        <w:tc>
          <w:tcPr>
            <w:tcW w:w="456" w:type="pct"/>
            <w:noWrap w:val="0"/>
            <w:vAlign w:val="center"/>
          </w:tcPr>
          <w:p w14:paraId="78A0ABB5">
            <w:pPr>
              <w:pStyle w:val="47"/>
              <w:keepNext w:val="0"/>
              <w:keepLines w:val="0"/>
              <w:suppressLineNumbers w:val="0"/>
              <w:bidi w:val="0"/>
              <w:spacing w:before="0" w:beforeAutospacing="0" w:after="0" w:afterAutospacing="0"/>
              <w:ind w:left="0" w:right="0"/>
              <w:rPr>
                <w:rFonts w:hint="default"/>
                <w:color w:val="auto"/>
                <w:sz w:val="21"/>
                <w:szCs w:val="21"/>
                <w:highlight w:val="none"/>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w:t>
            </w:r>
          </w:p>
        </w:tc>
        <w:tc>
          <w:tcPr>
            <w:tcW w:w="332" w:type="pct"/>
            <w:noWrap w:val="0"/>
            <w:vAlign w:val="center"/>
          </w:tcPr>
          <w:p w14:paraId="33D23D7F">
            <w:pPr>
              <w:pStyle w:val="47"/>
              <w:keepNext w:val="0"/>
              <w:keepLines w:val="0"/>
              <w:suppressLineNumbers w:val="0"/>
              <w:bidi w:val="0"/>
              <w:spacing w:before="0" w:beforeAutospacing="0" w:after="0" w:afterAutospacing="0"/>
              <w:ind w:left="0" w:right="0"/>
              <w:rPr>
                <w:rFonts w:hint="default" w:eastAsia="宋体"/>
                <w:color w:val="auto"/>
                <w:sz w:val="21"/>
                <w:szCs w:val="21"/>
                <w:highlight w:val="none"/>
                <w:lang w:val="en-US" w:eastAsia="zh-CN"/>
              </w:rPr>
            </w:pPr>
            <w:r>
              <w:rPr>
                <w:rFonts w:hint="eastAsia"/>
                <w:color w:val="auto"/>
                <w:sz w:val="21"/>
                <w:szCs w:val="21"/>
                <w:highlight w:val="none"/>
                <w:lang w:val="en-US" w:eastAsia="zh-CN"/>
              </w:rPr>
              <w:t>5</w:t>
            </w:r>
          </w:p>
        </w:tc>
        <w:tc>
          <w:tcPr>
            <w:tcW w:w="424" w:type="pct"/>
            <w:noWrap w:val="0"/>
            <w:vAlign w:val="center"/>
          </w:tcPr>
          <w:p w14:paraId="58F5448F">
            <w:pPr>
              <w:pStyle w:val="47"/>
              <w:keepNext w:val="0"/>
              <w:keepLines w:val="0"/>
              <w:suppressLineNumbers w:val="0"/>
              <w:bidi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一般排放口</w:t>
            </w:r>
          </w:p>
        </w:tc>
        <w:tc>
          <w:tcPr>
            <w:tcW w:w="308" w:type="pct"/>
            <w:shd w:val="clear" w:color="auto" w:fill="auto"/>
            <w:noWrap w:val="0"/>
            <w:vAlign w:val="center"/>
          </w:tcPr>
          <w:p w14:paraId="2A5567F9">
            <w:pPr>
              <w:pStyle w:val="3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15</w:t>
            </w:r>
          </w:p>
        </w:tc>
        <w:tc>
          <w:tcPr>
            <w:tcW w:w="308" w:type="pct"/>
            <w:shd w:val="clear" w:color="auto" w:fill="auto"/>
            <w:noWrap w:val="0"/>
            <w:vAlign w:val="center"/>
          </w:tcPr>
          <w:p w14:paraId="1D83933A">
            <w:pPr>
              <w:pStyle w:val="3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0.</w:t>
            </w:r>
            <w:r>
              <w:rPr>
                <w:rFonts w:hint="eastAsia" w:cs="Times New Roman"/>
                <w:b w:val="0"/>
                <w:color w:val="auto"/>
                <w:kern w:val="2"/>
                <w:sz w:val="21"/>
                <w:szCs w:val="21"/>
                <w:highlight w:val="none"/>
                <w:lang w:val="en-US" w:eastAsia="zh-CN" w:bidi="ar-SA"/>
              </w:rPr>
              <w:t>7</w:t>
            </w:r>
          </w:p>
        </w:tc>
        <w:tc>
          <w:tcPr>
            <w:tcW w:w="329" w:type="pct"/>
            <w:shd w:val="clear" w:color="auto" w:fill="auto"/>
            <w:noWrap w:val="0"/>
            <w:vAlign w:val="center"/>
          </w:tcPr>
          <w:p w14:paraId="105D34AF">
            <w:pPr>
              <w:pStyle w:val="3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25</w:t>
            </w:r>
          </w:p>
        </w:tc>
      </w:tr>
    </w:tbl>
    <w:p w14:paraId="69DBD152">
      <w:pPr>
        <w:keepNext w:val="0"/>
        <w:keepLines w:val="0"/>
        <w:pageBreakBefore w:val="0"/>
        <w:widowControl w:val="0"/>
        <w:shd w:val="clear" w:color="auto" w:fill="auto"/>
        <w:kinsoku/>
        <w:wordWrap/>
        <w:overflowPunct/>
        <w:topLinePunct/>
        <w:autoSpaceDE/>
        <w:autoSpaceDN/>
        <w:bidi w:val="0"/>
        <w:adjustRightInd w:val="0"/>
        <w:snapToGrid w:val="0"/>
        <w:ind w:right="-120" w:rightChars="-50"/>
        <w:jc w:val="both"/>
        <w:textAlignment w:val="auto"/>
        <w:rPr>
          <w:rFonts w:hint="eastAsia" w:ascii="Times New Roman" w:hAnsi="Times New Roman" w:eastAsia="宋体" w:cs="Times New Roman"/>
          <w:b/>
          <w:color w:val="auto"/>
          <w:highlight w:val="none"/>
          <w:lang w:val="en-US" w:eastAsia="zh-CN"/>
        </w:rPr>
        <w:sectPr>
          <w:pgSz w:w="16840" w:h="11907" w:orient="landscape"/>
          <w:pgMar w:top="1134" w:right="1134" w:bottom="1134" w:left="1134" w:header="737" w:footer="73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6"/>
        <w:tblW w:w="106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571"/>
        <w:gridCol w:w="10065"/>
      </w:tblGrid>
      <w:tr w14:paraId="05C191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4611" w:hRule="atLeast"/>
          <w:jc w:val="center"/>
        </w:trPr>
        <w:tc>
          <w:tcPr>
            <w:tcW w:w="571" w:type="dxa"/>
            <w:noWrap w:val="0"/>
            <w:tcMar>
              <w:left w:w="28" w:type="dxa"/>
              <w:right w:w="28" w:type="dxa"/>
            </w:tcMar>
            <w:vAlign w:val="center"/>
          </w:tcPr>
          <w:p w14:paraId="2A0E7246">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运营</w:t>
            </w:r>
          </w:p>
          <w:p w14:paraId="19A0D55A">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期环</w:t>
            </w:r>
          </w:p>
          <w:p w14:paraId="5E4E0CFC">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境影</w:t>
            </w:r>
          </w:p>
          <w:p w14:paraId="1EF0FEDE">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响和</w:t>
            </w:r>
          </w:p>
          <w:p w14:paraId="7EB4ED11">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保护</w:t>
            </w:r>
          </w:p>
          <w:p w14:paraId="0FBE3B48">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120" w:leftChars="-50" w:right="-120" w:rightChars="-5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
                <w:color w:val="auto"/>
                <w:highlight w:val="none"/>
              </w:rPr>
              <w:t>措施</w:t>
            </w:r>
          </w:p>
        </w:tc>
        <w:tc>
          <w:tcPr>
            <w:tcW w:w="10065" w:type="dxa"/>
            <w:noWrap w:val="0"/>
            <w:vAlign w:val="top"/>
          </w:tcPr>
          <w:p w14:paraId="62F8556C">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eastAsia" w:ascii="Times New Roman" w:hAnsi="Times New Roman" w:cs="Times New Roman"/>
                <w:color w:val="auto"/>
                <w:highlight w:val="none"/>
                <w:lang w:val="en-US" w:eastAsia="zh-CN"/>
              </w:rPr>
            </w:pPr>
          </w:p>
          <w:p w14:paraId="77ACB2DE">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5311775" cy="662940"/>
                  <wp:effectExtent l="0" t="0" r="0" b="0"/>
                  <wp:docPr id="7" name="ECB019B1-382A-4266-B25C-5B523AA43C14-5" descr="C:/Users/ADMIN/AppData/Local/Temp/wps.bqELJ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5" descr="C:/Users/ADMIN/AppData/Local/Temp/wps.bqELJPwps"/>
                          <pic:cNvPicPr>
                            <a:picLocks noChangeAspect="1"/>
                          </pic:cNvPicPr>
                        </pic:nvPicPr>
                        <pic:blipFill>
                          <a:blip r:embed="rId21"/>
                          <a:stretch>
                            <a:fillRect/>
                          </a:stretch>
                        </pic:blipFill>
                        <pic:spPr>
                          <a:xfrm>
                            <a:off x="0" y="0"/>
                            <a:ext cx="5311775" cy="662940"/>
                          </a:xfrm>
                          <a:prstGeom prst="rect">
                            <a:avLst/>
                          </a:prstGeom>
                        </pic:spPr>
                      </pic:pic>
                    </a:graphicData>
                  </a:graphic>
                </wp:inline>
              </w:drawing>
            </w:r>
          </w:p>
          <w:p w14:paraId="1131AFD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图4-1废气处理措施图</w:t>
            </w:r>
          </w:p>
          <w:p w14:paraId="39667FAE">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项目大气污染物有组织排放量核算结果见下表。</w:t>
            </w:r>
          </w:p>
          <w:p w14:paraId="62CE21D4">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5</w:t>
            </w:r>
            <w:r>
              <w:rPr>
                <w:rFonts w:hint="default" w:ascii="Times New Roman" w:hAnsi="Times New Roman" w:cs="Times New Roman"/>
                <w:color w:val="auto"/>
                <w:highlight w:val="none"/>
              </w:rPr>
              <w:t>大气污染物有组织排放量核算表</w:t>
            </w:r>
          </w:p>
          <w:tbl>
            <w:tblPr>
              <w:tblStyle w:val="26"/>
              <w:tblW w:w="982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85" w:type="dxa"/>
                <w:bottom w:w="0" w:type="dxa"/>
                <w:right w:w="85" w:type="dxa"/>
              </w:tblCellMar>
            </w:tblPr>
            <w:tblGrid>
              <w:gridCol w:w="1713"/>
              <w:gridCol w:w="1281"/>
              <w:gridCol w:w="171"/>
              <w:gridCol w:w="1608"/>
              <w:gridCol w:w="1725"/>
              <w:gridCol w:w="1695"/>
              <w:gridCol w:w="1629"/>
            </w:tblGrid>
            <w:tr w14:paraId="304662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454" w:hRule="atLeast"/>
                <w:jc w:val="center"/>
              </w:trPr>
              <w:tc>
                <w:tcPr>
                  <w:tcW w:w="1713" w:type="dxa"/>
                  <w:noWrap w:val="0"/>
                  <w:vAlign w:val="center"/>
                </w:tcPr>
                <w:p w14:paraId="3395F0FC">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452" w:type="dxa"/>
                  <w:gridSpan w:val="2"/>
                  <w:noWrap w:val="0"/>
                  <w:vAlign w:val="center"/>
                </w:tcPr>
                <w:p w14:paraId="68F6C164">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排放口编号</w:t>
                  </w:r>
                </w:p>
              </w:tc>
              <w:tc>
                <w:tcPr>
                  <w:tcW w:w="1608" w:type="dxa"/>
                  <w:noWrap w:val="0"/>
                  <w:vAlign w:val="center"/>
                </w:tcPr>
                <w:p w14:paraId="13C24E7B">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w:t>
                  </w:r>
                </w:p>
              </w:tc>
              <w:tc>
                <w:tcPr>
                  <w:tcW w:w="1725" w:type="dxa"/>
                  <w:noWrap w:val="0"/>
                  <w:vAlign w:val="center"/>
                </w:tcPr>
                <w:p w14:paraId="3A344851">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核算排放浓度（mg/m³）</w:t>
                  </w:r>
                </w:p>
              </w:tc>
              <w:tc>
                <w:tcPr>
                  <w:tcW w:w="1695" w:type="dxa"/>
                  <w:noWrap w:val="0"/>
                  <w:vAlign w:val="center"/>
                </w:tcPr>
                <w:p w14:paraId="3D648424">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核算排放速率（</w:t>
                  </w:r>
                  <w:r>
                    <w:rPr>
                      <w:rFonts w:hint="eastAsia" w:cs="Times New Roman"/>
                      <w:color w:val="auto"/>
                      <w:highlight w:val="none"/>
                      <w:lang w:eastAsia="zh-CN"/>
                    </w:rPr>
                    <w:t>kg</w:t>
                  </w:r>
                  <w:r>
                    <w:rPr>
                      <w:rFonts w:hint="default" w:ascii="Times New Roman" w:hAnsi="Times New Roman" w:cs="Times New Roman"/>
                      <w:color w:val="auto"/>
                      <w:highlight w:val="none"/>
                    </w:rPr>
                    <w:t>/h）</w:t>
                  </w:r>
                </w:p>
              </w:tc>
              <w:tc>
                <w:tcPr>
                  <w:tcW w:w="1629" w:type="dxa"/>
                  <w:noWrap w:val="0"/>
                  <w:vAlign w:val="center"/>
                </w:tcPr>
                <w:p w14:paraId="25B6B6F3">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核算年排放量（</w:t>
                  </w:r>
                  <w:r>
                    <w:rPr>
                      <w:rFonts w:hint="eastAsia" w:cs="Times New Roman"/>
                      <w:color w:val="auto"/>
                      <w:highlight w:val="none"/>
                      <w:lang w:val="en-US" w:eastAsia="zh-CN"/>
                    </w:rPr>
                    <w:t>t</w:t>
                  </w:r>
                  <w:r>
                    <w:rPr>
                      <w:rFonts w:hint="default" w:ascii="Times New Roman" w:hAnsi="Times New Roman" w:cs="Times New Roman"/>
                      <w:color w:val="auto"/>
                      <w:highlight w:val="none"/>
                    </w:rPr>
                    <w:t>/a）</w:t>
                  </w:r>
                </w:p>
              </w:tc>
            </w:tr>
            <w:tr w14:paraId="0F95A7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454" w:hRule="atLeast"/>
                <w:jc w:val="center"/>
              </w:trPr>
              <w:tc>
                <w:tcPr>
                  <w:tcW w:w="9822" w:type="dxa"/>
                  <w:gridSpan w:val="7"/>
                  <w:noWrap w:val="0"/>
                  <w:vAlign w:val="center"/>
                </w:tcPr>
                <w:p w14:paraId="53C73926">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一般排放口</w:t>
                  </w:r>
                </w:p>
              </w:tc>
            </w:tr>
            <w:tr w14:paraId="485B4E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454" w:hRule="atLeast"/>
                <w:jc w:val="center"/>
              </w:trPr>
              <w:tc>
                <w:tcPr>
                  <w:tcW w:w="1713" w:type="dxa"/>
                  <w:noWrap w:val="0"/>
                  <w:vAlign w:val="center"/>
                </w:tcPr>
                <w:p w14:paraId="71F0F99C">
                  <w:pPr>
                    <w:pStyle w:val="38"/>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Cs w:val="20"/>
                      <w:highlight w:val="none"/>
                      <w:lang w:val="en-US" w:eastAsia="zh-CN"/>
                    </w:rPr>
                  </w:pPr>
                  <w:r>
                    <w:rPr>
                      <w:rFonts w:hint="eastAsia" w:cs="Times New Roman"/>
                      <w:b w:val="0"/>
                      <w:bCs/>
                      <w:color w:val="auto"/>
                      <w:szCs w:val="20"/>
                      <w:highlight w:val="none"/>
                      <w:lang w:val="en-US" w:eastAsia="zh-CN"/>
                    </w:rPr>
                    <w:t>1</w:t>
                  </w:r>
                </w:p>
              </w:tc>
              <w:tc>
                <w:tcPr>
                  <w:tcW w:w="1452" w:type="dxa"/>
                  <w:gridSpan w:val="2"/>
                  <w:noWrap w:val="0"/>
                  <w:vAlign w:val="center"/>
                </w:tcPr>
                <w:p w14:paraId="443C3627">
                  <w:pPr>
                    <w:pStyle w:val="38"/>
                    <w:keepNext w:val="0"/>
                    <w:keepLines w:val="0"/>
                    <w:suppressLineNumbers w:val="0"/>
                    <w:bidi w:val="0"/>
                    <w:spacing w:before="0" w:beforeAutospacing="0" w:after="0" w:afterAutospacing="0"/>
                    <w:ind w:left="0" w:right="0"/>
                    <w:rPr>
                      <w:rFonts w:hint="default" w:cs="Times New Roman"/>
                      <w:b w:val="0"/>
                      <w:bCs/>
                      <w:color w:val="auto"/>
                      <w:szCs w:val="20"/>
                      <w:highlight w:val="none"/>
                      <w:lang w:val="en-US" w:eastAsia="zh-CN"/>
                    </w:rPr>
                  </w:pPr>
                  <w:r>
                    <w:rPr>
                      <w:rFonts w:hint="eastAsia" w:cs="Times New Roman"/>
                      <w:b w:val="0"/>
                      <w:bCs/>
                      <w:color w:val="auto"/>
                      <w:szCs w:val="20"/>
                      <w:highlight w:val="none"/>
                      <w:lang w:val="en-US" w:eastAsia="zh-CN"/>
                    </w:rPr>
                    <w:t>DA001</w:t>
                  </w:r>
                </w:p>
              </w:tc>
              <w:tc>
                <w:tcPr>
                  <w:tcW w:w="1608" w:type="dxa"/>
                  <w:noWrap w:val="0"/>
                  <w:vAlign w:val="center"/>
                </w:tcPr>
                <w:p w14:paraId="485940E1">
                  <w:pPr>
                    <w:pStyle w:val="38"/>
                    <w:keepNext w:val="0"/>
                    <w:keepLines w:val="0"/>
                    <w:suppressLineNumbers w:val="0"/>
                    <w:bidi w:val="0"/>
                    <w:spacing w:before="0" w:beforeAutospacing="0" w:after="0" w:afterAutospacing="0"/>
                    <w:ind w:left="0" w:right="0"/>
                    <w:rPr>
                      <w:rFonts w:hint="eastAsia"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非甲烷总烃</w:t>
                  </w:r>
                </w:p>
              </w:tc>
              <w:tc>
                <w:tcPr>
                  <w:tcW w:w="1725" w:type="dxa"/>
                  <w:noWrap w:val="0"/>
                  <w:vAlign w:val="center"/>
                </w:tcPr>
                <w:p w14:paraId="03213AB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cs="Times New Roman"/>
                      <w:b w:val="0"/>
                      <w:bCs/>
                      <w:color w:val="auto"/>
                      <w:sz w:val="21"/>
                      <w:szCs w:val="21"/>
                      <w:highlight w:val="none"/>
                      <w:lang w:val="en-US" w:eastAsia="zh-CN"/>
                    </w:rPr>
                  </w:pPr>
                  <w:r>
                    <w:rPr>
                      <w:rFonts w:hint="eastAsia" w:cs="Times New Roman"/>
                      <w:color w:val="auto"/>
                      <w:sz w:val="21"/>
                      <w:szCs w:val="21"/>
                      <w:highlight w:val="none"/>
                      <w:lang w:val="en-US" w:eastAsia="zh-CN"/>
                    </w:rPr>
                    <w:t>4.5</w:t>
                  </w:r>
                </w:p>
              </w:tc>
              <w:tc>
                <w:tcPr>
                  <w:tcW w:w="1695" w:type="dxa"/>
                  <w:noWrap w:val="0"/>
                  <w:vAlign w:val="center"/>
                </w:tcPr>
                <w:p w14:paraId="4619EA0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cs="Times New Roman"/>
                      <w:b w:val="0"/>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09</w:t>
                  </w:r>
                </w:p>
              </w:tc>
              <w:tc>
                <w:tcPr>
                  <w:tcW w:w="1629" w:type="dxa"/>
                  <w:shd w:val="clear" w:color="auto" w:fill="auto"/>
                  <w:noWrap w:val="0"/>
                  <w:vAlign w:val="center"/>
                </w:tcPr>
                <w:p w14:paraId="44246CB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0.649</w:t>
                  </w:r>
                </w:p>
              </w:tc>
            </w:tr>
            <w:tr w14:paraId="479FE0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97" w:hRule="atLeast"/>
                <w:jc w:val="center"/>
              </w:trPr>
              <w:tc>
                <w:tcPr>
                  <w:tcW w:w="9822" w:type="dxa"/>
                  <w:gridSpan w:val="7"/>
                  <w:noWrap w:val="0"/>
                  <w:vAlign w:val="center"/>
                </w:tcPr>
                <w:p w14:paraId="64F854A8">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有组织排放总计</w:t>
                  </w:r>
                </w:p>
              </w:tc>
            </w:tr>
            <w:tr w14:paraId="33820B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454" w:hRule="atLeast"/>
                <w:jc w:val="center"/>
              </w:trPr>
              <w:tc>
                <w:tcPr>
                  <w:tcW w:w="2994" w:type="dxa"/>
                  <w:gridSpan w:val="2"/>
                  <w:noWrap w:val="0"/>
                  <w:vAlign w:val="center"/>
                </w:tcPr>
                <w:p w14:paraId="6A4F99C7">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r>
                    <w:rPr>
                      <w:rFonts w:hint="default" w:ascii="Times New Roman" w:hAnsi="Times New Roman" w:cs="Times New Roman"/>
                      <w:b w:val="0"/>
                      <w:bCs/>
                      <w:color w:val="auto"/>
                      <w:szCs w:val="20"/>
                      <w:highlight w:val="none"/>
                    </w:rPr>
                    <w:t>有组织排放总计</w:t>
                  </w:r>
                </w:p>
              </w:tc>
              <w:tc>
                <w:tcPr>
                  <w:tcW w:w="5199" w:type="dxa"/>
                  <w:gridSpan w:val="4"/>
                  <w:noWrap w:val="0"/>
                  <w:vAlign w:val="center"/>
                </w:tcPr>
                <w:p w14:paraId="63AF86D8">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lang w:val="en-US" w:eastAsia="zh-CN"/>
                    </w:rPr>
                  </w:pPr>
                  <w:r>
                    <w:rPr>
                      <w:rFonts w:hint="eastAsia" w:cs="Times New Roman"/>
                      <w:b w:val="0"/>
                      <w:bCs/>
                      <w:color w:val="auto"/>
                      <w:szCs w:val="20"/>
                      <w:highlight w:val="none"/>
                      <w:lang w:val="en-US" w:eastAsia="zh-CN"/>
                    </w:rPr>
                    <w:t>非甲烷总烃</w:t>
                  </w:r>
                </w:p>
              </w:tc>
              <w:tc>
                <w:tcPr>
                  <w:tcW w:w="1629" w:type="dxa"/>
                  <w:shd w:val="clear" w:color="auto" w:fill="auto"/>
                  <w:noWrap w:val="0"/>
                  <w:vAlign w:val="center"/>
                </w:tcPr>
                <w:p w14:paraId="65FC6542">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Cs w:val="20"/>
                      <w:highlight w:val="none"/>
                      <w:lang w:val="en-US" w:eastAsia="zh-CN"/>
                    </w:rPr>
                  </w:pPr>
                  <w:r>
                    <w:rPr>
                      <w:rFonts w:hint="eastAsia" w:cs="Times New Roman"/>
                      <w:b w:val="0"/>
                      <w:bCs/>
                      <w:color w:val="auto"/>
                      <w:szCs w:val="20"/>
                      <w:highlight w:val="none"/>
                      <w:lang w:val="en-US" w:eastAsia="zh-CN"/>
                    </w:rPr>
                    <w:t>0.649</w:t>
                  </w:r>
                </w:p>
              </w:tc>
            </w:tr>
          </w:tbl>
          <w:p w14:paraId="0BCD5011">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项目大气污染物无组织排放量核算结果见下表。</w:t>
            </w:r>
          </w:p>
          <w:p w14:paraId="6CD5DC3D">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6</w:t>
            </w:r>
            <w:r>
              <w:rPr>
                <w:rFonts w:hint="default" w:ascii="Times New Roman" w:hAnsi="Times New Roman" w:cs="Times New Roman"/>
                <w:color w:val="auto"/>
                <w:highlight w:val="none"/>
              </w:rPr>
              <w:t>大气污染物无组织排放量核算表</w:t>
            </w:r>
          </w:p>
          <w:tbl>
            <w:tblPr>
              <w:tblStyle w:val="26"/>
              <w:tblW w:w="983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85" w:type="dxa"/>
                <w:bottom w:w="0" w:type="dxa"/>
                <w:right w:w="85" w:type="dxa"/>
              </w:tblCellMar>
            </w:tblPr>
            <w:tblGrid>
              <w:gridCol w:w="1846"/>
              <w:gridCol w:w="1276"/>
              <w:gridCol w:w="1708"/>
              <w:gridCol w:w="2533"/>
              <w:gridCol w:w="2468"/>
            </w:tblGrid>
            <w:tr w14:paraId="1DB6A0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jc w:val="center"/>
              </w:trPr>
              <w:tc>
                <w:tcPr>
                  <w:tcW w:w="1846" w:type="dxa"/>
                  <w:noWrap w:val="0"/>
                  <w:vAlign w:val="center"/>
                </w:tcPr>
                <w:p w14:paraId="739D190C">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276" w:type="dxa"/>
                  <w:noWrap w:val="0"/>
                  <w:vAlign w:val="center"/>
                </w:tcPr>
                <w:p w14:paraId="5026F94D">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产污环节</w:t>
                  </w:r>
                </w:p>
              </w:tc>
              <w:tc>
                <w:tcPr>
                  <w:tcW w:w="1708" w:type="dxa"/>
                  <w:noWrap w:val="0"/>
                  <w:vAlign w:val="center"/>
                </w:tcPr>
                <w:p w14:paraId="39EFE1A9">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533" w:type="dxa"/>
                  <w:noWrap w:val="0"/>
                  <w:vAlign w:val="center"/>
                </w:tcPr>
                <w:p w14:paraId="6840859D">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核算排放速率（</w:t>
                  </w:r>
                  <w:r>
                    <w:rPr>
                      <w:rFonts w:hint="eastAsia" w:cs="Times New Roman"/>
                      <w:color w:val="auto"/>
                      <w:sz w:val="21"/>
                      <w:szCs w:val="21"/>
                      <w:highlight w:val="none"/>
                      <w:lang w:eastAsia="zh-CN"/>
                    </w:rPr>
                    <w:t>kg</w:t>
                  </w:r>
                  <w:r>
                    <w:rPr>
                      <w:rFonts w:hint="default" w:ascii="Times New Roman" w:hAnsi="Times New Roman" w:eastAsia="宋体" w:cs="Times New Roman"/>
                      <w:color w:val="auto"/>
                      <w:sz w:val="21"/>
                      <w:szCs w:val="21"/>
                      <w:highlight w:val="none"/>
                    </w:rPr>
                    <w:t>/h）</w:t>
                  </w:r>
                </w:p>
              </w:tc>
              <w:tc>
                <w:tcPr>
                  <w:tcW w:w="2468" w:type="dxa"/>
                  <w:noWrap w:val="0"/>
                  <w:vAlign w:val="center"/>
                </w:tcPr>
                <w:p w14:paraId="4D9F2DE9">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核算年排放量（</w:t>
                  </w:r>
                  <w:r>
                    <w:rPr>
                      <w:rFonts w:hint="eastAsia"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r>
            <w:tr w14:paraId="385230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454" w:hRule="atLeast"/>
                <w:jc w:val="center"/>
              </w:trPr>
              <w:tc>
                <w:tcPr>
                  <w:tcW w:w="1846" w:type="dxa"/>
                  <w:noWrap w:val="0"/>
                  <w:vAlign w:val="center"/>
                </w:tcPr>
                <w:p w14:paraId="02A0A30A">
                  <w:pPr>
                    <w:pStyle w:val="3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w:t>
                  </w:r>
                </w:p>
              </w:tc>
              <w:tc>
                <w:tcPr>
                  <w:tcW w:w="1276" w:type="dxa"/>
                  <w:noWrap w:val="0"/>
                  <w:vAlign w:val="center"/>
                </w:tcPr>
                <w:p w14:paraId="79F948AB">
                  <w:pPr>
                    <w:pStyle w:val="38"/>
                    <w:keepNext w:val="0"/>
                    <w:keepLines w:val="0"/>
                    <w:suppressLineNumbers w:val="0"/>
                    <w:bidi w:val="0"/>
                    <w:spacing w:before="0" w:beforeAutospacing="0" w:after="0" w:afterAutospacing="0"/>
                    <w:ind w:left="0" w:right="0"/>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加弹</w:t>
                  </w:r>
                </w:p>
              </w:tc>
              <w:tc>
                <w:tcPr>
                  <w:tcW w:w="1708" w:type="dxa"/>
                  <w:noWrap w:val="0"/>
                  <w:vAlign w:val="center"/>
                </w:tcPr>
                <w:p w14:paraId="1F266C01">
                  <w:pPr>
                    <w:keepNext w:val="0"/>
                    <w:keepLines w:val="0"/>
                    <w:suppressLineNumbers w:val="0"/>
                    <w:bidi w:val="0"/>
                    <w:spacing w:before="0" w:beforeAutospacing="0" w:after="0" w:afterAutospacing="0"/>
                    <w:ind w:left="0" w:right="0"/>
                    <w:jc w:val="center"/>
                    <w:rPr>
                      <w:rFonts w:hint="default"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非甲烷总烃</w:t>
                  </w:r>
                </w:p>
              </w:tc>
              <w:tc>
                <w:tcPr>
                  <w:tcW w:w="2533" w:type="dxa"/>
                  <w:noWrap w:val="0"/>
                  <w:vAlign w:val="center"/>
                </w:tcPr>
                <w:p w14:paraId="574A17C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cs="Times New Roman"/>
                      <w:b w:val="0"/>
                      <w:bCs/>
                      <w:color w:val="auto"/>
                      <w:sz w:val="21"/>
                      <w:szCs w:val="21"/>
                      <w:highlight w:val="none"/>
                      <w:lang w:val="en-US" w:eastAsia="zh-CN"/>
                    </w:rPr>
                  </w:pPr>
                  <w:r>
                    <w:rPr>
                      <w:rFonts w:hint="eastAsia" w:cs="Times New Roman"/>
                      <w:color w:val="auto"/>
                      <w:sz w:val="21"/>
                      <w:szCs w:val="21"/>
                      <w:highlight w:val="none"/>
                      <w:lang w:val="en-US" w:eastAsia="zh-CN"/>
                    </w:rPr>
                    <w:t>0.0834</w:t>
                  </w:r>
                </w:p>
              </w:tc>
              <w:tc>
                <w:tcPr>
                  <w:tcW w:w="2468" w:type="dxa"/>
                  <w:noWrap w:val="0"/>
                  <w:vAlign w:val="center"/>
                </w:tcPr>
                <w:p w14:paraId="66FD289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cs="Times New Roman"/>
                      <w:b w:val="0"/>
                      <w:bCs/>
                      <w:color w:val="auto"/>
                      <w:sz w:val="21"/>
                      <w:szCs w:val="21"/>
                      <w:highlight w:val="none"/>
                      <w:lang w:val="en-US" w:eastAsia="zh-CN"/>
                    </w:rPr>
                  </w:pPr>
                  <w:r>
                    <w:rPr>
                      <w:rFonts w:hint="eastAsia" w:cs="Times New Roman"/>
                      <w:color w:val="auto"/>
                      <w:sz w:val="21"/>
                      <w:szCs w:val="21"/>
                      <w:highlight w:val="none"/>
                      <w:lang w:val="en-US" w:eastAsia="zh-CN"/>
                    </w:rPr>
                    <w:t>0.6008</w:t>
                  </w:r>
                </w:p>
              </w:tc>
            </w:tr>
            <w:tr w14:paraId="6605D2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97" w:hRule="atLeast"/>
                <w:jc w:val="center"/>
              </w:trPr>
              <w:tc>
                <w:tcPr>
                  <w:tcW w:w="9831" w:type="dxa"/>
                  <w:gridSpan w:val="5"/>
                  <w:noWrap w:val="0"/>
                  <w:vAlign w:val="center"/>
                </w:tcPr>
                <w:p w14:paraId="641A6836">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无组织排放总计</w:t>
                  </w:r>
                </w:p>
              </w:tc>
            </w:tr>
            <w:tr w14:paraId="3438A6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454" w:hRule="atLeast"/>
                <w:jc w:val="center"/>
              </w:trPr>
              <w:tc>
                <w:tcPr>
                  <w:tcW w:w="3122" w:type="dxa"/>
                  <w:gridSpan w:val="2"/>
                  <w:noWrap w:val="0"/>
                  <w:vAlign w:val="center"/>
                </w:tcPr>
                <w:p w14:paraId="4410BB7D">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r>
                    <w:rPr>
                      <w:rFonts w:hint="default" w:ascii="Times New Roman" w:hAnsi="Times New Roman" w:cs="Times New Roman"/>
                      <w:b w:val="0"/>
                      <w:bCs/>
                      <w:color w:val="auto"/>
                      <w:szCs w:val="20"/>
                      <w:highlight w:val="none"/>
                    </w:rPr>
                    <w:t>无组织排放总计</w:t>
                  </w:r>
                </w:p>
              </w:tc>
              <w:tc>
                <w:tcPr>
                  <w:tcW w:w="4241" w:type="dxa"/>
                  <w:gridSpan w:val="2"/>
                  <w:noWrap w:val="0"/>
                  <w:vAlign w:val="center"/>
                </w:tcPr>
                <w:p w14:paraId="12312DD3">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Cs w:val="20"/>
                      <w:highlight w:val="none"/>
                      <w:lang w:val="en-US" w:eastAsia="zh-CN"/>
                    </w:rPr>
                  </w:pPr>
                  <w:r>
                    <w:rPr>
                      <w:rFonts w:hint="eastAsia" w:cs="Times New Roman"/>
                      <w:b w:val="0"/>
                      <w:bCs/>
                      <w:color w:val="auto"/>
                      <w:szCs w:val="20"/>
                      <w:highlight w:val="none"/>
                      <w:lang w:val="en-US" w:eastAsia="zh-CN"/>
                    </w:rPr>
                    <w:t>非甲烷总烃</w:t>
                  </w:r>
                </w:p>
              </w:tc>
              <w:tc>
                <w:tcPr>
                  <w:tcW w:w="2468" w:type="dxa"/>
                  <w:shd w:val="clear" w:color="auto" w:fill="auto"/>
                  <w:noWrap w:val="0"/>
                  <w:vAlign w:val="center"/>
                </w:tcPr>
                <w:p w14:paraId="1BFD66A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0.6008</w:t>
                  </w:r>
                </w:p>
              </w:tc>
            </w:tr>
          </w:tbl>
          <w:p w14:paraId="034E2E20">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项目大气污染物年排放量核算结果如下表。</w:t>
            </w:r>
          </w:p>
          <w:p w14:paraId="5EDCD28D">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7</w:t>
            </w:r>
            <w:r>
              <w:rPr>
                <w:rFonts w:hint="default" w:ascii="Times New Roman" w:hAnsi="Times New Roman" w:cs="Times New Roman"/>
                <w:color w:val="auto"/>
                <w:highlight w:val="none"/>
              </w:rPr>
              <w:t>大气污染物年排放量核算表</w:t>
            </w:r>
          </w:p>
          <w:tbl>
            <w:tblPr>
              <w:tblStyle w:val="26"/>
              <w:tblW w:w="985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85" w:type="dxa"/>
                <w:bottom w:w="0" w:type="dxa"/>
                <w:right w:w="85" w:type="dxa"/>
              </w:tblCellMar>
            </w:tblPr>
            <w:tblGrid>
              <w:gridCol w:w="3050"/>
              <w:gridCol w:w="3402"/>
              <w:gridCol w:w="3402"/>
            </w:tblGrid>
            <w:tr w14:paraId="7EDC3C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97" w:hRule="atLeast"/>
                <w:jc w:val="center"/>
              </w:trPr>
              <w:tc>
                <w:tcPr>
                  <w:tcW w:w="3050" w:type="dxa"/>
                  <w:noWrap w:val="0"/>
                  <w:vAlign w:val="center"/>
                </w:tcPr>
                <w:p w14:paraId="32F57B36">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3402" w:type="dxa"/>
                  <w:noWrap w:val="0"/>
                  <w:vAlign w:val="center"/>
                </w:tcPr>
                <w:p w14:paraId="76D06568">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w:t>
                  </w:r>
                </w:p>
              </w:tc>
              <w:tc>
                <w:tcPr>
                  <w:tcW w:w="3402" w:type="dxa"/>
                  <w:noWrap w:val="0"/>
                  <w:vAlign w:val="center"/>
                </w:tcPr>
                <w:p w14:paraId="574BD3B8">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年排放量（</w:t>
                  </w:r>
                  <w:r>
                    <w:rPr>
                      <w:rFonts w:hint="eastAsia" w:cs="Times New Roman"/>
                      <w:color w:val="auto"/>
                      <w:highlight w:val="none"/>
                      <w:lang w:val="en-US" w:eastAsia="zh-CN"/>
                    </w:rPr>
                    <w:t>t</w:t>
                  </w:r>
                  <w:r>
                    <w:rPr>
                      <w:rFonts w:hint="default" w:ascii="Times New Roman" w:hAnsi="Times New Roman" w:cs="Times New Roman"/>
                      <w:color w:val="auto"/>
                      <w:highlight w:val="none"/>
                    </w:rPr>
                    <w:t>/a）</w:t>
                  </w:r>
                </w:p>
              </w:tc>
            </w:tr>
            <w:tr w14:paraId="6BA6DA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489" w:hRule="atLeast"/>
                <w:jc w:val="center"/>
              </w:trPr>
              <w:tc>
                <w:tcPr>
                  <w:tcW w:w="3050" w:type="dxa"/>
                  <w:noWrap w:val="0"/>
                  <w:vAlign w:val="center"/>
                </w:tcPr>
                <w:p w14:paraId="6903FED7">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lang w:val="en-US" w:eastAsia="zh-CN"/>
                    </w:rPr>
                  </w:pPr>
                  <w:r>
                    <w:rPr>
                      <w:rFonts w:hint="default" w:ascii="Times New Roman" w:hAnsi="Times New Roman" w:cs="Times New Roman"/>
                      <w:b w:val="0"/>
                      <w:bCs/>
                      <w:color w:val="auto"/>
                      <w:szCs w:val="20"/>
                      <w:highlight w:val="none"/>
                    </w:rPr>
                    <w:t>1</w:t>
                  </w:r>
                </w:p>
              </w:tc>
              <w:tc>
                <w:tcPr>
                  <w:tcW w:w="3402" w:type="dxa"/>
                  <w:noWrap w:val="0"/>
                  <w:vAlign w:val="center"/>
                </w:tcPr>
                <w:p w14:paraId="53EF83B3">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color w:val="auto"/>
                      <w:szCs w:val="20"/>
                      <w:highlight w:val="none"/>
                      <w:lang w:val="en-US" w:eastAsia="zh-CN"/>
                    </w:rPr>
                  </w:pPr>
                  <w:r>
                    <w:rPr>
                      <w:rFonts w:hint="eastAsia" w:cs="Times New Roman"/>
                      <w:b w:val="0"/>
                      <w:bCs/>
                      <w:color w:val="auto"/>
                      <w:szCs w:val="20"/>
                      <w:highlight w:val="none"/>
                      <w:lang w:val="en-US" w:eastAsia="zh-CN"/>
                    </w:rPr>
                    <w:t>非甲烷总烃</w:t>
                  </w:r>
                </w:p>
              </w:tc>
              <w:tc>
                <w:tcPr>
                  <w:tcW w:w="3402" w:type="dxa"/>
                  <w:shd w:val="clear" w:color="auto" w:fill="auto"/>
                  <w:noWrap w:val="0"/>
                  <w:vAlign w:val="center"/>
                </w:tcPr>
                <w:p w14:paraId="5E760A1B">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Cs w:val="20"/>
                      <w:highlight w:val="none"/>
                      <w:lang w:val="en-US" w:eastAsia="zh-CN"/>
                    </w:rPr>
                  </w:pPr>
                  <w:r>
                    <w:rPr>
                      <w:rFonts w:hint="eastAsia" w:cs="Times New Roman"/>
                      <w:b w:val="0"/>
                      <w:bCs/>
                      <w:color w:val="auto"/>
                      <w:szCs w:val="20"/>
                      <w:highlight w:val="none"/>
                      <w:lang w:val="en-US" w:eastAsia="zh-CN"/>
                    </w:rPr>
                    <w:t>1.2498</w:t>
                  </w:r>
                </w:p>
              </w:tc>
            </w:tr>
          </w:tbl>
          <w:p w14:paraId="03687D6F">
            <w:pPr>
              <w:pStyle w:val="44"/>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2、废气达标排放及污染防治措施可行性分析</w:t>
            </w:r>
          </w:p>
          <w:p w14:paraId="39F3E519">
            <w:pPr>
              <w:pStyle w:val="42"/>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（1）废气达标排放分析</w:t>
            </w:r>
          </w:p>
          <w:p w14:paraId="037E2DCD">
            <w:pPr>
              <w:pStyle w:val="42"/>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eastAsia" w:cs="Times New Roman"/>
                <w:color w:val="auto"/>
                <w:highlight w:val="none"/>
                <w:lang w:val="en-US" w:eastAsia="zh-CN"/>
              </w:rPr>
              <w:t>本项目</w:t>
            </w:r>
            <w:r>
              <w:rPr>
                <w:rFonts w:hint="default" w:ascii="Times New Roman" w:hAnsi="Times New Roman" w:cs="Times New Roman"/>
                <w:color w:val="auto"/>
                <w:highlight w:val="none"/>
              </w:rPr>
              <w:t>运营期废气主要为</w:t>
            </w:r>
            <w:r>
              <w:rPr>
                <w:rFonts w:hint="eastAsia" w:cs="Times New Roman"/>
                <w:color w:val="auto"/>
                <w:highlight w:val="none"/>
                <w:lang w:val="en-US" w:eastAsia="zh-CN"/>
              </w:rPr>
              <w:t>加弹废气</w:t>
            </w:r>
            <w:r>
              <w:rPr>
                <w:rFonts w:hint="default" w:ascii="Times New Roman" w:hAnsi="Times New Roman" w:cs="Times New Roman"/>
                <w:color w:val="auto"/>
                <w:highlight w:val="none"/>
              </w:rPr>
              <w:t>。</w:t>
            </w:r>
          </w:p>
          <w:p w14:paraId="54CD3CE5">
            <w:pPr>
              <w:pStyle w:val="42"/>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根据前文中废气污染源源强分析可知：</w:t>
            </w:r>
            <w:r>
              <w:rPr>
                <w:rFonts w:hint="eastAsia" w:cs="Times New Roman"/>
                <w:color w:val="auto"/>
                <w:highlight w:val="none"/>
                <w:lang w:val="en-US" w:eastAsia="zh-CN"/>
              </w:rPr>
              <w:t>加弹废气</w:t>
            </w:r>
            <w:r>
              <w:rPr>
                <w:rFonts w:hint="default" w:ascii="Times New Roman" w:hAnsi="Times New Roman" w:cs="Times New Roman"/>
                <w:color w:val="auto"/>
                <w:highlight w:val="none"/>
              </w:rPr>
              <w:t>经</w:t>
            </w:r>
            <w:r>
              <w:rPr>
                <w:rFonts w:hint="default" w:ascii="Times New Roman" w:hAnsi="Times New Roman" w:cs="Times New Roman"/>
                <w:color w:val="auto"/>
                <w:highlight w:val="none"/>
                <w:lang w:val="en-US" w:eastAsia="zh-CN"/>
              </w:rPr>
              <w:t>收集后由</w:t>
            </w:r>
            <w:r>
              <w:rPr>
                <w:rFonts w:hint="eastAsia" w:cs="Times New Roman"/>
                <w:color w:val="auto"/>
                <w:highlight w:val="none"/>
                <w:lang w:val="en-US" w:eastAsia="zh-CN"/>
              </w:rPr>
              <w:t>活性炭吸附脱附+催化燃烧装置</w:t>
            </w:r>
            <w:r>
              <w:rPr>
                <w:rFonts w:hint="default" w:ascii="Times New Roman" w:hAnsi="Times New Roman" w:cs="Times New Roman"/>
                <w:color w:val="auto"/>
                <w:highlight w:val="none"/>
                <w:lang w:val="en-US" w:eastAsia="zh-CN"/>
              </w:rPr>
              <w:t>处理后由一根15m高排气筒（</w:t>
            </w:r>
            <w:r>
              <w:rPr>
                <w:rFonts w:hint="eastAsia" w:cs="Times New Roman"/>
                <w:color w:val="auto"/>
                <w:highlight w:val="none"/>
                <w:lang w:val="en-US" w:eastAsia="zh-CN"/>
              </w:rPr>
              <w:t>DA001</w:t>
            </w:r>
            <w:r>
              <w:rPr>
                <w:rFonts w:hint="default" w:ascii="Times New Roman" w:hAnsi="Times New Roman" w:cs="Times New Roman"/>
                <w:color w:val="auto"/>
                <w:highlight w:val="none"/>
                <w:lang w:val="en-US" w:eastAsia="zh-CN"/>
              </w:rPr>
              <w:t>）排放</w:t>
            </w:r>
            <w:r>
              <w:rPr>
                <w:rFonts w:hint="default" w:ascii="Times New Roman" w:hAnsi="Times New Roman" w:cs="Times New Roman"/>
                <w:color w:val="auto"/>
                <w:highlight w:val="none"/>
                <w:lang w:eastAsia="zh-CN"/>
              </w:rPr>
              <w:t>；处理后非甲烷总烃排放浓度为</w:t>
            </w:r>
            <w:r>
              <w:rPr>
                <w:rFonts w:hint="eastAsia" w:cs="Times New Roman"/>
                <w:color w:val="auto"/>
                <w:highlight w:val="none"/>
                <w:lang w:val="en-US" w:eastAsia="zh-CN"/>
              </w:rPr>
              <w:t>4.5</w:t>
            </w:r>
            <w:r>
              <w:rPr>
                <w:rFonts w:hint="default" w:ascii="Times New Roman" w:hAnsi="Times New Roman" w:cs="Times New Roman"/>
                <w:color w:val="auto"/>
                <w:highlight w:val="none"/>
                <w:lang w:val="en-US" w:eastAsia="zh-CN"/>
              </w:rPr>
              <w:t>mg/m³</w:t>
            </w:r>
            <w:r>
              <w:rPr>
                <w:rFonts w:hint="eastAsia" w:cs="Times New Roman"/>
                <w:color w:val="auto"/>
                <w:highlight w:val="none"/>
                <w:lang w:val="en-US" w:eastAsia="zh-CN"/>
              </w:rPr>
              <w:t>，</w:t>
            </w:r>
            <w:r>
              <w:rPr>
                <w:rFonts w:hint="default" w:ascii="Times New Roman" w:hAnsi="Times New Roman" w:cs="Times New Roman"/>
                <w:color w:val="auto"/>
                <w:highlight w:val="none"/>
              </w:rPr>
              <w:t>能够</w:t>
            </w:r>
            <w:r>
              <w:rPr>
                <w:rFonts w:hint="default" w:ascii="Times New Roman" w:hAnsi="Times New Roman" w:cs="Times New Roman"/>
                <w:color w:val="auto"/>
                <w:highlight w:val="none"/>
                <w:lang w:val="en-US" w:eastAsia="zh-CN"/>
              </w:rPr>
              <w:t>满足《固定源挥发性有机物综合排放标准第六部分：其他行业》（DB34/4812.6-2024）中相关标准</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非甲烷总烃：</w:t>
            </w:r>
            <w:r>
              <w:rPr>
                <w:rFonts w:hint="eastAsia" w:cs="Times New Roman"/>
                <w:color w:val="auto"/>
                <w:highlight w:val="none"/>
                <w:lang w:val="en-US" w:eastAsia="zh-CN"/>
              </w:rPr>
              <w:t>60</w:t>
            </w:r>
            <w:r>
              <w:rPr>
                <w:rFonts w:hint="default" w:ascii="Times New Roman" w:hAnsi="Times New Roman" w:cs="Times New Roman"/>
                <w:color w:val="auto"/>
                <w:highlight w:val="none"/>
              </w:rPr>
              <w:t>mg/m³</w:t>
            </w:r>
            <w:r>
              <w:rPr>
                <w:rFonts w:hint="eastAsia" w:cs="Times New Roman"/>
                <w:color w:val="auto"/>
                <w:highlight w:val="none"/>
                <w:lang w:eastAsia="zh-CN"/>
              </w:rPr>
              <w:t>，</w:t>
            </w:r>
            <w:r>
              <w:rPr>
                <w:rFonts w:hint="eastAsia" w:cs="Times New Roman"/>
                <w:color w:val="auto"/>
                <w:highlight w:val="none"/>
                <w:lang w:val="en-US" w:eastAsia="zh-CN"/>
              </w:rPr>
              <w:t>3kg/h</w:t>
            </w:r>
            <w:r>
              <w:rPr>
                <w:rFonts w:hint="default" w:ascii="Times New Roman" w:hAnsi="Times New Roman" w:cs="Times New Roman"/>
                <w:color w:val="auto"/>
                <w:highlight w:val="none"/>
              </w:rPr>
              <w:t>）</w:t>
            </w:r>
            <w:r>
              <w:rPr>
                <w:rFonts w:hint="eastAsia" w:cs="Times New Roman"/>
                <w:color w:val="auto"/>
                <w:highlight w:val="none"/>
                <w:lang w:eastAsia="zh-CN"/>
              </w:rPr>
              <w:t>。</w:t>
            </w:r>
            <w:r>
              <w:rPr>
                <w:rFonts w:hint="default" w:ascii="Times New Roman" w:hAnsi="Times New Roman" w:eastAsia="宋体" w:cs="Times New Roman"/>
                <w:color w:val="auto"/>
                <w:highlight w:val="none"/>
              </w:rPr>
              <w:t>因此，项目废气在采取相应环保措施处理后均能达标排放。</w:t>
            </w:r>
          </w:p>
          <w:p w14:paraId="049AD08E">
            <w:pPr>
              <w:pStyle w:val="42"/>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rPr>
            </w:pPr>
          </w:p>
          <w:p w14:paraId="6184AFF0">
            <w:pPr>
              <w:pStyle w:val="42"/>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（2）污染防治措施可行性分析</w:t>
            </w:r>
          </w:p>
          <w:p w14:paraId="6D95395E">
            <w:pPr>
              <w:pStyle w:val="42"/>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w:t>
            </w:r>
            <w:r>
              <w:rPr>
                <w:rFonts w:hint="default" w:ascii="Times New Roman" w:hAnsi="Times New Roman" w:cs="Times New Roman"/>
                <w:color w:val="auto"/>
              </w:rPr>
              <w:t>活性炭吸附</w:t>
            </w:r>
            <w:r>
              <w:rPr>
                <w:rFonts w:hint="eastAsia" w:cs="Times New Roman"/>
                <w:color w:val="auto"/>
                <w:lang w:val="en-US" w:eastAsia="zh-CN"/>
              </w:rPr>
              <w:t>/</w:t>
            </w:r>
            <w:r>
              <w:rPr>
                <w:rFonts w:hint="default" w:ascii="Times New Roman" w:hAnsi="Times New Roman" w:cs="Times New Roman"/>
                <w:color w:val="auto"/>
              </w:rPr>
              <w:t>脱附+催化燃烧</w:t>
            </w:r>
          </w:p>
          <w:p w14:paraId="7D4AD106">
            <w:pPr>
              <w:pStyle w:val="42"/>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lang w:val="en-US" w:eastAsia="zh-CN"/>
              </w:rPr>
              <w:t>本项目有机废气采用</w:t>
            </w:r>
            <w:r>
              <w:rPr>
                <w:rFonts w:hint="default" w:ascii="Times New Roman" w:hAnsi="Times New Roman" w:cs="Times New Roman"/>
                <w:color w:val="auto"/>
              </w:rPr>
              <w:t>活性炭吸附</w:t>
            </w:r>
            <w:r>
              <w:rPr>
                <w:rFonts w:hint="eastAsia" w:cs="Times New Roman"/>
                <w:color w:val="auto"/>
                <w:lang w:val="en-US" w:eastAsia="zh-CN"/>
              </w:rPr>
              <w:t>/</w:t>
            </w:r>
            <w:r>
              <w:rPr>
                <w:rFonts w:hint="default" w:ascii="Times New Roman" w:hAnsi="Times New Roman" w:cs="Times New Roman"/>
                <w:color w:val="auto"/>
              </w:rPr>
              <w:t>脱附+催化燃烧</w:t>
            </w:r>
            <w:r>
              <w:rPr>
                <w:rFonts w:hint="eastAsia" w:cs="Times New Roman"/>
                <w:color w:val="auto"/>
                <w:lang w:val="en-US" w:eastAsia="zh-CN"/>
              </w:rPr>
              <w:t>装置进行处理</w:t>
            </w:r>
            <w:r>
              <w:rPr>
                <w:rFonts w:hint="default" w:ascii="Times New Roman" w:hAnsi="Times New Roman" w:cs="Times New Roman"/>
                <w:color w:val="auto"/>
              </w:rPr>
              <w:t>，活性炭吸附</w:t>
            </w:r>
            <w:r>
              <w:rPr>
                <w:rFonts w:hint="eastAsia" w:cs="Times New Roman"/>
                <w:color w:val="auto"/>
                <w:lang w:val="en-US" w:eastAsia="zh-CN"/>
              </w:rPr>
              <w:t>/</w:t>
            </w:r>
            <w:r>
              <w:rPr>
                <w:rFonts w:hint="default" w:ascii="Times New Roman" w:hAnsi="Times New Roman" w:cs="Times New Roman"/>
                <w:color w:val="auto"/>
                <w:lang w:val="en-US" w:eastAsia="zh-CN"/>
              </w:rPr>
              <w:t>脱附</w:t>
            </w:r>
            <w:r>
              <w:rPr>
                <w:rFonts w:hint="default" w:ascii="Times New Roman" w:hAnsi="Times New Roman" w:cs="Times New Roman"/>
                <w:color w:val="auto"/>
              </w:rPr>
              <w:t>箱设计为</w:t>
            </w:r>
            <w:r>
              <w:rPr>
                <w:rFonts w:hint="eastAsia" w:cs="Times New Roman"/>
                <w:color w:val="auto"/>
                <w:lang w:val="en-US" w:eastAsia="zh-CN"/>
              </w:rPr>
              <w:t>4</w:t>
            </w:r>
            <w:r>
              <w:rPr>
                <w:rFonts w:hint="default" w:ascii="Times New Roman" w:hAnsi="Times New Roman" w:cs="Times New Roman"/>
                <w:color w:val="auto"/>
              </w:rPr>
              <w:t>吸1脱</w:t>
            </w:r>
            <w:r>
              <w:rPr>
                <w:rFonts w:hint="eastAsia" w:ascii="Times New Roman" w:hAnsi="Times New Roman" w:cs="Times New Roman"/>
                <w:color w:val="auto"/>
                <w:lang w:eastAsia="zh-CN"/>
              </w:rPr>
              <w:t>。</w:t>
            </w:r>
          </w:p>
          <w:p w14:paraId="025A75B1">
            <w:pPr>
              <w:pStyle w:val="42"/>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“活性炭吸附脱附+催化燃烧”装置是根据吸附（效率高）和催化燃烧（节能）两个基本原理设计的。</w:t>
            </w:r>
          </w:p>
          <w:p w14:paraId="487CB274">
            <w:pPr>
              <w:pStyle w:val="42"/>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吸附气体流程：利用</w:t>
            </w:r>
            <w:r>
              <w:rPr>
                <w:rFonts w:hint="eastAsia" w:cs="Times New Roman"/>
                <w:color w:val="auto"/>
                <w:kern w:val="0"/>
                <w:sz w:val="24"/>
                <w:szCs w:val="24"/>
                <w:highlight w:val="none"/>
                <w:lang w:val="en-US" w:eastAsia="zh-CN" w:bidi="ar"/>
              </w:rPr>
              <w:t>颗粒</w:t>
            </w:r>
            <w:r>
              <w:rPr>
                <w:rFonts w:hint="default" w:ascii="Times New Roman" w:hAnsi="Times New Roman" w:eastAsia="宋体" w:cs="Times New Roman"/>
                <w:color w:val="auto"/>
                <w:kern w:val="0"/>
                <w:sz w:val="24"/>
                <w:szCs w:val="24"/>
                <w:highlight w:val="none"/>
                <w:lang w:val="en-US" w:eastAsia="zh-CN" w:bidi="ar"/>
              </w:rPr>
              <w:t>状活性炭比表面积大、吸附能力强的特性对VOC有机废气进行吸附，将有机废气吸附到活性炭的微孔中，从而使气体得以净化，净化后的气体再通过风机排空，达到有机废气治理的效果</w:t>
            </w:r>
            <w:r>
              <w:rPr>
                <w:rFonts w:hint="eastAsia" w:cs="Times New Roman"/>
                <w:color w:val="auto"/>
                <w:kern w:val="0"/>
                <w:sz w:val="24"/>
                <w:szCs w:val="24"/>
                <w:highlight w:val="none"/>
                <w:lang w:val="en-US" w:eastAsia="zh-CN" w:bidi="ar"/>
              </w:rPr>
              <w:t>。</w:t>
            </w:r>
          </w:p>
          <w:p w14:paraId="46DD4DB6">
            <w:pPr>
              <w:pStyle w:val="42"/>
              <w:keepNext w:val="0"/>
              <w:keepLines w:val="0"/>
              <w:suppressLineNumbers w:val="0"/>
              <w:bidi w:val="0"/>
              <w:spacing w:before="0" w:beforeAutospacing="0" w:after="0" w:afterAutospacing="0"/>
              <w:ind w:left="0" w:right="0"/>
              <w:rPr>
                <w:rFonts w:hint="eastAsia"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根据《吸附法工业有机废气治理工程技术规范》（HJ2026-2013）中要求：</w:t>
            </w:r>
          </w:p>
          <w:p w14:paraId="2C50150F">
            <w:pPr>
              <w:pStyle w:val="42"/>
              <w:keepNext w:val="0"/>
              <w:keepLines w:val="0"/>
              <w:suppressLineNumbers w:val="0"/>
              <w:bidi w:val="0"/>
              <w:spacing w:before="0" w:beforeAutospacing="0" w:after="0" w:afterAutospacing="0"/>
              <w:ind w:left="0" w:right="0"/>
              <w:rPr>
                <w:rFonts w:hint="eastAsia"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4.3 进入吸附装置的颗粒物含量宜低于1mg/m</w:t>
            </w:r>
            <w:r>
              <w:rPr>
                <w:rFonts w:hint="eastAsia" w:cs="Times New Roman"/>
                <w:color w:val="auto"/>
                <w:kern w:val="0"/>
                <w:sz w:val="24"/>
                <w:szCs w:val="24"/>
                <w:highlight w:val="none"/>
                <w:vertAlign w:val="superscript"/>
                <w:lang w:val="en-US" w:eastAsia="zh-CN" w:bidi="ar"/>
              </w:rPr>
              <w:t>3</w:t>
            </w:r>
            <w:r>
              <w:rPr>
                <w:rFonts w:hint="eastAsia" w:cs="Times New Roman"/>
                <w:color w:val="auto"/>
                <w:kern w:val="0"/>
                <w:sz w:val="24"/>
                <w:szCs w:val="24"/>
                <w:highlight w:val="none"/>
                <w:lang w:val="en-US" w:eastAsia="zh-CN" w:bidi="ar"/>
              </w:rPr>
              <w:t>。</w:t>
            </w:r>
          </w:p>
          <w:p w14:paraId="171461E5">
            <w:pPr>
              <w:pStyle w:val="42"/>
              <w:keepNext w:val="0"/>
              <w:keepLines w:val="0"/>
              <w:suppressLineNumbers w:val="0"/>
              <w:bidi w:val="0"/>
              <w:spacing w:before="0" w:beforeAutospacing="0" w:after="0" w:afterAutospacing="0"/>
              <w:ind w:left="0" w:right="0"/>
              <w:rPr>
                <w:rFonts w:hint="default"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4.4 进入吸附装置的废气温度宜低于40℃。</w:t>
            </w:r>
          </w:p>
          <w:p w14:paraId="053B8AC2">
            <w:pPr>
              <w:pStyle w:val="42"/>
              <w:keepNext w:val="0"/>
              <w:keepLines w:val="0"/>
              <w:suppressLineNumbers w:val="0"/>
              <w:bidi w:val="0"/>
              <w:spacing w:before="0" w:beforeAutospacing="0" w:after="0" w:afterAutospacing="0"/>
              <w:ind w:left="0" w:right="0"/>
              <w:rPr>
                <w:rFonts w:hint="eastAsia" w:cs="Times New Roman"/>
                <w:b w:val="0"/>
                <w:bCs w:val="0"/>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脱附气体流程：当活性炭微孔吸附饱和时，将不能再进行吸附，此时利用催化床产生的高温热风对活性炭进行脱附，活性炭微孔中的有机物遇高温后自动脱离活性炭，使活性炭再生。脱附下来的有机物已被浓缩（浓度较原来提高几十倍）并被送入催化燃烧室进行催化燃烧，在催化剂上于300℃左右进行催化氧化，使其转化为无害的C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和 H</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O 排出，当有机废气浓度达到 2000PPm 以上时，有机废气在催化床可维持自燃，不用另外再行加热，燃烧后的尾气</w:t>
            </w:r>
            <w:r>
              <w:rPr>
                <w:rFonts w:hint="eastAsia" w:cs="Times New Roman"/>
                <w:color w:val="auto"/>
                <w:kern w:val="0"/>
                <w:sz w:val="24"/>
                <w:szCs w:val="24"/>
                <w:highlight w:val="none"/>
                <w:lang w:val="en-US" w:eastAsia="zh-CN" w:bidi="ar"/>
              </w:rPr>
              <w:t>一部分</w:t>
            </w:r>
            <w:r>
              <w:rPr>
                <w:rFonts w:hint="default" w:ascii="Times New Roman" w:hAnsi="Times New Roman" w:eastAsia="宋体" w:cs="Times New Roman"/>
                <w:color w:val="auto"/>
                <w:kern w:val="0"/>
                <w:sz w:val="24"/>
                <w:szCs w:val="24"/>
                <w:highlight w:val="none"/>
                <w:lang w:val="en-US" w:eastAsia="zh-CN" w:bidi="ar"/>
              </w:rPr>
              <w:t>直接排到大气，</w:t>
            </w:r>
            <w:r>
              <w:rPr>
                <w:rFonts w:hint="eastAsia" w:cs="Times New Roman"/>
                <w:color w:val="auto"/>
                <w:kern w:val="0"/>
                <w:sz w:val="24"/>
                <w:szCs w:val="24"/>
                <w:highlight w:val="none"/>
                <w:lang w:val="en-US" w:eastAsia="zh-CN" w:bidi="ar"/>
              </w:rPr>
              <w:t>大部分</w:t>
            </w:r>
            <w:r>
              <w:rPr>
                <w:rFonts w:hint="default" w:ascii="Times New Roman" w:hAnsi="Times New Roman" w:eastAsia="宋体" w:cs="Times New Roman"/>
                <w:color w:val="auto"/>
                <w:kern w:val="0"/>
                <w:sz w:val="24"/>
                <w:szCs w:val="24"/>
                <w:highlight w:val="none"/>
                <w:lang w:val="en-US" w:eastAsia="zh-CN" w:bidi="ar"/>
              </w:rPr>
              <w:t>热气流被再次循环送往吸附床，用于对活性炭的脱附再生。这样既能满足燃烧和脱附所需热能，又能达到节能的目的，再生后的活性炭可用于下次吸附。活性炭吸附</w:t>
            </w:r>
            <w:r>
              <w:rPr>
                <w:rFonts w:hint="eastAsia" w:ascii="Times New Roman" w:hAnsi="Times New Roman" w:eastAsia="宋体" w:cs="Times New Roman"/>
                <w:color w:val="auto"/>
                <w:kern w:val="0"/>
                <w:sz w:val="24"/>
                <w:szCs w:val="24"/>
                <w:highlight w:val="none"/>
                <w:lang w:val="en-US" w:eastAsia="zh-CN" w:bidi="ar"/>
              </w:rPr>
              <w:t>装置净化效率可达到90%以上。</w:t>
            </w:r>
          </w:p>
          <w:p w14:paraId="314CB716">
            <w:pPr>
              <w:pStyle w:val="42"/>
              <w:keepNext w:val="0"/>
              <w:keepLines w:val="0"/>
              <w:suppressLineNumbers w:val="0"/>
              <w:bidi w:val="0"/>
              <w:spacing w:before="0" w:beforeAutospacing="0" w:after="0" w:afterAutospacing="0"/>
              <w:ind w:left="0" w:right="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催化燃烧法：它是利用催化剂做中间体，使有机气体在较低的温度下，变成无害的水和二氧化碳气体，即：</w:t>
            </w:r>
          </w:p>
          <w:p w14:paraId="17B37CD5">
            <w:pPr>
              <w:pStyle w:val="42"/>
              <w:keepNext w:val="0"/>
              <w:keepLines w:val="0"/>
              <w:suppressLineNumbers w:val="0"/>
              <w:bidi w:val="0"/>
              <w:spacing w:before="0" w:beforeAutospacing="0" w:after="0" w:afterAutospacing="0"/>
              <w:ind w:left="0" w:right="0"/>
              <w:jc w:val="center"/>
              <w:rPr>
                <w:rFonts w:hint="eastAsia" w:cs="Times New Roman"/>
                <w:b w:val="0"/>
                <w:bCs w:val="0"/>
                <w:color w:val="auto"/>
                <w:sz w:val="24"/>
                <w:szCs w:val="24"/>
                <w:highlight w:val="none"/>
                <w:lang w:val="en-US" w:eastAsia="zh-CN"/>
              </w:rPr>
            </w:pPr>
            <w:r>
              <w:rPr>
                <w:rFonts w:hint="default"/>
                <w:color w:val="auto"/>
              </w:rPr>
              <w:drawing>
                <wp:inline distT="0" distB="0" distL="114300" distR="114300">
                  <wp:extent cx="2502535" cy="338455"/>
                  <wp:effectExtent l="0" t="0" r="12065" b="4445"/>
                  <wp:docPr id="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5"/>
                          <pic:cNvPicPr>
                            <a:picLocks noChangeAspect="1"/>
                          </pic:cNvPicPr>
                        </pic:nvPicPr>
                        <pic:blipFill>
                          <a:blip r:embed="rId22"/>
                          <a:stretch>
                            <a:fillRect/>
                          </a:stretch>
                        </pic:blipFill>
                        <pic:spPr>
                          <a:xfrm>
                            <a:off x="0" y="0"/>
                            <a:ext cx="2502535" cy="338455"/>
                          </a:xfrm>
                          <a:prstGeom prst="rect">
                            <a:avLst/>
                          </a:prstGeom>
                          <a:noFill/>
                          <a:ln>
                            <a:noFill/>
                          </a:ln>
                        </pic:spPr>
                      </pic:pic>
                    </a:graphicData>
                  </a:graphic>
                </wp:inline>
              </w:drawing>
            </w:r>
          </w:p>
          <w:p w14:paraId="428B638A">
            <w:pPr>
              <w:pStyle w:val="42"/>
              <w:keepNext w:val="0"/>
              <w:keepLines w:val="0"/>
              <w:suppressLineNumbers w:val="0"/>
              <w:bidi w:val="0"/>
              <w:spacing w:before="0" w:beforeAutospacing="0" w:after="0" w:afterAutospacing="0"/>
              <w:ind w:left="0" w:right="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当有机废气通过引风机作用送入净化装置，首先通过除尘过滤阻火器系统，然后进入换热器，再送入加热室，通过燃气加热装置，使气体达到燃烧反应温度，再通过催化床的作用，使有机废气分解成二氧化碳和水，再进入换热器与低温气体进行热交换，使进入的气体温度升高达到反应温度。如达不到反应温度，这样加热系统就可以通过自控系统实现补偿加热，使它完全燃烧，这样节省了能源，废气有效去除率达到98%以上，符合国家排放标准。</w:t>
            </w:r>
          </w:p>
          <w:p w14:paraId="15D57274">
            <w:pPr>
              <w:pStyle w:val="42"/>
              <w:keepNext w:val="0"/>
              <w:keepLines w:val="0"/>
              <w:suppressLineNumbers w:val="0"/>
              <w:bidi w:val="0"/>
              <w:spacing w:before="0" w:beforeAutospacing="0" w:after="0" w:afterAutospacing="0"/>
              <w:ind w:left="0" w:right="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综上，项目“活性炭吸附/脱附+催化燃烧”装置对有机废气的总去除率为90%×98%=88.2%，本次环评取88%计。</w:t>
            </w:r>
          </w:p>
          <w:p w14:paraId="09C85CA9">
            <w:pPr>
              <w:pStyle w:val="42"/>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根据《催化燃烧法工业有机废气治理工程技术规范》（HJ2027-2013）中要求：</w:t>
            </w:r>
          </w:p>
          <w:p w14:paraId="1F6CF80F">
            <w:pPr>
              <w:pStyle w:val="42"/>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4.2进入催化燃烧装置的废气中有机物的浓度应低于其爆炸极限下限的 25%。当废气中有机物的浓度高于其爆炸极限下限的 25%时，应通过补气稀释等预处理工艺使其降低到其爆炸极限下限的 25%后方可进行催化燃烧处理。</w:t>
            </w:r>
          </w:p>
          <w:p w14:paraId="6D08456D">
            <w:pPr>
              <w:pStyle w:val="42"/>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4.4 进入催化燃烧装置的废气浓度、流量和温度应稳定，不宜出现较大波动。</w:t>
            </w:r>
          </w:p>
          <w:p w14:paraId="48A7CE4E">
            <w:pPr>
              <w:pStyle w:val="42"/>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4.5 进入催化燃烧装置的废气中颗粒物浓度应低于 10mg/m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p>
          <w:p w14:paraId="17ADD18E">
            <w:pPr>
              <w:pStyle w:val="42"/>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4.6 进入催化燃烧装置的废气中不得含有引起催化剂中毒的物质。</w:t>
            </w:r>
          </w:p>
          <w:p w14:paraId="7A9F91DA">
            <w:pPr>
              <w:pStyle w:val="42"/>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4.7 进入催化燃烧装置的废气温度宜低于 400℃。</w:t>
            </w:r>
          </w:p>
          <w:p w14:paraId="671351FB">
            <w:pPr>
              <w:pStyle w:val="42"/>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6.1.1治理工程的处理能力应根据废气的处理量确定</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设计风量宜按照最大废气排放量的 120%进行设计。</w:t>
            </w:r>
          </w:p>
          <w:p w14:paraId="55432446">
            <w:pPr>
              <w:pStyle w:val="42"/>
              <w:keepNext w:val="0"/>
              <w:keepLines w:val="0"/>
              <w:suppressLineNumbers w:val="0"/>
              <w:bidi w:val="0"/>
              <w:spacing w:before="0" w:beforeAutospacing="0" w:after="0" w:afterAutospacing="0"/>
              <w:ind w:left="0" w:right="0"/>
              <w:rPr>
                <w:rFonts w:hint="default" w:ascii="Times New Roman" w:hAnsi="Times New Roman" w:eastAsia="宋体" w:cs="宋体"/>
                <w:b w:val="0"/>
                <w:bCs w:val="0"/>
                <w:snapToGrid w:val="0"/>
                <w:color w:val="000000"/>
                <w:spacing w:val="-3"/>
                <w:kern w:val="0"/>
                <w:sz w:val="24"/>
                <w:szCs w:val="24"/>
                <w:lang w:val="en-US" w:eastAsia="en-US" w:bidi="ar-SA"/>
              </w:rPr>
            </w:pPr>
            <w:r>
              <w:rPr>
                <w:rFonts w:hint="default" w:ascii="Times New Roman" w:hAnsi="Times New Roman" w:eastAsia="宋体" w:cs="Times New Roman"/>
                <w:color w:val="auto"/>
                <w:kern w:val="0"/>
                <w:sz w:val="24"/>
                <w:szCs w:val="24"/>
                <w:highlight w:val="none"/>
                <w:lang w:val="en-US" w:eastAsia="zh-CN" w:bidi="ar"/>
              </w:rPr>
              <w:t>6.1.2 催化燃烧装置的净化效率不得低于97%。</w:t>
            </w:r>
          </w:p>
          <w:p w14:paraId="086B320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157" w:firstLine="476" w:firstLineChars="200"/>
              <w:jc w:val="left"/>
              <w:textAlignment w:val="baseline"/>
              <w:rPr>
                <w:rFonts w:hint="default" w:ascii="Times New Roman" w:hAnsi="Times New Roman" w:eastAsia="宋体" w:cs="宋体"/>
                <w:snapToGrid w:val="0"/>
                <w:color w:val="000000"/>
                <w:kern w:val="0"/>
                <w:sz w:val="24"/>
                <w:szCs w:val="24"/>
                <w:lang w:val="en-US" w:eastAsia="en-US" w:bidi="ar-SA"/>
              </w:rPr>
            </w:pPr>
            <w:r>
              <w:rPr>
                <w:rFonts w:hint="default" w:ascii="Times New Roman" w:hAnsi="Times New Roman" w:eastAsia="宋体" w:cs="宋体"/>
                <w:snapToGrid w:val="0"/>
                <w:color w:val="000000"/>
                <w:spacing w:val="-1"/>
                <w:kern w:val="0"/>
                <w:sz w:val="24"/>
                <w:szCs w:val="24"/>
                <w:lang w:val="en-US" w:eastAsia="en-US" w:bidi="ar-SA"/>
              </w:rPr>
              <w:t>本项目利用“</w:t>
            </w:r>
            <w:r>
              <w:rPr>
                <w:rFonts w:hint="eastAsia" w:cs="宋体"/>
                <w:snapToGrid w:val="0"/>
                <w:color w:val="000000"/>
                <w:spacing w:val="-1"/>
                <w:kern w:val="0"/>
                <w:sz w:val="24"/>
                <w:szCs w:val="24"/>
                <w:lang w:val="en-US" w:eastAsia="zh-CN" w:bidi="ar-SA"/>
              </w:rPr>
              <w:t>活性炭</w:t>
            </w:r>
            <w:r>
              <w:rPr>
                <w:rFonts w:hint="default" w:ascii="Times New Roman" w:hAnsi="Times New Roman" w:eastAsia="宋体" w:cs="宋体"/>
                <w:snapToGrid w:val="0"/>
                <w:color w:val="000000"/>
                <w:spacing w:val="-1"/>
                <w:kern w:val="0"/>
                <w:sz w:val="24"/>
                <w:szCs w:val="24"/>
                <w:lang w:val="en-US" w:eastAsia="en-US" w:bidi="ar-SA"/>
              </w:rPr>
              <w:t>吸附</w:t>
            </w:r>
            <w:r>
              <w:rPr>
                <w:rFonts w:hint="default" w:ascii="Times New Roman" w:hAnsi="Times New Roman" w:eastAsia="宋体" w:cs="Times New Roman"/>
                <w:snapToGrid w:val="0"/>
                <w:color w:val="000000"/>
                <w:spacing w:val="-1"/>
                <w:kern w:val="0"/>
                <w:sz w:val="24"/>
                <w:szCs w:val="24"/>
                <w:lang w:val="en-US" w:eastAsia="en-US" w:bidi="ar-SA"/>
              </w:rPr>
              <w:t>/</w:t>
            </w:r>
            <w:r>
              <w:rPr>
                <w:rFonts w:hint="default" w:ascii="Times New Roman" w:hAnsi="Times New Roman" w:eastAsia="宋体" w:cs="宋体"/>
                <w:snapToGrid w:val="0"/>
                <w:color w:val="000000"/>
                <w:spacing w:val="-1"/>
                <w:kern w:val="0"/>
                <w:sz w:val="24"/>
                <w:szCs w:val="24"/>
                <w:lang w:val="en-US" w:eastAsia="en-US" w:bidi="ar-SA"/>
              </w:rPr>
              <w:t>脱附</w:t>
            </w:r>
            <w:r>
              <w:rPr>
                <w:rFonts w:hint="default" w:ascii="Times New Roman" w:hAnsi="Times New Roman" w:eastAsia="宋体" w:cs="Times New Roman"/>
                <w:snapToGrid w:val="0"/>
                <w:color w:val="000000"/>
                <w:spacing w:val="-1"/>
                <w:kern w:val="0"/>
                <w:sz w:val="24"/>
                <w:szCs w:val="24"/>
                <w:lang w:val="en-US" w:eastAsia="en-US" w:bidi="ar-SA"/>
              </w:rPr>
              <w:t>+</w:t>
            </w:r>
            <w:r>
              <w:rPr>
                <w:rFonts w:hint="default" w:ascii="Times New Roman" w:hAnsi="Times New Roman" w:eastAsia="宋体" w:cs="宋体"/>
                <w:snapToGrid w:val="0"/>
                <w:color w:val="000000"/>
                <w:spacing w:val="-1"/>
                <w:kern w:val="0"/>
                <w:sz w:val="24"/>
                <w:szCs w:val="24"/>
                <w:lang w:val="en-US" w:eastAsia="en-US" w:bidi="ar-SA"/>
              </w:rPr>
              <w:t>催化燃烧</w:t>
            </w:r>
            <w:r>
              <w:rPr>
                <w:rFonts w:hint="default" w:ascii="Times New Roman" w:hAnsi="Times New Roman" w:eastAsia="宋体" w:cs="宋体"/>
                <w:snapToGrid w:val="0"/>
                <w:color w:val="000000"/>
                <w:spacing w:val="-88"/>
                <w:kern w:val="0"/>
                <w:sz w:val="24"/>
                <w:szCs w:val="24"/>
                <w:lang w:val="en-US" w:eastAsia="en-US" w:bidi="ar-SA"/>
              </w:rPr>
              <w:t xml:space="preserve"> </w:t>
            </w:r>
            <w:r>
              <w:rPr>
                <w:rFonts w:hint="default" w:ascii="Times New Roman" w:hAnsi="Times New Roman" w:eastAsia="宋体" w:cs="宋体"/>
                <w:snapToGrid w:val="0"/>
                <w:color w:val="000000"/>
                <w:spacing w:val="-1"/>
                <w:kern w:val="0"/>
                <w:sz w:val="24"/>
                <w:szCs w:val="24"/>
                <w:lang w:val="en-US" w:eastAsia="en-US" w:bidi="ar-SA"/>
              </w:rPr>
              <w:t>”处理有机废气，参</w:t>
            </w:r>
            <w:r>
              <w:rPr>
                <w:rFonts w:hint="default" w:ascii="Times New Roman" w:hAnsi="Times New Roman" w:eastAsia="宋体" w:cs="宋体"/>
                <w:snapToGrid w:val="0"/>
                <w:color w:val="000000"/>
                <w:spacing w:val="-2"/>
                <w:kern w:val="0"/>
                <w:sz w:val="24"/>
                <w:szCs w:val="24"/>
                <w:lang w:val="en-US" w:eastAsia="en-US" w:bidi="ar-SA"/>
              </w:rPr>
              <w:t>照《排污许可证</w:t>
            </w:r>
            <w:r>
              <w:rPr>
                <w:rFonts w:hint="default" w:ascii="Times New Roman" w:hAnsi="Times New Roman" w:eastAsia="宋体" w:cs="宋体"/>
                <w:snapToGrid w:val="0"/>
                <w:color w:val="000000"/>
                <w:spacing w:val="-1"/>
                <w:kern w:val="0"/>
                <w:sz w:val="24"/>
                <w:szCs w:val="24"/>
                <w:lang w:val="en-US" w:eastAsia="en-US" w:bidi="ar-SA"/>
              </w:rPr>
              <w:t>申请与核发技术规范总则》</w:t>
            </w:r>
            <w:r>
              <w:rPr>
                <w:rFonts w:hint="eastAsia" w:cs="宋体"/>
                <w:snapToGrid w:val="0"/>
                <w:color w:val="000000"/>
                <w:spacing w:val="-1"/>
                <w:kern w:val="0"/>
                <w:sz w:val="24"/>
                <w:szCs w:val="24"/>
                <w:lang w:val="en-US" w:eastAsia="zh-CN" w:bidi="ar-SA"/>
              </w:rPr>
              <w:t>（</w:t>
            </w:r>
            <w:r>
              <w:rPr>
                <w:rFonts w:hint="default" w:ascii="Times New Roman" w:hAnsi="Times New Roman" w:eastAsia="宋体" w:cs="Times New Roman"/>
                <w:snapToGrid w:val="0"/>
                <w:color w:val="000000"/>
                <w:spacing w:val="-1"/>
                <w:kern w:val="0"/>
                <w:sz w:val="24"/>
                <w:szCs w:val="24"/>
                <w:lang w:val="en-US" w:eastAsia="en-US" w:bidi="ar-SA"/>
              </w:rPr>
              <w:t>HJ942-2018</w:t>
            </w:r>
            <w:r>
              <w:rPr>
                <w:rFonts w:hint="eastAsia" w:cs="Times New Roman"/>
                <w:snapToGrid w:val="0"/>
                <w:color w:val="000000"/>
                <w:spacing w:val="-1"/>
                <w:kern w:val="0"/>
                <w:sz w:val="24"/>
                <w:szCs w:val="24"/>
                <w:lang w:val="en-US" w:eastAsia="zh-CN" w:bidi="ar-SA"/>
              </w:rPr>
              <w:t>）</w:t>
            </w:r>
            <w:r>
              <w:rPr>
                <w:rFonts w:hint="default" w:ascii="Times New Roman" w:hAnsi="Times New Roman" w:eastAsia="宋体" w:cs="宋体"/>
                <w:snapToGrid w:val="0"/>
                <w:color w:val="000000"/>
                <w:spacing w:val="-1"/>
                <w:kern w:val="0"/>
                <w:sz w:val="24"/>
                <w:szCs w:val="24"/>
                <w:lang w:val="en-US" w:eastAsia="en-US" w:bidi="ar-SA"/>
              </w:rPr>
              <w:t>，有机废气收集治理设施包括焚烧、吸附、催</w:t>
            </w:r>
            <w:r>
              <w:rPr>
                <w:rFonts w:hint="default" w:ascii="Times New Roman" w:hAnsi="Times New Roman" w:eastAsia="宋体" w:cs="宋体"/>
                <w:snapToGrid w:val="0"/>
                <w:color w:val="000000"/>
                <w:kern w:val="0"/>
                <w:sz w:val="24"/>
                <w:szCs w:val="24"/>
                <w:lang w:val="en-US" w:eastAsia="en-US" w:bidi="ar-SA"/>
              </w:rPr>
              <w:t>化分解、其他，根据《排污许可证申请与核发技术规范</w:t>
            </w:r>
            <w:r>
              <w:rPr>
                <w:rFonts w:hint="eastAsia" w:cs="宋体"/>
                <w:snapToGrid w:val="0"/>
                <w:color w:val="000000"/>
                <w:kern w:val="0"/>
                <w:sz w:val="24"/>
                <w:szCs w:val="24"/>
                <w:lang w:val="en-US" w:eastAsia="zh-CN" w:bidi="ar-SA"/>
              </w:rPr>
              <w:t xml:space="preserve"> </w:t>
            </w:r>
            <w:r>
              <w:rPr>
                <w:rFonts w:hint="default" w:ascii="Times New Roman" w:hAnsi="Times New Roman" w:eastAsia="宋体" w:cs="宋体"/>
                <w:snapToGrid w:val="0"/>
                <w:color w:val="000000"/>
                <w:kern w:val="0"/>
                <w:sz w:val="24"/>
                <w:szCs w:val="24"/>
                <w:lang w:val="en-US" w:eastAsia="en-US" w:bidi="ar-SA"/>
              </w:rPr>
              <w:t>纺织印染工业》</w:t>
            </w:r>
            <w:r>
              <w:rPr>
                <w:rFonts w:hint="eastAsia" w:cs="宋体"/>
                <w:snapToGrid w:val="0"/>
                <w:color w:val="000000"/>
                <w:kern w:val="0"/>
                <w:sz w:val="24"/>
                <w:szCs w:val="24"/>
                <w:lang w:val="en-US" w:eastAsia="zh-CN" w:bidi="ar-SA"/>
              </w:rPr>
              <w:t>（</w:t>
            </w:r>
            <w:r>
              <w:rPr>
                <w:rFonts w:hint="default" w:ascii="Times New Roman" w:hAnsi="Times New Roman" w:eastAsia="宋体" w:cs="Times New Roman"/>
                <w:snapToGrid w:val="0"/>
                <w:color w:val="000000"/>
                <w:kern w:val="0"/>
                <w:sz w:val="24"/>
                <w:szCs w:val="24"/>
                <w:lang w:val="en-US" w:eastAsia="en-US" w:bidi="ar-SA"/>
              </w:rPr>
              <w:t>H</w:t>
            </w:r>
            <w:r>
              <w:rPr>
                <w:rFonts w:hint="default" w:ascii="Times New Roman" w:hAnsi="Times New Roman" w:eastAsia="宋体" w:cs="Times New Roman"/>
                <w:snapToGrid w:val="0"/>
                <w:color w:val="000000"/>
                <w:spacing w:val="-1"/>
                <w:kern w:val="0"/>
                <w:sz w:val="24"/>
                <w:szCs w:val="24"/>
                <w:lang w:val="en-US" w:eastAsia="en-US" w:bidi="ar-SA"/>
              </w:rPr>
              <w:t>J861-2017</w:t>
            </w:r>
            <w:r>
              <w:rPr>
                <w:rFonts w:hint="eastAsia" w:cs="Times New Roman"/>
                <w:snapToGrid w:val="0"/>
                <w:color w:val="000000"/>
                <w:spacing w:val="-1"/>
                <w:kern w:val="0"/>
                <w:sz w:val="24"/>
                <w:szCs w:val="24"/>
                <w:lang w:val="en-US" w:eastAsia="zh-CN" w:bidi="ar-SA"/>
              </w:rPr>
              <w:t>）</w:t>
            </w:r>
            <w:r>
              <w:rPr>
                <w:rFonts w:hint="default" w:ascii="Times New Roman" w:hAnsi="Times New Roman" w:eastAsia="宋体" w:cs="宋体"/>
                <w:snapToGrid w:val="0"/>
                <w:color w:val="000000"/>
                <w:spacing w:val="-1"/>
                <w:kern w:val="0"/>
                <w:sz w:val="24"/>
                <w:szCs w:val="24"/>
                <w:lang w:val="en-US" w:eastAsia="en-US" w:bidi="ar-SA"/>
              </w:rPr>
              <w:t>，</w:t>
            </w:r>
            <w:r>
              <w:rPr>
                <w:rFonts w:hint="default" w:ascii="Times New Roman" w:hAnsi="Times New Roman" w:eastAsia="宋体" w:cs="宋体"/>
                <w:snapToGrid w:val="0"/>
                <w:color w:val="000000"/>
                <w:kern w:val="0"/>
                <w:sz w:val="24"/>
                <w:szCs w:val="24"/>
                <w:lang w:val="en-US" w:eastAsia="en-US" w:bidi="ar-SA"/>
              </w:rPr>
              <w:t>可行技术主要为喷淋洗涤、吸附、生物净化、吸附</w:t>
            </w:r>
            <w:r>
              <w:rPr>
                <w:rFonts w:hint="default" w:ascii="Times New Roman" w:hAnsi="Times New Roman" w:eastAsia="宋体" w:cs="Times New Roman"/>
                <w:snapToGrid w:val="0"/>
                <w:color w:val="000000"/>
                <w:kern w:val="0"/>
                <w:sz w:val="24"/>
                <w:szCs w:val="24"/>
                <w:lang w:val="en-US" w:eastAsia="en-US" w:bidi="ar-SA"/>
              </w:rPr>
              <w:t>-</w:t>
            </w:r>
            <w:r>
              <w:rPr>
                <w:rFonts w:hint="default" w:ascii="Times New Roman" w:hAnsi="Times New Roman" w:eastAsia="宋体" w:cs="宋体"/>
                <w:snapToGrid w:val="0"/>
                <w:color w:val="000000"/>
                <w:kern w:val="0"/>
                <w:sz w:val="24"/>
                <w:szCs w:val="24"/>
                <w:lang w:val="en-US" w:eastAsia="en-US" w:bidi="ar-SA"/>
              </w:rPr>
              <w:t>冷凝</w:t>
            </w:r>
            <w:r>
              <w:rPr>
                <w:rFonts w:hint="default" w:ascii="Times New Roman" w:hAnsi="Times New Roman" w:eastAsia="宋体" w:cs="宋体"/>
                <w:snapToGrid w:val="0"/>
                <w:color w:val="000000"/>
                <w:spacing w:val="-1"/>
                <w:kern w:val="0"/>
                <w:sz w:val="24"/>
                <w:szCs w:val="24"/>
                <w:lang w:val="en-US" w:eastAsia="en-US" w:bidi="ar-SA"/>
              </w:rPr>
              <w:t>回收、吸附</w:t>
            </w:r>
            <w:r>
              <w:rPr>
                <w:rFonts w:hint="default" w:ascii="Times New Roman" w:hAnsi="Times New Roman" w:eastAsia="宋体" w:cs="Times New Roman"/>
                <w:snapToGrid w:val="0"/>
                <w:color w:val="000000"/>
                <w:spacing w:val="-1"/>
                <w:kern w:val="0"/>
                <w:sz w:val="24"/>
                <w:szCs w:val="24"/>
                <w:lang w:val="en-US" w:eastAsia="en-US" w:bidi="ar-SA"/>
              </w:rPr>
              <w:t>-</w:t>
            </w:r>
            <w:r>
              <w:rPr>
                <w:rFonts w:hint="default" w:ascii="Times New Roman" w:hAnsi="Times New Roman" w:eastAsia="宋体" w:cs="宋体"/>
                <w:snapToGrid w:val="0"/>
                <w:color w:val="000000"/>
                <w:spacing w:val="-1"/>
                <w:kern w:val="0"/>
                <w:sz w:val="24"/>
                <w:szCs w:val="24"/>
                <w:lang w:val="en-US" w:eastAsia="en-US" w:bidi="ar-SA"/>
              </w:rPr>
              <w:t>催化燃烧等，根据《纺织工业污染防治可行技术指南》</w:t>
            </w:r>
            <w:r>
              <w:rPr>
                <w:rFonts w:hint="eastAsia" w:cs="宋体"/>
                <w:snapToGrid w:val="0"/>
                <w:color w:val="000000"/>
                <w:spacing w:val="-1"/>
                <w:kern w:val="0"/>
                <w:sz w:val="24"/>
                <w:szCs w:val="24"/>
                <w:lang w:val="en-US" w:eastAsia="zh-CN" w:bidi="ar-SA"/>
              </w:rPr>
              <w:t>（</w:t>
            </w:r>
            <w:r>
              <w:rPr>
                <w:rFonts w:hint="default" w:ascii="Times New Roman" w:hAnsi="Times New Roman" w:eastAsia="宋体" w:cs="Times New Roman"/>
                <w:snapToGrid w:val="0"/>
                <w:color w:val="000000"/>
                <w:spacing w:val="-1"/>
                <w:kern w:val="0"/>
                <w:sz w:val="24"/>
                <w:szCs w:val="24"/>
                <w:lang w:val="en-US" w:eastAsia="en-US" w:bidi="ar-SA"/>
              </w:rPr>
              <w:t>HJ1177-2021</w:t>
            </w:r>
            <w:r>
              <w:rPr>
                <w:rFonts w:hint="eastAsia" w:cs="Times New Roman"/>
                <w:snapToGrid w:val="0"/>
                <w:color w:val="000000"/>
                <w:spacing w:val="-1"/>
                <w:kern w:val="0"/>
                <w:sz w:val="24"/>
                <w:szCs w:val="24"/>
                <w:lang w:val="en-US" w:eastAsia="zh-CN" w:bidi="ar-SA"/>
              </w:rPr>
              <w:t>）</w:t>
            </w:r>
            <w:r>
              <w:rPr>
                <w:rFonts w:hint="default" w:ascii="Times New Roman" w:hAnsi="Times New Roman" w:eastAsia="宋体" w:cs="宋体"/>
                <w:snapToGrid w:val="0"/>
                <w:color w:val="000000"/>
                <w:spacing w:val="-1"/>
                <w:kern w:val="0"/>
                <w:sz w:val="24"/>
                <w:szCs w:val="24"/>
                <w:lang w:val="en-US" w:eastAsia="en-US" w:bidi="ar-SA"/>
              </w:rPr>
              <w:t>中挥发性有机</w:t>
            </w:r>
            <w:r>
              <w:rPr>
                <w:rFonts w:hint="default" w:ascii="Times New Roman" w:hAnsi="Times New Roman" w:eastAsia="宋体" w:cs="宋体"/>
                <w:snapToGrid w:val="0"/>
                <w:color w:val="000000"/>
                <w:spacing w:val="-2"/>
                <w:kern w:val="0"/>
                <w:sz w:val="24"/>
                <w:szCs w:val="24"/>
                <w:lang w:val="en-US" w:eastAsia="en-US" w:bidi="ar-SA"/>
              </w:rPr>
              <w:t>物</w:t>
            </w:r>
            <w:r>
              <w:rPr>
                <w:rFonts w:hint="eastAsia" w:cs="宋体"/>
                <w:snapToGrid w:val="0"/>
                <w:color w:val="000000"/>
                <w:spacing w:val="-2"/>
                <w:kern w:val="0"/>
                <w:sz w:val="24"/>
                <w:szCs w:val="24"/>
                <w:lang w:val="en-US" w:eastAsia="zh-CN" w:bidi="ar-SA"/>
              </w:rPr>
              <w:t>（</w:t>
            </w:r>
            <w:r>
              <w:rPr>
                <w:rFonts w:hint="default" w:ascii="Times New Roman" w:hAnsi="Times New Roman" w:eastAsia="宋体" w:cs="Times New Roman"/>
                <w:snapToGrid w:val="0"/>
                <w:color w:val="000000"/>
                <w:spacing w:val="-2"/>
                <w:kern w:val="0"/>
                <w:sz w:val="24"/>
                <w:szCs w:val="24"/>
                <w:lang w:val="en-US" w:eastAsia="en-US" w:bidi="ar-SA"/>
              </w:rPr>
              <w:t>VOCs</w:t>
            </w:r>
            <w:r>
              <w:rPr>
                <w:rFonts w:hint="eastAsia" w:cs="Times New Roman"/>
                <w:snapToGrid w:val="0"/>
                <w:color w:val="000000"/>
                <w:spacing w:val="-2"/>
                <w:kern w:val="0"/>
                <w:sz w:val="24"/>
                <w:szCs w:val="24"/>
                <w:lang w:val="en-US" w:eastAsia="zh-CN" w:bidi="ar-SA"/>
              </w:rPr>
              <w:t>）</w:t>
            </w:r>
            <w:r>
              <w:rPr>
                <w:rFonts w:hint="default" w:ascii="Times New Roman" w:hAnsi="Times New Roman" w:eastAsia="宋体" w:cs="宋体"/>
                <w:snapToGrid w:val="0"/>
                <w:color w:val="000000"/>
                <w:spacing w:val="-2"/>
                <w:kern w:val="0"/>
                <w:sz w:val="24"/>
                <w:szCs w:val="24"/>
                <w:lang w:val="en-US" w:eastAsia="en-US" w:bidi="ar-SA"/>
              </w:rPr>
              <w:t>处理技术，主</w:t>
            </w:r>
            <w:r>
              <w:rPr>
                <w:rFonts w:hint="default" w:ascii="Times New Roman" w:hAnsi="Times New Roman" w:eastAsia="宋体" w:cs="宋体"/>
                <w:snapToGrid w:val="0"/>
                <w:color w:val="000000"/>
                <w:kern w:val="0"/>
                <w:sz w:val="24"/>
                <w:szCs w:val="24"/>
                <w:lang w:val="en-US" w:eastAsia="en-US" w:bidi="ar-SA"/>
              </w:rPr>
              <w:t>要包括吸附、喷淋吸收及生物处理，本项目采用</w:t>
            </w:r>
            <w:r>
              <w:rPr>
                <w:rFonts w:hint="eastAsia" w:cs="宋体"/>
                <w:snapToGrid w:val="0"/>
                <w:color w:val="000000"/>
                <w:kern w:val="0"/>
                <w:sz w:val="24"/>
                <w:szCs w:val="24"/>
                <w:lang w:val="en-US" w:eastAsia="zh-CN" w:bidi="ar-SA"/>
              </w:rPr>
              <w:t>活性炭</w:t>
            </w:r>
            <w:r>
              <w:rPr>
                <w:rFonts w:hint="default" w:ascii="Times New Roman" w:hAnsi="Times New Roman" w:eastAsia="宋体" w:cs="宋体"/>
                <w:snapToGrid w:val="0"/>
                <w:color w:val="000000"/>
                <w:kern w:val="0"/>
                <w:sz w:val="24"/>
                <w:szCs w:val="24"/>
                <w:lang w:val="en-US" w:eastAsia="en-US" w:bidi="ar-SA"/>
              </w:rPr>
              <w:t>吸</w:t>
            </w:r>
            <w:r>
              <w:rPr>
                <w:rFonts w:hint="default" w:ascii="Times New Roman" w:hAnsi="Times New Roman" w:eastAsia="宋体" w:cs="宋体"/>
                <w:snapToGrid w:val="0"/>
                <w:color w:val="000000"/>
                <w:spacing w:val="-1"/>
                <w:kern w:val="0"/>
                <w:sz w:val="24"/>
                <w:szCs w:val="24"/>
                <w:lang w:val="en-US" w:eastAsia="en-US" w:bidi="ar-SA"/>
              </w:rPr>
              <w:t>附</w:t>
            </w:r>
            <w:r>
              <w:rPr>
                <w:rFonts w:hint="default" w:ascii="Times New Roman" w:hAnsi="Times New Roman" w:eastAsia="宋体" w:cs="Times New Roman"/>
                <w:snapToGrid w:val="0"/>
                <w:color w:val="000000"/>
                <w:spacing w:val="-1"/>
                <w:kern w:val="0"/>
                <w:sz w:val="24"/>
                <w:szCs w:val="24"/>
                <w:lang w:val="en-US" w:eastAsia="en-US" w:bidi="ar-SA"/>
              </w:rPr>
              <w:t>/</w:t>
            </w:r>
            <w:r>
              <w:rPr>
                <w:rFonts w:hint="default" w:ascii="Times New Roman" w:hAnsi="Times New Roman" w:eastAsia="宋体" w:cs="宋体"/>
                <w:snapToGrid w:val="0"/>
                <w:color w:val="000000"/>
                <w:spacing w:val="-1"/>
                <w:kern w:val="0"/>
                <w:sz w:val="24"/>
                <w:szCs w:val="24"/>
                <w:lang w:val="en-US" w:eastAsia="en-US" w:bidi="ar-SA"/>
              </w:rPr>
              <w:t>脱附</w:t>
            </w:r>
            <w:r>
              <w:rPr>
                <w:rFonts w:hint="default" w:ascii="Times New Roman" w:hAnsi="Times New Roman" w:eastAsia="宋体" w:cs="Times New Roman"/>
                <w:snapToGrid w:val="0"/>
                <w:color w:val="000000"/>
                <w:spacing w:val="-1"/>
                <w:kern w:val="0"/>
                <w:sz w:val="24"/>
                <w:szCs w:val="24"/>
                <w:lang w:val="en-US" w:eastAsia="en-US" w:bidi="ar-SA"/>
              </w:rPr>
              <w:t>+</w:t>
            </w:r>
            <w:r>
              <w:rPr>
                <w:rFonts w:hint="default" w:ascii="Times New Roman" w:hAnsi="Times New Roman" w:eastAsia="宋体" w:cs="宋体"/>
                <w:snapToGrid w:val="0"/>
                <w:color w:val="000000"/>
                <w:spacing w:val="-1"/>
                <w:kern w:val="0"/>
                <w:sz w:val="24"/>
                <w:szCs w:val="24"/>
                <w:lang w:val="en-US" w:eastAsia="en-US" w:bidi="ar-SA"/>
              </w:rPr>
              <w:t>催化燃烧工艺处理有机废气，属于可行性技术措施。</w:t>
            </w:r>
          </w:p>
          <w:p w14:paraId="43062A9C">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482"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3、非正常情况</w:t>
            </w:r>
          </w:p>
          <w:p w14:paraId="000F80AC">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非正常排放</w:t>
            </w:r>
            <w:r>
              <w:rPr>
                <w:rFonts w:hint="default" w:ascii="Times New Roman" w:hAnsi="Times New Roman" w:cs="Times New Roman"/>
                <w:color w:val="auto"/>
                <w:highlight w:val="none"/>
                <w:lang w:eastAsia="zh-CN"/>
              </w:rPr>
              <w:t>是</w:t>
            </w:r>
            <w:r>
              <w:rPr>
                <w:rFonts w:hint="default" w:ascii="Times New Roman" w:hAnsi="Times New Roman" w:cs="Times New Roman"/>
                <w:color w:val="auto"/>
                <w:highlight w:val="none"/>
              </w:rPr>
              <w:t>指生产过程中开停车（工、炉）、设备检修、工艺设备运转异常等非正常工况下污染物排放，以及污染物排放控制措施达不到应有效率等情况下的排放。</w:t>
            </w:r>
          </w:p>
          <w:p w14:paraId="01D73456">
            <w:pPr>
              <w:pStyle w:val="42"/>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本次主要考虑项目废气处理设施失效时，废气处理设施处理效率</w:t>
            </w:r>
            <w:r>
              <w:rPr>
                <w:rFonts w:hint="eastAsia" w:cs="Times New Roman"/>
                <w:color w:val="auto"/>
                <w:highlight w:val="none"/>
                <w:lang w:val="en-US" w:eastAsia="zh-CN"/>
              </w:rPr>
              <w:t>失效</w:t>
            </w:r>
            <w:r>
              <w:rPr>
                <w:rFonts w:hint="default" w:ascii="Times New Roman" w:hAnsi="Times New Roman" w:cs="Times New Roman"/>
                <w:color w:val="auto"/>
                <w:highlight w:val="none"/>
                <w:lang w:val="en-US" w:eastAsia="zh-CN"/>
              </w:rPr>
              <w:t>（按照0%来核算），排放的废气对环境可能造成影响。非正常排放情况具体内容见下表。</w:t>
            </w:r>
          </w:p>
          <w:p w14:paraId="23F7B246">
            <w:pPr>
              <w:pStyle w:val="3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非正常排放情况</w:t>
            </w:r>
          </w:p>
          <w:tbl>
            <w:tblPr>
              <w:tblStyle w:val="26"/>
              <w:tblW w:w="499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942"/>
              <w:gridCol w:w="1328"/>
              <w:gridCol w:w="1313"/>
              <w:gridCol w:w="1638"/>
              <w:gridCol w:w="1572"/>
              <w:gridCol w:w="880"/>
              <w:gridCol w:w="943"/>
              <w:gridCol w:w="1323"/>
            </w:tblGrid>
            <w:tr w14:paraId="4FE36E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73" w:type="pct"/>
                  <w:noWrap w:val="0"/>
                  <w:vAlign w:val="center"/>
                </w:tcPr>
                <w:p w14:paraId="0E51484F">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非正常排放源</w:t>
                  </w:r>
                </w:p>
              </w:tc>
              <w:tc>
                <w:tcPr>
                  <w:tcW w:w="668" w:type="pct"/>
                  <w:noWrap w:val="0"/>
                  <w:vAlign w:val="center"/>
                </w:tcPr>
                <w:p w14:paraId="1CF8F4E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非正常排放原因</w:t>
                  </w:r>
                </w:p>
              </w:tc>
              <w:tc>
                <w:tcPr>
                  <w:tcW w:w="660" w:type="pct"/>
                  <w:noWrap w:val="0"/>
                  <w:vAlign w:val="center"/>
                </w:tcPr>
                <w:p w14:paraId="1718907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污染物</w:t>
                  </w:r>
                </w:p>
              </w:tc>
              <w:tc>
                <w:tcPr>
                  <w:tcW w:w="824" w:type="pct"/>
                  <w:noWrap w:val="0"/>
                  <w:vAlign w:val="center"/>
                </w:tcPr>
                <w:p w14:paraId="6497931A">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非正常排放浓度（mg/m³）</w:t>
                  </w:r>
                </w:p>
              </w:tc>
              <w:tc>
                <w:tcPr>
                  <w:tcW w:w="790" w:type="pct"/>
                  <w:noWrap w:val="0"/>
                  <w:vAlign w:val="center"/>
                </w:tcPr>
                <w:p w14:paraId="7DB2F340">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非正常排放速率（</w:t>
                  </w:r>
                  <w:r>
                    <w:rPr>
                      <w:rFonts w:hint="eastAsia" w:cs="Times New Roman"/>
                      <w:color w:val="auto"/>
                      <w:highlight w:val="none"/>
                      <w:lang w:val="en-US" w:eastAsia="zh-CN"/>
                    </w:rPr>
                    <w:t>kg</w:t>
                  </w:r>
                  <w:r>
                    <w:rPr>
                      <w:rFonts w:hint="default" w:ascii="Times New Roman" w:hAnsi="Times New Roman" w:cs="Times New Roman"/>
                      <w:color w:val="auto"/>
                      <w:highlight w:val="none"/>
                      <w:lang w:val="en-US" w:eastAsia="zh-CN"/>
                    </w:rPr>
                    <w:t>/h）</w:t>
                  </w:r>
                </w:p>
              </w:tc>
              <w:tc>
                <w:tcPr>
                  <w:tcW w:w="442" w:type="pct"/>
                  <w:noWrap w:val="0"/>
                  <w:vAlign w:val="center"/>
                </w:tcPr>
                <w:p w14:paraId="1C1F26B4">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年发生频次</w:t>
                  </w:r>
                </w:p>
              </w:tc>
              <w:tc>
                <w:tcPr>
                  <w:tcW w:w="474" w:type="pct"/>
                  <w:noWrap w:val="0"/>
                  <w:vAlign w:val="center"/>
                </w:tcPr>
                <w:p w14:paraId="2E07B20E">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单次持续时间</w:t>
                  </w:r>
                </w:p>
              </w:tc>
              <w:tc>
                <w:tcPr>
                  <w:tcW w:w="665" w:type="pct"/>
                  <w:noWrap w:val="0"/>
                  <w:vAlign w:val="center"/>
                </w:tcPr>
                <w:p w14:paraId="76C0697D">
                  <w:pPr>
                    <w:pStyle w:val="4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非正常排放量（</w:t>
                  </w:r>
                  <w:r>
                    <w:rPr>
                      <w:rFonts w:hint="eastAsia" w:cs="Times New Roman"/>
                      <w:color w:val="auto"/>
                      <w:highlight w:val="none"/>
                      <w:lang w:val="en-US" w:eastAsia="zh-CN"/>
                    </w:rPr>
                    <w:t>kg</w:t>
                  </w:r>
                  <w:r>
                    <w:rPr>
                      <w:rFonts w:hint="default" w:ascii="Times New Roman" w:hAnsi="Times New Roman" w:cs="Times New Roman"/>
                      <w:color w:val="auto"/>
                      <w:highlight w:val="none"/>
                      <w:lang w:val="en-US" w:eastAsia="zh-CN"/>
                    </w:rPr>
                    <w:t>/a）</w:t>
                  </w:r>
                </w:p>
              </w:tc>
            </w:tr>
            <w:tr w14:paraId="002E37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73" w:type="pct"/>
                  <w:noWrap w:val="0"/>
                  <w:vAlign w:val="center"/>
                </w:tcPr>
                <w:p w14:paraId="05448B0C">
                  <w:pPr>
                    <w:pStyle w:val="38"/>
                    <w:keepNext w:val="0"/>
                    <w:keepLines w:val="0"/>
                    <w:suppressLineNumbers w:val="0"/>
                    <w:bidi w:val="0"/>
                    <w:spacing w:before="0" w:beforeLines="0" w:beforeAutospacing="0" w:after="0" w:afterLines="0" w:afterAutospacing="0"/>
                    <w:ind w:left="0" w:right="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DA001</w:t>
                  </w:r>
                </w:p>
              </w:tc>
              <w:tc>
                <w:tcPr>
                  <w:tcW w:w="668" w:type="pct"/>
                  <w:noWrap w:val="0"/>
                  <w:vAlign w:val="center"/>
                </w:tcPr>
                <w:p w14:paraId="4E88BFB2">
                  <w:pPr>
                    <w:pStyle w:val="38"/>
                    <w:keepNext w:val="0"/>
                    <w:keepLines w:val="0"/>
                    <w:suppressLineNumbers w:val="0"/>
                    <w:bidi w:val="0"/>
                    <w:spacing w:before="0" w:beforeLines="0" w:beforeAutospacing="0" w:after="0" w:afterLines="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活性炭</w:t>
                  </w:r>
                  <w:r>
                    <w:rPr>
                      <w:rFonts w:hint="eastAsia" w:ascii="Times New Roman" w:hAnsi="Times New Roman" w:eastAsia="宋体" w:cs="Times New Roman"/>
                      <w:b w:val="0"/>
                      <w:bCs/>
                      <w:color w:val="auto"/>
                      <w:sz w:val="21"/>
                      <w:szCs w:val="21"/>
                      <w:highlight w:val="none"/>
                      <w:lang w:val="en-US" w:eastAsia="zh-CN"/>
                    </w:rPr>
                    <w:t>吸附</w:t>
                  </w:r>
                  <w:r>
                    <w:rPr>
                      <w:rFonts w:hint="eastAsia" w:cs="Times New Roman"/>
                      <w:b w:val="0"/>
                      <w:bCs/>
                      <w:color w:val="auto"/>
                      <w:sz w:val="21"/>
                      <w:szCs w:val="21"/>
                      <w:highlight w:val="none"/>
                      <w:lang w:val="en-US" w:eastAsia="zh-CN"/>
                    </w:rPr>
                    <w:t>+催化燃烧</w:t>
                  </w:r>
                  <w:r>
                    <w:rPr>
                      <w:rFonts w:hint="eastAsia" w:ascii="Times New Roman" w:hAnsi="Times New Roman" w:eastAsia="宋体" w:cs="Times New Roman"/>
                      <w:b w:val="0"/>
                      <w:bCs/>
                      <w:color w:val="auto"/>
                      <w:sz w:val="21"/>
                      <w:szCs w:val="21"/>
                      <w:highlight w:val="none"/>
                      <w:lang w:val="en-US" w:eastAsia="zh-CN"/>
                    </w:rPr>
                    <w:t>装置失效</w:t>
                  </w:r>
                </w:p>
              </w:tc>
              <w:tc>
                <w:tcPr>
                  <w:tcW w:w="660" w:type="pct"/>
                  <w:noWrap w:val="0"/>
                  <w:vAlign w:val="center"/>
                </w:tcPr>
                <w:p w14:paraId="24A26216">
                  <w:pPr>
                    <w:pStyle w:val="38"/>
                    <w:keepNext w:val="0"/>
                    <w:keepLines w:val="0"/>
                    <w:suppressLineNumbers w:val="0"/>
                    <w:bidi w:val="0"/>
                    <w:spacing w:before="0" w:beforeLines="0" w:beforeAutospacing="0" w:after="0" w:afterLines="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非甲烷总烃</w:t>
                  </w:r>
                </w:p>
              </w:tc>
              <w:tc>
                <w:tcPr>
                  <w:tcW w:w="824" w:type="pct"/>
                  <w:noWrap w:val="0"/>
                  <w:vAlign w:val="center"/>
                </w:tcPr>
                <w:p w14:paraId="419C68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50</w:t>
                  </w:r>
                </w:p>
              </w:tc>
              <w:tc>
                <w:tcPr>
                  <w:tcW w:w="790" w:type="pct"/>
                  <w:noWrap w:val="0"/>
                  <w:vAlign w:val="center"/>
                </w:tcPr>
                <w:p w14:paraId="61B3EE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w:t>
                  </w:r>
                </w:p>
              </w:tc>
              <w:tc>
                <w:tcPr>
                  <w:tcW w:w="442" w:type="pct"/>
                  <w:noWrap w:val="0"/>
                  <w:vAlign w:val="center"/>
                </w:tcPr>
                <w:p w14:paraId="102970BD">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2次/a</w:t>
                  </w:r>
                </w:p>
              </w:tc>
              <w:tc>
                <w:tcPr>
                  <w:tcW w:w="474" w:type="pct"/>
                  <w:noWrap w:val="0"/>
                  <w:vAlign w:val="center"/>
                </w:tcPr>
                <w:p w14:paraId="77E30167">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1h</w:t>
                  </w:r>
                  <w:r>
                    <w:rPr>
                      <w:rFonts w:hint="default" w:ascii="Times New Roman" w:hAnsi="Times New Roman" w:eastAsia="宋体" w:cs="Times New Roman"/>
                      <w:b w:val="0"/>
                      <w:bCs/>
                      <w:color w:val="auto"/>
                      <w:sz w:val="21"/>
                      <w:szCs w:val="21"/>
                      <w:highlight w:val="none"/>
                      <w:lang w:val="en-US" w:eastAsia="zh-CN"/>
                    </w:rPr>
                    <w:t>/次</w:t>
                  </w:r>
                </w:p>
              </w:tc>
              <w:tc>
                <w:tcPr>
                  <w:tcW w:w="665" w:type="pct"/>
                  <w:noWrap w:val="0"/>
                  <w:vAlign w:val="center"/>
                </w:tcPr>
                <w:p w14:paraId="15E64DF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r>
          </w:tbl>
          <w:p w14:paraId="126BCD67">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为防止生产废气非正常排放，企业必须加强废气处理设施的管理，定期检修，确保废气处理设施正常运行，在废气处理设备出现停止运行或</w:t>
            </w:r>
            <w:r>
              <w:rPr>
                <w:rFonts w:hint="default" w:ascii="Times New Roman" w:hAnsi="Times New Roman" w:cs="Times New Roman"/>
                <w:color w:val="auto"/>
                <w:highlight w:val="none"/>
                <w:lang w:eastAsia="zh-CN"/>
              </w:rPr>
              <w:t>失效</w:t>
            </w:r>
            <w:r>
              <w:rPr>
                <w:rFonts w:hint="default" w:ascii="Times New Roman" w:hAnsi="Times New Roman" w:cs="Times New Roman"/>
                <w:color w:val="auto"/>
                <w:highlight w:val="none"/>
              </w:rPr>
              <w:t>时，产生废气的各工序也必须停止生产。为杜绝</w:t>
            </w:r>
            <w:r>
              <w:rPr>
                <w:rFonts w:hint="default" w:ascii="Times New Roman" w:hAnsi="Times New Roman" w:cs="Times New Roman"/>
                <w:color w:val="auto"/>
                <w:highlight w:val="none"/>
                <w:lang w:eastAsia="zh-CN"/>
              </w:rPr>
              <w:t>生产</w:t>
            </w:r>
            <w:r>
              <w:rPr>
                <w:rFonts w:hint="default" w:ascii="Times New Roman" w:hAnsi="Times New Roman" w:cs="Times New Roman"/>
                <w:color w:val="auto"/>
                <w:highlight w:val="none"/>
              </w:rPr>
              <w:t>废气非正常排放，应采取以下措施：</w:t>
            </w:r>
          </w:p>
          <w:p w14:paraId="153DB4F5">
            <w:pPr>
              <w:pStyle w:val="42"/>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①安排专人负责环保设备的日常维护和管理，</w:t>
            </w:r>
            <w:r>
              <w:rPr>
                <w:rFonts w:hint="default" w:ascii="Times New Roman" w:hAnsi="Times New Roman" w:cs="Times New Roman"/>
                <w:color w:val="auto"/>
                <w:highlight w:val="none"/>
                <w:lang w:val="en-US" w:eastAsia="zh-CN"/>
              </w:rPr>
              <w:t>每日定时</w:t>
            </w:r>
            <w:r>
              <w:rPr>
                <w:rFonts w:hint="default" w:ascii="Times New Roman" w:hAnsi="Times New Roman" w:cs="Times New Roman"/>
                <w:color w:val="auto"/>
                <w:highlight w:val="none"/>
              </w:rPr>
              <w:t>检查、汇报情况，及时发现废气处理设备的隐患，确保废气处理系统正常运行；</w:t>
            </w:r>
          </w:p>
          <w:p w14:paraId="408F2B92">
            <w:pPr>
              <w:pStyle w:val="42"/>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②</w:t>
            </w:r>
            <w:r>
              <w:rPr>
                <w:rFonts w:hint="default" w:ascii="Times New Roman" w:hAnsi="Times New Roman" w:cs="Times New Roman"/>
                <w:color w:val="auto"/>
                <w:highlight w:val="none"/>
                <w:lang w:val="en-US" w:eastAsia="zh-CN"/>
              </w:rPr>
              <w:t>定期</w:t>
            </w:r>
            <w:r>
              <w:rPr>
                <w:rFonts w:hint="default" w:ascii="Times New Roman" w:hAnsi="Times New Roman" w:cs="Times New Roman"/>
                <w:color w:val="auto"/>
                <w:highlight w:val="none"/>
              </w:rPr>
              <w:t>更换</w:t>
            </w:r>
            <w:r>
              <w:rPr>
                <w:rFonts w:hint="eastAsia" w:cs="Times New Roman"/>
                <w:color w:val="auto"/>
                <w:highlight w:val="none"/>
                <w:lang w:eastAsia="zh-CN"/>
              </w:rPr>
              <w:t>活性炭</w:t>
            </w:r>
            <w:r>
              <w:rPr>
                <w:rFonts w:hint="default" w:ascii="Times New Roman" w:hAnsi="Times New Roman" w:cs="Times New Roman"/>
                <w:color w:val="auto"/>
                <w:highlight w:val="none"/>
              </w:rPr>
              <w:t>吸附装置中的活性炭；定期更换</w:t>
            </w:r>
            <w:r>
              <w:rPr>
                <w:rFonts w:hint="eastAsia" w:cs="Times New Roman"/>
                <w:color w:val="auto"/>
                <w:highlight w:val="none"/>
                <w:lang w:val="en-US" w:eastAsia="zh-CN"/>
              </w:rPr>
              <w:t>催化燃烧</w:t>
            </w:r>
            <w:r>
              <w:rPr>
                <w:rFonts w:hint="default" w:ascii="Times New Roman" w:hAnsi="Times New Roman" w:cs="Times New Roman"/>
                <w:color w:val="auto"/>
                <w:highlight w:val="none"/>
              </w:rPr>
              <w:t>中的</w:t>
            </w:r>
            <w:r>
              <w:rPr>
                <w:rFonts w:hint="eastAsia" w:cs="Times New Roman"/>
                <w:color w:val="auto"/>
                <w:highlight w:val="none"/>
                <w:lang w:val="en-US" w:eastAsia="zh-CN"/>
              </w:rPr>
              <w:t>催化剂</w:t>
            </w:r>
            <w:r>
              <w:rPr>
                <w:rFonts w:hint="eastAsia"/>
                <w:color w:val="auto"/>
                <w:highlight w:val="none"/>
                <w:lang w:val="en-US" w:eastAsia="zh-CN"/>
              </w:rPr>
              <w:t>；</w:t>
            </w:r>
          </w:p>
          <w:p w14:paraId="2FD619D5">
            <w:pPr>
              <w:pStyle w:val="42"/>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③建立健全环保管理机构，对环保管理人员和技术人员进行岗位培训，委托具有专业资质的环境检测单位对项目排放的各类污染物进行定期检测；</w:t>
            </w:r>
          </w:p>
          <w:p w14:paraId="069D51C4">
            <w:pPr>
              <w:pStyle w:val="42"/>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④定期维护、检修废气处理装置，以保持废气处理装置的净化能力和净化容量。</w:t>
            </w:r>
          </w:p>
          <w:p w14:paraId="0815B912">
            <w:pPr>
              <w:pStyle w:val="44"/>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4、废气监测计划</w:t>
            </w:r>
          </w:p>
          <w:p w14:paraId="7AEC531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本项目的国民经济行业类别为</w:t>
            </w:r>
            <w:r>
              <w:rPr>
                <w:rFonts w:hint="eastAsia"/>
                <w:color w:val="auto"/>
                <w:sz w:val="24"/>
                <w:highlight w:val="none"/>
                <w:lang w:eastAsia="zh-CN"/>
              </w:rPr>
              <w:t>C1751化纤织造加工</w:t>
            </w:r>
            <w:r>
              <w:rPr>
                <w:rFonts w:hint="default" w:ascii="Times New Roman" w:hAnsi="Times New Roman" w:cs="Times New Roman"/>
                <w:color w:val="auto"/>
                <w:highlight w:val="none"/>
                <w:lang w:eastAsia="zh-CN"/>
              </w:rPr>
              <w:t>，</w:t>
            </w:r>
            <w:r>
              <w:rPr>
                <w:rFonts w:hint="default" w:ascii="宋体" w:hAnsi="宋体" w:eastAsia="宋体" w:cs="宋体"/>
                <w:snapToGrid w:val="0"/>
                <w:color w:val="000000"/>
                <w:spacing w:val="-1"/>
                <w:kern w:val="0"/>
                <w:sz w:val="24"/>
                <w:szCs w:val="24"/>
                <w:lang w:val="en-US" w:eastAsia="en-US" w:bidi="ar-SA"/>
              </w:rPr>
              <w:t>参考《排污单位自行监测技术指南纺织印染工业》（</w:t>
            </w:r>
            <w:r>
              <w:rPr>
                <w:rFonts w:hint="default" w:ascii="Times New Roman" w:hAnsi="Times New Roman" w:eastAsia="Times New Roman" w:cs="Times New Roman"/>
                <w:snapToGrid w:val="0"/>
                <w:color w:val="000000"/>
                <w:spacing w:val="-1"/>
                <w:kern w:val="0"/>
                <w:sz w:val="24"/>
                <w:szCs w:val="24"/>
                <w:lang w:val="en-US" w:eastAsia="en-US" w:bidi="ar-SA"/>
              </w:rPr>
              <w:t>HJ819—2017</w:t>
            </w:r>
            <w:r>
              <w:rPr>
                <w:rFonts w:hint="default" w:ascii="宋体" w:hAnsi="宋体" w:eastAsia="宋体" w:cs="宋体"/>
                <w:snapToGrid w:val="0"/>
                <w:color w:val="000000"/>
                <w:spacing w:val="-1"/>
                <w:kern w:val="0"/>
                <w:sz w:val="24"/>
                <w:szCs w:val="24"/>
                <w:lang w:val="en-US" w:eastAsia="en-US" w:bidi="ar-SA"/>
              </w:rPr>
              <w:t>）、《排污单位自行监测技术指南总则》（</w:t>
            </w:r>
            <w:r>
              <w:rPr>
                <w:rFonts w:hint="default" w:ascii="Times New Roman" w:hAnsi="Times New Roman" w:eastAsia="Times New Roman" w:cs="Times New Roman"/>
                <w:snapToGrid w:val="0"/>
                <w:color w:val="000000"/>
                <w:spacing w:val="-1"/>
                <w:kern w:val="0"/>
                <w:sz w:val="24"/>
                <w:szCs w:val="24"/>
                <w:lang w:val="en-US" w:eastAsia="en-US" w:bidi="ar-SA"/>
              </w:rPr>
              <w:t>HJ819-20</w:t>
            </w:r>
            <w:r>
              <w:rPr>
                <w:rFonts w:hint="default" w:ascii="Times New Roman" w:hAnsi="Times New Roman" w:eastAsia="Times New Roman" w:cs="Times New Roman"/>
                <w:snapToGrid w:val="0"/>
                <w:color w:val="000000"/>
                <w:spacing w:val="-2"/>
                <w:kern w:val="0"/>
                <w:sz w:val="24"/>
                <w:szCs w:val="24"/>
                <w:lang w:val="en-US" w:eastAsia="en-US" w:bidi="ar-SA"/>
              </w:rPr>
              <w:t>17</w:t>
            </w:r>
            <w:r>
              <w:rPr>
                <w:rFonts w:hint="default" w:ascii="宋体" w:hAnsi="宋体" w:eastAsia="宋体" w:cs="宋体"/>
                <w:snapToGrid w:val="0"/>
                <w:color w:val="000000"/>
                <w:spacing w:val="-2"/>
                <w:kern w:val="0"/>
                <w:sz w:val="24"/>
                <w:szCs w:val="24"/>
                <w:lang w:val="en-US" w:eastAsia="en-US" w:bidi="ar-SA"/>
              </w:rPr>
              <w:t>）项目废气监测情况见下表。</w:t>
            </w:r>
            <w:r>
              <w:rPr>
                <w:rFonts w:hint="default" w:ascii="Times New Roman" w:hAnsi="Times New Roman" w:cs="Times New Roman"/>
                <w:color w:val="auto"/>
                <w:highlight w:val="none"/>
                <w:lang w:eastAsia="zh-CN"/>
              </w:rPr>
              <w:t>废气监测计划见下表。</w:t>
            </w:r>
          </w:p>
          <w:p w14:paraId="71957FF0">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9</w:t>
            </w:r>
            <w:r>
              <w:rPr>
                <w:rFonts w:hint="default" w:ascii="Times New Roman" w:hAnsi="Times New Roman" w:cs="Times New Roman"/>
                <w:color w:val="auto"/>
                <w:highlight w:val="none"/>
              </w:rPr>
              <w:t>废气监测计划</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79" w:type="dxa"/>
                <w:bottom w:w="0" w:type="dxa"/>
                <w:right w:w="79" w:type="dxa"/>
              </w:tblCellMar>
            </w:tblPr>
            <w:tblGrid>
              <w:gridCol w:w="1382"/>
              <w:gridCol w:w="1762"/>
              <w:gridCol w:w="1764"/>
              <w:gridCol w:w="2515"/>
              <w:gridCol w:w="2517"/>
            </w:tblGrid>
            <w:tr w14:paraId="5C52E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454" w:hRule="atLeast"/>
                <w:jc w:val="center"/>
              </w:trPr>
              <w:tc>
                <w:tcPr>
                  <w:tcW w:w="695" w:type="pct"/>
                  <w:noWrap w:val="0"/>
                  <w:vAlign w:val="center"/>
                </w:tcPr>
                <w:p w14:paraId="72519E7F">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1773" w:type="pct"/>
                  <w:gridSpan w:val="2"/>
                  <w:noWrap w:val="0"/>
                  <w:vAlign w:val="center"/>
                </w:tcPr>
                <w:p w14:paraId="70106ACF">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监测地点</w:t>
                  </w:r>
                </w:p>
              </w:tc>
              <w:tc>
                <w:tcPr>
                  <w:tcW w:w="1265" w:type="pct"/>
                  <w:noWrap w:val="0"/>
                  <w:vAlign w:val="center"/>
                </w:tcPr>
                <w:p w14:paraId="3917CED1">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1266" w:type="pct"/>
                  <w:noWrap w:val="0"/>
                  <w:vAlign w:val="center"/>
                </w:tcPr>
                <w:p w14:paraId="6C188738">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监测频率</w:t>
                  </w:r>
                </w:p>
              </w:tc>
            </w:tr>
            <w:tr w14:paraId="12C50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454" w:hRule="atLeast"/>
                <w:jc w:val="center"/>
              </w:trPr>
              <w:tc>
                <w:tcPr>
                  <w:tcW w:w="695" w:type="pct"/>
                  <w:vMerge w:val="restart"/>
                  <w:noWrap w:val="0"/>
                  <w:vAlign w:val="center"/>
                </w:tcPr>
                <w:p w14:paraId="752C7E29">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r>
                    <w:rPr>
                      <w:rFonts w:hint="default" w:ascii="Times New Roman" w:hAnsi="Times New Roman" w:cs="Times New Roman"/>
                      <w:b w:val="0"/>
                      <w:bCs/>
                      <w:color w:val="auto"/>
                      <w:szCs w:val="20"/>
                      <w:highlight w:val="none"/>
                    </w:rPr>
                    <w:t>废气</w:t>
                  </w:r>
                </w:p>
              </w:tc>
              <w:tc>
                <w:tcPr>
                  <w:tcW w:w="886" w:type="pct"/>
                  <w:noWrap w:val="0"/>
                  <w:vAlign w:val="center"/>
                </w:tcPr>
                <w:p w14:paraId="38A13304">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r>
                    <w:rPr>
                      <w:rFonts w:hint="default" w:ascii="Times New Roman" w:hAnsi="Times New Roman" w:cs="Times New Roman"/>
                      <w:b w:val="0"/>
                      <w:bCs/>
                      <w:color w:val="auto"/>
                      <w:szCs w:val="20"/>
                      <w:highlight w:val="none"/>
                    </w:rPr>
                    <w:t>有组织</w:t>
                  </w:r>
                </w:p>
              </w:tc>
              <w:tc>
                <w:tcPr>
                  <w:tcW w:w="887" w:type="pct"/>
                  <w:noWrap w:val="0"/>
                  <w:vAlign w:val="center"/>
                </w:tcPr>
                <w:p w14:paraId="791F969A">
                  <w:pPr>
                    <w:pStyle w:val="38"/>
                    <w:keepNext w:val="0"/>
                    <w:keepLines w:val="0"/>
                    <w:suppressLineNumbers w:val="0"/>
                    <w:bidi w:val="0"/>
                    <w:spacing w:before="0" w:beforeAutospacing="0" w:after="0" w:afterAutospacing="0"/>
                    <w:ind w:left="0" w:right="0"/>
                    <w:rPr>
                      <w:rFonts w:hint="default" w:cs="Times New Roman"/>
                      <w:b w:val="0"/>
                      <w:bCs/>
                      <w:color w:val="auto"/>
                      <w:szCs w:val="20"/>
                      <w:highlight w:val="none"/>
                      <w:lang w:val="en-US" w:eastAsia="zh-CN"/>
                    </w:rPr>
                  </w:pPr>
                  <w:r>
                    <w:rPr>
                      <w:rFonts w:hint="eastAsia" w:cs="Times New Roman"/>
                      <w:b w:val="0"/>
                      <w:bCs/>
                      <w:color w:val="auto"/>
                      <w:szCs w:val="20"/>
                      <w:highlight w:val="none"/>
                      <w:lang w:eastAsia="zh-CN"/>
                    </w:rPr>
                    <w:t>DA00</w:t>
                  </w:r>
                  <w:r>
                    <w:rPr>
                      <w:rFonts w:hint="eastAsia" w:cs="Times New Roman"/>
                      <w:b w:val="0"/>
                      <w:bCs/>
                      <w:color w:val="auto"/>
                      <w:szCs w:val="20"/>
                      <w:highlight w:val="none"/>
                      <w:lang w:val="en-US" w:eastAsia="zh-CN"/>
                    </w:rPr>
                    <w:t>1</w:t>
                  </w:r>
                </w:p>
              </w:tc>
              <w:tc>
                <w:tcPr>
                  <w:tcW w:w="1265" w:type="pct"/>
                  <w:noWrap w:val="0"/>
                  <w:vAlign w:val="center"/>
                </w:tcPr>
                <w:p w14:paraId="1BFE6CD4">
                  <w:pPr>
                    <w:pStyle w:val="38"/>
                    <w:keepNext w:val="0"/>
                    <w:keepLines w:val="0"/>
                    <w:suppressLineNumbers w:val="0"/>
                    <w:bidi w:val="0"/>
                    <w:spacing w:before="0" w:beforeAutospacing="0" w:after="0" w:afterAutospacing="0"/>
                    <w:ind w:left="0" w:right="0"/>
                    <w:rPr>
                      <w:rFonts w:hint="eastAsia" w:cs="Times New Roman"/>
                      <w:b w:val="0"/>
                      <w:bCs/>
                      <w:color w:val="auto"/>
                      <w:szCs w:val="20"/>
                      <w:highlight w:val="none"/>
                      <w:lang w:val="en-US" w:eastAsia="zh-CN"/>
                    </w:rPr>
                  </w:pPr>
                  <w:r>
                    <w:rPr>
                      <w:rFonts w:hint="default" w:ascii="Times New Roman" w:hAnsi="Times New Roman" w:eastAsia="宋体" w:cs="Times New Roman"/>
                      <w:b w:val="0"/>
                      <w:bCs/>
                      <w:color w:val="auto"/>
                      <w:sz w:val="21"/>
                      <w:szCs w:val="21"/>
                      <w:highlight w:val="none"/>
                      <w:lang w:val="en-US" w:eastAsia="zh-CN"/>
                    </w:rPr>
                    <w:t>非甲烷总烃</w:t>
                  </w:r>
                </w:p>
              </w:tc>
              <w:tc>
                <w:tcPr>
                  <w:tcW w:w="1266" w:type="pct"/>
                  <w:noWrap w:val="0"/>
                  <w:vAlign w:val="center"/>
                </w:tcPr>
                <w:p w14:paraId="24AE9BC8">
                  <w:pPr>
                    <w:pStyle w:val="38"/>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Cs w:val="20"/>
                      <w:highlight w:val="none"/>
                      <w:lang w:eastAsia="zh-CN"/>
                    </w:rPr>
                  </w:pPr>
                  <w:r>
                    <w:rPr>
                      <w:rFonts w:hint="default" w:ascii="Times New Roman" w:hAnsi="Times New Roman" w:cs="Times New Roman"/>
                      <w:b w:val="0"/>
                      <w:bCs/>
                      <w:color w:val="auto"/>
                      <w:szCs w:val="20"/>
                      <w:highlight w:val="none"/>
                    </w:rPr>
                    <w:t>1次/</w:t>
                  </w:r>
                  <w:r>
                    <w:rPr>
                      <w:rFonts w:hint="eastAsia" w:cs="Times New Roman"/>
                      <w:b w:val="0"/>
                      <w:bCs/>
                      <w:color w:val="auto"/>
                      <w:szCs w:val="20"/>
                      <w:highlight w:val="none"/>
                      <w:lang w:val="en-US" w:eastAsia="zh-CN"/>
                    </w:rPr>
                    <w:t>季度</w:t>
                  </w:r>
                </w:p>
              </w:tc>
            </w:tr>
            <w:tr w14:paraId="52B0A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454" w:hRule="atLeast"/>
                <w:jc w:val="center"/>
              </w:trPr>
              <w:tc>
                <w:tcPr>
                  <w:tcW w:w="695" w:type="pct"/>
                  <w:vMerge w:val="continue"/>
                  <w:noWrap w:val="0"/>
                  <w:vAlign w:val="center"/>
                </w:tcPr>
                <w:p w14:paraId="78D6CBB6">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p>
              </w:tc>
              <w:tc>
                <w:tcPr>
                  <w:tcW w:w="886" w:type="pct"/>
                  <w:vMerge w:val="restart"/>
                  <w:noWrap w:val="0"/>
                  <w:vAlign w:val="center"/>
                </w:tcPr>
                <w:p w14:paraId="2F91B36E">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lang w:val="en-US" w:eastAsia="zh-CN"/>
                    </w:rPr>
                  </w:pPr>
                  <w:r>
                    <w:rPr>
                      <w:rFonts w:hint="default" w:ascii="Times New Roman" w:hAnsi="Times New Roman" w:cs="Times New Roman"/>
                      <w:b w:val="0"/>
                      <w:bCs/>
                      <w:color w:val="auto"/>
                      <w:szCs w:val="20"/>
                      <w:highlight w:val="none"/>
                      <w:lang w:val="en-US" w:eastAsia="zh-CN"/>
                    </w:rPr>
                    <w:t>无组织</w:t>
                  </w:r>
                </w:p>
              </w:tc>
              <w:tc>
                <w:tcPr>
                  <w:tcW w:w="887" w:type="pct"/>
                  <w:noWrap w:val="0"/>
                  <w:vAlign w:val="center"/>
                </w:tcPr>
                <w:p w14:paraId="066BD545">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lang w:val="en-US" w:eastAsia="zh-CN"/>
                    </w:rPr>
                  </w:pPr>
                  <w:r>
                    <w:rPr>
                      <w:rFonts w:hint="default" w:ascii="Times New Roman" w:hAnsi="Times New Roman" w:cs="Times New Roman"/>
                      <w:b w:val="0"/>
                      <w:bCs/>
                      <w:color w:val="auto"/>
                      <w:szCs w:val="20"/>
                      <w:highlight w:val="none"/>
                    </w:rPr>
                    <w:t>上、下风向</w:t>
                  </w:r>
                </w:p>
              </w:tc>
              <w:tc>
                <w:tcPr>
                  <w:tcW w:w="1265" w:type="pct"/>
                  <w:noWrap w:val="0"/>
                  <w:vAlign w:val="center"/>
                </w:tcPr>
                <w:p w14:paraId="18886B4B">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lang w:val="en-US" w:eastAsia="zh-CN"/>
                    </w:rPr>
                  </w:pPr>
                  <w:r>
                    <w:rPr>
                      <w:rFonts w:hint="default" w:ascii="Times New Roman" w:hAnsi="Times New Roman" w:cs="Times New Roman"/>
                      <w:b w:val="0"/>
                      <w:bCs/>
                      <w:color w:val="auto"/>
                      <w:szCs w:val="20"/>
                      <w:highlight w:val="none"/>
                    </w:rPr>
                    <w:t>非甲烷总烃</w:t>
                  </w:r>
                </w:p>
              </w:tc>
              <w:tc>
                <w:tcPr>
                  <w:tcW w:w="1266" w:type="pct"/>
                  <w:noWrap w:val="0"/>
                  <w:vAlign w:val="center"/>
                </w:tcPr>
                <w:p w14:paraId="0B4EB452">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r>
                    <w:rPr>
                      <w:rFonts w:hint="default" w:ascii="Times New Roman" w:hAnsi="Times New Roman" w:cs="Times New Roman"/>
                      <w:b w:val="0"/>
                      <w:bCs/>
                      <w:color w:val="auto"/>
                      <w:szCs w:val="20"/>
                      <w:highlight w:val="none"/>
                    </w:rPr>
                    <w:t>1次/</w:t>
                  </w:r>
                  <w:r>
                    <w:rPr>
                      <w:rFonts w:hint="eastAsia" w:cs="Times New Roman"/>
                      <w:b w:val="0"/>
                      <w:bCs/>
                      <w:color w:val="auto"/>
                      <w:szCs w:val="20"/>
                      <w:highlight w:val="none"/>
                      <w:lang w:val="en-US" w:eastAsia="zh-CN"/>
                    </w:rPr>
                    <w:t>半</w:t>
                  </w:r>
                  <w:r>
                    <w:rPr>
                      <w:rFonts w:hint="default" w:ascii="Times New Roman" w:hAnsi="Times New Roman" w:cs="Times New Roman"/>
                      <w:b w:val="0"/>
                      <w:bCs/>
                      <w:color w:val="auto"/>
                      <w:szCs w:val="20"/>
                      <w:highlight w:val="none"/>
                    </w:rPr>
                    <w:t>年</w:t>
                  </w:r>
                </w:p>
              </w:tc>
            </w:tr>
            <w:tr w14:paraId="6E8B6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454" w:hRule="atLeast"/>
                <w:jc w:val="center"/>
              </w:trPr>
              <w:tc>
                <w:tcPr>
                  <w:tcW w:w="695" w:type="pct"/>
                  <w:vMerge w:val="continue"/>
                  <w:noWrap w:val="0"/>
                  <w:vAlign w:val="center"/>
                </w:tcPr>
                <w:p w14:paraId="4A296096">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p>
              </w:tc>
              <w:tc>
                <w:tcPr>
                  <w:tcW w:w="886" w:type="pct"/>
                  <w:vMerge w:val="continue"/>
                  <w:noWrap w:val="0"/>
                  <w:vAlign w:val="center"/>
                </w:tcPr>
                <w:p w14:paraId="6CA348DE">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p>
              </w:tc>
              <w:tc>
                <w:tcPr>
                  <w:tcW w:w="887" w:type="pct"/>
                  <w:noWrap w:val="0"/>
                  <w:vAlign w:val="center"/>
                </w:tcPr>
                <w:p w14:paraId="01A76635">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lang w:val="en-US" w:eastAsia="zh-CN"/>
                    </w:rPr>
                  </w:pPr>
                  <w:r>
                    <w:rPr>
                      <w:rFonts w:hint="default" w:ascii="Times New Roman" w:hAnsi="Times New Roman" w:cs="Times New Roman"/>
                      <w:b w:val="0"/>
                      <w:bCs/>
                      <w:color w:val="auto"/>
                      <w:szCs w:val="20"/>
                      <w:highlight w:val="none"/>
                      <w:lang w:val="en-US" w:eastAsia="zh-CN"/>
                    </w:rPr>
                    <w:t>厂区内</w:t>
                  </w:r>
                </w:p>
              </w:tc>
              <w:tc>
                <w:tcPr>
                  <w:tcW w:w="1265" w:type="pct"/>
                  <w:noWrap w:val="0"/>
                  <w:vAlign w:val="center"/>
                </w:tcPr>
                <w:p w14:paraId="7EF43EC3">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lang w:val="en-US" w:eastAsia="zh-CN"/>
                    </w:rPr>
                  </w:pPr>
                  <w:r>
                    <w:rPr>
                      <w:rFonts w:hint="default" w:ascii="Times New Roman" w:hAnsi="Times New Roman" w:cs="Times New Roman"/>
                      <w:b w:val="0"/>
                      <w:bCs/>
                      <w:color w:val="auto"/>
                      <w:szCs w:val="20"/>
                      <w:highlight w:val="none"/>
                      <w:lang w:val="en-US" w:eastAsia="zh-CN"/>
                    </w:rPr>
                    <w:t>非甲烷总烃</w:t>
                  </w:r>
                </w:p>
              </w:tc>
              <w:tc>
                <w:tcPr>
                  <w:tcW w:w="1266" w:type="pct"/>
                  <w:noWrap w:val="0"/>
                  <w:vAlign w:val="center"/>
                </w:tcPr>
                <w:p w14:paraId="20A04967">
                  <w:pPr>
                    <w:keepNext w:val="0"/>
                    <w:keepLines w:val="0"/>
                    <w:suppressLineNumbers w:val="0"/>
                    <w:bidi w:val="0"/>
                    <w:spacing w:before="0" w:beforeAutospacing="0" w:after="0" w:afterAutospacing="0"/>
                    <w:ind w:left="0" w:right="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1次/</w:t>
                  </w:r>
                  <w:r>
                    <w:rPr>
                      <w:rFonts w:hint="eastAsia" w:cs="Times New Roman"/>
                      <w:b w:val="0"/>
                      <w:bCs/>
                      <w:color w:val="auto"/>
                      <w:sz w:val="21"/>
                      <w:szCs w:val="21"/>
                      <w:highlight w:val="none"/>
                      <w:lang w:val="en-US" w:eastAsia="zh-CN"/>
                    </w:rPr>
                    <w:t>半</w:t>
                  </w:r>
                  <w:r>
                    <w:rPr>
                      <w:rFonts w:hint="default" w:ascii="Times New Roman" w:hAnsi="Times New Roman" w:cs="Times New Roman"/>
                      <w:b w:val="0"/>
                      <w:bCs/>
                      <w:color w:val="auto"/>
                      <w:sz w:val="21"/>
                      <w:szCs w:val="21"/>
                      <w:highlight w:val="none"/>
                    </w:rPr>
                    <w:t>年</w:t>
                  </w:r>
                </w:p>
              </w:tc>
            </w:tr>
          </w:tbl>
          <w:p w14:paraId="313B65C7">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5、废气排放的环境影响分析</w:t>
            </w:r>
          </w:p>
          <w:p w14:paraId="34BC23AA">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项目周边500米范围内主要环境保护目标</w:t>
            </w:r>
            <w:r>
              <w:rPr>
                <w:rFonts w:hint="eastAsia" w:cs="Times New Roman"/>
                <w:color w:val="auto"/>
                <w:highlight w:val="none"/>
                <w:lang w:val="en-US" w:eastAsia="zh-CN"/>
              </w:rPr>
              <w:t>为东南侧4</w:t>
            </w:r>
            <w:r>
              <w:rPr>
                <w:rFonts w:hint="eastAsia" w:ascii="Times New Roman" w:hAnsi="Times New Roman" w:eastAsia="宋体" w:cs="Times New Roman"/>
                <w:color w:val="auto"/>
                <w:highlight w:val="none"/>
                <w:lang w:val="en-US" w:eastAsia="zh-CN"/>
              </w:rPr>
              <w:t>41米处的五河致远实验学校</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废气已</w:t>
            </w:r>
            <w:r>
              <w:rPr>
                <w:rFonts w:hint="default" w:ascii="Times New Roman" w:hAnsi="Times New Roman" w:cs="Times New Roman"/>
                <w:color w:val="auto"/>
                <w:highlight w:val="none"/>
              </w:rPr>
              <w:t>采取相应的处理</w:t>
            </w:r>
            <w:r>
              <w:rPr>
                <w:rFonts w:hint="default" w:ascii="Times New Roman" w:hAnsi="Times New Roman" w:cs="Times New Roman"/>
                <w:color w:val="auto"/>
                <w:highlight w:val="none"/>
                <w:lang w:eastAsia="zh-CN"/>
              </w:rPr>
              <w:t>措施</w:t>
            </w:r>
            <w:r>
              <w:rPr>
                <w:rFonts w:hint="default" w:ascii="Times New Roman" w:hAnsi="Times New Roman" w:cs="Times New Roman"/>
                <w:color w:val="auto"/>
                <w:highlight w:val="none"/>
              </w:rPr>
              <w:t>，项目排放的废气对环境保护目标影响较小。</w:t>
            </w:r>
          </w:p>
          <w:p w14:paraId="31FD013A">
            <w:pPr>
              <w:pStyle w:val="42"/>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根据前文中废气污染源源强分析可知：</w:t>
            </w:r>
            <w:r>
              <w:rPr>
                <w:rFonts w:hint="eastAsia" w:cs="Times New Roman"/>
                <w:color w:val="auto"/>
                <w:highlight w:val="none"/>
                <w:lang w:val="en-US" w:eastAsia="zh-CN"/>
              </w:rPr>
              <w:t>加弹废气</w:t>
            </w:r>
            <w:r>
              <w:rPr>
                <w:rFonts w:hint="default" w:ascii="Times New Roman" w:hAnsi="Times New Roman" w:cs="Times New Roman"/>
                <w:color w:val="auto"/>
                <w:highlight w:val="none"/>
              </w:rPr>
              <w:t>经</w:t>
            </w:r>
            <w:r>
              <w:rPr>
                <w:rFonts w:hint="default" w:ascii="Times New Roman" w:hAnsi="Times New Roman" w:cs="Times New Roman"/>
                <w:color w:val="auto"/>
                <w:highlight w:val="none"/>
                <w:lang w:val="en-US" w:eastAsia="zh-CN"/>
              </w:rPr>
              <w:t>收集后由</w:t>
            </w:r>
            <w:r>
              <w:rPr>
                <w:rFonts w:hint="eastAsia" w:cs="Times New Roman"/>
                <w:color w:val="auto"/>
                <w:highlight w:val="none"/>
                <w:lang w:val="en-US" w:eastAsia="zh-CN"/>
              </w:rPr>
              <w:t>活性炭吸附脱附+催化燃烧装置</w:t>
            </w:r>
            <w:r>
              <w:rPr>
                <w:rFonts w:hint="default" w:ascii="Times New Roman" w:hAnsi="Times New Roman" w:cs="Times New Roman"/>
                <w:color w:val="auto"/>
                <w:highlight w:val="none"/>
                <w:lang w:val="en-US" w:eastAsia="zh-CN"/>
              </w:rPr>
              <w:t>处理后由一根15m高排气筒（</w:t>
            </w:r>
            <w:r>
              <w:rPr>
                <w:rFonts w:hint="eastAsia" w:cs="Times New Roman"/>
                <w:color w:val="auto"/>
                <w:highlight w:val="none"/>
                <w:lang w:val="en-US" w:eastAsia="zh-CN"/>
              </w:rPr>
              <w:t>DA001</w:t>
            </w:r>
            <w:r>
              <w:rPr>
                <w:rFonts w:hint="default" w:ascii="Times New Roman" w:hAnsi="Times New Roman" w:cs="Times New Roman"/>
                <w:color w:val="auto"/>
                <w:highlight w:val="none"/>
                <w:lang w:val="en-US" w:eastAsia="zh-CN"/>
              </w:rPr>
              <w:t>）排放</w:t>
            </w:r>
            <w:r>
              <w:rPr>
                <w:rFonts w:hint="default" w:ascii="Times New Roman" w:hAnsi="Times New Roman" w:cs="Times New Roman"/>
                <w:color w:val="auto"/>
                <w:highlight w:val="none"/>
                <w:lang w:eastAsia="zh-CN"/>
              </w:rPr>
              <w:t>；处理后非甲烷总烃排放浓度为</w:t>
            </w:r>
            <w:r>
              <w:rPr>
                <w:rFonts w:hint="eastAsia" w:cs="Times New Roman"/>
                <w:color w:val="auto"/>
                <w:highlight w:val="none"/>
                <w:lang w:val="en-US" w:eastAsia="zh-CN"/>
              </w:rPr>
              <w:t>4.5</w:t>
            </w:r>
            <w:r>
              <w:rPr>
                <w:rFonts w:hint="default" w:ascii="Times New Roman" w:hAnsi="Times New Roman" w:cs="Times New Roman"/>
                <w:color w:val="auto"/>
                <w:highlight w:val="none"/>
                <w:lang w:val="en-US" w:eastAsia="zh-CN"/>
              </w:rPr>
              <w:t>mg/m³</w:t>
            </w:r>
            <w:r>
              <w:rPr>
                <w:rFonts w:hint="eastAsia" w:cs="Times New Roman"/>
                <w:color w:val="auto"/>
                <w:highlight w:val="none"/>
                <w:lang w:val="en-US" w:eastAsia="zh-CN"/>
              </w:rPr>
              <w:t>，</w:t>
            </w:r>
            <w:r>
              <w:rPr>
                <w:rFonts w:hint="default" w:ascii="Times New Roman" w:hAnsi="Times New Roman" w:cs="Times New Roman"/>
                <w:color w:val="auto"/>
                <w:highlight w:val="none"/>
              </w:rPr>
              <w:t>能够</w:t>
            </w:r>
            <w:r>
              <w:rPr>
                <w:rFonts w:hint="default" w:ascii="Times New Roman" w:hAnsi="Times New Roman" w:cs="Times New Roman"/>
                <w:color w:val="auto"/>
                <w:highlight w:val="none"/>
                <w:lang w:val="en-US" w:eastAsia="zh-CN"/>
              </w:rPr>
              <w:t>满足《固定源挥发性有机物综合排放标准第六部分：其他行业》（DB34/4812.6-2024）中相关标准</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非甲烷总烃：</w:t>
            </w:r>
            <w:r>
              <w:rPr>
                <w:rFonts w:hint="eastAsia" w:cs="Times New Roman"/>
                <w:color w:val="auto"/>
                <w:highlight w:val="none"/>
                <w:lang w:val="en-US" w:eastAsia="zh-CN"/>
              </w:rPr>
              <w:t>60</w:t>
            </w:r>
            <w:r>
              <w:rPr>
                <w:rFonts w:hint="default" w:ascii="Times New Roman" w:hAnsi="Times New Roman" w:cs="Times New Roman"/>
                <w:color w:val="auto"/>
                <w:highlight w:val="none"/>
              </w:rPr>
              <w:t>mg/m³</w:t>
            </w:r>
            <w:r>
              <w:rPr>
                <w:rFonts w:hint="eastAsia" w:cs="Times New Roman"/>
                <w:color w:val="auto"/>
                <w:highlight w:val="none"/>
                <w:lang w:eastAsia="zh-CN"/>
              </w:rPr>
              <w:t>，</w:t>
            </w:r>
            <w:r>
              <w:rPr>
                <w:rFonts w:hint="eastAsia" w:cs="Times New Roman"/>
                <w:color w:val="auto"/>
                <w:highlight w:val="none"/>
                <w:lang w:val="en-US" w:eastAsia="zh-CN"/>
              </w:rPr>
              <w:t>3kg/h</w:t>
            </w:r>
            <w:r>
              <w:rPr>
                <w:rFonts w:hint="default" w:ascii="Times New Roman" w:hAnsi="Times New Roman" w:cs="Times New Roman"/>
                <w:color w:val="auto"/>
                <w:highlight w:val="none"/>
              </w:rPr>
              <w:t>）</w:t>
            </w:r>
            <w:r>
              <w:rPr>
                <w:rFonts w:hint="eastAsia" w:cs="Times New Roman"/>
                <w:color w:val="auto"/>
                <w:highlight w:val="none"/>
                <w:lang w:eastAsia="zh-CN"/>
              </w:rPr>
              <w:t>。</w:t>
            </w:r>
            <w:r>
              <w:rPr>
                <w:rFonts w:hint="default" w:ascii="Times New Roman" w:hAnsi="Times New Roman" w:eastAsia="宋体" w:cs="Times New Roman"/>
                <w:color w:val="auto"/>
                <w:highlight w:val="none"/>
              </w:rPr>
              <w:t>因此，项目废气在采取相应环保措施处理后均能达标排放。</w:t>
            </w:r>
          </w:p>
          <w:p w14:paraId="756C60DB">
            <w:pPr>
              <w:pStyle w:val="42"/>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综上所述，项目采取的污染治理措施是可行的，各污染物均能达标排放，并满足相应的废气排放标准限值，不会降低周围环境空气质量现状。</w:t>
            </w:r>
          </w:p>
          <w:p w14:paraId="03F75BFE">
            <w:pPr>
              <w:pStyle w:val="44"/>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二、废水</w:t>
            </w:r>
          </w:p>
          <w:p w14:paraId="16883434">
            <w:pPr>
              <w:pStyle w:val="44"/>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1、废水污染源源强分析</w:t>
            </w:r>
          </w:p>
          <w:p w14:paraId="64120A7A">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（一）给水</w:t>
            </w:r>
          </w:p>
          <w:p w14:paraId="4F2E31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项目用水</w:t>
            </w:r>
            <w:r>
              <w:rPr>
                <w:rFonts w:hint="eastAsia" w:ascii="Times New Roman" w:hAnsi="Times New Roman" w:eastAsia="宋体" w:cs="Times New Roman"/>
                <w:color w:val="auto"/>
                <w:kern w:val="0"/>
                <w:sz w:val="24"/>
                <w:szCs w:val="24"/>
                <w:highlight w:val="none"/>
                <w:lang w:val="en-US" w:eastAsia="zh-CN" w:bidi="ar"/>
              </w:rPr>
              <w:t>由</w:t>
            </w:r>
            <w:r>
              <w:rPr>
                <w:rFonts w:hint="default" w:ascii="Times New Roman" w:hAnsi="Times New Roman" w:eastAsia="宋体" w:cs="Times New Roman"/>
                <w:color w:val="auto"/>
                <w:kern w:val="0"/>
                <w:sz w:val="24"/>
                <w:szCs w:val="24"/>
                <w:highlight w:val="none"/>
                <w:lang w:val="en-US" w:eastAsia="zh-CN" w:bidi="ar"/>
              </w:rPr>
              <w:t>当地自来水管网</w:t>
            </w:r>
            <w:r>
              <w:rPr>
                <w:rFonts w:hint="eastAsia" w:ascii="Times New Roman" w:hAnsi="Times New Roman" w:eastAsia="宋体" w:cs="Times New Roman"/>
                <w:color w:val="auto"/>
                <w:kern w:val="0"/>
                <w:sz w:val="24"/>
                <w:szCs w:val="24"/>
                <w:highlight w:val="none"/>
                <w:lang w:val="en-US" w:eastAsia="zh-CN" w:bidi="ar"/>
              </w:rPr>
              <w:t>供给</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宋体"/>
                <w:color w:val="auto"/>
                <w:kern w:val="0"/>
                <w:sz w:val="24"/>
                <w:szCs w:val="24"/>
                <w:highlight w:val="none"/>
                <w:lang w:val="en-US" w:eastAsia="zh-CN" w:bidi="ar"/>
              </w:rPr>
              <w:t>项目</w:t>
            </w:r>
            <w:r>
              <w:rPr>
                <w:rFonts w:hint="eastAsia" w:ascii="Times New Roman" w:hAnsi="Times New Roman" w:eastAsia="宋体" w:cs="宋体"/>
                <w:color w:val="auto"/>
                <w:kern w:val="0"/>
                <w:sz w:val="24"/>
                <w:szCs w:val="24"/>
                <w:highlight w:val="none"/>
                <w:lang w:val="en-US" w:eastAsia="zh-CN" w:bidi="ar"/>
              </w:rPr>
              <w:t>用</w:t>
            </w:r>
            <w:r>
              <w:rPr>
                <w:rFonts w:hint="default" w:ascii="Times New Roman" w:hAnsi="Times New Roman" w:eastAsia="宋体" w:cs="宋体"/>
                <w:color w:val="auto"/>
                <w:kern w:val="0"/>
                <w:sz w:val="24"/>
                <w:szCs w:val="24"/>
                <w:highlight w:val="none"/>
                <w:lang w:val="en-US" w:eastAsia="zh-CN" w:bidi="ar"/>
              </w:rPr>
              <w:t>水主要包括职工的生活用水</w:t>
            </w:r>
            <w:r>
              <w:rPr>
                <w:rFonts w:hint="eastAsia" w:ascii="Times New Roman" w:hAnsi="Times New Roman" w:eastAsia="宋体" w:cs="宋体"/>
                <w:color w:val="auto"/>
                <w:kern w:val="0"/>
                <w:sz w:val="24"/>
                <w:szCs w:val="24"/>
                <w:highlight w:val="none"/>
                <w:lang w:val="en-US" w:eastAsia="zh-CN" w:bidi="ar"/>
              </w:rPr>
              <w:t>和</w:t>
            </w:r>
            <w:r>
              <w:rPr>
                <w:rFonts w:hint="default" w:ascii="宋体" w:hAnsi="宋体" w:eastAsia="宋体" w:cs="宋体"/>
                <w:snapToGrid w:val="0"/>
                <w:color w:val="000000"/>
                <w:spacing w:val="-1"/>
                <w:kern w:val="0"/>
                <w:sz w:val="24"/>
                <w:szCs w:val="24"/>
                <w:lang w:val="en-US" w:eastAsia="en-US" w:bidi="ar-SA"/>
              </w:rPr>
              <w:t>喷水织机废水、磨毛废水、厂房设备清洁废水</w:t>
            </w:r>
            <w:r>
              <w:rPr>
                <w:rFonts w:hint="eastAsia" w:ascii="Times New Roman" w:hAnsi="Times New Roman" w:eastAsia="宋体" w:cs="宋体"/>
                <w:color w:val="auto"/>
                <w:kern w:val="0"/>
                <w:sz w:val="24"/>
                <w:szCs w:val="24"/>
                <w:highlight w:val="none"/>
                <w:lang w:val="en-US" w:eastAsia="zh-CN" w:bidi="ar"/>
              </w:rPr>
              <w:t>。</w:t>
            </w:r>
          </w:p>
          <w:p w14:paraId="19A392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（1）生活用水</w:t>
            </w:r>
          </w:p>
          <w:p w14:paraId="6BD532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生活用水是指员工办公生活用水，项目劳动定员为</w:t>
            </w:r>
            <w:r>
              <w:rPr>
                <w:rFonts w:hint="eastAsia" w:ascii="Times New Roman" w:hAnsi="Times New Roman" w:eastAsia="宋体" w:cs="Times New Roman"/>
                <w:color w:val="auto"/>
                <w:kern w:val="0"/>
                <w:sz w:val="24"/>
                <w:szCs w:val="24"/>
                <w:highlight w:val="none"/>
                <w:lang w:val="en-US" w:eastAsia="zh-CN" w:bidi="ar"/>
              </w:rPr>
              <w:t>10</w:t>
            </w:r>
            <w:r>
              <w:rPr>
                <w:rFonts w:hint="default" w:ascii="Times New Roman" w:hAnsi="Times New Roman" w:eastAsia="宋体" w:cs="Times New Roman"/>
                <w:color w:val="auto"/>
                <w:kern w:val="0"/>
                <w:sz w:val="24"/>
                <w:szCs w:val="24"/>
                <w:highlight w:val="none"/>
                <w:lang w:val="en-US" w:eastAsia="zh-CN" w:bidi="ar"/>
              </w:rPr>
              <w:t>0人，</w:t>
            </w:r>
            <w:r>
              <w:rPr>
                <w:rFonts w:hint="eastAsia" w:ascii="Times New Roman" w:hAnsi="Times New Roman" w:eastAsia="宋体" w:cs="宋体"/>
                <w:color w:val="auto"/>
                <w:kern w:val="0"/>
                <w:sz w:val="24"/>
                <w:szCs w:val="24"/>
                <w:highlight w:val="none"/>
                <w:lang w:val="en-US" w:eastAsia="zh-CN" w:bidi="ar"/>
              </w:rPr>
              <w:t>根据《安徽省行业用水定额》（DB34/T679-2025）员工</w:t>
            </w:r>
            <w:r>
              <w:rPr>
                <w:rFonts w:hint="default" w:ascii="Times New Roman" w:hAnsi="Times New Roman" w:eastAsia="宋体" w:cs="宋体"/>
                <w:color w:val="auto"/>
                <w:kern w:val="0"/>
                <w:sz w:val="24"/>
                <w:szCs w:val="24"/>
                <w:highlight w:val="none"/>
                <w:lang w:val="en-US" w:eastAsia="zh-CN" w:bidi="ar"/>
              </w:rPr>
              <w:t>生活用水</w:t>
            </w:r>
            <w:r>
              <w:rPr>
                <w:rFonts w:hint="eastAsia" w:ascii="Times New Roman" w:hAnsi="Times New Roman" w:eastAsia="宋体" w:cs="宋体"/>
                <w:color w:val="auto"/>
                <w:kern w:val="0"/>
                <w:sz w:val="24"/>
                <w:szCs w:val="24"/>
                <w:highlight w:val="none"/>
                <w:lang w:val="en-US" w:eastAsia="zh-CN" w:bidi="ar"/>
              </w:rPr>
              <w:t>量</w:t>
            </w:r>
            <w:r>
              <w:rPr>
                <w:rFonts w:hint="default" w:ascii="Times New Roman" w:hAnsi="Times New Roman" w:eastAsia="宋体" w:cs="宋体"/>
                <w:color w:val="auto"/>
                <w:kern w:val="0"/>
                <w:sz w:val="24"/>
                <w:szCs w:val="24"/>
                <w:highlight w:val="none"/>
                <w:lang w:val="en-US" w:eastAsia="zh-CN" w:bidi="ar"/>
              </w:rPr>
              <w:t>按</w:t>
            </w:r>
            <w:r>
              <w:rPr>
                <w:rFonts w:hint="eastAsia" w:ascii="Times New Roman" w:hAnsi="Times New Roman" w:eastAsia="宋体" w:cs="宋体"/>
                <w:color w:val="auto"/>
                <w:kern w:val="0"/>
                <w:sz w:val="24"/>
                <w:szCs w:val="24"/>
                <w:highlight w:val="none"/>
                <w:lang w:val="en-US" w:eastAsia="zh-CN" w:bidi="ar"/>
              </w:rPr>
              <w:t>15m</w:t>
            </w:r>
            <w:r>
              <w:rPr>
                <w:rFonts w:hint="eastAsia" w:ascii="Times New Roman" w:hAnsi="Times New Roman" w:eastAsia="宋体" w:cs="宋体"/>
                <w:color w:val="auto"/>
                <w:kern w:val="0"/>
                <w:sz w:val="24"/>
                <w:szCs w:val="24"/>
                <w:highlight w:val="none"/>
                <w:vertAlign w:val="superscript"/>
                <w:lang w:val="en-US" w:eastAsia="zh-CN" w:bidi="ar"/>
              </w:rPr>
              <w:t>3</w:t>
            </w:r>
            <w:r>
              <w:rPr>
                <w:rFonts w:hint="default" w:ascii="Times New Roman" w:hAnsi="Times New Roman" w:eastAsia="宋体" w:cs="宋体"/>
                <w:color w:val="auto"/>
                <w:kern w:val="0"/>
                <w:sz w:val="24"/>
                <w:szCs w:val="24"/>
                <w:highlight w:val="none"/>
                <w:lang w:val="en-US" w:eastAsia="zh-CN" w:bidi="ar"/>
              </w:rPr>
              <w:t>/人</w:t>
            </w:r>
            <w:r>
              <w:rPr>
                <w:rFonts w:hint="eastAsia" w:ascii="Times New Roman" w:hAnsi="Times New Roman" w:eastAsia="宋体" w:cs="宋体"/>
                <w:color w:val="auto"/>
                <w:kern w:val="0"/>
                <w:sz w:val="24"/>
                <w:szCs w:val="24"/>
                <w:highlight w:val="none"/>
                <w:lang w:val="en-US" w:eastAsia="zh-CN" w:bidi="ar"/>
              </w:rPr>
              <w:t>a</w:t>
            </w:r>
            <w:r>
              <w:rPr>
                <w:rFonts w:hint="default" w:ascii="Times New Roman" w:hAnsi="Times New Roman" w:eastAsia="宋体" w:cs="宋体"/>
                <w:color w:val="auto"/>
                <w:kern w:val="0"/>
                <w:sz w:val="24"/>
                <w:szCs w:val="24"/>
                <w:highlight w:val="none"/>
                <w:lang w:val="en-US" w:eastAsia="zh-CN" w:bidi="ar"/>
              </w:rPr>
              <w:t>计，</w:t>
            </w:r>
            <w:r>
              <w:rPr>
                <w:rFonts w:hint="default" w:ascii="Times New Roman" w:hAnsi="Times New Roman" w:eastAsia="宋体" w:cs="Times New Roman"/>
                <w:color w:val="auto"/>
                <w:kern w:val="0"/>
                <w:sz w:val="24"/>
                <w:szCs w:val="24"/>
                <w:highlight w:val="none"/>
                <w:lang w:val="en-US" w:eastAsia="zh-CN" w:bidi="ar"/>
              </w:rPr>
              <w:t>年用水量为</w:t>
            </w:r>
            <w:r>
              <w:rPr>
                <w:rFonts w:hint="eastAsia" w:ascii="Times New Roman" w:hAnsi="Times New Roman" w:eastAsia="宋体" w:cs="Times New Roman"/>
                <w:color w:val="auto"/>
                <w:kern w:val="0"/>
                <w:sz w:val="24"/>
                <w:szCs w:val="24"/>
                <w:highlight w:val="none"/>
                <w:lang w:val="en-US" w:eastAsia="zh-CN" w:bidi="ar"/>
              </w:rPr>
              <w:t>1500</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5t/d</w:t>
            </w:r>
            <w:r>
              <w:rPr>
                <w:rFonts w:hint="default" w:ascii="Times New Roman" w:hAnsi="Times New Roman" w:eastAsia="宋体" w:cs="Times New Roman"/>
                <w:color w:val="auto"/>
                <w:kern w:val="0"/>
                <w:sz w:val="24"/>
                <w:szCs w:val="24"/>
                <w:highlight w:val="none"/>
                <w:lang w:val="en-US" w:eastAsia="zh-CN" w:bidi="ar"/>
              </w:rPr>
              <w:t>）。</w:t>
            </w:r>
          </w:p>
          <w:p w14:paraId="29A78E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宋体"/>
                <w:color w:val="000000"/>
                <w:kern w:val="0"/>
                <w:sz w:val="24"/>
                <w:szCs w:val="24"/>
                <w:lang w:val="en-US" w:eastAsia="zh-CN" w:bidi="ar"/>
              </w:rPr>
            </w:pPr>
            <w:r>
              <w:rPr>
                <w:rFonts w:hint="eastAsia"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snapToGrid w:val="0"/>
                <w:color w:val="000000"/>
                <w:spacing w:val="-4"/>
                <w:kern w:val="0"/>
                <w:sz w:val="24"/>
                <w:szCs w:val="24"/>
                <w:lang w:val="en-US" w:eastAsia="zh-CN" w:bidi="ar-SA"/>
              </w:rPr>
              <w:t>生产用</w:t>
            </w:r>
            <w:r>
              <w:rPr>
                <w:rFonts w:hint="default" w:ascii="宋体" w:hAnsi="宋体" w:eastAsia="宋体" w:cs="宋体"/>
                <w:snapToGrid w:val="0"/>
                <w:color w:val="000000"/>
                <w:spacing w:val="-4"/>
                <w:kern w:val="0"/>
                <w:sz w:val="24"/>
                <w:szCs w:val="24"/>
                <w:lang w:val="en-US" w:eastAsia="en-US" w:bidi="ar-SA"/>
              </w:rPr>
              <w:t>水</w:t>
            </w:r>
          </w:p>
          <w:p w14:paraId="537508C9">
            <w:pPr>
              <w:keepNext w:val="0"/>
              <w:keepLines w:val="0"/>
              <w:pageBreakBefore w:val="0"/>
              <w:widowControl w:val="0"/>
              <w:suppressLineNumbers w:val="0"/>
              <w:kinsoku/>
              <w:wordWrap/>
              <w:overflowPunct/>
              <w:topLinePunct w:val="0"/>
              <w:autoSpaceDE w:val="0"/>
              <w:autoSpaceDN w:val="0"/>
              <w:bidi w:val="0"/>
              <w:adjustRightInd w:val="0"/>
              <w:snapToGrid w:val="0"/>
              <w:spacing w:before="29" w:beforeAutospacing="0" w:after="0" w:afterAutospacing="0" w:line="218" w:lineRule="auto"/>
              <w:ind w:left="530" w:right="0"/>
              <w:jc w:val="left"/>
              <w:textAlignment w:val="baseline"/>
              <w:rPr>
                <w:rFonts w:hint="default" w:ascii="Arial" w:hAnsi="Arial" w:eastAsia="Arial" w:cs="Arial"/>
                <w:snapToGrid w:val="0"/>
                <w:color w:val="000000"/>
                <w:kern w:val="0"/>
                <w:sz w:val="24"/>
                <w:szCs w:val="24"/>
                <w:lang w:eastAsia="en-US"/>
              </w:rPr>
            </w:pPr>
            <w:r>
              <w:rPr>
                <w:rFonts w:hint="eastAsia" w:ascii="宋体" w:hAnsi="宋体" w:eastAsia="宋体" w:cs="宋体"/>
                <w:snapToGrid w:val="0"/>
                <w:color w:val="000000"/>
                <w:spacing w:val="-2"/>
                <w:kern w:val="0"/>
                <w:sz w:val="24"/>
                <w:szCs w:val="24"/>
                <w:lang w:val="en-US" w:eastAsia="zh-CN" w:bidi="ar-SA"/>
              </w:rPr>
              <w:t>①</w:t>
            </w:r>
            <w:r>
              <w:rPr>
                <w:rFonts w:hint="default" w:ascii="宋体" w:hAnsi="宋体" w:eastAsia="宋体" w:cs="宋体"/>
                <w:snapToGrid w:val="0"/>
                <w:color w:val="000000"/>
                <w:spacing w:val="-2"/>
                <w:kern w:val="0"/>
                <w:sz w:val="24"/>
                <w:szCs w:val="24"/>
                <w:lang w:val="en-US" w:eastAsia="en-US" w:bidi="ar-SA"/>
              </w:rPr>
              <w:t>磨毛</w:t>
            </w:r>
            <w:r>
              <w:rPr>
                <w:rFonts w:hint="eastAsia" w:ascii="宋体" w:hAnsi="宋体" w:eastAsia="宋体" w:cs="宋体"/>
                <w:snapToGrid w:val="0"/>
                <w:color w:val="000000"/>
                <w:spacing w:val="-2"/>
                <w:kern w:val="0"/>
                <w:sz w:val="24"/>
                <w:szCs w:val="24"/>
                <w:lang w:val="en-US" w:eastAsia="zh-CN" w:bidi="ar-SA"/>
              </w:rPr>
              <w:t>用</w:t>
            </w:r>
            <w:r>
              <w:rPr>
                <w:rFonts w:hint="default" w:ascii="宋体" w:hAnsi="宋体" w:eastAsia="宋体" w:cs="宋体"/>
                <w:snapToGrid w:val="0"/>
                <w:color w:val="000000"/>
                <w:spacing w:val="-2"/>
                <w:kern w:val="0"/>
                <w:sz w:val="24"/>
                <w:szCs w:val="24"/>
                <w:lang w:val="en-US" w:eastAsia="en-US" w:bidi="ar-SA"/>
              </w:rPr>
              <w:t>水</w:t>
            </w:r>
          </w:p>
          <w:p w14:paraId="300F9668">
            <w:pPr>
              <w:keepNext w:val="0"/>
              <w:keepLines w:val="0"/>
              <w:pageBreakBefore w:val="0"/>
              <w:widowControl w:val="0"/>
              <w:suppressLineNumbers w:val="0"/>
              <w:kinsoku/>
              <w:wordWrap/>
              <w:overflowPunct/>
              <w:topLinePunct w:val="0"/>
              <w:autoSpaceDE w:val="0"/>
              <w:autoSpaceDN w:val="0"/>
              <w:bidi w:val="0"/>
              <w:adjustRightInd w:val="0"/>
              <w:snapToGrid w:val="0"/>
              <w:spacing w:before="197" w:beforeAutospacing="0" w:after="0" w:afterAutospacing="0" w:line="401" w:lineRule="auto"/>
              <w:ind w:left="105" w:right="27" w:firstLine="486"/>
              <w:jc w:val="left"/>
              <w:textAlignment w:val="baseline"/>
              <w:rPr>
                <w:rFonts w:hint="default" w:ascii="Times New Roman" w:hAnsi="Times New Roman" w:eastAsia="宋体" w:cs="宋体"/>
                <w:snapToGrid w:val="0"/>
                <w:color w:val="000000"/>
                <w:spacing w:val="-7"/>
                <w:kern w:val="0"/>
                <w:sz w:val="24"/>
                <w:szCs w:val="24"/>
                <w:lang w:val="en-US" w:eastAsia="en-US" w:bidi="ar-SA"/>
              </w:rPr>
            </w:pPr>
            <w:r>
              <w:rPr>
                <w:rFonts w:hint="default" w:ascii="Times New Roman" w:hAnsi="Times New Roman" w:eastAsia="宋体" w:cs="宋体"/>
                <w:snapToGrid w:val="0"/>
                <w:color w:val="000000"/>
                <w:spacing w:val="-7"/>
                <w:kern w:val="0"/>
                <w:sz w:val="24"/>
                <w:szCs w:val="24"/>
                <w:lang w:val="en-US" w:eastAsia="en-US" w:bidi="ar-SA"/>
              </w:rPr>
              <w:t>每台磨毛机用水量约为3t/d，本项目共设置</w:t>
            </w:r>
            <w:r>
              <w:rPr>
                <w:rFonts w:hint="eastAsia" w:ascii="Times New Roman" w:hAnsi="Times New Roman" w:eastAsia="宋体" w:cs="宋体"/>
                <w:snapToGrid w:val="0"/>
                <w:color w:val="000000"/>
                <w:spacing w:val="-7"/>
                <w:kern w:val="0"/>
                <w:sz w:val="24"/>
                <w:szCs w:val="24"/>
                <w:lang w:val="en-US" w:eastAsia="zh-CN" w:bidi="ar-SA"/>
              </w:rPr>
              <w:t>1</w:t>
            </w:r>
            <w:r>
              <w:rPr>
                <w:rFonts w:hint="default" w:ascii="Times New Roman" w:hAnsi="Times New Roman" w:eastAsia="宋体" w:cs="宋体"/>
                <w:snapToGrid w:val="0"/>
                <w:color w:val="000000"/>
                <w:spacing w:val="-7"/>
                <w:kern w:val="0"/>
                <w:sz w:val="24"/>
                <w:szCs w:val="24"/>
                <w:lang w:val="en-US" w:eastAsia="en-US" w:bidi="ar-SA"/>
              </w:rPr>
              <w:t>台磨毛机，则磨毛用水量为</w:t>
            </w:r>
            <w:r>
              <w:rPr>
                <w:rFonts w:hint="eastAsia" w:ascii="Times New Roman" w:hAnsi="Times New Roman" w:eastAsia="宋体" w:cs="宋体"/>
                <w:snapToGrid w:val="0"/>
                <w:color w:val="000000"/>
                <w:spacing w:val="-7"/>
                <w:kern w:val="0"/>
                <w:sz w:val="24"/>
                <w:szCs w:val="24"/>
                <w:lang w:val="en-US" w:eastAsia="zh-CN" w:bidi="ar-SA"/>
              </w:rPr>
              <w:t>3</w:t>
            </w:r>
            <w:r>
              <w:rPr>
                <w:rFonts w:hint="default" w:ascii="Times New Roman" w:hAnsi="Times New Roman" w:eastAsia="宋体" w:cs="宋体"/>
                <w:snapToGrid w:val="0"/>
                <w:color w:val="000000"/>
                <w:spacing w:val="-7"/>
                <w:kern w:val="0"/>
                <w:sz w:val="24"/>
                <w:szCs w:val="24"/>
                <w:lang w:val="en-US" w:eastAsia="en-US" w:bidi="ar-SA"/>
              </w:rPr>
              <w:t>t/d（</w:t>
            </w:r>
            <w:r>
              <w:rPr>
                <w:rFonts w:hint="eastAsia" w:cs="宋体"/>
                <w:snapToGrid w:val="0"/>
                <w:color w:val="000000"/>
                <w:spacing w:val="-7"/>
                <w:kern w:val="0"/>
                <w:sz w:val="24"/>
                <w:szCs w:val="24"/>
                <w:lang w:val="en-US" w:eastAsia="zh-CN" w:bidi="ar-SA"/>
              </w:rPr>
              <w:t>9</w:t>
            </w:r>
            <w:r>
              <w:rPr>
                <w:rFonts w:hint="default" w:ascii="Times New Roman" w:hAnsi="Times New Roman" w:eastAsia="宋体" w:cs="宋体"/>
                <w:snapToGrid w:val="0"/>
                <w:color w:val="000000"/>
                <w:spacing w:val="-7"/>
                <w:kern w:val="0"/>
                <w:sz w:val="24"/>
                <w:szCs w:val="24"/>
                <w:lang w:val="en-US" w:eastAsia="en-US" w:bidi="ar-SA"/>
              </w:rPr>
              <w:t>00t/a），</w:t>
            </w:r>
            <w:r>
              <w:rPr>
                <w:rFonts w:hint="eastAsia" w:ascii="Times New Roman" w:hAnsi="Times New Roman" w:eastAsia="宋体" w:cs="宋体"/>
                <w:snapToGrid w:val="0"/>
                <w:color w:val="000000"/>
                <w:spacing w:val="-7"/>
                <w:kern w:val="0"/>
                <w:sz w:val="24"/>
                <w:szCs w:val="24"/>
                <w:lang w:val="en-US" w:eastAsia="zh-CN" w:bidi="ar-SA"/>
              </w:rPr>
              <w:t>产污系数为90%，</w:t>
            </w:r>
            <w:r>
              <w:rPr>
                <w:rFonts w:hint="default" w:ascii="Times New Roman" w:hAnsi="Times New Roman" w:eastAsia="宋体" w:cs="宋体"/>
                <w:snapToGrid w:val="0"/>
                <w:color w:val="000000"/>
                <w:spacing w:val="-7"/>
                <w:kern w:val="0"/>
                <w:sz w:val="24"/>
                <w:szCs w:val="24"/>
                <w:lang w:val="en-US" w:eastAsia="en-US" w:bidi="ar-SA"/>
              </w:rPr>
              <w:t>废水产生量约为</w:t>
            </w:r>
            <w:r>
              <w:rPr>
                <w:rFonts w:hint="eastAsia" w:ascii="Times New Roman" w:hAnsi="Times New Roman" w:eastAsia="宋体" w:cs="宋体"/>
                <w:snapToGrid w:val="0"/>
                <w:color w:val="000000"/>
                <w:spacing w:val="-7"/>
                <w:kern w:val="0"/>
                <w:sz w:val="24"/>
                <w:szCs w:val="24"/>
                <w:lang w:val="en-US" w:eastAsia="zh-CN" w:bidi="ar-SA"/>
              </w:rPr>
              <w:t>2.7</w:t>
            </w:r>
            <w:r>
              <w:rPr>
                <w:rFonts w:hint="default" w:ascii="Times New Roman" w:hAnsi="Times New Roman" w:eastAsia="宋体" w:cs="宋体"/>
                <w:snapToGrid w:val="0"/>
                <w:color w:val="000000"/>
                <w:spacing w:val="-7"/>
                <w:kern w:val="0"/>
                <w:sz w:val="24"/>
                <w:szCs w:val="24"/>
                <w:lang w:val="en-US" w:eastAsia="en-US" w:bidi="ar-SA"/>
              </w:rPr>
              <w:t>t/d（</w:t>
            </w:r>
            <w:r>
              <w:rPr>
                <w:rFonts w:hint="eastAsia" w:ascii="Times New Roman" w:hAnsi="Times New Roman" w:eastAsia="宋体" w:cs="宋体"/>
                <w:snapToGrid w:val="0"/>
                <w:color w:val="000000"/>
                <w:spacing w:val="-7"/>
                <w:kern w:val="0"/>
                <w:sz w:val="24"/>
                <w:szCs w:val="24"/>
                <w:lang w:val="en-US" w:eastAsia="zh-CN" w:bidi="ar-SA"/>
              </w:rPr>
              <w:t>810</w:t>
            </w:r>
            <w:r>
              <w:rPr>
                <w:rFonts w:hint="default" w:ascii="Times New Roman" w:hAnsi="Times New Roman" w:eastAsia="宋体" w:cs="宋体"/>
                <w:snapToGrid w:val="0"/>
                <w:color w:val="000000"/>
                <w:spacing w:val="-7"/>
                <w:kern w:val="0"/>
                <w:sz w:val="24"/>
                <w:szCs w:val="24"/>
                <w:lang w:val="en-US" w:eastAsia="en-US" w:bidi="ar-SA"/>
              </w:rPr>
              <w:t>t/a）。</w:t>
            </w:r>
            <w:r>
              <w:rPr>
                <w:rFonts w:hint="default" w:ascii="Times New Roman" w:hAnsi="Times New Roman" w:eastAsia="宋体" w:cs="宋体"/>
                <w:snapToGrid w:val="0"/>
                <w:color w:val="000000"/>
                <w:spacing w:val="-2"/>
                <w:kern w:val="0"/>
                <w:sz w:val="24"/>
                <w:szCs w:val="24"/>
                <w:lang w:val="en-US" w:eastAsia="en-US" w:bidi="ar-SA"/>
              </w:rPr>
              <w:t>收集后排入厂区内生产废水处理设施。</w:t>
            </w:r>
          </w:p>
          <w:p w14:paraId="0E08B2DA">
            <w:pPr>
              <w:keepNext w:val="0"/>
              <w:keepLines w:val="0"/>
              <w:pageBreakBefore w:val="0"/>
              <w:widowControl w:val="0"/>
              <w:suppressLineNumbers w:val="0"/>
              <w:kinsoku/>
              <w:wordWrap/>
              <w:overflowPunct/>
              <w:topLinePunct w:val="0"/>
              <w:autoSpaceDE w:val="0"/>
              <w:autoSpaceDN w:val="0"/>
              <w:bidi w:val="0"/>
              <w:adjustRightInd w:val="0"/>
              <w:snapToGrid w:val="0"/>
              <w:spacing w:before="34" w:beforeAutospacing="0" w:after="0" w:afterAutospacing="0" w:line="218" w:lineRule="auto"/>
              <w:ind w:left="590" w:right="0"/>
              <w:jc w:val="left"/>
              <w:textAlignment w:val="baseline"/>
              <w:rPr>
                <w:rFonts w:hint="default" w:ascii="Times New Roman" w:hAnsi="Times New Roman" w:eastAsia="宋体" w:cs="宋体"/>
                <w:snapToGrid w:val="0"/>
                <w:color w:val="000000"/>
                <w:kern w:val="0"/>
                <w:sz w:val="24"/>
                <w:szCs w:val="24"/>
                <w:lang w:val="en-US" w:eastAsia="en-US" w:bidi="ar-SA"/>
              </w:rPr>
            </w:pPr>
            <w:r>
              <w:rPr>
                <w:rFonts w:hint="eastAsia" w:ascii="Times New Roman" w:hAnsi="Times New Roman" w:eastAsia="宋体" w:cs="宋体"/>
                <w:snapToGrid w:val="0"/>
                <w:color w:val="000000"/>
                <w:spacing w:val="-1"/>
                <w:kern w:val="0"/>
                <w:sz w:val="24"/>
                <w:szCs w:val="24"/>
                <w:lang w:val="en-US" w:eastAsia="zh-CN" w:bidi="ar-SA"/>
              </w:rPr>
              <w:t>②</w:t>
            </w:r>
            <w:r>
              <w:rPr>
                <w:rFonts w:hint="default" w:ascii="Times New Roman" w:hAnsi="Times New Roman" w:eastAsia="宋体" w:cs="宋体"/>
                <w:snapToGrid w:val="0"/>
                <w:color w:val="000000"/>
                <w:spacing w:val="-1"/>
                <w:kern w:val="0"/>
                <w:sz w:val="24"/>
                <w:szCs w:val="24"/>
                <w:lang w:val="en-US" w:eastAsia="en-US" w:bidi="ar-SA"/>
              </w:rPr>
              <w:t>厂房设备清洁</w:t>
            </w:r>
            <w:r>
              <w:rPr>
                <w:rFonts w:hint="eastAsia" w:ascii="Times New Roman" w:hAnsi="Times New Roman" w:eastAsia="宋体" w:cs="宋体"/>
                <w:snapToGrid w:val="0"/>
                <w:color w:val="000000"/>
                <w:spacing w:val="-1"/>
                <w:kern w:val="0"/>
                <w:sz w:val="24"/>
                <w:szCs w:val="24"/>
                <w:lang w:val="en-US" w:eastAsia="zh-CN" w:bidi="ar-SA"/>
              </w:rPr>
              <w:t>用</w:t>
            </w:r>
            <w:r>
              <w:rPr>
                <w:rFonts w:hint="default" w:ascii="Times New Roman" w:hAnsi="Times New Roman" w:eastAsia="宋体" w:cs="宋体"/>
                <w:snapToGrid w:val="0"/>
                <w:color w:val="000000"/>
                <w:spacing w:val="-1"/>
                <w:kern w:val="0"/>
                <w:sz w:val="24"/>
                <w:szCs w:val="24"/>
                <w:lang w:val="en-US" w:eastAsia="en-US" w:bidi="ar-SA"/>
              </w:rPr>
              <w:t>水</w:t>
            </w:r>
          </w:p>
          <w:p w14:paraId="47264D58">
            <w:pPr>
              <w:keepNext w:val="0"/>
              <w:keepLines w:val="0"/>
              <w:pageBreakBefore w:val="0"/>
              <w:widowControl w:val="0"/>
              <w:suppressLineNumbers w:val="0"/>
              <w:kinsoku/>
              <w:wordWrap/>
              <w:overflowPunct/>
              <w:topLinePunct w:val="0"/>
              <w:autoSpaceDE w:val="0"/>
              <w:autoSpaceDN w:val="0"/>
              <w:bidi w:val="0"/>
              <w:adjustRightInd w:val="0"/>
              <w:snapToGrid w:val="0"/>
              <w:spacing w:before="202" w:beforeAutospacing="0" w:after="0" w:afterAutospacing="0" w:line="387" w:lineRule="auto"/>
              <w:ind w:left="114" w:right="108" w:firstLine="478"/>
              <w:jc w:val="left"/>
              <w:textAlignment w:val="baseline"/>
              <w:rPr>
                <w:rFonts w:hint="default" w:ascii="宋体" w:hAnsi="宋体" w:eastAsia="宋体" w:cs="宋体"/>
                <w:snapToGrid w:val="0"/>
                <w:color w:val="000000"/>
                <w:kern w:val="0"/>
                <w:sz w:val="24"/>
                <w:szCs w:val="24"/>
                <w:lang w:val="en-US" w:eastAsia="en-US" w:bidi="ar-SA"/>
              </w:rPr>
            </w:pPr>
            <w:r>
              <w:rPr>
                <w:rFonts w:hint="default" w:ascii="Times New Roman" w:hAnsi="Times New Roman" w:eastAsia="宋体" w:cs="宋体"/>
                <w:snapToGrid w:val="0"/>
                <w:color w:val="000000"/>
                <w:spacing w:val="-2"/>
                <w:kern w:val="0"/>
                <w:sz w:val="24"/>
                <w:szCs w:val="24"/>
                <w:lang w:val="en-US" w:eastAsia="en-US" w:bidi="ar-SA"/>
              </w:rPr>
              <w:t>根据建设单位提供资料，本项目厂房设备清洁用</w:t>
            </w:r>
            <w:r>
              <w:rPr>
                <w:rFonts w:hint="default" w:ascii="Times New Roman" w:hAnsi="Times New Roman" w:eastAsia="宋体" w:cs="宋体"/>
                <w:snapToGrid w:val="0"/>
                <w:color w:val="000000"/>
                <w:spacing w:val="-3"/>
                <w:kern w:val="0"/>
                <w:sz w:val="24"/>
                <w:szCs w:val="24"/>
                <w:lang w:val="en-US" w:eastAsia="en-US" w:bidi="ar-SA"/>
              </w:rPr>
              <w:t>水量约</w:t>
            </w:r>
            <w:r>
              <w:rPr>
                <w:rFonts w:hint="default" w:ascii="Times New Roman" w:hAnsi="Times New Roman" w:eastAsia="宋体" w:cs="Times New Roman"/>
                <w:snapToGrid w:val="0"/>
                <w:color w:val="000000"/>
                <w:spacing w:val="-3"/>
                <w:kern w:val="0"/>
                <w:sz w:val="24"/>
                <w:szCs w:val="24"/>
                <w:lang w:val="en-US" w:eastAsia="en-US" w:bidi="ar-SA"/>
              </w:rPr>
              <w:t>3.0t/d</w:t>
            </w:r>
            <w:r>
              <w:rPr>
                <w:rFonts w:hint="eastAsia" w:ascii="Times New Roman" w:hAnsi="Times New Roman" w:eastAsia="宋体" w:cs="宋体"/>
                <w:snapToGrid w:val="0"/>
                <w:color w:val="000000"/>
                <w:spacing w:val="-3"/>
                <w:kern w:val="0"/>
                <w:sz w:val="24"/>
                <w:szCs w:val="24"/>
                <w:lang w:val="en-US" w:eastAsia="zh-CN" w:bidi="ar-SA"/>
              </w:rPr>
              <w:t>（</w:t>
            </w:r>
            <w:r>
              <w:rPr>
                <w:rFonts w:hint="default" w:ascii="Times New Roman" w:hAnsi="Times New Roman" w:eastAsia="宋体" w:cs="Times New Roman"/>
                <w:snapToGrid w:val="0"/>
                <w:color w:val="000000"/>
                <w:spacing w:val="-3"/>
                <w:kern w:val="0"/>
                <w:sz w:val="24"/>
                <w:szCs w:val="24"/>
                <w:lang w:val="en-US" w:eastAsia="en-US" w:bidi="ar-SA"/>
              </w:rPr>
              <w:t>900t/a</w:t>
            </w:r>
            <w:r>
              <w:rPr>
                <w:rFonts w:hint="eastAsia" w:ascii="Times New Roman" w:hAnsi="Times New Roman" w:eastAsia="宋体" w:cs="宋体"/>
                <w:snapToGrid w:val="0"/>
                <w:color w:val="000000"/>
                <w:spacing w:val="-3"/>
                <w:kern w:val="0"/>
                <w:sz w:val="24"/>
                <w:szCs w:val="24"/>
                <w:lang w:val="en-US" w:eastAsia="zh-CN" w:bidi="ar-SA"/>
              </w:rPr>
              <w:t>）</w:t>
            </w:r>
            <w:r>
              <w:rPr>
                <w:rFonts w:hint="default" w:ascii="Times New Roman" w:hAnsi="Times New Roman" w:eastAsia="宋体" w:cs="宋体"/>
                <w:snapToGrid w:val="0"/>
                <w:color w:val="000000"/>
                <w:spacing w:val="-3"/>
                <w:kern w:val="0"/>
                <w:sz w:val="24"/>
                <w:szCs w:val="24"/>
                <w:lang w:val="en-US" w:eastAsia="en-US" w:bidi="ar-SA"/>
              </w:rPr>
              <w:t>，</w:t>
            </w:r>
            <w:r>
              <w:rPr>
                <w:rFonts w:hint="eastAsia" w:ascii="Times New Roman" w:hAnsi="Times New Roman" w:eastAsia="宋体" w:cs="宋体"/>
                <w:snapToGrid w:val="0"/>
                <w:color w:val="000000"/>
                <w:spacing w:val="-7"/>
                <w:kern w:val="0"/>
                <w:sz w:val="24"/>
                <w:szCs w:val="24"/>
                <w:lang w:val="en-US" w:eastAsia="zh-CN" w:bidi="ar-SA"/>
              </w:rPr>
              <w:t>产污系数为90%，</w:t>
            </w:r>
            <w:r>
              <w:rPr>
                <w:rFonts w:hint="default" w:ascii="Times New Roman" w:hAnsi="Times New Roman" w:eastAsia="宋体" w:cs="宋体"/>
                <w:snapToGrid w:val="0"/>
                <w:color w:val="000000"/>
                <w:spacing w:val="-7"/>
                <w:kern w:val="0"/>
                <w:sz w:val="24"/>
                <w:szCs w:val="24"/>
                <w:lang w:val="en-US" w:eastAsia="en-US" w:bidi="ar-SA"/>
              </w:rPr>
              <w:t>废水产生量约为</w:t>
            </w:r>
            <w:r>
              <w:rPr>
                <w:rFonts w:hint="eastAsia" w:ascii="Times New Roman" w:hAnsi="Times New Roman" w:eastAsia="宋体" w:cs="宋体"/>
                <w:snapToGrid w:val="0"/>
                <w:color w:val="000000"/>
                <w:spacing w:val="-7"/>
                <w:kern w:val="0"/>
                <w:sz w:val="24"/>
                <w:szCs w:val="24"/>
                <w:lang w:val="en-US" w:eastAsia="zh-CN" w:bidi="ar-SA"/>
              </w:rPr>
              <w:t>2.7</w:t>
            </w:r>
            <w:r>
              <w:rPr>
                <w:rFonts w:hint="default" w:ascii="Times New Roman" w:hAnsi="Times New Roman" w:eastAsia="宋体" w:cs="宋体"/>
                <w:snapToGrid w:val="0"/>
                <w:color w:val="000000"/>
                <w:spacing w:val="-7"/>
                <w:kern w:val="0"/>
                <w:sz w:val="24"/>
                <w:szCs w:val="24"/>
                <w:lang w:val="en-US" w:eastAsia="en-US" w:bidi="ar-SA"/>
              </w:rPr>
              <w:t>t/d（</w:t>
            </w:r>
            <w:r>
              <w:rPr>
                <w:rFonts w:hint="eastAsia" w:ascii="Times New Roman" w:hAnsi="Times New Roman" w:eastAsia="宋体" w:cs="宋体"/>
                <w:snapToGrid w:val="0"/>
                <w:color w:val="000000"/>
                <w:spacing w:val="-7"/>
                <w:kern w:val="0"/>
                <w:sz w:val="24"/>
                <w:szCs w:val="24"/>
                <w:lang w:val="en-US" w:eastAsia="zh-CN" w:bidi="ar-SA"/>
              </w:rPr>
              <w:t>810</w:t>
            </w:r>
            <w:r>
              <w:rPr>
                <w:rFonts w:hint="default" w:ascii="Times New Roman" w:hAnsi="Times New Roman" w:eastAsia="宋体" w:cs="宋体"/>
                <w:snapToGrid w:val="0"/>
                <w:color w:val="000000"/>
                <w:spacing w:val="-7"/>
                <w:kern w:val="0"/>
                <w:sz w:val="24"/>
                <w:szCs w:val="24"/>
                <w:lang w:val="en-US" w:eastAsia="en-US" w:bidi="ar-SA"/>
              </w:rPr>
              <w:t>t/a）。</w:t>
            </w:r>
            <w:r>
              <w:rPr>
                <w:rFonts w:hint="default" w:ascii="Times New Roman" w:hAnsi="Times New Roman" w:eastAsia="宋体" w:cs="宋体"/>
                <w:snapToGrid w:val="0"/>
                <w:color w:val="000000"/>
                <w:spacing w:val="-2"/>
                <w:kern w:val="0"/>
                <w:sz w:val="24"/>
                <w:szCs w:val="24"/>
                <w:lang w:val="en-US" w:eastAsia="en-US" w:bidi="ar-SA"/>
              </w:rPr>
              <w:t>收集后排入厂区内生产废水处理设施。</w:t>
            </w:r>
          </w:p>
          <w:p w14:paraId="0B6C35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③织造用水</w:t>
            </w:r>
          </w:p>
          <w:p w14:paraId="73FCA4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根据纺织行业设备运行经验以及企业提供资料，一台喷水织机用水量约为2.5t/d，本项目共设置800台喷水织机，则喷水织机总用水量约为2000t/d</w:t>
            </w:r>
            <w:r>
              <w:rPr>
                <w:rFonts w:hint="eastAsia" w:ascii="Times New Roman" w:hAnsi="Times New Roman" w:eastAsia="宋体" w:cs="Times New Roman"/>
                <w:color w:val="auto"/>
                <w:kern w:val="0"/>
                <w:sz w:val="24"/>
                <w:szCs w:val="24"/>
                <w:highlight w:val="none"/>
                <w:lang w:val="en-US" w:eastAsia="zh-CN" w:bidi="ar"/>
              </w:rPr>
              <w:t>（600000</w:t>
            </w:r>
            <w:r>
              <w:rPr>
                <w:rFonts w:hint="default" w:ascii="Times New Roman" w:hAnsi="Times New Roman" w:eastAsia="宋体" w:cs="Times New Roman"/>
                <w:color w:val="auto"/>
                <w:kern w:val="0"/>
                <w:sz w:val="24"/>
                <w:szCs w:val="24"/>
                <w:highlight w:val="none"/>
                <w:lang w:val="en-US" w:eastAsia="en-US" w:bidi="ar"/>
              </w:rPr>
              <w:t>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en-US" w:bidi="ar"/>
              </w:rPr>
              <w:t>，织机用水循环使用，每天的废水约20%损耗或进入坯布，其余80%废水进入污水处理站处理后回用，废水产生量为1600t/d（480000t/a）。根据下文水平衡分析可知，</w:t>
            </w:r>
            <w:r>
              <w:rPr>
                <w:rFonts w:hint="eastAsia" w:ascii="Times New Roman" w:hAnsi="Times New Roman" w:eastAsia="宋体" w:cs="Times New Roman"/>
                <w:color w:val="auto"/>
                <w:kern w:val="0"/>
                <w:sz w:val="24"/>
                <w:szCs w:val="24"/>
                <w:highlight w:val="none"/>
                <w:lang w:val="en-US" w:eastAsia="zh-CN" w:bidi="ar"/>
              </w:rPr>
              <w:t>生产废水</w:t>
            </w:r>
            <w:r>
              <w:rPr>
                <w:rFonts w:hint="default" w:ascii="Times New Roman" w:hAnsi="Times New Roman" w:eastAsia="宋体" w:cs="Times New Roman"/>
                <w:color w:val="auto"/>
                <w:kern w:val="0"/>
                <w:sz w:val="24"/>
                <w:szCs w:val="24"/>
                <w:highlight w:val="none"/>
                <w:lang w:val="en-US" w:eastAsia="en-US" w:bidi="ar"/>
              </w:rPr>
              <w:t>收集后经一体化污水处理设备处理后</w:t>
            </w:r>
            <w:r>
              <w:rPr>
                <w:rFonts w:hint="eastAsia" w:cs="Times New Roman"/>
                <w:color w:val="auto"/>
                <w:kern w:val="0"/>
                <w:sz w:val="24"/>
                <w:szCs w:val="24"/>
                <w:highlight w:val="none"/>
                <w:lang w:val="en-US" w:eastAsia="zh-CN" w:bidi="ar"/>
              </w:rPr>
              <w:t>95%</w:t>
            </w:r>
            <w:r>
              <w:rPr>
                <w:rFonts w:hint="default" w:ascii="Times New Roman" w:hAnsi="Times New Roman" w:eastAsia="宋体" w:cs="Times New Roman"/>
                <w:color w:val="auto"/>
                <w:kern w:val="0"/>
                <w:sz w:val="24"/>
                <w:szCs w:val="24"/>
                <w:highlight w:val="none"/>
                <w:lang w:val="en-US" w:eastAsia="en-US" w:bidi="ar"/>
              </w:rPr>
              <w:t>回用于生产，约</w:t>
            </w:r>
            <w:r>
              <w:rPr>
                <w:rFonts w:hint="eastAsia" w:ascii="Times New Roman" w:hAnsi="Times New Roman" w:eastAsia="宋体" w:cs="Times New Roman"/>
                <w:color w:val="auto"/>
                <w:kern w:val="0"/>
                <w:sz w:val="24"/>
                <w:szCs w:val="24"/>
                <w:highlight w:val="none"/>
                <w:lang w:val="en-US" w:eastAsia="zh-CN" w:bidi="ar"/>
              </w:rPr>
              <w:t>1525.13</w:t>
            </w:r>
            <w:r>
              <w:rPr>
                <w:rFonts w:hint="default" w:ascii="Times New Roman" w:hAnsi="Times New Roman" w:eastAsia="宋体" w:cs="Times New Roman"/>
                <w:color w:val="auto"/>
                <w:kern w:val="0"/>
                <w:sz w:val="24"/>
                <w:szCs w:val="24"/>
                <w:highlight w:val="none"/>
                <w:lang w:val="en-US" w:eastAsia="en-US" w:bidi="ar"/>
              </w:rPr>
              <w:t>t/d（</w:t>
            </w:r>
            <w:r>
              <w:rPr>
                <w:rFonts w:hint="eastAsia" w:ascii="Times New Roman" w:hAnsi="Times New Roman" w:eastAsia="宋体" w:cs="Times New Roman"/>
                <w:color w:val="auto"/>
                <w:kern w:val="0"/>
                <w:sz w:val="24"/>
                <w:szCs w:val="24"/>
                <w:highlight w:val="none"/>
                <w:lang w:val="en-US" w:eastAsia="zh-CN" w:bidi="ar"/>
              </w:rPr>
              <w:t>457539</w:t>
            </w:r>
            <w:r>
              <w:rPr>
                <w:rFonts w:hint="default" w:ascii="Times New Roman" w:hAnsi="Times New Roman" w:eastAsia="宋体" w:cs="Times New Roman"/>
                <w:color w:val="auto"/>
                <w:kern w:val="0"/>
                <w:sz w:val="24"/>
                <w:szCs w:val="24"/>
                <w:highlight w:val="none"/>
                <w:lang w:val="en-US" w:eastAsia="en-US" w:bidi="ar"/>
              </w:rPr>
              <w:t>t/a）。回用水来源于经污水处理站处理的喷水织机废水、</w:t>
            </w:r>
            <w:r>
              <w:rPr>
                <w:rFonts w:hint="eastAsia" w:ascii="Times New Roman" w:hAnsi="Times New Roman" w:eastAsia="宋体" w:cs="Times New Roman"/>
                <w:color w:val="auto"/>
                <w:kern w:val="0"/>
                <w:sz w:val="24"/>
                <w:szCs w:val="24"/>
                <w:highlight w:val="none"/>
                <w:lang w:val="en-US" w:eastAsia="zh-CN" w:bidi="ar"/>
              </w:rPr>
              <w:t>磨毛废</w:t>
            </w:r>
            <w:r>
              <w:rPr>
                <w:rFonts w:hint="default" w:ascii="Times New Roman" w:hAnsi="Times New Roman" w:eastAsia="宋体" w:cs="Times New Roman"/>
                <w:color w:val="auto"/>
                <w:kern w:val="0"/>
                <w:sz w:val="24"/>
                <w:szCs w:val="24"/>
                <w:highlight w:val="none"/>
                <w:lang w:val="en-US" w:eastAsia="en-US" w:bidi="ar"/>
              </w:rPr>
              <w:t>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en-US" w:bidi="ar"/>
              </w:rPr>
              <w:t>厂房设备清洁废水。则喷水织机新鲜水补充量为</w:t>
            </w:r>
            <w:r>
              <w:rPr>
                <w:rFonts w:hint="eastAsia" w:ascii="Times New Roman" w:hAnsi="Times New Roman" w:eastAsia="宋体" w:cs="Times New Roman"/>
                <w:color w:val="auto"/>
                <w:kern w:val="0"/>
                <w:sz w:val="24"/>
                <w:szCs w:val="24"/>
                <w:highlight w:val="none"/>
                <w:lang w:val="en-US" w:eastAsia="zh-CN" w:bidi="ar"/>
              </w:rPr>
              <w:t>474.87</w:t>
            </w:r>
            <w:r>
              <w:rPr>
                <w:rFonts w:hint="default" w:ascii="Times New Roman" w:hAnsi="Times New Roman" w:eastAsia="宋体" w:cs="Times New Roman"/>
                <w:color w:val="auto"/>
                <w:kern w:val="0"/>
                <w:sz w:val="24"/>
                <w:szCs w:val="24"/>
                <w:highlight w:val="none"/>
                <w:lang w:val="en-US" w:eastAsia="en-US" w:bidi="ar"/>
              </w:rPr>
              <w:t>t/d（</w:t>
            </w:r>
            <w:r>
              <w:rPr>
                <w:rFonts w:hint="eastAsia" w:ascii="Times New Roman" w:hAnsi="Times New Roman" w:eastAsia="宋体" w:cs="Times New Roman"/>
                <w:color w:val="auto"/>
                <w:kern w:val="0"/>
                <w:sz w:val="24"/>
                <w:szCs w:val="24"/>
                <w:highlight w:val="none"/>
                <w:lang w:val="en-US" w:eastAsia="zh-CN" w:bidi="ar"/>
              </w:rPr>
              <w:t>142461</w:t>
            </w:r>
            <w:r>
              <w:rPr>
                <w:rFonts w:hint="default" w:ascii="Times New Roman" w:hAnsi="Times New Roman" w:eastAsia="宋体" w:cs="Times New Roman"/>
                <w:color w:val="auto"/>
                <w:kern w:val="0"/>
                <w:sz w:val="24"/>
                <w:szCs w:val="24"/>
                <w:highlight w:val="none"/>
                <w:lang w:val="en-US" w:eastAsia="en-US" w:bidi="ar"/>
              </w:rPr>
              <w:t>t/a）。</w:t>
            </w:r>
          </w:p>
          <w:p w14:paraId="17714B29">
            <w:pPr>
              <w:keepNext w:val="0"/>
              <w:keepLines w:val="0"/>
              <w:widowControl w:val="0"/>
              <w:suppressLineNumbers w:val="0"/>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综上，本项目总用水量为485.87t/d（145761t/a）。</w:t>
            </w:r>
          </w:p>
          <w:p w14:paraId="13292F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2、排水</w:t>
            </w:r>
          </w:p>
          <w:p w14:paraId="73789357">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（二）排水</w:t>
            </w:r>
          </w:p>
          <w:p w14:paraId="64B510D9">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项目排水采用雨污分流制。</w:t>
            </w:r>
            <w:r>
              <w:rPr>
                <w:rFonts w:hint="eastAsia" w:ascii="Times New Roman" w:hAnsi="Times New Roman" w:eastAsia="宋体" w:cs="Times New Roman"/>
                <w:color w:val="auto"/>
                <w:kern w:val="0"/>
                <w:sz w:val="24"/>
                <w:szCs w:val="24"/>
                <w:highlight w:val="none"/>
                <w:lang w:val="en-US" w:eastAsia="zh-CN" w:bidi="ar"/>
              </w:rPr>
              <w:t>雨水经雨水管道最终排入</w:t>
            </w:r>
            <w:r>
              <w:rPr>
                <w:rFonts w:hint="eastAsia" w:ascii="Times New Roman" w:hAnsi="Times New Roman" w:eastAsia="宋体" w:cs="宋体"/>
                <w:b w:val="0"/>
                <w:bCs w:val="0"/>
                <w:color w:val="auto"/>
                <w:kern w:val="0"/>
                <w:sz w:val="24"/>
                <w:szCs w:val="24"/>
                <w:highlight w:val="none"/>
                <w:lang w:val="en-US" w:eastAsia="zh-CN" w:bidi="ar"/>
              </w:rPr>
              <w:t>淮</w:t>
            </w:r>
            <w:r>
              <w:rPr>
                <w:rFonts w:hint="default" w:ascii="Times New Roman" w:hAnsi="Times New Roman" w:eastAsia="宋体" w:cs="宋体"/>
                <w:b w:val="0"/>
                <w:bCs w:val="0"/>
                <w:color w:val="auto"/>
                <w:kern w:val="0"/>
                <w:sz w:val="24"/>
                <w:szCs w:val="24"/>
                <w:highlight w:val="none"/>
                <w:lang w:val="en-US" w:eastAsia="zh-CN" w:bidi="ar"/>
              </w:rPr>
              <w:t>河</w:t>
            </w:r>
            <w:r>
              <w:rPr>
                <w:rFonts w:hint="eastAsia" w:ascii="Times New Roman" w:hAnsi="Times New Roman" w:eastAsia="宋体" w:cs="宋体"/>
                <w:b w:val="0"/>
                <w:bCs w:val="0"/>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本</w:t>
            </w:r>
            <w:r>
              <w:rPr>
                <w:rFonts w:hint="default" w:ascii="Times New Roman" w:hAnsi="Times New Roman" w:eastAsia="宋体" w:cs="Times New Roman"/>
                <w:color w:val="auto"/>
                <w:kern w:val="0"/>
                <w:sz w:val="24"/>
                <w:szCs w:val="24"/>
                <w:highlight w:val="none"/>
                <w:lang w:val="en-US" w:eastAsia="zh-CN" w:bidi="ar"/>
              </w:rPr>
              <w:t>项目废水</w:t>
            </w:r>
            <w:r>
              <w:rPr>
                <w:rFonts w:hint="eastAsia" w:ascii="Times New Roman" w:hAnsi="Times New Roman" w:eastAsia="宋体" w:cs="Times New Roman"/>
                <w:color w:val="auto"/>
                <w:kern w:val="0"/>
                <w:sz w:val="24"/>
                <w:szCs w:val="24"/>
                <w:highlight w:val="none"/>
                <w:lang w:val="en-US" w:eastAsia="zh-CN" w:bidi="ar"/>
              </w:rPr>
              <w:t>主要</w:t>
            </w:r>
            <w:r>
              <w:rPr>
                <w:rFonts w:hint="default" w:ascii="Times New Roman" w:hAnsi="Times New Roman" w:eastAsia="宋体" w:cs="Times New Roman"/>
                <w:color w:val="auto"/>
                <w:kern w:val="0"/>
                <w:sz w:val="24"/>
                <w:szCs w:val="24"/>
                <w:highlight w:val="none"/>
                <w:lang w:val="en-US" w:eastAsia="zh-CN" w:bidi="ar"/>
              </w:rPr>
              <w:t>为生活污水</w:t>
            </w:r>
            <w:r>
              <w:rPr>
                <w:rFonts w:hint="eastAsia" w:ascii="Times New Roman" w:hAnsi="Times New Roman" w:eastAsia="宋体" w:cs="Times New Roman"/>
                <w:color w:val="auto"/>
                <w:kern w:val="0"/>
                <w:sz w:val="24"/>
                <w:szCs w:val="24"/>
                <w:highlight w:val="none"/>
                <w:lang w:val="en-US" w:eastAsia="zh-CN" w:bidi="ar"/>
              </w:rPr>
              <w:t>和</w:t>
            </w:r>
            <w:r>
              <w:rPr>
                <w:rFonts w:hint="default" w:ascii="Times New Roman" w:hAnsi="Times New Roman" w:eastAsia="宋体" w:cs="Times New Roman"/>
                <w:color w:val="auto"/>
                <w:kern w:val="0"/>
                <w:sz w:val="24"/>
                <w:szCs w:val="24"/>
                <w:highlight w:val="none"/>
                <w:lang w:val="en-US" w:eastAsia="zh-CN" w:bidi="ar"/>
              </w:rPr>
              <w:t>。</w:t>
            </w:r>
          </w:p>
          <w:p w14:paraId="09ABC2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（1）生活废水</w:t>
            </w:r>
          </w:p>
          <w:p w14:paraId="58F9EB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①</w:t>
            </w:r>
            <w:r>
              <w:rPr>
                <w:rFonts w:hint="default" w:ascii="Times New Roman" w:hAnsi="Times New Roman" w:eastAsia="宋体" w:cs="Times New Roman"/>
                <w:color w:val="auto"/>
                <w:kern w:val="0"/>
                <w:sz w:val="24"/>
                <w:szCs w:val="24"/>
                <w:highlight w:val="none"/>
                <w:lang w:val="en-US" w:eastAsia="zh-CN" w:bidi="ar"/>
              </w:rPr>
              <w:t>项目生活用水量为</w:t>
            </w:r>
            <w:r>
              <w:rPr>
                <w:rFonts w:hint="eastAsia" w:ascii="Times New Roman" w:hAnsi="Times New Roman" w:eastAsia="宋体" w:cs="Times New Roman"/>
                <w:color w:val="auto"/>
                <w:kern w:val="0"/>
                <w:sz w:val="24"/>
                <w:szCs w:val="24"/>
                <w:highlight w:val="none"/>
                <w:lang w:val="en-US" w:eastAsia="zh-CN" w:bidi="ar"/>
              </w:rPr>
              <w:t>1500</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5t/d</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生活用水</w:t>
            </w:r>
            <w:r>
              <w:rPr>
                <w:rFonts w:hint="default" w:ascii="Times New Roman" w:hAnsi="Times New Roman" w:eastAsia="宋体" w:cs="Times New Roman"/>
                <w:color w:val="auto"/>
                <w:kern w:val="0"/>
                <w:sz w:val="24"/>
                <w:szCs w:val="24"/>
                <w:highlight w:val="none"/>
                <w:lang w:val="en-US" w:eastAsia="zh-CN" w:bidi="ar"/>
              </w:rPr>
              <w:t>产污系数按0.8计，则生活污水的产生量为</w:t>
            </w:r>
            <w:r>
              <w:rPr>
                <w:rFonts w:hint="eastAsia" w:ascii="Times New Roman" w:hAnsi="Times New Roman" w:eastAsia="宋体" w:cs="Times New Roman"/>
                <w:color w:val="auto"/>
                <w:kern w:val="0"/>
                <w:sz w:val="24"/>
                <w:szCs w:val="24"/>
                <w:highlight w:val="none"/>
                <w:lang w:val="en-US" w:eastAsia="zh-CN" w:bidi="ar"/>
              </w:rPr>
              <w:t>1200t</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t/d），生活污水经化粪池</w:t>
            </w:r>
            <w:r>
              <w:rPr>
                <w:rFonts w:hint="eastAsia" w:ascii="Times New Roman" w:hAnsi="Times New Roman" w:eastAsia="宋体" w:cs="Times New Roman"/>
                <w:color w:val="auto"/>
                <w:kern w:val="0"/>
                <w:sz w:val="24"/>
                <w:szCs w:val="24"/>
                <w:highlight w:val="none"/>
                <w:lang w:val="en-US" w:eastAsia="zh-CN" w:bidi="ar"/>
              </w:rPr>
              <w:t>收集</w:t>
            </w:r>
            <w:r>
              <w:rPr>
                <w:rFonts w:hint="default" w:ascii="Times New Roman" w:hAnsi="Times New Roman" w:eastAsia="宋体" w:cs="Times New Roman"/>
                <w:color w:val="auto"/>
                <w:kern w:val="0"/>
                <w:sz w:val="24"/>
                <w:szCs w:val="24"/>
                <w:highlight w:val="none"/>
                <w:lang w:val="en-US" w:eastAsia="zh-CN" w:bidi="ar"/>
              </w:rPr>
              <w:t>后经市政污水管网排入</w:t>
            </w:r>
            <w:r>
              <w:rPr>
                <w:rFonts w:hint="eastAsia" w:ascii="Times New Roman" w:hAnsi="Times New Roman" w:eastAsia="宋体" w:cs="Times New Roman"/>
                <w:color w:val="auto"/>
                <w:kern w:val="0"/>
                <w:sz w:val="24"/>
                <w:szCs w:val="24"/>
                <w:highlight w:val="none"/>
                <w:lang w:val="en-US" w:eastAsia="zh-CN" w:bidi="ar"/>
              </w:rPr>
              <w:t>五河经济开发区污水处理厂</w:t>
            </w:r>
            <w:r>
              <w:rPr>
                <w:rFonts w:hint="default" w:ascii="Times New Roman" w:hAnsi="Times New Roman" w:eastAsia="宋体" w:cs="Times New Roman"/>
                <w:color w:val="auto"/>
                <w:kern w:val="0"/>
                <w:sz w:val="24"/>
                <w:szCs w:val="24"/>
                <w:highlight w:val="none"/>
                <w:lang w:val="en-US" w:eastAsia="zh-CN" w:bidi="ar"/>
              </w:rPr>
              <w:t>。</w:t>
            </w:r>
          </w:p>
          <w:p w14:paraId="536C7D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（2）生产废水</w:t>
            </w:r>
          </w:p>
          <w:p w14:paraId="62F2918B">
            <w:pPr>
              <w:keepNext w:val="0"/>
              <w:keepLines w:val="0"/>
              <w:pageBreakBefore w:val="0"/>
              <w:widowControl w:val="0"/>
              <w:suppressLineNumbers w:val="0"/>
              <w:kinsoku/>
              <w:wordWrap/>
              <w:overflowPunct/>
              <w:topLinePunct w:val="0"/>
              <w:autoSpaceDE w:val="0"/>
              <w:autoSpaceDN w:val="0"/>
              <w:bidi w:val="0"/>
              <w:adjustRightInd w:val="0"/>
              <w:snapToGrid w:val="0"/>
              <w:spacing w:before="29" w:beforeAutospacing="0" w:after="0" w:afterAutospacing="0" w:line="218" w:lineRule="auto"/>
              <w:ind w:left="530" w:right="0"/>
              <w:jc w:val="left"/>
              <w:textAlignment w:val="baseline"/>
              <w:rPr>
                <w:rFonts w:hint="default" w:ascii="Arial" w:hAnsi="Arial" w:eastAsia="Arial" w:cs="Arial"/>
                <w:snapToGrid w:val="0"/>
                <w:color w:val="000000"/>
                <w:kern w:val="0"/>
                <w:sz w:val="24"/>
                <w:szCs w:val="24"/>
                <w:lang w:eastAsia="en-US"/>
              </w:rPr>
            </w:pPr>
            <w:r>
              <w:rPr>
                <w:rFonts w:hint="eastAsia" w:ascii="宋体" w:hAnsi="宋体" w:eastAsia="宋体" w:cs="宋体"/>
                <w:snapToGrid w:val="0"/>
                <w:color w:val="000000"/>
                <w:spacing w:val="-2"/>
                <w:kern w:val="0"/>
                <w:sz w:val="24"/>
                <w:szCs w:val="24"/>
                <w:lang w:val="en-US" w:eastAsia="zh-CN" w:bidi="ar-SA"/>
              </w:rPr>
              <w:t>①</w:t>
            </w:r>
            <w:r>
              <w:rPr>
                <w:rFonts w:hint="default" w:ascii="宋体" w:hAnsi="宋体" w:eastAsia="宋体" w:cs="宋体"/>
                <w:snapToGrid w:val="0"/>
                <w:color w:val="000000"/>
                <w:spacing w:val="-2"/>
                <w:kern w:val="0"/>
                <w:sz w:val="24"/>
                <w:szCs w:val="24"/>
                <w:lang w:val="en-US" w:eastAsia="en-US" w:bidi="ar-SA"/>
              </w:rPr>
              <w:t>磨毛</w:t>
            </w:r>
            <w:r>
              <w:rPr>
                <w:rFonts w:hint="eastAsia" w:ascii="宋体" w:hAnsi="宋体" w:eastAsia="宋体" w:cs="宋体"/>
                <w:snapToGrid w:val="0"/>
                <w:color w:val="000000"/>
                <w:spacing w:val="-2"/>
                <w:kern w:val="0"/>
                <w:sz w:val="24"/>
                <w:szCs w:val="24"/>
                <w:lang w:val="en-US" w:eastAsia="zh-CN" w:bidi="ar-SA"/>
              </w:rPr>
              <w:t>用</w:t>
            </w:r>
            <w:r>
              <w:rPr>
                <w:rFonts w:hint="default" w:ascii="宋体" w:hAnsi="宋体" w:eastAsia="宋体" w:cs="宋体"/>
                <w:snapToGrid w:val="0"/>
                <w:color w:val="000000"/>
                <w:spacing w:val="-2"/>
                <w:kern w:val="0"/>
                <w:sz w:val="24"/>
                <w:szCs w:val="24"/>
                <w:lang w:val="en-US" w:eastAsia="en-US" w:bidi="ar-SA"/>
              </w:rPr>
              <w:t>水</w:t>
            </w:r>
          </w:p>
          <w:p w14:paraId="1311C394">
            <w:pPr>
              <w:keepNext w:val="0"/>
              <w:keepLines w:val="0"/>
              <w:pageBreakBefore w:val="0"/>
              <w:widowControl w:val="0"/>
              <w:suppressLineNumbers w:val="0"/>
              <w:kinsoku/>
              <w:wordWrap/>
              <w:overflowPunct/>
              <w:topLinePunct w:val="0"/>
              <w:autoSpaceDE w:val="0"/>
              <w:autoSpaceDN w:val="0"/>
              <w:bidi w:val="0"/>
              <w:adjustRightInd w:val="0"/>
              <w:snapToGrid w:val="0"/>
              <w:spacing w:before="197" w:beforeAutospacing="0" w:after="0" w:afterAutospacing="0" w:line="401" w:lineRule="auto"/>
              <w:ind w:left="105" w:right="27" w:firstLine="486"/>
              <w:jc w:val="left"/>
              <w:textAlignment w:val="baseline"/>
              <w:rPr>
                <w:rFonts w:hint="default" w:ascii="Times New Roman" w:hAnsi="Times New Roman" w:eastAsia="宋体" w:cs="宋体"/>
                <w:snapToGrid w:val="0"/>
                <w:color w:val="000000"/>
                <w:spacing w:val="-7"/>
                <w:kern w:val="0"/>
                <w:sz w:val="24"/>
                <w:szCs w:val="24"/>
                <w:lang w:val="en-US" w:eastAsia="en-US" w:bidi="ar-SA"/>
              </w:rPr>
            </w:pPr>
            <w:r>
              <w:rPr>
                <w:rFonts w:hint="default" w:ascii="Times New Roman" w:hAnsi="Times New Roman" w:eastAsia="宋体" w:cs="宋体"/>
                <w:snapToGrid w:val="0"/>
                <w:color w:val="000000"/>
                <w:spacing w:val="-7"/>
                <w:kern w:val="0"/>
                <w:sz w:val="24"/>
                <w:szCs w:val="24"/>
                <w:lang w:val="en-US" w:eastAsia="en-US" w:bidi="ar-SA"/>
              </w:rPr>
              <w:t>每台磨毛机用水量约为3t/d，本项目共设置</w:t>
            </w:r>
            <w:r>
              <w:rPr>
                <w:rFonts w:hint="eastAsia" w:ascii="Times New Roman" w:hAnsi="Times New Roman" w:eastAsia="宋体" w:cs="宋体"/>
                <w:snapToGrid w:val="0"/>
                <w:color w:val="000000"/>
                <w:spacing w:val="-7"/>
                <w:kern w:val="0"/>
                <w:sz w:val="24"/>
                <w:szCs w:val="24"/>
                <w:lang w:val="en-US" w:eastAsia="zh-CN" w:bidi="ar-SA"/>
              </w:rPr>
              <w:t>1</w:t>
            </w:r>
            <w:r>
              <w:rPr>
                <w:rFonts w:hint="default" w:ascii="Times New Roman" w:hAnsi="Times New Roman" w:eastAsia="宋体" w:cs="宋体"/>
                <w:snapToGrid w:val="0"/>
                <w:color w:val="000000"/>
                <w:spacing w:val="-7"/>
                <w:kern w:val="0"/>
                <w:sz w:val="24"/>
                <w:szCs w:val="24"/>
                <w:lang w:val="en-US" w:eastAsia="en-US" w:bidi="ar-SA"/>
              </w:rPr>
              <w:t>台磨毛机，则磨毛用水量为</w:t>
            </w:r>
            <w:r>
              <w:rPr>
                <w:rFonts w:hint="eastAsia" w:ascii="Times New Roman" w:hAnsi="Times New Roman" w:eastAsia="宋体" w:cs="宋体"/>
                <w:snapToGrid w:val="0"/>
                <w:color w:val="000000"/>
                <w:spacing w:val="-7"/>
                <w:kern w:val="0"/>
                <w:sz w:val="24"/>
                <w:szCs w:val="24"/>
                <w:lang w:val="en-US" w:eastAsia="zh-CN" w:bidi="ar-SA"/>
              </w:rPr>
              <w:t>3</w:t>
            </w:r>
            <w:r>
              <w:rPr>
                <w:rFonts w:hint="default" w:ascii="Times New Roman" w:hAnsi="Times New Roman" w:eastAsia="宋体" w:cs="宋体"/>
                <w:snapToGrid w:val="0"/>
                <w:color w:val="000000"/>
                <w:spacing w:val="-7"/>
                <w:kern w:val="0"/>
                <w:sz w:val="24"/>
                <w:szCs w:val="24"/>
                <w:lang w:val="en-US" w:eastAsia="en-US" w:bidi="ar-SA"/>
              </w:rPr>
              <w:t>t/d（</w:t>
            </w:r>
            <w:r>
              <w:rPr>
                <w:rFonts w:hint="eastAsia" w:cs="宋体"/>
                <w:snapToGrid w:val="0"/>
                <w:color w:val="000000"/>
                <w:spacing w:val="-7"/>
                <w:kern w:val="0"/>
                <w:sz w:val="24"/>
                <w:szCs w:val="24"/>
                <w:lang w:val="en-US" w:eastAsia="zh-CN" w:bidi="ar-SA"/>
              </w:rPr>
              <w:t>9</w:t>
            </w:r>
            <w:r>
              <w:rPr>
                <w:rFonts w:hint="default" w:ascii="Times New Roman" w:hAnsi="Times New Roman" w:eastAsia="宋体" w:cs="宋体"/>
                <w:snapToGrid w:val="0"/>
                <w:color w:val="000000"/>
                <w:spacing w:val="-7"/>
                <w:kern w:val="0"/>
                <w:sz w:val="24"/>
                <w:szCs w:val="24"/>
                <w:lang w:val="en-US" w:eastAsia="en-US" w:bidi="ar-SA"/>
              </w:rPr>
              <w:t>00t/a），</w:t>
            </w:r>
            <w:r>
              <w:rPr>
                <w:rFonts w:hint="eastAsia" w:ascii="Times New Roman" w:hAnsi="Times New Roman" w:eastAsia="宋体" w:cs="宋体"/>
                <w:snapToGrid w:val="0"/>
                <w:color w:val="000000"/>
                <w:spacing w:val="-7"/>
                <w:kern w:val="0"/>
                <w:sz w:val="24"/>
                <w:szCs w:val="24"/>
                <w:lang w:val="en-US" w:eastAsia="zh-CN" w:bidi="ar-SA"/>
              </w:rPr>
              <w:t>产污系数为90%，</w:t>
            </w:r>
            <w:r>
              <w:rPr>
                <w:rFonts w:hint="default" w:ascii="Times New Roman" w:hAnsi="Times New Roman" w:eastAsia="宋体" w:cs="宋体"/>
                <w:snapToGrid w:val="0"/>
                <w:color w:val="000000"/>
                <w:spacing w:val="-7"/>
                <w:kern w:val="0"/>
                <w:sz w:val="24"/>
                <w:szCs w:val="24"/>
                <w:lang w:val="en-US" w:eastAsia="en-US" w:bidi="ar-SA"/>
              </w:rPr>
              <w:t>废水产生量约为</w:t>
            </w:r>
            <w:r>
              <w:rPr>
                <w:rFonts w:hint="eastAsia" w:ascii="Times New Roman" w:hAnsi="Times New Roman" w:eastAsia="宋体" w:cs="宋体"/>
                <w:snapToGrid w:val="0"/>
                <w:color w:val="000000"/>
                <w:spacing w:val="-7"/>
                <w:kern w:val="0"/>
                <w:sz w:val="24"/>
                <w:szCs w:val="24"/>
                <w:lang w:val="en-US" w:eastAsia="zh-CN" w:bidi="ar-SA"/>
              </w:rPr>
              <w:t>2.7</w:t>
            </w:r>
            <w:r>
              <w:rPr>
                <w:rFonts w:hint="default" w:ascii="Times New Roman" w:hAnsi="Times New Roman" w:eastAsia="宋体" w:cs="宋体"/>
                <w:snapToGrid w:val="0"/>
                <w:color w:val="000000"/>
                <w:spacing w:val="-7"/>
                <w:kern w:val="0"/>
                <w:sz w:val="24"/>
                <w:szCs w:val="24"/>
                <w:lang w:val="en-US" w:eastAsia="en-US" w:bidi="ar-SA"/>
              </w:rPr>
              <w:t>t/d（</w:t>
            </w:r>
            <w:r>
              <w:rPr>
                <w:rFonts w:hint="eastAsia" w:ascii="Times New Roman" w:hAnsi="Times New Roman" w:eastAsia="宋体" w:cs="宋体"/>
                <w:snapToGrid w:val="0"/>
                <w:color w:val="000000"/>
                <w:spacing w:val="-7"/>
                <w:kern w:val="0"/>
                <w:sz w:val="24"/>
                <w:szCs w:val="24"/>
                <w:lang w:val="en-US" w:eastAsia="zh-CN" w:bidi="ar-SA"/>
              </w:rPr>
              <w:t>810</w:t>
            </w:r>
            <w:r>
              <w:rPr>
                <w:rFonts w:hint="default" w:ascii="Times New Roman" w:hAnsi="Times New Roman" w:eastAsia="宋体" w:cs="宋体"/>
                <w:snapToGrid w:val="0"/>
                <w:color w:val="000000"/>
                <w:spacing w:val="-7"/>
                <w:kern w:val="0"/>
                <w:sz w:val="24"/>
                <w:szCs w:val="24"/>
                <w:lang w:val="en-US" w:eastAsia="en-US" w:bidi="ar-SA"/>
              </w:rPr>
              <w:t>t/a）。</w:t>
            </w:r>
            <w:r>
              <w:rPr>
                <w:rFonts w:hint="default" w:ascii="Times New Roman" w:hAnsi="Times New Roman" w:eastAsia="宋体" w:cs="宋体"/>
                <w:snapToGrid w:val="0"/>
                <w:color w:val="000000"/>
                <w:spacing w:val="-2"/>
                <w:kern w:val="0"/>
                <w:sz w:val="24"/>
                <w:szCs w:val="24"/>
                <w:lang w:val="en-US" w:eastAsia="en-US" w:bidi="ar-SA"/>
              </w:rPr>
              <w:t>收集后排入厂区内生产废水处理设施。</w:t>
            </w:r>
          </w:p>
          <w:p w14:paraId="2380C9C2">
            <w:pPr>
              <w:keepNext w:val="0"/>
              <w:keepLines w:val="0"/>
              <w:pageBreakBefore w:val="0"/>
              <w:widowControl w:val="0"/>
              <w:suppressLineNumbers w:val="0"/>
              <w:kinsoku/>
              <w:wordWrap/>
              <w:overflowPunct/>
              <w:topLinePunct w:val="0"/>
              <w:autoSpaceDE w:val="0"/>
              <w:autoSpaceDN w:val="0"/>
              <w:bidi w:val="0"/>
              <w:adjustRightInd w:val="0"/>
              <w:snapToGrid w:val="0"/>
              <w:spacing w:before="34" w:beforeAutospacing="0" w:after="0" w:afterAutospacing="0" w:line="218" w:lineRule="auto"/>
              <w:ind w:left="590" w:right="0"/>
              <w:jc w:val="left"/>
              <w:textAlignment w:val="baseline"/>
              <w:rPr>
                <w:rFonts w:hint="default" w:ascii="Times New Roman" w:hAnsi="Times New Roman" w:eastAsia="宋体" w:cs="宋体"/>
                <w:snapToGrid w:val="0"/>
                <w:color w:val="000000"/>
                <w:kern w:val="0"/>
                <w:sz w:val="24"/>
                <w:szCs w:val="24"/>
                <w:lang w:val="en-US" w:eastAsia="en-US" w:bidi="ar-SA"/>
              </w:rPr>
            </w:pPr>
            <w:r>
              <w:rPr>
                <w:rFonts w:hint="eastAsia" w:ascii="Times New Roman" w:hAnsi="Times New Roman" w:eastAsia="宋体" w:cs="宋体"/>
                <w:snapToGrid w:val="0"/>
                <w:color w:val="000000"/>
                <w:spacing w:val="-1"/>
                <w:kern w:val="0"/>
                <w:sz w:val="24"/>
                <w:szCs w:val="24"/>
                <w:lang w:val="en-US" w:eastAsia="zh-CN" w:bidi="ar-SA"/>
              </w:rPr>
              <w:t>②</w:t>
            </w:r>
            <w:r>
              <w:rPr>
                <w:rFonts w:hint="default" w:ascii="Times New Roman" w:hAnsi="Times New Roman" w:eastAsia="宋体" w:cs="宋体"/>
                <w:snapToGrid w:val="0"/>
                <w:color w:val="000000"/>
                <w:spacing w:val="-1"/>
                <w:kern w:val="0"/>
                <w:sz w:val="24"/>
                <w:szCs w:val="24"/>
                <w:lang w:val="en-US" w:eastAsia="en-US" w:bidi="ar-SA"/>
              </w:rPr>
              <w:t>厂房设备清洁</w:t>
            </w:r>
            <w:r>
              <w:rPr>
                <w:rFonts w:hint="eastAsia" w:ascii="Times New Roman" w:hAnsi="Times New Roman" w:eastAsia="宋体" w:cs="宋体"/>
                <w:snapToGrid w:val="0"/>
                <w:color w:val="000000"/>
                <w:spacing w:val="-1"/>
                <w:kern w:val="0"/>
                <w:sz w:val="24"/>
                <w:szCs w:val="24"/>
                <w:lang w:val="en-US" w:eastAsia="zh-CN" w:bidi="ar-SA"/>
              </w:rPr>
              <w:t>用</w:t>
            </w:r>
            <w:r>
              <w:rPr>
                <w:rFonts w:hint="default" w:ascii="Times New Roman" w:hAnsi="Times New Roman" w:eastAsia="宋体" w:cs="宋体"/>
                <w:snapToGrid w:val="0"/>
                <w:color w:val="000000"/>
                <w:spacing w:val="-1"/>
                <w:kern w:val="0"/>
                <w:sz w:val="24"/>
                <w:szCs w:val="24"/>
                <w:lang w:val="en-US" w:eastAsia="en-US" w:bidi="ar-SA"/>
              </w:rPr>
              <w:t>水</w:t>
            </w:r>
          </w:p>
          <w:p w14:paraId="55990712">
            <w:pPr>
              <w:keepNext w:val="0"/>
              <w:keepLines w:val="0"/>
              <w:pageBreakBefore w:val="0"/>
              <w:widowControl w:val="0"/>
              <w:suppressLineNumbers w:val="0"/>
              <w:kinsoku/>
              <w:wordWrap/>
              <w:overflowPunct/>
              <w:topLinePunct w:val="0"/>
              <w:autoSpaceDE w:val="0"/>
              <w:autoSpaceDN w:val="0"/>
              <w:bidi w:val="0"/>
              <w:adjustRightInd w:val="0"/>
              <w:snapToGrid w:val="0"/>
              <w:spacing w:before="202" w:beforeAutospacing="0" w:after="0" w:afterAutospacing="0" w:line="387" w:lineRule="auto"/>
              <w:ind w:left="114" w:right="108" w:firstLine="478"/>
              <w:jc w:val="left"/>
              <w:textAlignment w:val="baseline"/>
              <w:rPr>
                <w:rFonts w:hint="default" w:ascii="宋体" w:hAnsi="宋体" w:eastAsia="宋体" w:cs="宋体"/>
                <w:snapToGrid w:val="0"/>
                <w:color w:val="000000"/>
                <w:kern w:val="0"/>
                <w:sz w:val="24"/>
                <w:szCs w:val="24"/>
                <w:lang w:val="en-US" w:eastAsia="en-US" w:bidi="ar-SA"/>
              </w:rPr>
            </w:pPr>
            <w:r>
              <w:rPr>
                <w:rFonts w:hint="default" w:ascii="Times New Roman" w:hAnsi="Times New Roman" w:eastAsia="宋体" w:cs="宋体"/>
                <w:snapToGrid w:val="0"/>
                <w:color w:val="000000"/>
                <w:spacing w:val="-2"/>
                <w:kern w:val="0"/>
                <w:sz w:val="24"/>
                <w:szCs w:val="24"/>
                <w:lang w:val="en-US" w:eastAsia="en-US" w:bidi="ar-SA"/>
              </w:rPr>
              <w:t>根据建设单位提供资料，本项目厂房设备清洁用</w:t>
            </w:r>
            <w:r>
              <w:rPr>
                <w:rFonts w:hint="default" w:ascii="Times New Roman" w:hAnsi="Times New Roman" w:eastAsia="宋体" w:cs="宋体"/>
                <w:snapToGrid w:val="0"/>
                <w:color w:val="000000"/>
                <w:spacing w:val="-3"/>
                <w:kern w:val="0"/>
                <w:sz w:val="24"/>
                <w:szCs w:val="24"/>
                <w:lang w:val="en-US" w:eastAsia="en-US" w:bidi="ar-SA"/>
              </w:rPr>
              <w:t>水量约</w:t>
            </w:r>
            <w:r>
              <w:rPr>
                <w:rFonts w:hint="default" w:ascii="Times New Roman" w:hAnsi="Times New Roman" w:eastAsia="宋体" w:cs="Times New Roman"/>
                <w:snapToGrid w:val="0"/>
                <w:color w:val="000000"/>
                <w:spacing w:val="-3"/>
                <w:kern w:val="0"/>
                <w:sz w:val="24"/>
                <w:szCs w:val="24"/>
                <w:lang w:val="en-US" w:eastAsia="en-US" w:bidi="ar-SA"/>
              </w:rPr>
              <w:t>3.0t/d</w:t>
            </w:r>
            <w:r>
              <w:rPr>
                <w:rFonts w:hint="eastAsia" w:ascii="Times New Roman" w:hAnsi="Times New Roman" w:eastAsia="宋体" w:cs="宋体"/>
                <w:snapToGrid w:val="0"/>
                <w:color w:val="000000"/>
                <w:spacing w:val="-3"/>
                <w:kern w:val="0"/>
                <w:sz w:val="24"/>
                <w:szCs w:val="24"/>
                <w:lang w:val="en-US" w:eastAsia="zh-CN" w:bidi="ar-SA"/>
              </w:rPr>
              <w:t>（</w:t>
            </w:r>
            <w:r>
              <w:rPr>
                <w:rFonts w:hint="default" w:ascii="Times New Roman" w:hAnsi="Times New Roman" w:eastAsia="宋体" w:cs="Times New Roman"/>
                <w:snapToGrid w:val="0"/>
                <w:color w:val="000000"/>
                <w:spacing w:val="-3"/>
                <w:kern w:val="0"/>
                <w:sz w:val="24"/>
                <w:szCs w:val="24"/>
                <w:lang w:val="en-US" w:eastAsia="en-US" w:bidi="ar-SA"/>
              </w:rPr>
              <w:t>900t/a</w:t>
            </w:r>
            <w:r>
              <w:rPr>
                <w:rFonts w:hint="eastAsia" w:ascii="Times New Roman" w:hAnsi="Times New Roman" w:eastAsia="宋体" w:cs="宋体"/>
                <w:snapToGrid w:val="0"/>
                <w:color w:val="000000"/>
                <w:spacing w:val="-3"/>
                <w:kern w:val="0"/>
                <w:sz w:val="24"/>
                <w:szCs w:val="24"/>
                <w:lang w:val="en-US" w:eastAsia="zh-CN" w:bidi="ar-SA"/>
              </w:rPr>
              <w:t>）</w:t>
            </w:r>
            <w:r>
              <w:rPr>
                <w:rFonts w:hint="default" w:ascii="Times New Roman" w:hAnsi="Times New Roman" w:eastAsia="宋体" w:cs="宋体"/>
                <w:snapToGrid w:val="0"/>
                <w:color w:val="000000"/>
                <w:spacing w:val="-3"/>
                <w:kern w:val="0"/>
                <w:sz w:val="24"/>
                <w:szCs w:val="24"/>
                <w:lang w:val="en-US" w:eastAsia="en-US" w:bidi="ar-SA"/>
              </w:rPr>
              <w:t>，</w:t>
            </w:r>
            <w:r>
              <w:rPr>
                <w:rFonts w:hint="eastAsia" w:ascii="Times New Roman" w:hAnsi="Times New Roman" w:eastAsia="宋体" w:cs="宋体"/>
                <w:snapToGrid w:val="0"/>
                <w:color w:val="000000"/>
                <w:spacing w:val="-7"/>
                <w:kern w:val="0"/>
                <w:sz w:val="24"/>
                <w:szCs w:val="24"/>
                <w:lang w:val="en-US" w:eastAsia="zh-CN" w:bidi="ar-SA"/>
              </w:rPr>
              <w:t>产污系数为90%，</w:t>
            </w:r>
            <w:r>
              <w:rPr>
                <w:rFonts w:hint="default" w:ascii="Times New Roman" w:hAnsi="Times New Roman" w:eastAsia="宋体" w:cs="宋体"/>
                <w:snapToGrid w:val="0"/>
                <w:color w:val="000000"/>
                <w:spacing w:val="-7"/>
                <w:kern w:val="0"/>
                <w:sz w:val="24"/>
                <w:szCs w:val="24"/>
                <w:lang w:val="en-US" w:eastAsia="en-US" w:bidi="ar-SA"/>
              </w:rPr>
              <w:t>废水产生量约为</w:t>
            </w:r>
            <w:r>
              <w:rPr>
                <w:rFonts w:hint="eastAsia" w:ascii="Times New Roman" w:hAnsi="Times New Roman" w:eastAsia="宋体" w:cs="宋体"/>
                <w:snapToGrid w:val="0"/>
                <w:color w:val="000000"/>
                <w:spacing w:val="-7"/>
                <w:kern w:val="0"/>
                <w:sz w:val="24"/>
                <w:szCs w:val="24"/>
                <w:lang w:val="en-US" w:eastAsia="zh-CN" w:bidi="ar-SA"/>
              </w:rPr>
              <w:t>2.7</w:t>
            </w:r>
            <w:r>
              <w:rPr>
                <w:rFonts w:hint="default" w:ascii="Times New Roman" w:hAnsi="Times New Roman" w:eastAsia="宋体" w:cs="宋体"/>
                <w:snapToGrid w:val="0"/>
                <w:color w:val="000000"/>
                <w:spacing w:val="-7"/>
                <w:kern w:val="0"/>
                <w:sz w:val="24"/>
                <w:szCs w:val="24"/>
                <w:lang w:val="en-US" w:eastAsia="en-US" w:bidi="ar-SA"/>
              </w:rPr>
              <w:t>t/d（</w:t>
            </w:r>
            <w:r>
              <w:rPr>
                <w:rFonts w:hint="eastAsia" w:ascii="Times New Roman" w:hAnsi="Times New Roman" w:eastAsia="宋体" w:cs="宋体"/>
                <w:snapToGrid w:val="0"/>
                <w:color w:val="000000"/>
                <w:spacing w:val="-7"/>
                <w:kern w:val="0"/>
                <w:sz w:val="24"/>
                <w:szCs w:val="24"/>
                <w:lang w:val="en-US" w:eastAsia="zh-CN" w:bidi="ar-SA"/>
              </w:rPr>
              <w:t>810</w:t>
            </w:r>
            <w:r>
              <w:rPr>
                <w:rFonts w:hint="default" w:ascii="Times New Roman" w:hAnsi="Times New Roman" w:eastAsia="宋体" w:cs="宋体"/>
                <w:snapToGrid w:val="0"/>
                <w:color w:val="000000"/>
                <w:spacing w:val="-7"/>
                <w:kern w:val="0"/>
                <w:sz w:val="24"/>
                <w:szCs w:val="24"/>
                <w:lang w:val="en-US" w:eastAsia="en-US" w:bidi="ar-SA"/>
              </w:rPr>
              <w:t>t/a）。</w:t>
            </w:r>
            <w:r>
              <w:rPr>
                <w:rFonts w:hint="default" w:ascii="Times New Roman" w:hAnsi="Times New Roman" w:eastAsia="宋体" w:cs="宋体"/>
                <w:snapToGrid w:val="0"/>
                <w:color w:val="000000"/>
                <w:spacing w:val="-2"/>
                <w:kern w:val="0"/>
                <w:sz w:val="24"/>
                <w:szCs w:val="24"/>
                <w:lang w:val="en-US" w:eastAsia="en-US" w:bidi="ar-SA"/>
              </w:rPr>
              <w:t>收集后排入厂区内生产废水处理设施。</w:t>
            </w:r>
          </w:p>
          <w:p w14:paraId="1821A1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③织造用水</w:t>
            </w:r>
          </w:p>
          <w:p w14:paraId="45477E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kern w:val="0"/>
                <w:sz w:val="24"/>
                <w:szCs w:val="24"/>
                <w:highlight w:val="none"/>
                <w:lang w:val="en-US" w:eastAsia="en-US" w:bidi="ar"/>
              </w:rPr>
              <w:t>根据纺织行业设备运行经验以及企业提供资料，一台喷水织机用水量约为2.5t/d，本项目共设置800台喷水织机，则喷水织机总用水量约为2000t/d</w:t>
            </w:r>
            <w:r>
              <w:rPr>
                <w:rFonts w:hint="eastAsia" w:ascii="Times New Roman" w:hAnsi="Times New Roman" w:eastAsia="宋体" w:cs="Times New Roman"/>
                <w:color w:val="auto"/>
                <w:kern w:val="0"/>
                <w:sz w:val="24"/>
                <w:szCs w:val="24"/>
                <w:highlight w:val="none"/>
                <w:lang w:val="en-US" w:eastAsia="zh-CN" w:bidi="ar"/>
              </w:rPr>
              <w:t>（600000</w:t>
            </w:r>
            <w:r>
              <w:rPr>
                <w:rFonts w:hint="default" w:ascii="Times New Roman" w:hAnsi="Times New Roman" w:eastAsia="宋体" w:cs="Times New Roman"/>
                <w:color w:val="auto"/>
                <w:kern w:val="0"/>
                <w:sz w:val="24"/>
                <w:szCs w:val="24"/>
                <w:highlight w:val="none"/>
                <w:lang w:val="en-US" w:eastAsia="en-US" w:bidi="ar"/>
              </w:rPr>
              <w:t>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en-US" w:bidi="ar"/>
              </w:rPr>
              <w:t>，织机用水循环使用，每天的废水约20%损耗或进入坯布，其余80%废水进入污水处理站处理后回用，废水产生量为1600t/d（480000t/a）。</w:t>
            </w:r>
          </w:p>
          <w:p w14:paraId="76F148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宋体" w:hAnsi="宋体" w:eastAsia="宋体" w:cs="宋体"/>
                <w:snapToGrid w:val="0"/>
                <w:color w:val="000000"/>
                <w:spacing w:val="-2"/>
                <w:kern w:val="0"/>
                <w:sz w:val="24"/>
                <w:szCs w:val="24"/>
                <w:lang w:val="en-US" w:eastAsia="en-US" w:bidi="ar-SA"/>
              </w:rPr>
              <w:t>磨毛</w:t>
            </w:r>
            <w:r>
              <w:rPr>
                <w:rFonts w:hint="eastAsia" w:ascii="Times New Roman" w:hAnsi="Times New Roman" w:eastAsia="宋体" w:cs="Times New Roman"/>
                <w:color w:val="auto"/>
                <w:kern w:val="0"/>
                <w:sz w:val="24"/>
                <w:szCs w:val="24"/>
                <w:highlight w:val="none"/>
                <w:lang w:val="en-US" w:eastAsia="zh-CN" w:bidi="ar"/>
              </w:rPr>
              <w:t>废水</w:t>
            </w:r>
            <w:r>
              <w:rPr>
                <w:rFonts w:hint="eastAsia" w:ascii="宋体" w:hAnsi="宋体" w:eastAsia="宋体" w:cs="宋体"/>
                <w:snapToGrid w:val="0"/>
                <w:color w:val="000000"/>
                <w:spacing w:val="-2"/>
                <w:kern w:val="0"/>
                <w:sz w:val="24"/>
                <w:szCs w:val="24"/>
                <w:lang w:val="en-US" w:eastAsia="zh-CN" w:bidi="ar-SA"/>
              </w:rPr>
              <w:t>、</w:t>
            </w:r>
            <w:r>
              <w:rPr>
                <w:rFonts w:hint="default" w:ascii="Times New Roman" w:hAnsi="Times New Roman" w:eastAsia="宋体" w:cs="宋体"/>
                <w:snapToGrid w:val="0"/>
                <w:color w:val="000000"/>
                <w:spacing w:val="-1"/>
                <w:kern w:val="0"/>
                <w:sz w:val="24"/>
                <w:szCs w:val="24"/>
                <w:lang w:val="en-US" w:eastAsia="en-US" w:bidi="ar-SA"/>
              </w:rPr>
              <w:t>厂房设备清洁</w:t>
            </w:r>
            <w:r>
              <w:rPr>
                <w:rFonts w:hint="eastAsia" w:ascii="Times New Roman" w:hAnsi="Times New Roman" w:eastAsia="宋体" w:cs="Times New Roman"/>
                <w:color w:val="auto"/>
                <w:kern w:val="0"/>
                <w:sz w:val="24"/>
                <w:szCs w:val="24"/>
                <w:highlight w:val="none"/>
                <w:lang w:val="en-US" w:eastAsia="zh-CN" w:bidi="ar"/>
              </w:rPr>
              <w:t>废水</w:t>
            </w:r>
            <w:r>
              <w:rPr>
                <w:rFonts w:hint="eastAsia" w:ascii="Times New Roman" w:hAnsi="Times New Roman" w:eastAsia="宋体" w:cs="宋体"/>
                <w:snapToGrid w:val="0"/>
                <w:color w:val="000000"/>
                <w:spacing w:val="-1"/>
                <w:kern w:val="0"/>
                <w:sz w:val="24"/>
                <w:szCs w:val="24"/>
                <w:lang w:val="en-US" w:eastAsia="zh-CN" w:bidi="ar-SA"/>
              </w:rPr>
              <w:t>、</w:t>
            </w:r>
            <w:r>
              <w:rPr>
                <w:rFonts w:hint="eastAsia" w:ascii="Times New Roman" w:hAnsi="Times New Roman" w:eastAsia="宋体" w:cs="Times New Roman"/>
                <w:color w:val="auto"/>
                <w:kern w:val="0"/>
                <w:sz w:val="24"/>
                <w:szCs w:val="24"/>
                <w:highlight w:val="none"/>
                <w:lang w:val="en-US" w:eastAsia="zh-CN" w:bidi="ar"/>
              </w:rPr>
              <w:t>织造废水</w:t>
            </w:r>
            <w:r>
              <w:rPr>
                <w:rFonts w:hint="default" w:ascii="Times New Roman" w:hAnsi="Times New Roman" w:eastAsia="宋体" w:cs="Times New Roman"/>
                <w:color w:val="auto"/>
                <w:kern w:val="0"/>
                <w:sz w:val="24"/>
                <w:szCs w:val="24"/>
                <w:highlight w:val="none"/>
                <w:lang w:val="en-US" w:eastAsia="en-US" w:bidi="ar"/>
              </w:rPr>
              <w:t>收集后经一体化污水处理设备处理后9</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en-US" w:bidi="ar"/>
              </w:rPr>
              <w:t>%回用于生产，约</w:t>
            </w:r>
            <w:r>
              <w:rPr>
                <w:rFonts w:hint="eastAsia" w:ascii="Times New Roman" w:hAnsi="Times New Roman" w:eastAsia="宋体" w:cs="Times New Roman"/>
                <w:color w:val="auto"/>
                <w:kern w:val="0"/>
                <w:sz w:val="24"/>
                <w:szCs w:val="24"/>
                <w:highlight w:val="none"/>
                <w:lang w:val="en-US" w:eastAsia="zh-CN" w:bidi="ar"/>
              </w:rPr>
              <w:t>1525.13</w:t>
            </w:r>
            <w:r>
              <w:rPr>
                <w:rFonts w:hint="default" w:ascii="Times New Roman" w:hAnsi="Times New Roman" w:eastAsia="宋体" w:cs="Times New Roman"/>
                <w:color w:val="auto"/>
                <w:kern w:val="0"/>
                <w:sz w:val="24"/>
                <w:szCs w:val="24"/>
                <w:highlight w:val="none"/>
                <w:lang w:val="en-US" w:eastAsia="en-US" w:bidi="ar"/>
              </w:rPr>
              <w:t>t/d（</w:t>
            </w:r>
            <w:r>
              <w:rPr>
                <w:rFonts w:hint="eastAsia" w:ascii="Times New Roman" w:hAnsi="Times New Roman" w:eastAsia="宋体" w:cs="Times New Roman"/>
                <w:color w:val="auto"/>
                <w:kern w:val="0"/>
                <w:sz w:val="24"/>
                <w:szCs w:val="24"/>
                <w:highlight w:val="none"/>
                <w:lang w:val="en-US" w:eastAsia="zh-CN" w:bidi="ar"/>
              </w:rPr>
              <w:t>457539</w:t>
            </w:r>
            <w:r>
              <w:rPr>
                <w:rFonts w:hint="default" w:ascii="Times New Roman" w:hAnsi="Times New Roman" w:eastAsia="宋体" w:cs="Times New Roman"/>
                <w:color w:val="auto"/>
                <w:kern w:val="0"/>
                <w:sz w:val="24"/>
                <w:szCs w:val="24"/>
                <w:highlight w:val="none"/>
                <w:lang w:val="en-US" w:eastAsia="en-US" w:bidi="ar"/>
              </w:rPr>
              <w:t>t/a）。</w:t>
            </w:r>
            <w:r>
              <w:rPr>
                <w:rFonts w:hint="eastAsia" w:ascii="Times New Roman" w:hAnsi="Times New Roman" w:eastAsia="宋体" w:cs="Times New Roman"/>
                <w:color w:val="auto"/>
                <w:kern w:val="0"/>
                <w:sz w:val="24"/>
                <w:szCs w:val="24"/>
                <w:highlight w:val="none"/>
                <w:lang w:val="en-US" w:eastAsia="zh-CN" w:bidi="ar"/>
              </w:rPr>
              <w:t>5%</w:t>
            </w:r>
            <w:r>
              <w:rPr>
                <w:rFonts w:hint="eastAsia" w:ascii="Times New Roman" w:hAnsi="Times New Roman" w:eastAsia="宋体" w:cs="宋体"/>
                <w:color w:val="000000"/>
                <w:kern w:val="0"/>
                <w:sz w:val="24"/>
                <w:szCs w:val="24"/>
                <w:lang w:val="en-US" w:eastAsia="zh-CN" w:bidi="ar"/>
              </w:rPr>
              <w:t>，约80.27</w:t>
            </w:r>
            <w:r>
              <w:rPr>
                <w:rFonts w:hint="default" w:ascii="Times New Roman" w:hAnsi="Times New Roman" w:eastAsia="宋体" w:cs="Times New Roman"/>
                <w:color w:val="auto"/>
                <w:kern w:val="0"/>
                <w:sz w:val="24"/>
                <w:szCs w:val="24"/>
                <w:highlight w:val="none"/>
                <w:lang w:val="en-US" w:eastAsia="en-US" w:bidi="ar"/>
              </w:rPr>
              <w:t>t/d（</w:t>
            </w:r>
            <w:r>
              <w:rPr>
                <w:rFonts w:hint="eastAsia" w:ascii="Times New Roman" w:hAnsi="Times New Roman" w:eastAsia="宋体" w:cs="Times New Roman"/>
                <w:color w:val="auto"/>
                <w:kern w:val="0"/>
                <w:sz w:val="24"/>
                <w:szCs w:val="24"/>
                <w:highlight w:val="none"/>
                <w:lang w:val="en-US" w:eastAsia="zh-CN" w:bidi="ar"/>
              </w:rPr>
              <w:t>24081</w:t>
            </w:r>
            <w:r>
              <w:rPr>
                <w:rFonts w:hint="default" w:ascii="Times New Roman" w:hAnsi="Times New Roman" w:eastAsia="宋体" w:cs="Times New Roman"/>
                <w:color w:val="auto"/>
                <w:kern w:val="0"/>
                <w:sz w:val="24"/>
                <w:szCs w:val="24"/>
                <w:highlight w:val="none"/>
                <w:lang w:val="en-US" w:eastAsia="en-US" w:bidi="ar"/>
              </w:rPr>
              <w:t>t/a）</w:t>
            </w:r>
            <w:r>
              <w:rPr>
                <w:rFonts w:hint="eastAsia" w:ascii="Times New Roman" w:hAnsi="Times New Roman" w:eastAsia="宋体" w:cs="Times New Roman"/>
                <w:color w:val="auto"/>
                <w:kern w:val="0"/>
                <w:sz w:val="24"/>
                <w:szCs w:val="24"/>
                <w:lang w:val="en-US" w:eastAsia="zh-CN" w:bidi="ar"/>
              </w:rPr>
              <w:t>通过厂区污水处理站处理后排入</w:t>
            </w:r>
            <w:r>
              <w:rPr>
                <w:rFonts w:hint="eastAsia" w:ascii="Times New Roman" w:hAnsi="Times New Roman" w:eastAsia="宋体" w:cs="宋体"/>
                <w:color w:val="auto"/>
                <w:kern w:val="0"/>
                <w:sz w:val="24"/>
                <w:szCs w:val="24"/>
                <w:vertAlign w:val="baseline"/>
                <w:lang w:val="en-US" w:eastAsia="zh-CN" w:bidi="ar"/>
              </w:rPr>
              <w:t>五河县经济开发区污水处理厂进行进一步处理。</w:t>
            </w:r>
          </w:p>
          <w:p w14:paraId="199F9B2E">
            <w:pPr>
              <w:keepNext w:val="0"/>
              <w:keepLines w:val="0"/>
              <w:widowControl/>
              <w:suppressLineNumbers w:val="0"/>
              <w:adjustRightInd w:val="0"/>
              <w:snapToGrid w:val="0"/>
              <w:spacing w:before="0" w:beforeAutospacing="0" w:after="0" w:afterAutospacing="0" w:line="360" w:lineRule="auto"/>
              <w:ind w:left="0" w:right="0" w:firstLine="476" w:firstLineChars="200"/>
              <w:rPr>
                <w:rFonts w:hint="default" w:ascii="宋体" w:hAnsi="宋体" w:eastAsia="宋体" w:cs="宋体"/>
                <w:snapToGrid w:val="0"/>
                <w:color w:val="000000"/>
                <w:spacing w:val="-1"/>
                <w:kern w:val="0"/>
                <w:sz w:val="24"/>
                <w:szCs w:val="24"/>
                <w:lang w:val="en-US" w:eastAsia="en-US" w:bidi="ar-SA"/>
              </w:rPr>
            </w:pPr>
            <w:r>
              <w:rPr>
                <w:rFonts w:hint="default" w:ascii="宋体" w:hAnsi="宋体" w:eastAsia="宋体" w:cs="宋体"/>
                <w:snapToGrid w:val="0"/>
                <w:color w:val="000000"/>
                <w:spacing w:val="-1"/>
                <w:kern w:val="0"/>
                <w:sz w:val="24"/>
                <w:szCs w:val="24"/>
                <w:lang w:val="en-US" w:eastAsia="en-US" w:bidi="ar-SA"/>
              </w:rPr>
              <w:t>本次项目生产废水</w:t>
            </w:r>
            <w:r>
              <w:rPr>
                <w:rFonts w:hint="default" w:ascii="Times New Roman" w:hAnsi="Times New Roman" w:eastAsia="Times New Roman" w:cs="Times New Roman"/>
                <w:snapToGrid w:val="0"/>
                <w:color w:val="000000"/>
                <w:spacing w:val="-1"/>
                <w:kern w:val="0"/>
                <w:sz w:val="24"/>
                <w:szCs w:val="24"/>
                <w:lang w:val="en-US" w:eastAsia="en-US" w:bidi="ar-SA"/>
              </w:rPr>
              <w:t>PH</w:t>
            </w:r>
            <w:r>
              <w:rPr>
                <w:rFonts w:hint="default" w:ascii="宋体" w:hAnsi="宋体" w:eastAsia="宋体" w:cs="宋体"/>
                <w:snapToGrid w:val="0"/>
                <w:color w:val="000000"/>
                <w:spacing w:val="-1"/>
                <w:kern w:val="0"/>
                <w:sz w:val="24"/>
                <w:szCs w:val="24"/>
                <w:lang w:val="en-US" w:eastAsia="en-US" w:bidi="ar-SA"/>
              </w:rPr>
              <w:t>、</w:t>
            </w:r>
            <w:r>
              <w:rPr>
                <w:rFonts w:hint="default" w:ascii="Times New Roman" w:hAnsi="Times New Roman" w:eastAsia="Times New Roman" w:cs="Times New Roman"/>
                <w:snapToGrid w:val="0"/>
                <w:color w:val="000000"/>
                <w:spacing w:val="-1"/>
                <w:kern w:val="0"/>
                <w:sz w:val="24"/>
                <w:szCs w:val="24"/>
                <w:lang w:val="en-US" w:eastAsia="en-US" w:bidi="ar-SA"/>
              </w:rPr>
              <w:t>COD</w:t>
            </w:r>
            <w:r>
              <w:rPr>
                <w:rFonts w:hint="default" w:ascii="宋体" w:hAnsi="宋体" w:eastAsia="宋体" w:cs="宋体"/>
                <w:snapToGrid w:val="0"/>
                <w:color w:val="000000"/>
                <w:spacing w:val="-1"/>
                <w:kern w:val="0"/>
                <w:sz w:val="24"/>
                <w:szCs w:val="24"/>
                <w:lang w:val="en-US" w:eastAsia="en-US" w:bidi="ar-SA"/>
              </w:rPr>
              <w:t>、</w:t>
            </w:r>
            <w:r>
              <w:rPr>
                <w:rFonts w:hint="default" w:ascii="Times New Roman" w:hAnsi="Times New Roman" w:eastAsia="Times New Roman" w:cs="Times New Roman"/>
                <w:snapToGrid w:val="0"/>
                <w:color w:val="000000"/>
                <w:spacing w:val="-1"/>
                <w:kern w:val="0"/>
                <w:sz w:val="24"/>
                <w:szCs w:val="24"/>
                <w:lang w:val="en-US" w:eastAsia="en-US" w:bidi="ar-SA"/>
              </w:rPr>
              <w:t>NH</w:t>
            </w:r>
            <w:r>
              <w:rPr>
                <w:rFonts w:hint="default" w:ascii="Times New Roman" w:hAnsi="Times New Roman" w:eastAsia="Times New Roman" w:cs="Times New Roman"/>
                <w:snapToGrid w:val="0"/>
                <w:color w:val="000000"/>
                <w:spacing w:val="-1"/>
                <w:kern w:val="0"/>
                <w:position w:val="-1"/>
                <w:sz w:val="15"/>
                <w:szCs w:val="15"/>
                <w:lang w:val="en-US" w:eastAsia="en-US" w:bidi="ar-SA"/>
              </w:rPr>
              <w:t>3</w:t>
            </w:r>
            <w:r>
              <w:rPr>
                <w:rFonts w:hint="default" w:ascii="宋体" w:hAnsi="宋体" w:eastAsia="宋体" w:cs="宋体"/>
                <w:snapToGrid w:val="0"/>
                <w:color w:val="000000"/>
                <w:spacing w:val="-1"/>
                <w:kern w:val="0"/>
                <w:sz w:val="24"/>
                <w:szCs w:val="24"/>
                <w:lang w:val="en-US" w:eastAsia="en-US" w:bidi="ar-SA"/>
              </w:rPr>
              <w:t>、</w:t>
            </w:r>
            <w:r>
              <w:rPr>
                <w:rFonts w:hint="default" w:ascii="Times New Roman" w:hAnsi="Times New Roman" w:eastAsia="Times New Roman" w:cs="Times New Roman"/>
                <w:snapToGrid w:val="0"/>
                <w:color w:val="000000"/>
                <w:spacing w:val="-2"/>
                <w:kern w:val="0"/>
                <w:sz w:val="24"/>
                <w:szCs w:val="24"/>
                <w:lang w:val="en-US" w:eastAsia="en-US" w:bidi="ar-SA"/>
              </w:rPr>
              <w:t>SS</w:t>
            </w:r>
            <w:r>
              <w:rPr>
                <w:rFonts w:hint="default" w:ascii="宋体" w:hAnsi="宋体" w:eastAsia="宋体" w:cs="宋体"/>
                <w:snapToGrid w:val="0"/>
                <w:color w:val="000000"/>
                <w:spacing w:val="-2"/>
                <w:kern w:val="0"/>
                <w:sz w:val="24"/>
                <w:szCs w:val="24"/>
                <w:lang w:val="en-US" w:eastAsia="en-US" w:bidi="ar-SA"/>
              </w:rPr>
              <w:t>、</w:t>
            </w:r>
            <w:r>
              <w:rPr>
                <w:rFonts w:hint="default" w:ascii="Times New Roman" w:hAnsi="Times New Roman" w:eastAsia="Times New Roman" w:cs="Times New Roman"/>
                <w:snapToGrid w:val="0"/>
                <w:color w:val="000000"/>
                <w:spacing w:val="-2"/>
                <w:kern w:val="0"/>
                <w:sz w:val="24"/>
                <w:szCs w:val="24"/>
                <w:lang w:val="en-US" w:eastAsia="en-US" w:bidi="ar-SA"/>
              </w:rPr>
              <w:t>BOD</w:t>
            </w:r>
            <w:r>
              <w:rPr>
                <w:rFonts w:hint="default" w:ascii="宋体" w:hAnsi="宋体" w:eastAsia="宋体" w:cs="宋体"/>
                <w:snapToGrid w:val="0"/>
                <w:color w:val="000000"/>
                <w:spacing w:val="-2"/>
                <w:kern w:val="0"/>
                <w:sz w:val="24"/>
                <w:szCs w:val="24"/>
                <w:lang w:val="en-US" w:eastAsia="en-US" w:bidi="ar-SA"/>
              </w:rPr>
              <w:t>、石油类源强类比《安徽锦春纺织</w:t>
            </w:r>
            <w:r>
              <w:rPr>
                <w:rFonts w:hint="default" w:ascii="宋体" w:hAnsi="宋体" w:eastAsia="宋体" w:cs="宋体"/>
                <w:snapToGrid w:val="0"/>
                <w:color w:val="000000"/>
                <w:spacing w:val="1"/>
                <w:kern w:val="0"/>
                <w:sz w:val="24"/>
                <w:szCs w:val="24"/>
                <w:lang w:val="en-US" w:eastAsia="en-US" w:bidi="ar-SA"/>
              </w:rPr>
              <w:t>科技有限公司年产</w:t>
            </w:r>
            <w:r>
              <w:rPr>
                <w:rFonts w:hint="default" w:ascii="Times New Roman" w:hAnsi="Times New Roman" w:eastAsia="Times New Roman" w:cs="Times New Roman"/>
                <w:snapToGrid w:val="0"/>
                <w:color w:val="000000"/>
                <w:spacing w:val="1"/>
                <w:kern w:val="0"/>
                <w:sz w:val="24"/>
                <w:szCs w:val="24"/>
                <w:lang w:val="en-US" w:eastAsia="en-US" w:bidi="ar-SA"/>
              </w:rPr>
              <w:t>6000</w:t>
            </w:r>
            <w:r>
              <w:rPr>
                <w:rFonts w:hint="default" w:ascii="宋体" w:hAnsi="宋体" w:eastAsia="宋体" w:cs="宋体"/>
                <w:snapToGrid w:val="0"/>
                <w:color w:val="000000"/>
                <w:spacing w:val="1"/>
                <w:kern w:val="0"/>
                <w:sz w:val="24"/>
                <w:szCs w:val="24"/>
                <w:lang w:val="en-US" w:eastAsia="en-US" w:bidi="ar-SA"/>
              </w:rPr>
              <w:t>万米高密化纤布生产项目阶段性竣工</w:t>
            </w:r>
            <w:r>
              <w:rPr>
                <w:rFonts w:hint="default" w:ascii="宋体" w:hAnsi="宋体" w:eastAsia="宋体" w:cs="宋体"/>
                <w:snapToGrid w:val="0"/>
                <w:color w:val="000000"/>
                <w:kern w:val="0"/>
                <w:sz w:val="24"/>
                <w:szCs w:val="24"/>
                <w:lang w:val="en-US" w:eastAsia="en-US" w:bidi="ar-SA"/>
              </w:rPr>
              <w:t>环境保护验收报告表》</w:t>
            </w:r>
            <w:r>
              <w:rPr>
                <w:rFonts w:hint="default" w:ascii="宋体" w:hAnsi="宋体" w:eastAsia="宋体" w:cs="宋体"/>
                <w:snapToGrid w:val="0"/>
                <w:color w:val="000000"/>
                <w:spacing w:val="-1"/>
                <w:kern w:val="0"/>
                <w:sz w:val="24"/>
                <w:szCs w:val="24"/>
                <w:lang w:val="en-US" w:eastAsia="en-US" w:bidi="ar-SA"/>
              </w:rPr>
              <w:t>中污水处理设施进口数据。</w:t>
            </w:r>
          </w:p>
          <w:p w14:paraId="0980A065">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宋体"/>
                <w:snapToGrid w:val="0"/>
                <w:color w:val="000000"/>
                <w:spacing w:val="-1"/>
                <w:kern w:val="0"/>
                <w:sz w:val="24"/>
                <w:szCs w:val="24"/>
                <w:lang w:val="en-US" w:eastAsia="en-US" w:bidi="ar-SA"/>
              </w:rPr>
            </w:pPr>
            <w:r>
              <w:rPr>
                <w:rFonts w:hint="default" w:ascii="Times New Roman" w:hAnsi="Times New Roman" w:eastAsia="宋体" w:cs="Times New Roman"/>
                <w:sz w:val="24"/>
              </w:rPr>
              <w:t>该项目</w:t>
            </w:r>
            <w:r>
              <w:rPr>
                <w:rFonts w:hint="default" w:ascii="Times New Roman" w:hAnsi="Times New Roman" w:eastAsia="宋体" w:cs="Times New Roman"/>
                <w:spacing w:val="-1"/>
                <w:sz w:val="24"/>
              </w:rPr>
              <w:t>已于</w:t>
            </w:r>
            <w:r>
              <w:rPr>
                <w:rFonts w:hint="default" w:ascii="Times New Roman" w:hAnsi="Times New Roman" w:eastAsia="Times New Roman" w:cs="Times New Roman"/>
                <w:spacing w:val="-1"/>
                <w:sz w:val="24"/>
              </w:rPr>
              <w:t>202</w:t>
            </w:r>
            <w:r>
              <w:rPr>
                <w:rFonts w:hint="eastAsia" w:ascii="Times New Roman" w:hAnsi="Times New Roman" w:eastAsia="宋体" w:cs="Times New Roman"/>
                <w:spacing w:val="-1"/>
                <w:sz w:val="24"/>
                <w:lang w:val="en-US" w:eastAsia="zh-CN"/>
              </w:rPr>
              <w:t>4</w:t>
            </w:r>
            <w:r>
              <w:rPr>
                <w:rFonts w:hint="default" w:ascii="Times New Roman" w:hAnsi="Times New Roman" w:eastAsia="宋体" w:cs="Times New Roman"/>
                <w:spacing w:val="-1"/>
                <w:sz w:val="24"/>
              </w:rPr>
              <w:t>年</w:t>
            </w:r>
            <w:r>
              <w:rPr>
                <w:rFonts w:hint="eastAsia" w:ascii="Times New Roman" w:hAnsi="Times New Roman" w:eastAsia="宋体" w:cs="Times New Roman"/>
                <w:spacing w:val="-1"/>
                <w:sz w:val="24"/>
                <w:lang w:val="en-US" w:eastAsia="zh-CN"/>
              </w:rPr>
              <w:t>7</w:t>
            </w:r>
            <w:r>
              <w:rPr>
                <w:rFonts w:hint="default" w:ascii="Times New Roman" w:hAnsi="Times New Roman" w:eastAsia="宋体" w:cs="Times New Roman"/>
                <w:spacing w:val="-1"/>
                <w:sz w:val="24"/>
              </w:rPr>
              <w:t>月通过阶段性竣工环境保护验收</w:t>
            </w:r>
            <w:r>
              <w:rPr>
                <w:rFonts w:hint="default" w:ascii="Times New Roman" w:hAnsi="Times New Roman" w:eastAsia="宋体" w:cs="Times New Roman"/>
                <w:spacing w:val="15"/>
                <w:sz w:val="24"/>
              </w:rPr>
              <w:t>，</w:t>
            </w:r>
            <w:r>
              <w:rPr>
                <w:rFonts w:hint="default" w:ascii="Times New Roman" w:hAnsi="Times New Roman" w:eastAsia="宋体" w:cs="Times New Roman"/>
                <w:spacing w:val="-1"/>
                <w:sz w:val="24"/>
              </w:rPr>
              <w:t>验收阶段生</w:t>
            </w:r>
            <w:r>
              <w:rPr>
                <w:rFonts w:hint="default" w:ascii="Times New Roman" w:hAnsi="Times New Roman" w:eastAsia="宋体" w:cs="Times New Roman"/>
                <w:sz w:val="24"/>
              </w:rPr>
              <w:t>产工艺为</w:t>
            </w:r>
            <w:r>
              <w:rPr>
                <w:rFonts w:hint="default" w:ascii="Times New Roman" w:hAnsi="Times New Roman" w:eastAsia="Times New Roman" w:cs="Times New Roman"/>
                <w:sz w:val="24"/>
              </w:rPr>
              <w:t>POY</w:t>
            </w:r>
            <w:r>
              <w:rPr>
                <w:rFonts w:hint="default" w:ascii="Times New Roman" w:hAnsi="Times New Roman" w:eastAsia="宋体" w:cs="Times New Roman"/>
                <w:sz w:val="24"/>
              </w:rPr>
              <w:t>加弹、整经、喷水织造，生产能</w:t>
            </w:r>
            <w:r>
              <w:rPr>
                <w:rFonts w:hint="default" w:ascii="Times New Roman" w:hAnsi="Times New Roman" w:eastAsia="宋体" w:cs="Times New Roman"/>
                <w:spacing w:val="-1"/>
                <w:sz w:val="24"/>
              </w:rPr>
              <w:t>力达到年产</w:t>
            </w:r>
            <w:r>
              <w:rPr>
                <w:rFonts w:hint="default" w:ascii="Times New Roman" w:hAnsi="Times New Roman" w:eastAsia="Times New Roman" w:cs="Times New Roman"/>
                <w:spacing w:val="-1"/>
                <w:sz w:val="24"/>
              </w:rPr>
              <w:t>4000</w:t>
            </w:r>
            <w:r>
              <w:rPr>
                <w:rFonts w:hint="default" w:ascii="Times New Roman" w:hAnsi="Times New Roman" w:eastAsia="宋体" w:cs="Times New Roman"/>
                <w:spacing w:val="-1"/>
                <w:sz w:val="24"/>
              </w:rPr>
              <w:t>万米化纤布，</w:t>
            </w:r>
            <w:r>
              <w:rPr>
                <w:rFonts w:hint="default" w:ascii="Times New Roman" w:hAnsi="Times New Roman" w:eastAsia="Times New Roman" w:cs="Times New Roman"/>
                <w:spacing w:val="-1"/>
                <w:sz w:val="24"/>
              </w:rPr>
              <w:t>a)</w:t>
            </w:r>
            <w:r>
              <w:rPr>
                <w:rFonts w:hint="default" w:ascii="Times New Roman" w:hAnsi="Times New Roman" w:eastAsia="宋体" w:cs="Times New Roman"/>
                <w:spacing w:val="-1"/>
                <w:sz w:val="24"/>
              </w:rPr>
              <w:t>其原料和本项目相同均为</w:t>
            </w:r>
            <w:r>
              <w:rPr>
                <w:rFonts w:hint="default" w:ascii="Times New Roman" w:hAnsi="Times New Roman" w:eastAsia="Times New Roman" w:cs="Times New Roman"/>
                <w:spacing w:val="-1"/>
                <w:sz w:val="24"/>
              </w:rPr>
              <w:t>POY</w:t>
            </w:r>
            <w:r>
              <w:rPr>
                <w:rFonts w:hint="default" w:ascii="Times New Roman" w:hAnsi="Times New Roman" w:eastAsia="宋体" w:cs="Times New Roman"/>
                <w:spacing w:val="-1"/>
                <w:sz w:val="24"/>
              </w:rPr>
              <w:t>涤纶丝</w:t>
            </w:r>
            <w:r>
              <w:rPr>
                <w:rFonts w:hint="default" w:ascii="Times New Roman" w:hAnsi="Times New Roman" w:eastAsia="宋体" w:cs="Times New Roman"/>
                <w:spacing w:val="-4"/>
                <w:sz w:val="24"/>
              </w:rPr>
              <w:t>；</w:t>
            </w:r>
            <w:r>
              <w:rPr>
                <w:rFonts w:hint="default" w:ascii="Times New Roman" w:hAnsi="Times New Roman" w:eastAsia="Times New Roman" w:cs="Times New Roman"/>
                <w:spacing w:val="-4"/>
                <w:sz w:val="24"/>
              </w:rPr>
              <w:t>b)</w:t>
            </w:r>
            <w:r>
              <w:rPr>
                <w:rFonts w:hint="eastAsia" w:ascii="Times New Roman" w:hAnsi="Times New Roman" w:eastAsia="宋体" w:cs="Times New Roman"/>
                <w:spacing w:val="-4"/>
                <w:sz w:val="24"/>
                <w:lang w:val="en-US" w:eastAsia="zh-CN"/>
              </w:rPr>
              <w:t>废水处理设施均为</w:t>
            </w:r>
            <w:r>
              <w:rPr>
                <w:rFonts w:hint="eastAsia" w:ascii="Times New Roman" w:hAnsi="Times New Roman" w:eastAsia="宋体" w:cs="宋体"/>
                <w:b w:val="0"/>
                <w:bCs w:val="0"/>
                <w:color w:val="auto"/>
                <w:kern w:val="0"/>
                <w:sz w:val="24"/>
                <w:szCs w:val="24"/>
                <w:lang w:val="en-US" w:eastAsia="zh-CN" w:bidi="ar"/>
              </w:rPr>
              <w:t>“隔油+气浮+好氧生化+二级沉淀+过滤”</w:t>
            </w:r>
            <w:r>
              <w:rPr>
                <w:rFonts w:hint="default" w:ascii="Times New Roman" w:hAnsi="Times New Roman" w:eastAsia="宋体" w:cs="Times New Roman"/>
                <w:spacing w:val="-2"/>
                <w:sz w:val="24"/>
              </w:rPr>
              <w:t>；</w:t>
            </w:r>
            <w:r>
              <w:rPr>
                <w:rFonts w:hint="default" w:ascii="Times New Roman" w:hAnsi="Times New Roman" w:eastAsia="Times New Roman" w:cs="Times New Roman"/>
                <w:spacing w:val="-2"/>
                <w:sz w:val="24"/>
              </w:rPr>
              <w:t>c)</w:t>
            </w:r>
            <w:r>
              <w:rPr>
                <w:rFonts w:hint="eastAsia" w:ascii="Times New Roman" w:hAnsi="Times New Roman" w:eastAsia="宋体" w:cs="Times New Roman"/>
                <w:spacing w:val="-2"/>
                <w:sz w:val="24"/>
                <w:lang w:val="en-US" w:eastAsia="zh-CN"/>
              </w:rPr>
              <w:t>主要废水产生工序</w:t>
            </w:r>
            <w:r>
              <w:rPr>
                <w:rFonts w:hint="default" w:ascii="Times New Roman" w:hAnsi="Times New Roman" w:eastAsia="宋体" w:cs="Times New Roman"/>
                <w:spacing w:val="-2"/>
                <w:sz w:val="24"/>
              </w:rPr>
              <w:t>均为</w:t>
            </w:r>
            <w:r>
              <w:rPr>
                <w:rFonts w:hint="eastAsia" w:ascii="Times New Roman" w:hAnsi="Times New Roman" w:eastAsia="宋体" w:cs="Times New Roman"/>
                <w:spacing w:val="-2"/>
                <w:sz w:val="24"/>
                <w:lang w:val="en-US" w:eastAsia="zh-CN"/>
              </w:rPr>
              <w:t>织造废水</w:t>
            </w:r>
            <w:r>
              <w:rPr>
                <w:rFonts w:hint="default" w:ascii="Times New Roman" w:hAnsi="Times New Roman" w:eastAsia="宋体" w:cs="Times New Roman"/>
                <w:spacing w:val="-4"/>
                <w:sz w:val="24"/>
              </w:rPr>
              <w:t>；</w:t>
            </w:r>
            <w:r>
              <w:rPr>
                <w:rFonts w:hint="default" w:ascii="Times New Roman" w:hAnsi="Times New Roman" w:eastAsia="Times New Roman" w:cs="Times New Roman"/>
                <w:spacing w:val="-4"/>
                <w:sz w:val="24"/>
              </w:rPr>
              <w:t>d)</w:t>
            </w:r>
            <w:r>
              <w:rPr>
                <w:rFonts w:hint="default" w:ascii="Times New Roman" w:hAnsi="Times New Roman" w:eastAsia="宋体" w:cs="Times New Roman"/>
                <w:spacing w:val="-4"/>
                <w:sz w:val="24"/>
              </w:rPr>
              <w:t>类比废气量的，其产品生产规模为年产</w:t>
            </w:r>
            <w:r>
              <w:rPr>
                <w:rFonts w:hint="eastAsia" w:ascii="Times New Roman" w:hAnsi="Times New Roman" w:eastAsia="宋体" w:cs="Times New Roman"/>
                <w:spacing w:val="-4"/>
                <w:sz w:val="24"/>
                <w:lang w:val="en-US" w:eastAsia="zh-CN"/>
              </w:rPr>
              <w:t>6</w:t>
            </w:r>
            <w:r>
              <w:rPr>
                <w:rFonts w:hint="default" w:ascii="Times New Roman" w:hAnsi="Times New Roman" w:eastAsia="Times New Roman" w:cs="Times New Roman"/>
                <w:spacing w:val="-4"/>
                <w:sz w:val="24"/>
              </w:rPr>
              <w:t>000</w:t>
            </w:r>
            <w:r>
              <w:rPr>
                <w:rFonts w:hint="default" w:ascii="Times New Roman" w:hAnsi="Times New Roman" w:eastAsia="宋体" w:cs="Times New Roman"/>
                <w:spacing w:val="-4"/>
                <w:sz w:val="24"/>
              </w:rPr>
              <w:t>万米化纤布，本项</w:t>
            </w:r>
            <w:r>
              <w:rPr>
                <w:rFonts w:hint="default" w:ascii="Times New Roman" w:hAnsi="Times New Roman" w:eastAsia="宋体" w:cs="Times New Roman"/>
                <w:spacing w:val="-3"/>
                <w:sz w:val="24"/>
              </w:rPr>
              <w:t>目产品生产规模为年产</w:t>
            </w:r>
            <w:r>
              <w:rPr>
                <w:rFonts w:hint="eastAsia" w:ascii="Times New Roman" w:hAnsi="Times New Roman" w:eastAsia="宋体" w:cs="Times New Roman"/>
                <w:spacing w:val="-3"/>
                <w:sz w:val="24"/>
                <w:lang w:val="en-US" w:eastAsia="zh-CN"/>
              </w:rPr>
              <w:t>8</w:t>
            </w:r>
            <w:r>
              <w:rPr>
                <w:rFonts w:hint="default" w:ascii="Times New Roman" w:hAnsi="Times New Roman" w:eastAsia="Times New Roman" w:cs="Times New Roman"/>
                <w:spacing w:val="-3"/>
                <w:sz w:val="24"/>
              </w:rPr>
              <w:t>000</w:t>
            </w:r>
            <w:r>
              <w:rPr>
                <w:rFonts w:hint="default" w:ascii="Times New Roman" w:hAnsi="Times New Roman" w:eastAsia="宋体" w:cs="Times New Roman"/>
                <w:spacing w:val="-3"/>
                <w:sz w:val="24"/>
              </w:rPr>
              <w:t>万米化纤布，差异值为</w:t>
            </w:r>
            <w:r>
              <w:rPr>
                <w:rFonts w:hint="default" w:ascii="Times New Roman" w:hAnsi="Times New Roman" w:eastAsia="Times New Roman" w:cs="Times New Roman"/>
                <w:spacing w:val="-3"/>
                <w:sz w:val="24"/>
              </w:rPr>
              <w:t>25%</w:t>
            </w:r>
            <w:r>
              <w:rPr>
                <w:rFonts w:hint="default" w:ascii="Times New Roman" w:hAnsi="Times New Roman" w:eastAsia="宋体" w:cs="Times New Roman"/>
                <w:spacing w:val="-3"/>
                <w:sz w:val="24"/>
              </w:rPr>
              <w:t>，不</w:t>
            </w:r>
            <w:r>
              <w:rPr>
                <w:rFonts w:hint="default" w:ascii="Times New Roman" w:hAnsi="Times New Roman" w:eastAsia="宋体" w:cs="Times New Roman"/>
                <w:spacing w:val="-4"/>
                <w:sz w:val="24"/>
              </w:rPr>
              <w:t>超过</w:t>
            </w:r>
            <w:r>
              <w:rPr>
                <w:rFonts w:hint="default" w:ascii="Times New Roman" w:hAnsi="Times New Roman" w:eastAsia="Times New Roman" w:cs="Times New Roman"/>
                <w:spacing w:val="-4"/>
                <w:sz w:val="24"/>
              </w:rPr>
              <w:t>30%</w:t>
            </w:r>
            <w:r>
              <w:rPr>
                <w:rFonts w:hint="default" w:ascii="Times New Roman" w:hAnsi="Times New Roman" w:eastAsia="宋体" w:cs="Times New Roman"/>
                <w:spacing w:val="-4"/>
                <w:sz w:val="24"/>
              </w:rPr>
              <w:t>。因此，</w:t>
            </w:r>
            <w:r>
              <w:rPr>
                <w:rFonts w:hint="eastAsia" w:ascii="Times New Roman" w:hAnsi="Times New Roman" w:eastAsia="宋体" w:cs="Times New Roman"/>
                <w:spacing w:val="-4"/>
                <w:sz w:val="24"/>
                <w:lang w:val="en-US" w:eastAsia="zh-CN"/>
              </w:rPr>
              <w:t>废水</w:t>
            </w:r>
            <w:r>
              <w:rPr>
                <w:rFonts w:hint="default" w:ascii="Times New Roman" w:hAnsi="Times New Roman" w:eastAsia="宋体" w:cs="Times New Roman"/>
                <w:spacing w:val="-2"/>
                <w:sz w:val="24"/>
              </w:rPr>
              <w:t>可以类比。</w:t>
            </w:r>
          </w:p>
          <w:p w14:paraId="75AC599D">
            <w:pPr>
              <w:keepNext w:val="0"/>
              <w:keepLines w:val="0"/>
              <w:widowControl/>
              <w:suppressLineNumbers w:val="0"/>
              <w:adjustRightInd w:val="0"/>
              <w:snapToGrid w:val="0"/>
              <w:spacing w:before="0" w:beforeAutospacing="0" w:after="0" w:afterAutospacing="0" w:line="360" w:lineRule="auto"/>
              <w:ind w:left="0" w:right="0" w:firstLine="476" w:firstLineChars="200"/>
              <w:rPr>
                <w:rFonts w:hint="default" w:ascii="宋体" w:hAnsi="宋体" w:eastAsia="宋体" w:cs="宋体"/>
                <w:snapToGrid w:val="0"/>
                <w:color w:val="000000"/>
                <w:spacing w:val="2"/>
                <w:kern w:val="0"/>
                <w:sz w:val="24"/>
                <w:szCs w:val="24"/>
                <w:lang w:val="en-US" w:eastAsia="en-US" w:bidi="ar-SA"/>
              </w:rPr>
            </w:pPr>
            <w:r>
              <w:rPr>
                <w:rFonts w:hint="default" w:ascii="宋体" w:hAnsi="宋体" w:eastAsia="宋体" w:cs="宋体"/>
                <w:snapToGrid w:val="0"/>
                <w:color w:val="000000"/>
                <w:spacing w:val="-1"/>
                <w:kern w:val="0"/>
                <w:sz w:val="24"/>
                <w:szCs w:val="24"/>
                <w:lang w:val="en-US" w:eastAsia="en-US" w:bidi="ar-SA"/>
              </w:rPr>
              <w:t>本次类比数</w:t>
            </w:r>
            <w:r>
              <w:rPr>
                <w:rFonts w:hint="default" w:ascii="宋体" w:hAnsi="宋体" w:eastAsia="宋体" w:cs="宋体"/>
                <w:snapToGrid w:val="0"/>
                <w:color w:val="000000"/>
                <w:spacing w:val="-7"/>
                <w:kern w:val="0"/>
                <w:sz w:val="24"/>
                <w:szCs w:val="24"/>
                <w:lang w:val="en-US" w:eastAsia="en-US" w:bidi="ar-SA"/>
              </w:rPr>
              <w:t>据取验收监测报告生产废水监测</w:t>
            </w:r>
            <w:r>
              <w:rPr>
                <w:rFonts w:hint="eastAsia" w:ascii="宋体" w:hAnsi="宋体" w:eastAsia="宋体" w:cs="宋体"/>
                <w:snapToGrid w:val="0"/>
                <w:color w:val="000000"/>
                <w:spacing w:val="-7"/>
                <w:kern w:val="0"/>
                <w:sz w:val="24"/>
                <w:szCs w:val="24"/>
                <w:lang w:val="en-US" w:eastAsia="zh-CN" w:bidi="ar-SA"/>
              </w:rPr>
              <w:t>平均</w:t>
            </w:r>
            <w:r>
              <w:rPr>
                <w:rFonts w:hint="default" w:ascii="宋体" w:hAnsi="宋体" w:eastAsia="宋体" w:cs="宋体"/>
                <w:snapToGrid w:val="0"/>
                <w:color w:val="000000"/>
                <w:spacing w:val="-7"/>
                <w:kern w:val="0"/>
                <w:sz w:val="24"/>
                <w:szCs w:val="24"/>
                <w:lang w:val="en-US" w:eastAsia="en-US" w:bidi="ar-SA"/>
              </w:rPr>
              <w:t>最大值，</w:t>
            </w:r>
            <w:r>
              <w:rPr>
                <w:rFonts w:hint="default" w:ascii="Times New Roman" w:hAnsi="Times New Roman" w:eastAsia="Times New Roman" w:cs="Times New Roman"/>
                <w:snapToGrid w:val="0"/>
                <w:color w:val="000000"/>
                <w:spacing w:val="-7"/>
                <w:kern w:val="0"/>
                <w:sz w:val="24"/>
                <w:szCs w:val="24"/>
                <w:lang w:val="en-US" w:eastAsia="en-US" w:bidi="ar-SA"/>
              </w:rPr>
              <w:t>pH</w:t>
            </w:r>
            <w:r>
              <w:rPr>
                <w:rFonts w:hint="eastAsia" w:ascii="Times New Roman" w:hAnsi="Times New Roman" w:eastAsia="宋体" w:cs="Times New Roman"/>
                <w:snapToGrid w:val="0"/>
                <w:color w:val="000000"/>
                <w:spacing w:val="-7"/>
                <w:kern w:val="0"/>
                <w:sz w:val="24"/>
                <w:szCs w:val="24"/>
                <w:lang w:val="en-US" w:eastAsia="zh-CN" w:bidi="ar-SA"/>
              </w:rPr>
              <w:t>（</w:t>
            </w:r>
            <w:r>
              <w:rPr>
                <w:rFonts w:hint="default" w:ascii="宋体" w:hAnsi="宋体" w:eastAsia="宋体" w:cs="宋体"/>
                <w:snapToGrid w:val="0"/>
                <w:color w:val="000000"/>
                <w:spacing w:val="-7"/>
                <w:kern w:val="0"/>
                <w:sz w:val="24"/>
                <w:szCs w:val="24"/>
                <w:lang w:val="en-US" w:eastAsia="en-US" w:bidi="ar-SA"/>
              </w:rPr>
              <w:t>无量纲</w:t>
            </w:r>
            <w:r>
              <w:rPr>
                <w:rFonts w:hint="eastAsia" w:ascii="宋体" w:hAnsi="宋体" w:eastAsia="宋体" w:cs="宋体"/>
                <w:snapToGrid w:val="0"/>
                <w:color w:val="000000"/>
                <w:spacing w:val="-7"/>
                <w:kern w:val="0"/>
                <w:sz w:val="24"/>
                <w:szCs w:val="24"/>
                <w:lang w:val="en-US" w:eastAsia="zh-CN" w:bidi="ar-SA"/>
              </w:rPr>
              <w:t>）</w:t>
            </w:r>
            <w:r>
              <w:rPr>
                <w:rFonts w:hint="default" w:ascii="Times New Roman" w:hAnsi="Times New Roman" w:eastAsia="Times New Roman" w:cs="Times New Roman"/>
                <w:snapToGrid w:val="0"/>
                <w:color w:val="000000"/>
                <w:spacing w:val="-7"/>
                <w:kern w:val="0"/>
                <w:sz w:val="24"/>
                <w:szCs w:val="24"/>
                <w:lang w:val="en-US" w:eastAsia="en-US" w:bidi="ar-SA"/>
              </w:rPr>
              <w:t>:6-9</w:t>
            </w:r>
            <w:r>
              <w:rPr>
                <w:rFonts w:hint="default" w:ascii="宋体" w:hAnsi="宋体" w:eastAsia="宋体" w:cs="宋体"/>
                <w:snapToGrid w:val="0"/>
                <w:color w:val="000000"/>
                <w:spacing w:val="-7"/>
                <w:kern w:val="0"/>
                <w:sz w:val="24"/>
                <w:szCs w:val="24"/>
                <w:lang w:val="en-US" w:eastAsia="en-US" w:bidi="ar-SA"/>
              </w:rPr>
              <w:t>，</w:t>
            </w:r>
            <w:r>
              <w:rPr>
                <w:rFonts w:hint="default" w:ascii="Times New Roman" w:hAnsi="Times New Roman" w:eastAsia="Times New Roman" w:cs="Times New Roman"/>
                <w:snapToGrid w:val="0"/>
                <w:color w:val="000000"/>
                <w:spacing w:val="-7"/>
                <w:kern w:val="0"/>
                <w:sz w:val="24"/>
                <w:szCs w:val="24"/>
                <w:lang w:val="en-US" w:eastAsia="en-US" w:bidi="ar-SA"/>
              </w:rPr>
              <w:t>COD</w:t>
            </w:r>
            <w:r>
              <w:rPr>
                <w:rFonts w:hint="default" w:ascii="Times New Roman" w:hAnsi="Times New Roman" w:eastAsia="Times New Roman" w:cs="Times New Roman"/>
                <w:snapToGrid w:val="0"/>
                <w:color w:val="000000"/>
                <w:spacing w:val="-8"/>
                <w:kern w:val="0"/>
                <w:sz w:val="24"/>
                <w:szCs w:val="24"/>
                <w:lang w:val="en-US" w:eastAsia="en-US" w:bidi="ar-SA"/>
              </w:rPr>
              <w:t>:6</w:t>
            </w:r>
            <w:r>
              <w:rPr>
                <w:rFonts w:hint="eastAsia" w:ascii="Times New Roman" w:hAnsi="Times New Roman" w:eastAsia="宋体" w:cs="Times New Roman"/>
                <w:snapToGrid w:val="0"/>
                <w:color w:val="000000"/>
                <w:spacing w:val="-8"/>
                <w:kern w:val="0"/>
                <w:sz w:val="24"/>
                <w:szCs w:val="24"/>
                <w:lang w:val="en-US" w:eastAsia="zh-CN" w:bidi="ar-SA"/>
              </w:rPr>
              <w:t>52</w:t>
            </w:r>
            <w:r>
              <w:rPr>
                <w:rFonts w:hint="default" w:ascii="Times New Roman" w:hAnsi="Times New Roman" w:eastAsia="Times New Roman" w:cs="Times New Roman"/>
                <w:snapToGrid w:val="0"/>
                <w:color w:val="000000"/>
                <w:spacing w:val="-8"/>
                <w:kern w:val="0"/>
                <w:sz w:val="24"/>
                <w:szCs w:val="24"/>
                <w:lang w:val="en-US" w:eastAsia="en-US" w:bidi="ar-SA"/>
              </w:rPr>
              <w:t>mg/L</w:t>
            </w:r>
            <w:r>
              <w:rPr>
                <w:rFonts w:hint="default" w:ascii="宋体" w:hAnsi="宋体" w:eastAsia="宋体" w:cs="宋体"/>
                <w:snapToGrid w:val="0"/>
                <w:color w:val="000000"/>
                <w:spacing w:val="-8"/>
                <w:kern w:val="0"/>
                <w:sz w:val="24"/>
                <w:szCs w:val="24"/>
                <w:lang w:val="en-US" w:eastAsia="en-US" w:bidi="ar-SA"/>
              </w:rPr>
              <w:t>，</w:t>
            </w:r>
            <w:r>
              <w:rPr>
                <w:rFonts w:hint="default" w:ascii="Times New Roman" w:hAnsi="Times New Roman" w:eastAsia="Times New Roman" w:cs="Times New Roman"/>
                <w:snapToGrid w:val="0"/>
                <w:color w:val="000000"/>
                <w:spacing w:val="-2"/>
                <w:kern w:val="0"/>
                <w:sz w:val="24"/>
                <w:szCs w:val="24"/>
                <w:lang w:val="en-US" w:eastAsia="en-US" w:bidi="ar-SA"/>
              </w:rPr>
              <w:t>NH</w:t>
            </w:r>
            <w:r>
              <w:rPr>
                <w:rFonts w:hint="default" w:ascii="Times New Roman" w:hAnsi="Times New Roman" w:eastAsia="Times New Roman" w:cs="Times New Roman"/>
                <w:snapToGrid w:val="0"/>
                <w:color w:val="000000"/>
                <w:spacing w:val="-2"/>
                <w:kern w:val="0"/>
                <w:sz w:val="15"/>
                <w:szCs w:val="15"/>
                <w:lang w:val="en-US" w:eastAsia="en-US" w:bidi="ar-SA"/>
              </w:rPr>
              <w:t>3</w:t>
            </w:r>
            <w:r>
              <w:rPr>
                <w:rFonts w:hint="default" w:ascii="Times New Roman" w:hAnsi="Times New Roman" w:eastAsia="Times New Roman" w:cs="Times New Roman"/>
                <w:snapToGrid w:val="0"/>
                <w:color w:val="000000"/>
                <w:spacing w:val="-2"/>
                <w:kern w:val="0"/>
                <w:sz w:val="24"/>
                <w:szCs w:val="24"/>
                <w:lang w:val="en-US" w:eastAsia="en-US" w:bidi="ar-SA"/>
              </w:rPr>
              <w:t>-N:0.</w:t>
            </w:r>
            <w:r>
              <w:rPr>
                <w:rFonts w:hint="eastAsia" w:ascii="Times New Roman" w:hAnsi="Times New Roman" w:eastAsia="宋体" w:cs="Times New Roman"/>
                <w:snapToGrid w:val="0"/>
                <w:color w:val="000000"/>
                <w:spacing w:val="-2"/>
                <w:kern w:val="0"/>
                <w:sz w:val="24"/>
                <w:szCs w:val="24"/>
                <w:lang w:val="en-US" w:eastAsia="zh-CN" w:bidi="ar-SA"/>
              </w:rPr>
              <w:t>53</w:t>
            </w:r>
            <w:r>
              <w:rPr>
                <w:rFonts w:hint="default" w:ascii="Times New Roman" w:hAnsi="Times New Roman" w:eastAsia="Times New Roman" w:cs="Times New Roman"/>
                <w:snapToGrid w:val="0"/>
                <w:color w:val="000000"/>
                <w:spacing w:val="-2"/>
                <w:kern w:val="0"/>
                <w:sz w:val="24"/>
                <w:szCs w:val="24"/>
                <w:lang w:val="en-US" w:eastAsia="en-US" w:bidi="ar-SA"/>
              </w:rPr>
              <w:t>mg/L</w:t>
            </w:r>
            <w:r>
              <w:rPr>
                <w:rFonts w:hint="default" w:ascii="宋体" w:hAnsi="宋体" w:eastAsia="宋体" w:cs="宋体"/>
                <w:snapToGrid w:val="0"/>
                <w:color w:val="000000"/>
                <w:spacing w:val="-2"/>
                <w:kern w:val="0"/>
                <w:sz w:val="24"/>
                <w:szCs w:val="24"/>
                <w:lang w:val="en-US" w:eastAsia="en-US" w:bidi="ar-SA"/>
              </w:rPr>
              <w:t>，</w:t>
            </w:r>
            <w:r>
              <w:rPr>
                <w:rFonts w:hint="default" w:ascii="Times New Roman" w:hAnsi="Times New Roman" w:eastAsia="Times New Roman" w:cs="Times New Roman"/>
                <w:snapToGrid w:val="0"/>
                <w:color w:val="000000"/>
                <w:spacing w:val="-2"/>
                <w:kern w:val="0"/>
                <w:sz w:val="24"/>
                <w:szCs w:val="24"/>
                <w:lang w:val="en-US" w:eastAsia="en-US" w:bidi="ar-SA"/>
              </w:rPr>
              <w:t>SS:1</w:t>
            </w:r>
            <w:r>
              <w:rPr>
                <w:rFonts w:hint="eastAsia" w:ascii="Times New Roman" w:hAnsi="Times New Roman" w:eastAsia="宋体" w:cs="Times New Roman"/>
                <w:snapToGrid w:val="0"/>
                <w:color w:val="000000"/>
                <w:spacing w:val="-2"/>
                <w:kern w:val="0"/>
                <w:sz w:val="24"/>
                <w:szCs w:val="24"/>
                <w:lang w:val="en-US" w:eastAsia="zh-CN" w:bidi="ar-SA"/>
              </w:rPr>
              <w:t>11</w:t>
            </w:r>
            <w:r>
              <w:rPr>
                <w:rFonts w:hint="default" w:ascii="Times New Roman" w:hAnsi="Times New Roman" w:eastAsia="Times New Roman" w:cs="Times New Roman"/>
                <w:snapToGrid w:val="0"/>
                <w:color w:val="000000"/>
                <w:spacing w:val="-2"/>
                <w:kern w:val="0"/>
                <w:sz w:val="24"/>
                <w:szCs w:val="24"/>
                <w:lang w:val="en-US" w:eastAsia="en-US" w:bidi="ar-SA"/>
              </w:rPr>
              <w:t>mg/L</w:t>
            </w:r>
            <w:r>
              <w:rPr>
                <w:rFonts w:hint="default" w:ascii="宋体" w:hAnsi="宋体" w:eastAsia="宋体" w:cs="宋体"/>
                <w:snapToGrid w:val="0"/>
                <w:color w:val="000000"/>
                <w:spacing w:val="-2"/>
                <w:kern w:val="0"/>
                <w:sz w:val="24"/>
                <w:szCs w:val="24"/>
                <w:lang w:val="en-US" w:eastAsia="en-US" w:bidi="ar-SA"/>
              </w:rPr>
              <w:t>，</w:t>
            </w:r>
            <w:r>
              <w:rPr>
                <w:rFonts w:hint="default" w:ascii="Times New Roman" w:hAnsi="Times New Roman" w:eastAsia="Times New Roman" w:cs="Times New Roman"/>
                <w:snapToGrid w:val="0"/>
                <w:color w:val="000000"/>
                <w:spacing w:val="-2"/>
                <w:kern w:val="0"/>
                <w:sz w:val="24"/>
                <w:szCs w:val="24"/>
                <w:lang w:val="en-US" w:eastAsia="en-US" w:bidi="ar-SA"/>
              </w:rPr>
              <w:t>BOD:1</w:t>
            </w:r>
            <w:r>
              <w:rPr>
                <w:rFonts w:hint="eastAsia" w:ascii="Times New Roman" w:hAnsi="Times New Roman" w:eastAsia="宋体" w:cs="Times New Roman"/>
                <w:snapToGrid w:val="0"/>
                <w:color w:val="000000"/>
                <w:spacing w:val="-2"/>
                <w:kern w:val="0"/>
                <w:sz w:val="24"/>
                <w:szCs w:val="24"/>
                <w:lang w:val="en-US" w:eastAsia="zh-CN" w:bidi="ar-SA"/>
              </w:rPr>
              <w:t>32</w:t>
            </w:r>
            <w:r>
              <w:rPr>
                <w:rFonts w:hint="default" w:ascii="Times New Roman" w:hAnsi="Times New Roman" w:eastAsia="Times New Roman" w:cs="Times New Roman"/>
                <w:snapToGrid w:val="0"/>
                <w:color w:val="000000"/>
                <w:spacing w:val="-2"/>
                <w:kern w:val="0"/>
                <w:sz w:val="24"/>
                <w:szCs w:val="24"/>
                <w:lang w:val="en-US" w:eastAsia="en-US" w:bidi="ar-SA"/>
              </w:rPr>
              <w:t>mg/L</w:t>
            </w:r>
            <w:r>
              <w:rPr>
                <w:rFonts w:hint="default" w:ascii="宋体" w:hAnsi="宋体" w:eastAsia="宋体" w:cs="宋体"/>
                <w:snapToGrid w:val="0"/>
                <w:color w:val="000000"/>
                <w:spacing w:val="-2"/>
                <w:kern w:val="0"/>
                <w:sz w:val="24"/>
                <w:szCs w:val="24"/>
                <w:lang w:val="en-US" w:eastAsia="en-US" w:bidi="ar-SA"/>
              </w:rPr>
              <w:t>，石油类</w:t>
            </w:r>
            <w:r>
              <w:rPr>
                <w:rFonts w:hint="eastAsia" w:ascii="宋体" w:hAnsi="宋体" w:eastAsia="宋体" w:cs="宋体"/>
                <w:snapToGrid w:val="0"/>
                <w:color w:val="000000"/>
                <w:spacing w:val="-2"/>
                <w:kern w:val="0"/>
                <w:sz w:val="24"/>
                <w:szCs w:val="24"/>
                <w:lang w:val="en-US" w:eastAsia="zh-CN" w:bidi="ar-SA"/>
              </w:rPr>
              <w:t>：</w:t>
            </w:r>
            <w:r>
              <w:rPr>
                <w:rFonts w:hint="eastAsia" w:ascii="Times New Roman" w:hAnsi="Times New Roman" w:eastAsia="宋体" w:cs="Times New Roman"/>
                <w:snapToGrid w:val="0"/>
                <w:color w:val="000000"/>
                <w:spacing w:val="-2"/>
                <w:kern w:val="0"/>
                <w:sz w:val="24"/>
                <w:szCs w:val="24"/>
                <w:lang w:val="en-US" w:eastAsia="zh-CN" w:bidi="ar-SA"/>
              </w:rPr>
              <w:t>46.3</w:t>
            </w:r>
            <w:r>
              <w:rPr>
                <w:rFonts w:hint="default" w:ascii="Times New Roman" w:hAnsi="Times New Roman" w:eastAsia="Times New Roman" w:cs="Times New Roman"/>
                <w:snapToGrid w:val="0"/>
                <w:color w:val="000000"/>
                <w:spacing w:val="-2"/>
                <w:kern w:val="0"/>
                <w:sz w:val="24"/>
                <w:szCs w:val="24"/>
                <w:lang w:val="en-US" w:eastAsia="en-US" w:bidi="ar-SA"/>
              </w:rPr>
              <w:t>mg/L</w:t>
            </w:r>
            <w:r>
              <w:rPr>
                <w:rFonts w:hint="default" w:ascii="宋体" w:hAnsi="宋体" w:eastAsia="宋体" w:cs="宋体"/>
                <w:snapToGrid w:val="0"/>
                <w:color w:val="000000"/>
                <w:spacing w:val="-2"/>
                <w:kern w:val="0"/>
                <w:sz w:val="24"/>
                <w:szCs w:val="24"/>
                <w:lang w:val="en-US" w:eastAsia="en-US" w:bidi="ar-SA"/>
              </w:rPr>
              <w:t>。</w:t>
            </w:r>
            <w:r>
              <w:rPr>
                <w:rFonts w:hint="default" w:ascii="Calibri" w:hAnsi="Calibri" w:eastAsia="宋体" w:cs="Times New Roman"/>
                <w:spacing w:val="-1"/>
                <w:sz w:val="24"/>
                <w:szCs w:val="24"/>
              </w:rPr>
              <w:t>考虑到</w:t>
            </w:r>
            <w:r>
              <w:rPr>
                <w:rFonts w:hint="default" w:ascii="Times New Roman" w:hAnsi="Times New Roman" w:eastAsia="Times New Roman" w:cs="Times New Roman"/>
                <w:spacing w:val="-1"/>
                <w:sz w:val="24"/>
                <w:szCs w:val="24"/>
              </w:rPr>
              <w:t>NH</w:t>
            </w:r>
            <w:r>
              <w:rPr>
                <w:rFonts w:hint="default" w:ascii="Times New Roman" w:hAnsi="Times New Roman" w:eastAsia="Times New Roman" w:cs="Times New Roman"/>
                <w:spacing w:val="-1"/>
                <w:sz w:val="24"/>
                <w:szCs w:val="24"/>
                <w:vertAlign w:val="subscript"/>
              </w:rPr>
              <w:t>3</w:t>
            </w:r>
            <w:r>
              <w:rPr>
                <w:rFonts w:hint="default" w:ascii="Times New Roman" w:hAnsi="Times New Roman" w:eastAsia="Times New Roman" w:cs="Times New Roman"/>
                <w:spacing w:val="-1"/>
                <w:sz w:val="24"/>
                <w:szCs w:val="24"/>
              </w:rPr>
              <w:t>-N</w:t>
            </w:r>
            <w:r>
              <w:rPr>
                <w:rFonts w:hint="default" w:ascii="Calibri" w:hAnsi="Calibri" w:eastAsia="宋体" w:cs="Times New Roman"/>
                <w:spacing w:val="-1"/>
                <w:sz w:val="24"/>
                <w:szCs w:val="24"/>
              </w:rPr>
              <w:t>源强较低，参照相关《曝气生物滤池处理喷水织机废水的研究》</w:t>
            </w:r>
            <w:r>
              <w:rPr>
                <w:rFonts w:hint="eastAsia" w:ascii="Calibri" w:hAnsi="Calibri" w:eastAsia="宋体" w:cs="Times New Roman"/>
                <w:spacing w:val="-1"/>
                <w:sz w:val="24"/>
                <w:szCs w:val="24"/>
                <w:lang w:eastAsia="zh-CN"/>
              </w:rPr>
              <w:t>（</w:t>
            </w:r>
            <w:r>
              <w:rPr>
                <w:rFonts w:hint="default" w:ascii="Calibri" w:hAnsi="Calibri" w:eastAsia="宋体" w:cs="Times New Roman"/>
                <w:spacing w:val="-1"/>
                <w:sz w:val="24"/>
                <w:szCs w:val="24"/>
              </w:rPr>
              <w:t>庞</w:t>
            </w:r>
            <w:r>
              <w:rPr>
                <w:rFonts w:hint="default" w:ascii="Calibri" w:hAnsi="Calibri" w:eastAsia="宋体" w:cs="Times New Roman"/>
                <w:spacing w:val="1"/>
                <w:sz w:val="24"/>
                <w:szCs w:val="24"/>
              </w:rPr>
              <w:t>浩然，上海交通大学，</w:t>
            </w:r>
            <w:r>
              <w:rPr>
                <w:rFonts w:hint="default" w:ascii="Times New Roman" w:hAnsi="Times New Roman" w:eastAsia="Times New Roman" w:cs="Times New Roman"/>
                <w:spacing w:val="1"/>
                <w:sz w:val="24"/>
                <w:szCs w:val="24"/>
              </w:rPr>
              <w:t>2009</w:t>
            </w:r>
            <w:r>
              <w:rPr>
                <w:rFonts w:hint="default" w:ascii="Calibri" w:hAnsi="Calibri" w:eastAsia="宋体" w:cs="Times New Roman"/>
                <w:spacing w:val="1"/>
                <w:sz w:val="24"/>
                <w:szCs w:val="24"/>
              </w:rPr>
              <w:t>年</w:t>
            </w:r>
            <w:r>
              <w:rPr>
                <w:rFonts w:hint="default" w:ascii="Times New Roman" w:hAnsi="Times New Roman" w:eastAsia="Times New Roman" w:cs="Times New Roman"/>
                <w:spacing w:val="1"/>
                <w:sz w:val="24"/>
                <w:szCs w:val="24"/>
              </w:rPr>
              <w:t>1</w:t>
            </w:r>
            <w:r>
              <w:rPr>
                <w:rFonts w:hint="default" w:ascii="Calibri" w:hAnsi="Calibri" w:eastAsia="宋体" w:cs="Times New Roman"/>
                <w:spacing w:val="1"/>
                <w:sz w:val="24"/>
                <w:szCs w:val="24"/>
              </w:rPr>
              <w:t>月</w:t>
            </w:r>
            <w:r>
              <w:rPr>
                <w:rFonts w:hint="eastAsia" w:ascii="Calibri" w:hAnsi="Calibri" w:eastAsia="宋体" w:cs="Times New Roman"/>
                <w:spacing w:val="1"/>
                <w:sz w:val="24"/>
                <w:szCs w:val="24"/>
                <w:lang w:eastAsia="zh-CN"/>
              </w:rPr>
              <w:t>）</w:t>
            </w:r>
            <w:r>
              <w:rPr>
                <w:rFonts w:hint="default" w:ascii="Calibri" w:hAnsi="Calibri" w:eastAsia="宋体" w:cs="Times New Roman"/>
                <w:spacing w:val="1"/>
                <w:sz w:val="24"/>
                <w:szCs w:val="24"/>
              </w:rPr>
              <w:t>中废水水质情况以及类比其他本行业项目废水产生</w:t>
            </w:r>
            <w:r>
              <w:rPr>
                <w:rFonts w:hint="default" w:ascii="Calibri" w:hAnsi="Calibri" w:eastAsia="宋体" w:cs="Times New Roman"/>
                <w:sz w:val="24"/>
                <w:szCs w:val="24"/>
              </w:rPr>
              <w:t>情况，</w:t>
            </w:r>
            <w:r>
              <w:rPr>
                <w:rFonts w:hint="default" w:ascii="Times New Roman" w:hAnsi="Times New Roman" w:eastAsia="Times New Roman" w:cs="Times New Roman"/>
                <w:sz w:val="24"/>
                <w:szCs w:val="24"/>
              </w:rPr>
              <w:t>NH</w:t>
            </w:r>
            <w:r>
              <w:rPr>
                <w:rFonts w:hint="default" w:ascii="Times New Roman" w:hAnsi="Times New Roman" w:eastAsia="Times New Roman" w:cs="Times New Roman"/>
                <w:sz w:val="24"/>
                <w:szCs w:val="24"/>
                <w:vertAlign w:val="subscript"/>
              </w:rPr>
              <w:t>3</w:t>
            </w:r>
            <w:r>
              <w:rPr>
                <w:rFonts w:hint="default" w:ascii="Times New Roman" w:hAnsi="Times New Roman" w:eastAsia="Times New Roman" w:cs="Times New Roman"/>
                <w:sz w:val="24"/>
                <w:szCs w:val="24"/>
              </w:rPr>
              <w:t>-N</w:t>
            </w:r>
            <w:r>
              <w:rPr>
                <w:rFonts w:hint="default" w:ascii="Calibri" w:hAnsi="Calibri" w:eastAsia="宋体" w:cs="Times New Roman"/>
                <w:sz w:val="24"/>
                <w:szCs w:val="24"/>
              </w:rPr>
              <w:t>产生浓度在</w:t>
            </w:r>
            <w:r>
              <w:rPr>
                <w:rFonts w:hint="default" w:ascii="Times New Roman" w:hAnsi="Times New Roman" w:eastAsia="Times New Roman" w:cs="Times New Roman"/>
                <w:sz w:val="24"/>
                <w:szCs w:val="24"/>
              </w:rPr>
              <w:t>12mg/L-30mg/L</w:t>
            </w:r>
            <w:r>
              <w:rPr>
                <w:rFonts w:hint="default" w:ascii="Calibri" w:hAnsi="Calibri" w:eastAsia="宋体" w:cs="Times New Roman"/>
                <w:sz w:val="24"/>
                <w:szCs w:val="24"/>
              </w:rPr>
              <w:t>，本次评价保守取</w:t>
            </w:r>
            <w:r>
              <w:rPr>
                <w:rFonts w:hint="default" w:ascii="Times New Roman" w:hAnsi="Times New Roman" w:eastAsia="Times New Roman" w:cs="Times New Roman"/>
                <w:sz w:val="24"/>
                <w:szCs w:val="24"/>
              </w:rPr>
              <w:t>30mg/L</w:t>
            </w:r>
            <w:r>
              <w:rPr>
                <w:rFonts w:hint="eastAsia" w:ascii="Times New Roman" w:hAnsi="Times New Roman" w:eastAsia="宋体" w:cs="Times New Roman"/>
                <w:sz w:val="24"/>
                <w:szCs w:val="24"/>
                <w:lang w:eastAsia="zh-CN"/>
              </w:rPr>
              <w:t>；</w:t>
            </w:r>
            <w:r>
              <w:rPr>
                <w:rFonts w:hint="default" w:ascii="Calibri" w:hAnsi="Calibri" w:eastAsia="宋体" w:cs="Times New Roman"/>
                <w:spacing w:val="1"/>
                <w:sz w:val="24"/>
                <w:szCs w:val="24"/>
              </w:rPr>
              <w:t>总锑</w:t>
            </w:r>
            <w:r>
              <w:rPr>
                <w:rFonts w:hint="eastAsia" w:ascii="Calibri" w:hAnsi="Calibri" w:eastAsia="宋体" w:cs="Times New Roman"/>
                <w:spacing w:val="1"/>
                <w:sz w:val="24"/>
                <w:szCs w:val="24"/>
                <w:lang w:val="en-US" w:eastAsia="zh-CN"/>
              </w:rPr>
              <w:t>取</w:t>
            </w:r>
            <w:r>
              <w:rPr>
                <w:rFonts w:hint="default" w:ascii="Calibri" w:hAnsi="Calibri" w:eastAsia="宋体" w:cs="Times New Roman"/>
                <w:spacing w:val="-2"/>
                <w:sz w:val="24"/>
                <w:szCs w:val="24"/>
              </w:rPr>
              <w:t>值</w:t>
            </w:r>
            <w:r>
              <w:rPr>
                <w:rFonts w:hint="default" w:ascii="Times New Roman" w:hAnsi="Times New Roman" w:eastAsia="Times New Roman" w:cs="Times New Roman"/>
                <w:spacing w:val="-2"/>
                <w:sz w:val="24"/>
                <w:szCs w:val="24"/>
              </w:rPr>
              <w:t>0.1mg</w:t>
            </w:r>
            <w:r>
              <w:rPr>
                <w:rFonts w:hint="default" w:ascii="Times New Roman" w:hAnsi="Times New Roman" w:eastAsia="Times New Roman" w:cs="Times New Roman"/>
                <w:spacing w:val="-3"/>
                <w:sz w:val="24"/>
                <w:szCs w:val="24"/>
              </w:rPr>
              <w:t>/L</w:t>
            </w:r>
            <w:r>
              <w:rPr>
                <w:rFonts w:hint="default" w:ascii="Calibri" w:hAnsi="Calibri" w:eastAsia="宋体" w:cs="Times New Roman"/>
                <w:spacing w:val="-3"/>
                <w:sz w:val="24"/>
                <w:szCs w:val="24"/>
              </w:rPr>
              <w:t>计。</w:t>
            </w:r>
          </w:p>
          <w:p w14:paraId="600D85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综上，本项目废水排放量为84.27t/d</w:t>
            </w:r>
            <w:r>
              <w:rPr>
                <w:rFonts w:hint="eastAsia" w:ascii="Times New Roman" w:hAnsi="Times New Roman" w:eastAsia="宋体" w:cs="Times New Roman"/>
                <w:b w:val="0"/>
                <w:bCs w:val="0"/>
                <w:color w:val="auto"/>
                <w:kern w:val="0"/>
                <w:sz w:val="24"/>
                <w:szCs w:val="24"/>
                <w:lang w:val="en-US" w:eastAsia="zh-CN" w:bidi="ar"/>
              </w:rPr>
              <w:t>（25281t/a）。</w:t>
            </w:r>
          </w:p>
          <w:p w14:paraId="46D9EDCA">
            <w:pPr>
              <w:pStyle w:val="36"/>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10</w:t>
            </w:r>
            <w:r>
              <w:rPr>
                <w:rFonts w:hint="default" w:ascii="Times New Roman" w:hAnsi="Times New Roman" w:cs="Times New Roman"/>
                <w:color w:val="auto"/>
                <w:highlight w:val="none"/>
              </w:rPr>
              <w:t>建设项目废水污染物排放信息表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48"/>
              <w:gridCol w:w="951"/>
              <w:gridCol w:w="1180"/>
              <w:gridCol w:w="1155"/>
              <w:gridCol w:w="856"/>
              <w:gridCol w:w="856"/>
              <w:gridCol w:w="858"/>
              <w:gridCol w:w="878"/>
              <w:gridCol w:w="866"/>
              <w:gridCol w:w="1697"/>
            </w:tblGrid>
            <w:tr w14:paraId="2518F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5" w:type="pct"/>
                  <w:vMerge w:val="restart"/>
                  <w:noWrap w:val="0"/>
                  <w:vAlign w:val="center"/>
                </w:tcPr>
                <w:p w14:paraId="69E43C0B">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废水类别</w:t>
                  </w:r>
                </w:p>
              </w:tc>
              <w:tc>
                <w:tcPr>
                  <w:tcW w:w="478" w:type="pct"/>
                  <w:vMerge w:val="restart"/>
                  <w:noWrap w:val="0"/>
                  <w:vAlign w:val="center"/>
                </w:tcPr>
                <w:p w14:paraId="558CFBE0">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p w14:paraId="43191270">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种类</w:t>
                  </w:r>
                </w:p>
              </w:tc>
              <w:tc>
                <w:tcPr>
                  <w:tcW w:w="593" w:type="pct"/>
                  <w:vMerge w:val="restart"/>
                  <w:noWrap w:val="0"/>
                  <w:vAlign w:val="center"/>
                </w:tcPr>
                <w:p w14:paraId="3C61E4D4">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排放去向</w:t>
                  </w:r>
                </w:p>
              </w:tc>
              <w:tc>
                <w:tcPr>
                  <w:tcW w:w="580" w:type="pct"/>
                  <w:vMerge w:val="restart"/>
                  <w:noWrap w:val="0"/>
                  <w:vAlign w:val="center"/>
                </w:tcPr>
                <w:p w14:paraId="163125D1">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w:t>
                  </w:r>
                </w:p>
                <w:p w14:paraId="27F2D90F">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规律</w:t>
                  </w:r>
                </w:p>
              </w:tc>
              <w:tc>
                <w:tcPr>
                  <w:tcW w:w="1292" w:type="pct"/>
                  <w:gridSpan w:val="3"/>
                  <w:noWrap w:val="0"/>
                  <w:vAlign w:val="center"/>
                </w:tcPr>
                <w:p w14:paraId="6E94E9BC">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污染治理设施</w:t>
                  </w:r>
                </w:p>
              </w:tc>
              <w:tc>
                <w:tcPr>
                  <w:tcW w:w="441" w:type="pct"/>
                  <w:vMerge w:val="restart"/>
                  <w:noWrap w:val="0"/>
                  <w:vAlign w:val="center"/>
                </w:tcPr>
                <w:p w14:paraId="0644F848">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w:t>
                  </w:r>
                </w:p>
              </w:tc>
              <w:tc>
                <w:tcPr>
                  <w:tcW w:w="435" w:type="pct"/>
                  <w:vMerge w:val="restart"/>
                  <w:noWrap w:val="0"/>
                  <w:vAlign w:val="center"/>
                </w:tcPr>
                <w:p w14:paraId="5356A9C1">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排放口设置是否符合要求</w:t>
                  </w:r>
                </w:p>
              </w:tc>
              <w:tc>
                <w:tcPr>
                  <w:tcW w:w="853" w:type="pct"/>
                  <w:vMerge w:val="restart"/>
                  <w:noWrap w:val="0"/>
                  <w:vAlign w:val="center"/>
                </w:tcPr>
                <w:p w14:paraId="00A95BE5">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排放口类型</w:t>
                  </w:r>
                </w:p>
              </w:tc>
            </w:tr>
            <w:tr w14:paraId="74FEF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5" w:type="pct"/>
                  <w:vMerge w:val="continue"/>
                  <w:noWrap w:val="0"/>
                  <w:vAlign w:val="center"/>
                </w:tcPr>
                <w:p w14:paraId="60CCFC63">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78" w:type="pct"/>
                  <w:vMerge w:val="continue"/>
                  <w:noWrap w:val="0"/>
                  <w:vAlign w:val="center"/>
                </w:tcPr>
                <w:p w14:paraId="410B0C17">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93" w:type="pct"/>
                  <w:vMerge w:val="continue"/>
                  <w:noWrap w:val="0"/>
                  <w:vAlign w:val="center"/>
                </w:tcPr>
                <w:p w14:paraId="53FCC517">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80" w:type="pct"/>
                  <w:vMerge w:val="continue"/>
                  <w:noWrap w:val="0"/>
                  <w:vAlign w:val="center"/>
                </w:tcPr>
                <w:p w14:paraId="2150E278">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30" w:type="pct"/>
                  <w:noWrap w:val="0"/>
                  <w:vAlign w:val="center"/>
                </w:tcPr>
                <w:p w14:paraId="461D84DE">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污染治理设施编号</w:t>
                  </w:r>
                </w:p>
              </w:tc>
              <w:tc>
                <w:tcPr>
                  <w:tcW w:w="430" w:type="pct"/>
                  <w:noWrap w:val="0"/>
                  <w:vAlign w:val="center"/>
                </w:tcPr>
                <w:p w14:paraId="462FD356">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污染治理设施名称</w:t>
                  </w:r>
                </w:p>
              </w:tc>
              <w:tc>
                <w:tcPr>
                  <w:tcW w:w="431" w:type="pct"/>
                  <w:noWrap w:val="0"/>
                  <w:vAlign w:val="center"/>
                </w:tcPr>
                <w:p w14:paraId="0BAC56A4">
                  <w:pPr>
                    <w:pStyle w:val="41"/>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污染治理设施工艺</w:t>
                  </w:r>
                </w:p>
              </w:tc>
              <w:tc>
                <w:tcPr>
                  <w:tcW w:w="441" w:type="pct"/>
                  <w:vMerge w:val="continue"/>
                  <w:noWrap w:val="0"/>
                  <w:vAlign w:val="center"/>
                </w:tcPr>
                <w:p w14:paraId="2F585044">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35" w:type="pct"/>
                  <w:vMerge w:val="continue"/>
                  <w:noWrap w:val="0"/>
                  <w:vAlign w:val="center"/>
                </w:tcPr>
                <w:p w14:paraId="2BCFA42C">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53" w:type="pct"/>
                  <w:vMerge w:val="continue"/>
                  <w:noWrap w:val="0"/>
                  <w:vAlign w:val="center"/>
                </w:tcPr>
                <w:p w14:paraId="5BF53EA5">
                  <w:pPr>
                    <w:pStyle w:val="4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86D2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5" w:type="pct"/>
                  <w:vMerge w:val="restart"/>
                  <w:noWrap w:val="0"/>
                  <w:vAlign w:val="center"/>
                </w:tcPr>
                <w:p w14:paraId="1C859436">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rPr>
                  </w:pPr>
                  <w:r>
                    <w:rPr>
                      <w:rFonts w:hint="eastAsia" w:ascii="Times New Roman" w:hAnsi="Times New Roman" w:eastAsia="宋体" w:cs="Times New Roman"/>
                      <w:b w:val="0"/>
                      <w:bCs/>
                      <w:color w:val="auto"/>
                      <w:sz w:val="21"/>
                      <w:szCs w:val="21"/>
                      <w:highlight w:val="none"/>
                      <w:lang w:val="en-US" w:eastAsia="zh-CN"/>
                    </w:rPr>
                    <w:t>生活污水</w:t>
                  </w:r>
                </w:p>
              </w:tc>
              <w:tc>
                <w:tcPr>
                  <w:tcW w:w="478" w:type="pct"/>
                  <w:noWrap w:val="0"/>
                  <w:vAlign w:val="center"/>
                </w:tcPr>
                <w:p w14:paraId="10A14D62">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COD</w:t>
                  </w:r>
                </w:p>
              </w:tc>
              <w:tc>
                <w:tcPr>
                  <w:tcW w:w="593" w:type="pct"/>
                  <w:vMerge w:val="restart"/>
                  <w:noWrap w:val="0"/>
                  <w:vAlign w:val="center"/>
                </w:tcPr>
                <w:p w14:paraId="55325532">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eastAsia" w:cs="Times New Roman"/>
                      <w:b w:val="0"/>
                      <w:bCs/>
                      <w:color w:val="auto"/>
                      <w:highlight w:val="none"/>
                      <w:lang w:val="en-US" w:eastAsia="zh-CN"/>
                    </w:rPr>
                    <w:t>五河经济开发区污水处理厂</w:t>
                  </w:r>
                </w:p>
              </w:tc>
              <w:tc>
                <w:tcPr>
                  <w:tcW w:w="580" w:type="pct"/>
                  <w:vMerge w:val="restart"/>
                  <w:noWrap w:val="0"/>
                  <w:vAlign w:val="center"/>
                </w:tcPr>
                <w:p w14:paraId="6134C6FB">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间断排放，排放期间流量不稳定且无规律，但不属于冲击型排放</w:t>
                  </w:r>
                </w:p>
              </w:tc>
              <w:tc>
                <w:tcPr>
                  <w:tcW w:w="430" w:type="pct"/>
                  <w:vMerge w:val="restart"/>
                  <w:noWrap w:val="0"/>
                  <w:vAlign w:val="center"/>
                </w:tcPr>
                <w:p w14:paraId="5B1DDA82">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430" w:type="pct"/>
                  <w:vMerge w:val="restart"/>
                  <w:noWrap w:val="0"/>
                  <w:vAlign w:val="center"/>
                </w:tcPr>
                <w:p w14:paraId="4D89669F">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化粪池</w:t>
                  </w:r>
                </w:p>
              </w:tc>
              <w:tc>
                <w:tcPr>
                  <w:tcW w:w="431" w:type="pct"/>
                  <w:vMerge w:val="restart"/>
                  <w:noWrap w:val="0"/>
                  <w:vAlign w:val="center"/>
                </w:tcPr>
                <w:p w14:paraId="163C15E9">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441" w:type="pct"/>
                  <w:vMerge w:val="restart"/>
                  <w:noWrap w:val="0"/>
                  <w:vAlign w:val="center"/>
                </w:tcPr>
                <w:p w14:paraId="6A70C7BE">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DW001</w:t>
                  </w:r>
                </w:p>
              </w:tc>
              <w:tc>
                <w:tcPr>
                  <w:tcW w:w="435" w:type="pct"/>
                  <w:vMerge w:val="restart"/>
                  <w:noWrap w:val="0"/>
                  <w:vAlign w:val="center"/>
                </w:tcPr>
                <w:p w14:paraId="2FBB7D64">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是</w:t>
                  </w:r>
                </w:p>
                <w:p w14:paraId="43DFCD63">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否</w:t>
                  </w:r>
                </w:p>
              </w:tc>
              <w:tc>
                <w:tcPr>
                  <w:tcW w:w="853" w:type="pct"/>
                  <w:vMerge w:val="restart"/>
                  <w:noWrap w:val="0"/>
                  <w:vAlign w:val="center"/>
                </w:tcPr>
                <w:p w14:paraId="47F79830">
                  <w:pPr>
                    <w:pStyle w:val="38"/>
                    <w:keepNext w:val="0"/>
                    <w:keepLines w:val="0"/>
                    <w:suppressLineNumbers w:val="0"/>
                    <w:bidi w:val="0"/>
                    <w:spacing w:before="0" w:beforeAutospacing="0" w:after="0" w:afterAutospacing="0"/>
                    <w:ind w:left="0" w:right="0"/>
                    <w:jc w:val="both"/>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企业总排</w:t>
                  </w:r>
                  <w:r>
                    <w:rPr>
                      <w:rFonts w:hint="eastAsia" w:cs="Times New Roman"/>
                      <w:b w:val="0"/>
                      <w:bCs/>
                      <w:color w:val="auto"/>
                      <w:sz w:val="21"/>
                      <w:szCs w:val="21"/>
                      <w:highlight w:val="none"/>
                      <w:lang w:val="en-US" w:eastAsia="zh-CN"/>
                    </w:rPr>
                    <w:t>口</w:t>
                  </w:r>
                </w:p>
                <w:p w14:paraId="0C1CAF46">
                  <w:pPr>
                    <w:pStyle w:val="38"/>
                    <w:keepNext w:val="0"/>
                    <w:keepLines w:val="0"/>
                    <w:suppressLineNumbers w:val="0"/>
                    <w:bidi w:val="0"/>
                    <w:spacing w:before="0" w:beforeAutospacing="0" w:after="0" w:afterAutospacing="0"/>
                    <w:ind w:left="0" w:right="0"/>
                    <w:jc w:val="both"/>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雨水排放</w:t>
                  </w:r>
                </w:p>
                <w:p w14:paraId="4A87603E">
                  <w:pPr>
                    <w:pStyle w:val="38"/>
                    <w:keepNext w:val="0"/>
                    <w:keepLines w:val="0"/>
                    <w:suppressLineNumbers w:val="0"/>
                    <w:bidi w:val="0"/>
                    <w:spacing w:before="0" w:beforeAutospacing="0" w:after="0" w:afterAutospacing="0"/>
                    <w:ind w:left="0" w:right="0"/>
                    <w:jc w:val="both"/>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清净下水排放</w:t>
                  </w:r>
                </w:p>
                <w:p w14:paraId="2AEFD2FC">
                  <w:pPr>
                    <w:pStyle w:val="38"/>
                    <w:keepNext w:val="0"/>
                    <w:keepLines w:val="0"/>
                    <w:suppressLineNumbers w:val="0"/>
                    <w:bidi w:val="0"/>
                    <w:spacing w:before="0" w:beforeAutospacing="0" w:after="0" w:afterAutospacing="0"/>
                    <w:ind w:left="0" w:right="0"/>
                    <w:jc w:val="both"/>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温排水排放</w:t>
                  </w:r>
                </w:p>
                <w:p w14:paraId="3D3F5F99">
                  <w:pPr>
                    <w:pStyle w:val="38"/>
                    <w:keepNext w:val="0"/>
                    <w:keepLines w:val="0"/>
                    <w:suppressLineNumbers w:val="0"/>
                    <w:bidi w:val="0"/>
                    <w:spacing w:before="0" w:beforeAutospacing="0" w:after="0" w:afterAutospacing="0"/>
                    <w:ind w:left="0" w:right="0"/>
                    <w:jc w:val="both"/>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车间或车间处理设施排放量</w:t>
                  </w:r>
                </w:p>
              </w:tc>
            </w:tr>
            <w:tr w14:paraId="313C2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5" w:type="pct"/>
                  <w:vMerge w:val="continue"/>
                  <w:noWrap w:val="0"/>
                  <w:vAlign w:val="center"/>
                </w:tcPr>
                <w:p w14:paraId="1D2A5FD7">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78" w:type="pct"/>
                  <w:noWrap w:val="0"/>
                  <w:vAlign w:val="center"/>
                </w:tcPr>
                <w:p w14:paraId="58EDBBBD">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BOD</w:t>
                  </w:r>
                  <w:r>
                    <w:rPr>
                      <w:rFonts w:hint="default" w:ascii="Times New Roman" w:hAnsi="Times New Roman" w:eastAsia="宋体" w:cs="Times New Roman"/>
                      <w:b w:val="0"/>
                      <w:bCs/>
                      <w:color w:val="auto"/>
                      <w:sz w:val="21"/>
                      <w:szCs w:val="21"/>
                      <w:highlight w:val="none"/>
                      <w:vertAlign w:val="subscript"/>
                    </w:rPr>
                    <w:t>5</w:t>
                  </w:r>
                </w:p>
              </w:tc>
              <w:tc>
                <w:tcPr>
                  <w:tcW w:w="593" w:type="pct"/>
                  <w:vMerge w:val="continue"/>
                  <w:noWrap w:val="0"/>
                  <w:vAlign w:val="center"/>
                </w:tcPr>
                <w:p w14:paraId="7B807075">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580" w:type="pct"/>
                  <w:vMerge w:val="continue"/>
                  <w:noWrap w:val="0"/>
                  <w:vAlign w:val="center"/>
                </w:tcPr>
                <w:p w14:paraId="4EF95848">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30" w:type="pct"/>
                  <w:vMerge w:val="continue"/>
                  <w:noWrap w:val="0"/>
                  <w:vAlign w:val="center"/>
                </w:tcPr>
                <w:p w14:paraId="699C2EC1">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30" w:type="pct"/>
                  <w:vMerge w:val="continue"/>
                  <w:noWrap w:val="0"/>
                  <w:vAlign w:val="center"/>
                </w:tcPr>
                <w:p w14:paraId="354FE894">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431" w:type="pct"/>
                  <w:vMerge w:val="continue"/>
                  <w:noWrap w:val="0"/>
                  <w:vAlign w:val="center"/>
                </w:tcPr>
                <w:p w14:paraId="1F049AB1">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441" w:type="pct"/>
                  <w:vMerge w:val="continue"/>
                  <w:noWrap w:val="0"/>
                  <w:vAlign w:val="center"/>
                </w:tcPr>
                <w:p w14:paraId="3B39D790">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35" w:type="pct"/>
                  <w:vMerge w:val="continue"/>
                  <w:noWrap w:val="0"/>
                  <w:vAlign w:val="center"/>
                </w:tcPr>
                <w:p w14:paraId="7A2115A9">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53" w:type="pct"/>
                  <w:vMerge w:val="continue"/>
                  <w:noWrap w:val="0"/>
                  <w:vAlign w:val="center"/>
                </w:tcPr>
                <w:p w14:paraId="66B2FBEE">
                  <w:pPr>
                    <w:pStyle w:val="38"/>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r>
            <w:tr w14:paraId="64CDE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5" w:type="pct"/>
                  <w:vMerge w:val="continue"/>
                  <w:noWrap w:val="0"/>
                  <w:vAlign w:val="center"/>
                </w:tcPr>
                <w:p w14:paraId="4D8C96BD">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78" w:type="pct"/>
                  <w:noWrap w:val="0"/>
                  <w:vAlign w:val="center"/>
                </w:tcPr>
                <w:p w14:paraId="2AA977B4">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NH₃-N</w:t>
                  </w:r>
                </w:p>
              </w:tc>
              <w:tc>
                <w:tcPr>
                  <w:tcW w:w="593" w:type="pct"/>
                  <w:vMerge w:val="continue"/>
                  <w:noWrap w:val="0"/>
                  <w:vAlign w:val="center"/>
                </w:tcPr>
                <w:p w14:paraId="736DC26E">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80" w:type="pct"/>
                  <w:vMerge w:val="continue"/>
                  <w:noWrap w:val="0"/>
                  <w:vAlign w:val="center"/>
                </w:tcPr>
                <w:p w14:paraId="6E83DD12">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30" w:type="pct"/>
                  <w:vMerge w:val="continue"/>
                  <w:noWrap w:val="0"/>
                  <w:vAlign w:val="center"/>
                </w:tcPr>
                <w:p w14:paraId="40D58F69">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30" w:type="pct"/>
                  <w:vMerge w:val="continue"/>
                  <w:noWrap w:val="0"/>
                  <w:vAlign w:val="center"/>
                </w:tcPr>
                <w:p w14:paraId="6D2CA4AD">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31" w:type="pct"/>
                  <w:vMerge w:val="continue"/>
                  <w:noWrap w:val="0"/>
                  <w:vAlign w:val="center"/>
                </w:tcPr>
                <w:p w14:paraId="7C56970C">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41" w:type="pct"/>
                  <w:vMerge w:val="continue"/>
                  <w:noWrap w:val="0"/>
                  <w:vAlign w:val="center"/>
                </w:tcPr>
                <w:p w14:paraId="691EC0B9">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35" w:type="pct"/>
                  <w:vMerge w:val="continue"/>
                  <w:noWrap w:val="0"/>
                  <w:vAlign w:val="center"/>
                </w:tcPr>
                <w:p w14:paraId="52086A7B">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53" w:type="pct"/>
                  <w:vMerge w:val="continue"/>
                  <w:noWrap w:val="0"/>
                  <w:vAlign w:val="center"/>
                </w:tcPr>
                <w:p w14:paraId="68D3AC4F">
                  <w:pPr>
                    <w:pStyle w:val="38"/>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r>
            <w:tr w14:paraId="4DD81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5" w:type="pct"/>
                  <w:vMerge w:val="continue"/>
                  <w:noWrap w:val="0"/>
                  <w:vAlign w:val="center"/>
                </w:tcPr>
                <w:p w14:paraId="455F6D81">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78" w:type="pct"/>
                  <w:noWrap w:val="0"/>
                  <w:vAlign w:val="center"/>
                </w:tcPr>
                <w:p w14:paraId="76FCED05">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SS</w:t>
                  </w:r>
                </w:p>
              </w:tc>
              <w:tc>
                <w:tcPr>
                  <w:tcW w:w="593" w:type="pct"/>
                  <w:vMerge w:val="continue"/>
                  <w:noWrap w:val="0"/>
                  <w:vAlign w:val="center"/>
                </w:tcPr>
                <w:p w14:paraId="28751A04">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80" w:type="pct"/>
                  <w:vMerge w:val="continue"/>
                  <w:noWrap w:val="0"/>
                  <w:vAlign w:val="center"/>
                </w:tcPr>
                <w:p w14:paraId="08DB28AB">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30" w:type="pct"/>
                  <w:vMerge w:val="continue"/>
                  <w:noWrap w:val="0"/>
                  <w:vAlign w:val="center"/>
                </w:tcPr>
                <w:p w14:paraId="09E0DC41">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30" w:type="pct"/>
                  <w:vMerge w:val="continue"/>
                  <w:noWrap w:val="0"/>
                  <w:vAlign w:val="center"/>
                </w:tcPr>
                <w:p w14:paraId="494A8DEB">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31" w:type="pct"/>
                  <w:vMerge w:val="continue"/>
                  <w:noWrap w:val="0"/>
                  <w:vAlign w:val="center"/>
                </w:tcPr>
                <w:p w14:paraId="6A91C785">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41" w:type="pct"/>
                  <w:vMerge w:val="continue"/>
                  <w:noWrap w:val="0"/>
                  <w:vAlign w:val="center"/>
                </w:tcPr>
                <w:p w14:paraId="430347ED">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35" w:type="pct"/>
                  <w:vMerge w:val="continue"/>
                  <w:noWrap w:val="0"/>
                  <w:vAlign w:val="center"/>
                </w:tcPr>
                <w:p w14:paraId="01906A95">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53" w:type="pct"/>
                  <w:vMerge w:val="continue"/>
                  <w:noWrap w:val="0"/>
                  <w:vAlign w:val="center"/>
                </w:tcPr>
                <w:p w14:paraId="2D132BEF">
                  <w:pPr>
                    <w:pStyle w:val="38"/>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r>
            <w:tr w14:paraId="63D27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5" w:type="pct"/>
                  <w:vMerge w:val="restart"/>
                  <w:noWrap w:val="0"/>
                  <w:vAlign w:val="center"/>
                </w:tcPr>
                <w:p w14:paraId="77C5D7C3">
                  <w:pPr>
                    <w:pStyle w:val="38"/>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eastAsia="zh-CN"/>
                    </w:rPr>
                  </w:pPr>
                  <w:r>
                    <w:rPr>
                      <w:rFonts w:hint="default" w:ascii="宋体" w:hAnsi="宋体" w:eastAsia="宋体" w:cs="宋体"/>
                      <w:b w:val="0"/>
                      <w:bCs/>
                      <w:snapToGrid w:val="0"/>
                      <w:color w:val="000000"/>
                      <w:spacing w:val="-1"/>
                      <w:kern w:val="0"/>
                      <w:sz w:val="21"/>
                      <w:szCs w:val="21"/>
                      <w:lang w:val="en-US" w:eastAsia="en-US" w:bidi="ar-SA"/>
                    </w:rPr>
                    <w:t>生产废水</w:t>
                  </w:r>
                  <w:r>
                    <w:rPr>
                      <w:rFonts w:hint="eastAsia" w:ascii="宋体" w:hAnsi="宋体" w:eastAsia="宋体" w:cs="宋体"/>
                      <w:b w:val="0"/>
                      <w:bCs/>
                      <w:snapToGrid w:val="0"/>
                      <w:color w:val="000000"/>
                      <w:spacing w:val="-1"/>
                      <w:kern w:val="0"/>
                      <w:sz w:val="21"/>
                      <w:szCs w:val="21"/>
                      <w:lang w:val="en-US" w:eastAsia="zh-CN" w:bidi="ar-SA"/>
                    </w:rPr>
                    <w:t>（</w:t>
                  </w:r>
                  <w:r>
                    <w:rPr>
                      <w:rFonts w:hint="default" w:ascii="宋体" w:hAnsi="宋体" w:eastAsia="宋体" w:cs="宋体"/>
                      <w:b w:val="0"/>
                      <w:bCs/>
                      <w:snapToGrid w:val="0"/>
                      <w:color w:val="000000"/>
                      <w:spacing w:val="-2"/>
                      <w:kern w:val="0"/>
                      <w:sz w:val="21"/>
                      <w:szCs w:val="21"/>
                      <w:lang w:val="en-US" w:eastAsia="en-US" w:bidi="ar-SA"/>
                    </w:rPr>
                    <w:t>磨毛</w:t>
                  </w:r>
                  <w:r>
                    <w:rPr>
                      <w:rFonts w:hint="eastAsia" w:ascii="Times New Roman" w:hAnsi="Times New Roman" w:eastAsia="宋体" w:cs="Times New Roman"/>
                      <w:b w:val="0"/>
                      <w:bCs/>
                      <w:color w:val="auto"/>
                      <w:kern w:val="0"/>
                      <w:sz w:val="21"/>
                      <w:szCs w:val="21"/>
                      <w:highlight w:val="none"/>
                      <w:lang w:val="en-US" w:eastAsia="zh-CN" w:bidi="ar"/>
                    </w:rPr>
                    <w:t>废水</w:t>
                  </w:r>
                  <w:r>
                    <w:rPr>
                      <w:rFonts w:hint="eastAsia" w:ascii="宋体" w:hAnsi="宋体" w:eastAsia="宋体" w:cs="宋体"/>
                      <w:b w:val="0"/>
                      <w:bCs/>
                      <w:snapToGrid w:val="0"/>
                      <w:color w:val="000000"/>
                      <w:spacing w:val="-2"/>
                      <w:kern w:val="0"/>
                      <w:sz w:val="21"/>
                      <w:szCs w:val="21"/>
                      <w:lang w:val="en-US" w:eastAsia="zh-CN" w:bidi="ar-SA"/>
                    </w:rPr>
                    <w:t>、</w:t>
                  </w:r>
                  <w:r>
                    <w:rPr>
                      <w:rFonts w:hint="default" w:ascii="Times New Roman" w:hAnsi="Times New Roman" w:eastAsia="宋体" w:cs="宋体"/>
                      <w:b w:val="0"/>
                      <w:bCs/>
                      <w:snapToGrid w:val="0"/>
                      <w:color w:val="000000"/>
                      <w:spacing w:val="-1"/>
                      <w:kern w:val="0"/>
                      <w:sz w:val="21"/>
                      <w:szCs w:val="21"/>
                      <w:lang w:val="en-US" w:eastAsia="en-US" w:bidi="ar-SA"/>
                    </w:rPr>
                    <w:t>厂房设备清洁</w:t>
                  </w:r>
                  <w:r>
                    <w:rPr>
                      <w:rFonts w:hint="eastAsia" w:ascii="Times New Roman" w:hAnsi="Times New Roman" w:eastAsia="宋体" w:cs="Times New Roman"/>
                      <w:b w:val="0"/>
                      <w:bCs/>
                      <w:color w:val="auto"/>
                      <w:kern w:val="0"/>
                      <w:sz w:val="21"/>
                      <w:szCs w:val="21"/>
                      <w:highlight w:val="none"/>
                      <w:lang w:val="en-US" w:eastAsia="zh-CN" w:bidi="ar"/>
                    </w:rPr>
                    <w:t>废水</w:t>
                  </w:r>
                  <w:r>
                    <w:rPr>
                      <w:rFonts w:hint="eastAsia" w:ascii="Times New Roman" w:hAnsi="Times New Roman" w:eastAsia="宋体" w:cs="宋体"/>
                      <w:b w:val="0"/>
                      <w:bCs/>
                      <w:snapToGrid w:val="0"/>
                      <w:color w:val="000000"/>
                      <w:spacing w:val="-1"/>
                      <w:kern w:val="0"/>
                      <w:sz w:val="21"/>
                      <w:szCs w:val="21"/>
                      <w:lang w:val="en-US" w:eastAsia="zh-CN" w:bidi="ar-SA"/>
                    </w:rPr>
                    <w:t>、</w:t>
                  </w:r>
                  <w:r>
                    <w:rPr>
                      <w:rFonts w:hint="eastAsia" w:ascii="Times New Roman" w:hAnsi="Times New Roman" w:eastAsia="宋体" w:cs="Times New Roman"/>
                      <w:b w:val="0"/>
                      <w:bCs/>
                      <w:color w:val="auto"/>
                      <w:kern w:val="0"/>
                      <w:sz w:val="21"/>
                      <w:szCs w:val="21"/>
                      <w:highlight w:val="none"/>
                      <w:lang w:val="en-US" w:eastAsia="zh-CN" w:bidi="ar"/>
                    </w:rPr>
                    <w:t>织造废水</w:t>
                  </w:r>
                  <w:r>
                    <w:rPr>
                      <w:rFonts w:hint="eastAsia" w:ascii="宋体" w:hAnsi="宋体" w:eastAsia="宋体" w:cs="宋体"/>
                      <w:b w:val="0"/>
                      <w:bCs/>
                      <w:snapToGrid w:val="0"/>
                      <w:color w:val="000000"/>
                      <w:spacing w:val="-1"/>
                      <w:kern w:val="0"/>
                      <w:sz w:val="21"/>
                      <w:szCs w:val="21"/>
                      <w:lang w:val="en-US" w:eastAsia="zh-CN" w:bidi="ar-SA"/>
                    </w:rPr>
                    <w:t>）</w:t>
                  </w:r>
                </w:p>
              </w:tc>
              <w:tc>
                <w:tcPr>
                  <w:tcW w:w="478" w:type="pct"/>
                  <w:noWrap w:val="0"/>
                  <w:vAlign w:val="center"/>
                </w:tcPr>
                <w:p w14:paraId="16CA5F64">
                  <w:pPr>
                    <w:pStyle w:val="3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COD</w:t>
                  </w:r>
                </w:p>
              </w:tc>
              <w:tc>
                <w:tcPr>
                  <w:tcW w:w="593" w:type="pct"/>
                  <w:vMerge w:val="continue"/>
                  <w:noWrap w:val="0"/>
                  <w:vAlign w:val="center"/>
                </w:tcPr>
                <w:p w14:paraId="1E90ABE6">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80" w:type="pct"/>
                  <w:vMerge w:val="continue"/>
                  <w:noWrap w:val="0"/>
                  <w:vAlign w:val="center"/>
                </w:tcPr>
                <w:p w14:paraId="01F6290C">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30" w:type="pct"/>
                  <w:vMerge w:val="restart"/>
                  <w:noWrap w:val="0"/>
                  <w:vAlign w:val="center"/>
                </w:tcPr>
                <w:p w14:paraId="492887B8">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TW001</w:t>
                  </w:r>
                </w:p>
              </w:tc>
              <w:tc>
                <w:tcPr>
                  <w:tcW w:w="430" w:type="pct"/>
                  <w:vMerge w:val="restart"/>
                  <w:noWrap w:val="0"/>
                  <w:vAlign w:val="center"/>
                </w:tcPr>
                <w:p w14:paraId="1C5940C5">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一体化污水处理设施</w:t>
                  </w:r>
                </w:p>
              </w:tc>
              <w:tc>
                <w:tcPr>
                  <w:tcW w:w="431" w:type="pct"/>
                  <w:vMerge w:val="restart"/>
                  <w:noWrap w:val="0"/>
                  <w:vAlign w:val="center"/>
                </w:tcPr>
                <w:p w14:paraId="4ED949C0">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val="0"/>
                      <w:color w:val="auto"/>
                      <w:kern w:val="2"/>
                      <w:sz w:val="21"/>
                      <w:szCs w:val="21"/>
                      <w:lang w:val="en-US" w:eastAsia="zh-CN" w:bidi="ar-SA"/>
                    </w:rPr>
                    <w:t>“隔油+气浮+好氧生化+二级沉淀+过滤”</w:t>
                  </w:r>
                  <w:r>
                    <w:rPr>
                      <w:rFonts w:hint="default" w:ascii="Times New Roman" w:hAnsi="Times New Roman" w:eastAsia="宋体" w:cs="Times New Roman"/>
                      <w:b w:val="0"/>
                      <w:color w:val="auto"/>
                      <w:kern w:val="2"/>
                      <w:sz w:val="21"/>
                      <w:szCs w:val="21"/>
                      <w:lang w:val="en-US" w:eastAsia="zh-CN" w:bidi="ar-SA"/>
                    </w:rPr>
                    <w:t>处理设施</w:t>
                  </w:r>
                </w:p>
              </w:tc>
              <w:tc>
                <w:tcPr>
                  <w:tcW w:w="441" w:type="pct"/>
                  <w:vMerge w:val="continue"/>
                  <w:noWrap w:val="0"/>
                  <w:vAlign w:val="center"/>
                </w:tcPr>
                <w:p w14:paraId="371824DF">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35" w:type="pct"/>
                  <w:vMerge w:val="continue"/>
                  <w:noWrap w:val="0"/>
                  <w:vAlign w:val="center"/>
                </w:tcPr>
                <w:p w14:paraId="5F65A534">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53" w:type="pct"/>
                  <w:vMerge w:val="continue"/>
                  <w:noWrap w:val="0"/>
                  <w:vAlign w:val="center"/>
                </w:tcPr>
                <w:p w14:paraId="6573F9D7">
                  <w:pPr>
                    <w:pStyle w:val="38"/>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p>
              </w:tc>
            </w:tr>
            <w:tr w14:paraId="1DA69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5" w:type="pct"/>
                  <w:vMerge w:val="continue"/>
                  <w:noWrap w:val="0"/>
                  <w:vAlign w:val="center"/>
                </w:tcPr>
                <w:p w14:paraId="6EC4988D">
                  <w:pPr>
                    <w:pStyle w:val="38"/>
                    <w:keepNext w:val="0"/>
                    <w:keepLines w:val="0"/>
                    <w:suppressLineNumbers w:val="0"/>
                    <w:bidi w:val="0"/>
                    <w:spacing w:before="0" w:beforeAutospacing="0" w:after="0" w:afterAutospacing="0"/>
                    <w:ind w:left="0" w:right="0"/>
                    <w:jc w:val="center"/>
                    <w:rPr>
                      <w:rFonts w:hint="default"/>
                      <w:b w:val="0"/>
                      <w:bCs/>
                      <w:sz w:val="21"/>
                      <w:szCs w:val="21"/>
                    </w:rPr>
                  </w:pPr>
                </w:p>
              </w:tc>
              <w:tc>
                <w:tcPr>
                  <w:tcW w:w="478" w:type="pct"/>
                  <w:noWrap w:val="0"/>
                  <w:vAlign w:val="center"/>
                </w:tcPr>
                <w:p w14:paraId="7717953E">
                  <w:pPr>
                    <w:pStyle w:val="3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BOD</w:t>
                  </w:r>
                  <w:r>
                    <w:rPr>
                      <w:rFonts w:hint="default" w:ascii="Times New Roman" w:hAnsi="Times New Roman" w:eastAsia="宋体" w:cs="Times New Roman"/>
                      <w:b w:val="0"/>
                      <w:bCs/>
                      <w:color w:val="auto"/>
                      <w:sz w:val="21"/>
                      <w:szCs w:val="21"/>
                      <w:highlight w:val="none"/>
                      <w:vertAlign w:val="subscript"/>
                    </w:rPr>
                    <w:t>5</w:t>
                  </w:r>
                </w:p>
              </w:tc>
              <w:tc>
                <w:tcPr>
                  <w:tcW w:w="593" w:type="pct"/>
                  <w:vMerge w:val="continue"/>
                  <w:noWrap w:val="0"/>
                  <w:vAlign w:val="center"/>
                </w:tcPr>
                <w:p w14:paraId="473FE0B6">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580" w:type="pct"/>
                  <w:vMerge w:val="continue"/>
                  <w:noWrap w:val="0"/>
                  <w:vAlign w:val="center"/>
                </w:tcPr>
                <w:p w14:paraId="52A756B6">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0" w:type="pct"/>
                  <w:vMerge w:val="continue"/>
                  <w:noWrap w:val="0"/>
                  <w:vAlign w:val="center"/>
                </w:tcPr>
                <w:p w14:paraId="620EEAB4">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0" w:type="pct"/>
                  <w:vMerge w:val="continue"/>
                  <w:noWrap w:val="0"/>
                  <w:vAlign w:val="center"/>
                </w:tcPr>
                <w:p w14:paraId="6B5D2FC7">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1" w:type="pct"/>
                  <w:vMerge w:val="continue"/>
                  <w:noWrap w:val="0"/>
                  <w:vAlign w:val="center"/>
                </w:tcPr>
                <w:p w14:paraId="66D79960">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41" w:type="pct"/>
                  <w:vMerge w:val="continue"/>
                  <w:noWrap w:val="0"/>
                  <w:vAlign w:val="center"/>
                </w:tcPr>
                <w:p w14:paraId="3D6F171B">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5" w:type="pct"/>
                  <w:vMerge w:val="continue"/>
                  <w:noWrap w:val="0"/>
                  <w:vAlign w:val="center"/>
                </w:tcPr>
                <w:p w14:paraId="599F4DF9">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853" w:type="pct"/>
                  <w:vMerge w:val="continue"/>
                  <w:noWrap w:val="0"/>
                  <w:vAlign w:val="center"/>
                </w:tcPr>
                <w:p w14:paraId="523487F7">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r>
            <w:tr w14:paraId="69358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5" w:type="pct"/>
                  <w:vMerge w:val="continue"/>
                  <w:noWrap w:val="0"/>
                  <w:vAlign w:val="center"/>
                </w:tcPr>
                <w:p w14:paraId="3E6F5138">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78" w:type="pct"/>
                  <w:noWrap w:val="0"/>
                  <w:vAlign w:val="center"/>
                </w:tcPr>
                <w:p w14:paraId="6F8B70B4">
                  <w:pPr>
                    <w:pStyle w:val="3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NH₃-N</w:t>
                  </w:r>
                </w:p>
              </w:tc>
              <w:tc>
                <w:tcPr>
                  <w:tcW w:w="593" w:type="pct"/>
                  <w:vMerge w:val="continue"/>
                  <w:noWrap w:val="0"/>
                  <w:vAlign w:val="center"/>
                </w:tcPr>
                <w:p w14:paraId="45A8D06D">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580" w:type="pct"/>
                  <w:vMerge w:val="continue"/>
                  <w:noWrap w:val="0"/>
                  <w:vAlign w:val="center"/>
                </w:tcPr>
                <w:p w14:paraId="73D131EC">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0" w:type="pct"/>
                  <w:vMerge w:val="continue"/>
                  <w:noWrap w:val="0"/>
                  <w:vAlign w:val="center"/>
                </w:tcPr>
                <w:p w14:paraId="41A471FD">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0" w:type="pct"/>
                  <w:vMerge w:val="continue"/>
                  <w:noWrap w:val="0"/>
                  <w:vAlign w:val="center"/>
                </w:tcPr>
                <w:p w14:paraId="6D65BC97">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1" w:type="pct"/>
                  <w:vMerge w:val="continue"/>
                  <w:noWrap w:val="0"/>
                  <w:vAlign w:val="center"/>
                </w:tcPr>
                <w:p w14:paraId="777D25AF">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41" w:type="pct"/>
                  <w:vMerge w:val="continue"/>
                  <w:noWrap w:val="0"/>
                  <w:vAlign w:val="center"/>
                </w:tcPr>
                <w:p w14:paraId="3798A6BF">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5" w:type="pct"/>
                  <w:vMerge w:val="continue"/>
                  <w:noWrap w:val="0"/>
                  <w:vAlign w:val="center"/>
                </w:tcPr>
                <w:p w14:paraId="5B62CEFF">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853" w:type="pct"/>
                  <w:vMerge w:val="continue"/>
                  <w:noWrap w:val="0"/>
                  <w:vAlign w:val="center"/>
                </w:tcPr>
                <w:p w14:paraId="4767F38C">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r>
            <w:tr w14:paraId="235BF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5" w:type="pct"/>
                  <w:vMerge w:val="continue"/>
                  <w:noWrap w:val="0"/>
                  <w:vAlign w:val="center"/>
                </w:tcPr>
                <w:p w14:paraId="534AEF3A">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78" w:type="pct"/>
                  <w:noWrap w:val="0"/>
                  <w:vAlign w:val="center"/>
                </w:tcPr>
                <w:p w14:paraId="215D3760">
                  <w:pPr>
                    <w:pStyle w:val="3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SS</w:t>
                  </w:r>
                </w:p>
              </w:tc>
              <w:tc>
                <w:tcPr>
                  <w:tcW w:w="593" w:type="pct"/>
                  <w:vMerge w:val="continue"/>
                  <w:noWrap w:val="0"/>
                  <w:vAlign w:val="center"/>
                </w:tcPr>
                <w:p w14:paraId="20A88A40">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580" w:type="pct"/>
                  <w:vMerge w:val="continue"/>
                  <w:noWrap w:val="0"/>
                  <w:vAlign w:val="center"/>
                </w:tcPr>
                <w:p w14:paraId="3907C9D1">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0" w:type="pct"/>
                  <w:vMerge w:val="continue"/>
                  <w:noWrap w:val="0"/>
                  <w:vAlign w:val="center"/>
                </w:tcPr>
                <w:p w14:paraId="5996848C">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0" w:type="pct"/>
                  <w:vMerge w:val="continue"/>
                  <w:noWrap w:val="0"/>
                  <w:vAlign w:val="center"/>
                </w:tcPr>
                <w:p w14:paraId="6B927DE5">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1" w:type="pct"/>
                  <w:vMerge w:val="continue"/>
                  <w:noWrap w:val="0"/>
                  <w:vAlign w:val="center"/>
                </w:tcPr>
                <w:p w14:paraId="03F91A59">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41" w:type="pct"/>
                  <w:vMerge w:val="continue"/>
                  <w:noWrap w:val="0"/>
                  <w:vAlign w:val="center"/>
                </w:tcPr>
                <w:p w14:paraId="34BA381A">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5" w:type="pct"/>
                  <w:vMerge w:val="continue"/>
                  <w:noWrap w:val="0"/>
                  <w:vAlign w:val="center"/>
                </w:tcPr>
                <w:p w14:paraId="370A39D3">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853" w:type="pct"/>
                  <w:vMerge w:val="continue"/>
                  <w:noWrap w:val="0"/>
                  <w:vAlign w:val="center"/>
                </w:tcPr>
                <w:p w14:paraId="208AFF9E">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r>
            <w:tr w14:paraId="77D66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5" w:type="pct"/>
                  <w:vMerge w:val="continue"/>
                  <w:noWrap w:val="0"/>
                  <w:vAlign w:val="center"/>
                </w:tcPr>
                <w:p w14:paraId="7745D457">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78" w:type="pct"/>
                  <w:noWrap w:val="0"/>
                  <w:vAlign w:val="center"/>
                </w:tcPr>
                <w:p w14:paraId="71F6F1B4">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宋体" w:hAnsi="宋体" w:eastAsia="宋体" w:cs="宋体"/>
                      <w:b w:val="0"/>
                      <w:bCs/>
                      <w:snapToGrid w:val="0"/>
                      <w:color w:val="000000"/>
                      <w:spacing w:val="-2"/>
                      <w:kern w:val="0"/>
                      <w:sz w:val="21"/>
                      <w:szCs w:val="21"/>
                      <w:lang w:val="en-US" w:eastAsia="en-US" w:bidi="ar-SA"/>
                    </w:rPr>
                    <w:t>石油类</w:t>
                  </w:r>
                </w:p>
              </w:tc>
              <w:tc>
                <w:tcPr>
                  <w:tcW w:w="593" w:type="pct"/>
                  <w:vMerge w:val="continue"/>
                  <w:noWrap w:val="0"/>
                  <w:vAlign w:val="center"/>
                </w:tcPr>
                <w:p w14:paraId="67C9AEC4">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580" w:type="pct"/>
                  <w:vMerge w:val="continue"/>
                  <w:noWrap w:val="0"/>
                  <w:vAlign w:val="center"/>
                </w:tcPr>
                <w:p w14:paraId="145D8E81">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0" w:type="pct"/>
                  <w:vMerge w:val="continue"/>
                  <w:noWrap w:val="0"/>
                  <w:vAlign w:val="center"/>
                </w:tcPr>
                <w:p w14:paraId="369FF18A">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0" w:type="pct"/>
                  <w:vMerge w:val="continue"/>
                  <w:noWrap w:val="0"/>
                  <w:vAlign w:val="center"/>
                </w:tcPr>
                <w:p w14:paraId="46928327">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1" w:type="pct"/>
                  <w:vMerge w:val="continue"/>
                  <w:noWrap w:val="0"/>
                  <w:vAlign w:val="center"/>
                </w:tcPr>
                <w:p w14:paraId="3AD2ADB8">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41" w:type="pct"/>
                  <w:vMerge w:val="continue"/>
                  <w:noWrap w:val="0"/>
                  <w:vAlign w:val="center"/>
                </w:tcPr>
                <w:p w14:paraId="4341F388">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5" w:type="pct"/>
                  <w:vMerge w:val="continue"/>
                  <w:noWrap w:val="0"/>
                  <w:vAlign w:val="center"/>
                </w:tcPr>
                <w:p w14:paraId="579F255A">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853" w:type="pct"/>
                  <w:vMerge w:val="continue"/>
                  <w:noWrap w:val="0"/>
                  <w:vAlign w:val="center"/>
                </w:tcPr>
                <w:p w14:paraId="465C0A3B">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r>
            <w:tr w14:paraId="441E9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5" w:type="pct"/>
                  <w:vMerge w:val="continue"/>
                  <w:noWrap w:val="0"/>
                  <w:vAlign w:val="center"/>
                </w:tcPr>
                <w:p w14:paraId="103E73B6">
                  <w:pPr>
                    <w:pStyle w:val="38"/>
                    <w:keepNext w:val="0"/>
                    <w:keepLines w:val="0"/>
                    <w:suppressLineNumbers w:val="0"/>
                    <w:bidi w:val="0"/>
                    <w:spacing w:before="0" w:beforeAutospacing="0" w:after="0" w:afterAutospacing="0"/>
                    <w:ind w:left="0" w:right="0"/>
                    <w:jc w:val="center"/>
                    <w:rPr>
                      <w:rFonts w:hint="default"/>
                      <w:b w:val="0"/>
                      <w:bCs/>
                      <w:sz w:val="21"/>
                      <w:szCs w:val="21"/>
                    </w:rPr>
                  </w:pPr>
                </w:p>
              </w:tc>
              <w:tc>
                <w:tcPr>
                  <w:tcW w:w="478" w:type="pct"/>
                  <w:noWrap w:val="0"/>
                  <w:vAlign w:val="center"/>
                </w:tcPr>
                <w:p w14:paraId="040C6DB8">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Calibri" w:hAnsi="Calibri" w:eastAsia="宋体" w:cs="Times New Roman"/>
                      <w:b w:val="0"/>
                      <w:bCs/>
                      <w:spacing w:val="1"/>
                      <w:sz w:val="21"/>
                      <w:szCs w:val="21"/>
                    </w:rPr>
                    <w:t>总锑</w:t>
                  </w:r>
                </w:p>
              </w:tc>
              <w:tc>
                <w:tcPr>
                  <w:tcW w:w="593" w:type="pct"/>
                  <w:vMerge w:val="continue"/>
                  <w:noWrap w:val="0"/>
                  <w:vAlign w:val="center"/>
                </w:tcPr>
                <w:p w14:paraId="6534C8A5">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580" w:type="pct"/>
                  <w:vMerge w:val="continue"/>
                  <w:noWrap w:val="0"/>
                  <w:vAlign w:val="center"/>
                </w:tcPr>
                <w:p w14:paraId="3C8BAC6E">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0" w:type="pct"/>
                  <w:vMerge w:val="continue"/>
                  <w:noWrap w:val="0"/>
                  <w:vAlign w:val="center"/>
                </w:tcPr>
                <w:p w14:paraId="04159F1C">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0" w:type="pct"/>
                  <w:vMerge w:val="continue"/>
                  <w:noWrap w:val="0"/>
                  <w:vAlign w:val="center"/>
                </w:tcPr>
                <w:p w14:paraId="052B73AF">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1" w:type="pct"/>
                  <w:vMerge w:val="continue"/>
                  <w:noWrap w:val="0"/>
                  <w:vAlign w:val="center"/>
                </w:tcPr>
                <w:p w14:paraId="52867013">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41" w:type="pct"/>
                  <w:vMerge w:val="continue"/>
                  <w:noWrap w:val="0"/>
                  <w:vAlign w:val="center"/>
                </w:tcPr>
                <w:p w14:paraId="5DFF257F">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435" w:type="pct"/>
                  <w:vMerge w:val="continue"/>
                  <w:noWrap w:val="0"/>
                  <w:vAlign w:val="center"/>
                </w:tcPr>
                <w:p w14:paraId="0ABCBA82">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853" w:type="pct"/>
                  <w:vMerge w:val="continue"/>
                  <w:noWrap w:val="0"/>
                  <w:vAlign w:val="center"/>
                </w:tcPr>
                <w:p w14:paraId="7380A6C0">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r>
          </w:tbl>
          <w:p w14:paraId="468776C1">
            <w:pPr>
              <w:pStyle w:val="3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11</w:t>
            </w:r>
            <w:r>
              <w:rPr>
                <w:rFonts w:hint="default" w:ascii="Times New Roman" w:hAnsi="Times New Roman" w:cs="Times New Roman"/>
                <w:color w:val="auto"/>
                <w:highlight w:val="none"/>
              </w:rPr>
              <w:t>废水排放口（间接）基本情况表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11"/>
              <w:gridCol w:w="1667"/>
              <w:gridCol w:w="1552"/>
              <w:gridCol w:w="818"/>
              <w:gridCol w:w="529"/>
              <w:gridCol w:w="936"/>
              <w:gridCol w:w="529"/>
              <w:gridCol w:w="500"/>
              <w:gridCol w:w="934"/>
              <w:gridCol w:w="1568"/>
            </w:tblGrid>
            <w:tr w14:paraId="7EC6E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8" w:type="pct"/>
                  <w:vMerge w:val="restart"/>
                  <w:noWrap w:val="0"/>
                  <w:vAlign w:val="center"/>
                </w:tcPr>
                <w:p w14:paraId="11C58A74">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w:t>
                  </w:r>
                </w:p>
                <w:p w14:paraId="72CEB35D">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编号</w:t>
                  </w:r>
                </w:p>
              </w:tc>
              <w:tc>
                <w:tcPr>
                  <w:tcW w:w="1618" w:type="pct"/>
                  <w:gridSpan w:val="2"/>
                  <w:noWrap w:val="0"/>
                  <w:vAlign w:val="center"/>
                </w:tcPr>
                <w:p w14:paraId="789AED2E">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排放口坐标</w:t>
                  </w:r>
                </w:p>
              </w:tc>
              <w:tc>
                <w:tcPr>
                  <w:tcW w:w="411" w:type="pct"/>
                  <w:vMerge w:val="restart"/>
                  <w:noWrap w:val="0"/>
                  <w:vAlign w:val="center"/>
                </w:tcPr>
                <w:p w14:paraId="2C033248">
                  <w:pPr>
                    <w:pStyle w:val="38"/>
                    <w:keepNext w:val="0"/>
                    <w:keepLines w:val="0"/>
                    <w:pageBreakBefore w:val="0"/>
                    <w:widowControl w:val="0"/>
                    <w:suppressLineNumbers w:val="0"/>
                    <w:kinsoku/>
                    <w:wordWrap/>
                    <w:overflowPunct/>
                    <w:topLine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废水排放量</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t/a</w:t>
                  </w:r>
                  <w:r>
                    <w:rPr>
                      <w:rFonts w:hint="default" w:ascii="Times New Roman" w:hAnsi="Times New Roman" w:cs="Times New Roman"/>
                      <w:b/>
                      <w:bCs/>
                      <w:color w:val="auto"/>
                      <w:sz w:val="21"/>
                      <w:szCs w:val="21"/>
                      <w:highlight w:val="none"/>
                      <w:lang w:eastAsia="zh-CN"/>
                    </w:rPr>
                    <w:t>）</w:t>
                  </w:r>
                </w:p>
              </w:tc>
              <w:tc>
                <w:tcPr>
                  <w:tcW w:w="265" w:type="pct"/>
                  <w:vMerge w:val="restart"/>
                  <w:noWrap w:val="0"/>
                  <w:vAlign w:val="center"/>
                </w:tcPr>
                <w:p w14:paraId="4F61AC52">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w:t>
                  </w:r>
                </w:p>
                <w:p w14:paraId="383A2E80">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去向</w:t>
                  </w:r>
                </w:p>
              </w:tc>
              <w:tc>
                <w:tcPr>
                  <w:tcW w:w="470" w:type="pct"/>
                  <w:vMerge w:val="restart"/>
                  <w:noWrap w:val="0"/>
                  <w:vAlign w:val="center"/>
                </w:tcPr>
                <w:p w14:paraId="1640E7D7">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w:t>
                  </w:r>
                </w:p>
                <w:p w14:paraId="7FF755CE">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规律</w:t>
                  </w:r>
                </w:p>
              </w:tc>
              <w:tc>
                <w:tcPr>
                  <w:tcW w:w="265" w:type="pct"/>
                  <w:vMerge w:val="restart"/>
                  <w:noWrap w:val="0"/>
                  <w:vAlign w:val="center"/>
                </w:tcPr>
                <w:p w14:paraId="618E391E">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间歇排放时段</w:t>
                  </w:r>
                </w:p>
              </w:tc>
              <w:tc>
                <w:tcPr>
                  <w:tcW w:w="1509" w:type="pct"/>
                  <w:gridSpan w:val="3"/>
                  <w:noWrap w:val="0"/>
                  <w:vAlign w:val="center"/>
                </w:tcPr>
                <w:p w14:paraId="4089C9D7">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受纳污水处理厂信息</w:t>
                  </w:r>
                </w:p>
              </w:tc>
            </w:tr>
            <w:tr w14:paraId="26663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8" w:type="pct"/>
                  <w:vMerge w:val="continue"/>
                  <w:noWrap w:val="0"/>
                  <w:vAlign w:val="center"/>
                </w:tcPr>
                <w:p w14:paraId="7A3057E4">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p>
              </w:tc>
              <w:tc>
                <w:tcPr>
                  <w:tcW w:w="838" w:type="pct"/>
                  <w:noWrap w:val="0"/>
                  <w:vAlign w:val="center"/>
                </w:tcPr>
                <w:p w14:paraId="1F9BFE88">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经度</w:t>
                  </w:r>
                </w:p>
              </w:tc>
              <w:tc>
                <w:tcPr>
                  <w:tcW w:w="780" w:type="pct"/>
                  <w:noWrap w:val="0"/>
                  <w:vAlign w:val="center"/>
                </w:tcPr>
                <w:p w14:paraId="57E18779">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纬度</w:t>
                  </w:r>
                </w:p>
              </w:tc>
              <w:tc>
                <w:tcPr>
                  <w:tcW w:w="411" w:type="pct"/>
                  <w:vMerge w:val="continue"/>
                  <w:noWrap w:val="0"/>
                  <w:vAlign w:val="center"/>
                </w:tcPr>
                <w:p w14:paraId="04B01924">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p>
              </w:tc>
              <w:tc>
                <w:tcPr>
                  <w:tcW w:w="265" w:type="pct"/>
                  <w:vMerge w:val="continue"/>
                  <w:noWrap w:val="0"/>
                  <w:vAlign w:val="center"/>
                </w:tcPr>
                <w:p w14:paraId="33306E1C">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p>
              </w:tc>
              <w:tc>
                <w:tcPr>
                  <w:tcW w:w="470" w:type="pct"/>
                  <w:vMerge w:val="continue"/>
                  <w:noWrap w:val="0"/>
                  <w:vAlign w:val="center"/>
                </w:tcPr>
                <w:p w14:paraId="761BF093">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p>
              </w:tc>
              <w:tc>
                <w:tcPr>
                  <w:tcW w:w="265" w:type="pct"/>
                  <w:vMerge w:val="continue"/>
                  <w:noWrap w:val="0"/>
                  <w:vAlign w:val="center"/>
                </w:tcPr>
                <w:p w14:paraId="09D93AA0">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p>
              </w:tc>
              <w:tc>
                <w:tcPr>
                  <w:tcW w:w="251" w:type="pct"/>
                  <w:noWrap w:val="0"/>
                  <w:vAlign w:val="center"/>
                </w:tcPr>
                <w:p w14:paraId="276634EB">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469" w:type="pct"/>
                  <w:noWrap w:val="0"/>
                  <w:vAlign w:val="center"/>
                </w:tcPr>
                <w:p w14:paraId="03EF809E">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788" w:type="pct"/>
                  <w:noWrap w:val="0"/>
                  <w:vAlign w:val="center"/>
                </w:tcPr>
                <w:p w14:paraId="66E61815">
                  <w:pPr>
                    <w:pStyle w:val="38"/>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标准</w:t>
                  </w:r>
                  <w:r>
                    <w:rPr>
                      <w:rFonts w:hint="default" w:ascii="Times New Roman" w:hAnsi="Times New Roman" w:cs="Times New Roman"/>
                      <w:b/>
                      <w:bCs/>
                      <w:color w:val="auto"/>
                      <w:sz w:val="21"/>
                      <w:szCs w:val="21"/>
                      <w:highlight w:val="none"/>
                      <w:lang w:val="en-US" w:eastAsia="zh-CN"/>
                    </w:rPr>
                    <w:t>限值（mg/L）</w:t>
                  </w:r>
                </w:p>
              </w:tc>
            </w:tr>
            <w:tr w14:paraId="1B481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8" w:type="pct"/>
                  <w:vMerge w:val="restart"/>
                  <w:noWrap w:val="0"/>
                  <w:vAlign w:val="center"/>
                </w:tcPr>
                <w:p w14:paraId="4F26603F">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DW001</w:t>
                  </w:r>
                </w:p>
              </w:tc>
              <w:tc>
                <w:tcPr>
                  <w:tcW w:w="838" w:type="pct"/>
                  <w:vMerge w:val="restart"/>
                  <w:noWrap w:val="0"/>
                  <w:vAlign w:val="center"/>
                </w:tcPr>
                <w:p w14:paraId="3BA3255C">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117.866805</w:t>
                  </w:r>
                  <w:r>
                    <w:rPr>
                      <w:rFonts w:hint="eastAsia" w:ascii="Times New Roman" w:hAnsi="Times New Roman" w:eastAsia="宋体" w:cs="Times New Roman"/>
                      <w:b w:val="0"/>
                      <w:bCs/>
                      <w:color w:val="auto"/>
                      <w:sz w:val="21"/>
                      <w:szCs w:val="21"/>
                      <w:highlight w:val="none"/>
                      <w:lang w:val="en-US" w:eastAsia="zh-CN"/>
                    </w:rPr>
                    <w:t>°</w:t>
                  </w:r>
                </w:p>
              </w:tc>
              <w:tc>
                <w:tcPr>
                  <w:tcW w:w="780" w:type="pct"/>
                  <w:vMerge w:val="restart"/>
                  <w:noWrap w:val="0"/>
                  <w:vAlign w:val="center"/>
                </w:tcPr>
                <w:p w14:paraId="24076475">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1"/>
                      <w:szCs w:val="21"/>
                      <w:highlight w:val="none"/>
                      <w:lang w:eastAsia="zh-CN"/>
                    </w:rPr>
                    <w:t>33.111843</w:t>
                  </w:r>
                  <w:r>
                    <w:rPr>
                      <w:rFonts w:hint="eastAsia" w:ascii="Times New Roman" w:hAnsi="Times New Roman" w:eastAsia="宋体" w:cs="Times New Roman"/>
                      <w:b w:val="0"/>
                      <w:bCs/>
                      <w:color w:val="auto"/>
                      <w:sz w:val="21"/>
                      <w:szCs w:val="21"/>
                      <w:highlight w:val="none"/>
                      <w:lang w:val="en-US" w:eastAsia="zh-CN"/>
                    </w:rPr>
                    <w:t>°</w:t>
                  </w:r>
                </w:p>
              </w:tc>
              <w:tc>
                <w:tcPr>
                  <w:tcW w:w="411" w:type="pct"/>
                  <w:vMerge w:val="restart"/>
                  <w:noWrap w:val="0"/>
                  <w:vAlign w:val="center"/>
                </w:tcPr>
                <w:p w14:paraId="7F62BC2F">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25281</w:t>
                  </w:r>
                </w:p>
              </w:tc>
              <w:tc>
                <w:tcPr>
                  <w:tcW w:w="265" w:type="pct"/>
                  <w:vMerge w:val="restart"/>
                  <w:noWrap w:val="0"/>
                  <w:vAlign w:val="center"/>
                </w:tcPr>
                <w:p w14:paraId="6570EED2">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r>
                    <w:rPr>
                      <w:rFonts w:hint="eastAsia" w:cs="Times New Roman"/>
                      <w:b w:val="0"/>
                      <w:bCs/>
                      <w:color w:val="auto"/>
                      <w:highlight w:val="none"/>
                      <w:lang w:val="en-US" w:eastAsia="zh-CN"/>
                    </w:rPr>
                    <w:t>五河经济开发区污水处理厂</w:t>
                  </w:r>
                </w:p>
              </w:tc>
              <w:tc>
                <w:tcPr>
                  <w:tcW w:w="470" w:type="pct"/>
                  <w:vMerge w:val="restart"/>
                  <w:noWrap w:val="0"/>
                  <w:vAlign w:val="center"/>
                </w:tcPr>
                <w:p w14:paraId="73D14150">
                  <w:pPr>
                    <w:pStyle w:val="38"/>
                    <w:keepNext w:val="0"/>
                    <w:keepLines w:val="0"/>
                    <w:pageBreakBefore w:val="0"/>
                    <w:widowControl w:val="0"/>
                    <w:suppressLineNumbers w:val="0"/>
                    <w:kinsoku/>
                    <w:wordWrap/>
                    <w:overflowPunct/>
                    <w:topLine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间断排放，排放期间流量不稳定且无规律，但不属于冲击型排放</w:t>
                  </w:r>
                </w:p>
              </w:tc>
              <w:tc>
                <w:tcPr>
                  <w:tcW w:w="265" w:type="pct"/>
                  <w:vMerge w:val="restart"/>
                  <w:noWrap w:val="0"/>
                  <w:vAlign w:val="center"/>
                </w:tcPr>
                <w:p w14:paraId="0C791373">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生产运营时段</w:t>
                  </w:r>
                </w:p>
              </w:tc>
              <w:tc>
                <w:tcPr>
                  <w:tcW w:w="251" w:type="pct"/>
                  <w:vMerge w:val="restart"/>
                  <w:noWrap w:val="0"/>
                  <w:vAlign w:val="center"/>
                </w:tcPr>
                <w:p w14:paraId="6B7A0D59">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r>
                    <w:rPr>
                      <w:rFonts w:hint="eastAsia" w:cs="Times New Roman"/>
                      <w:b w:val="0"/>
                      <w:bCs/>
                      <w:color w:val="auto"/>
                      <w:highlight w:val="none"/>
                      <w:lang w:val="en-US" w:eastAsia="zh-CN"/>
                    </w:rPr>
                    <w:t>五河经济开发区污水处理厂</w:t>
                  </w:r>
                </w:p>
              </w:tc>
              <w:tc>
                <w:tcPr>
                  <w:tcW w:w="469" w:type="pct"/>
                  <w:noWrap w:val="0"/>
                  <w:vAlign w:val="center"/>
                </w:tcPr>
                <w:p w14:paraId="09AE2DFA">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rPr>
                    <w:t>COD</w:t>
                  </w:r>
                </w:p>
              </w:tc>
              <w:tc>
                <w:tcPr>
                  <w:tcW w:w="788" w:type="pct"/>
                  <w:noWrap w:val="0"/>
                  <w:vAlign w:val="center"/>
                </w:tcPr>
                <w:p w14:paraId="7D5E17E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color w:val="auto"/>
                      <w:sz w:val="21"/>
                      <w:szCs w:val="21"/>
                      <w:highlight w:val="none"/>
                    </w:rPr>
                  </w:pPr>
                  <w:r>
                    <w:rPr>
                      <w:rFonts w:hint="eastAsia"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lang w:val="en-US" w:eastAsia="zh-CN"/>
                    </w:rPr>
                    <w:t>0</w:t>
                  </w:r>
                </w:p>
              </w:tc>
            </w:tr>
            <w:tr w14:paraId="0E029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8" w:type="pct"/>
                  <w:vMerge w:val="continue"/>
                  <w:noWrap w:val="0"/>
                  <w:vAlign w:val="center"/>
                </w:tcPr>
                <w:p w14:paraId="01D1D5F6">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838" w:type="pct"/>
                  <w:vMerge w:val="continue"/>
                  <w:noWrap w:val="0"/>
                  <w:vAlign w:val="center"/>
                </w:tcPr>
                <w:p w14:paraId="16A1A524">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780" w:type="pct"/>
                  <w:vMerge w:val="continue"/>
                  <w:noWrap w:val="0"/>
                  <w:vAlign w:val="center"/>
                </w:tcPr>
                <w:p w14:paraId="4E98F590">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411" w:type="pct"/>
                  <w:vMerge w:val="continue"/>
                  <w:noWrap w:val="0"/>
                  <w:vAlign w:val="center"/>
                </w:tcPr>
                <w:p w14:paraId="624D4B49">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265" w:type="pct"/>
                  <w:vMerge w:val="continue"/>
                  <w:noWrap w:val="0"/>
                  <w:vAlign w:val="center"/>
                </w:tcPr>
                <w:p w14:paraId="76140CBB">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470" w:type="pct"/>
                  <w:vMerge w:val="continue"/>
                  <w:noWrap w:val="0"/>
                  <w:vAlign w:val="center"/>
                </w:tcPr>
                <w:p w14:paraId="25A1F14E">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265" w:type="pct"/>
                  <w:vMerge w:val="continue"/>
                  <w:noWrap w:val="0"/>
                  <w:vAlign w:val="center"/>
                </w:tcPr>
                <w:p w14:paraId="1CAD4312">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251" w:type="pct"/>
                  <w:vMerge w:val="continue"/>
                  <w:noWrap w:val="0"/>
                  <w:vAlign w:val="center"/>
                </w:tcPr>
                <w:p w14:paraId="73F876D9">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469" w:type="pct"/>
                  <w:noWrap w:val="0"/>
                  <w:vAlign w:val="center"/>
                </w:tcPr>
                <w:p w14:paraId="403C2404">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rPr>
                    <w:t>BOD</w:t>
                  </w:r>
                  <w:r>
                    <w:rPr>
                      <w:rFonts w:hint="default" w:ascii="Times New Roman" w:hAnsi="Times New Roman" w:cs="Times New Roman"/>
                      <w:b w:val="0"/>
                      <w:bCs/>
                      <w:color w:val="auto"/>
                      <w:sz w:val="21"/>
                      <w:szCs w:val="21"/>
                      <w:highlight w:val="none"/>
                      <w:vertAlign w:val="subscript"/>
                    </w:rPr>
                    <w:t>5</w:t>
                  </w:r>
                </w:p>
              </w:tc>
              <w:tc>
                <w:tcPr>
                  <w:tcW w:w="788" w:type="pct"/>
                  <w:noWrap w:val="0"/>
                  <w:vAlign w:val="center"/>
                </w:tcPr>
                <w:p w14:paraId="6E6CD29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10</w:t>
                  </w:r>
                </w:p>
              </w:tc>
            </w:tr>
            <w:tr w14:paraId="1D3CD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8" w:type="pct"/>
                  <w:vMerge w:val="continue"/>
                  <w:noWrap w:val="0"/>
                  <w:vAlign w:val="center"/>
                </w:tcPr>
                <w:p w14:paraId="3BEFE498">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838" w:type="pct"/>
                  <w:vMerge w:val="continue"/>
                  <w:noWrap w:val="0"/>
                  <w:vAlign w:val="center"/>
                </w:tcPr>
                <w:p w14:paraId="63E77FF1">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780" w:type="pct"/>
                  <w:vMerge w:val="continue"/>
                  <w:noWrap w:val="0"/>
                  <w:vAlign w:val="center"/>
                </w:tcPr>
                <w:p w14:paraId="0AC1B787">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411" w:type="pct"/>
                  <w:vMerge w:val="continue"/>
                  <w:noWrap w:val="0"/>
                  <w:vAlign w:val="center"/>
                </w:tcPr>
                <w:p w14:paraId="4998332D">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265" w:type="pct"/>
                  <w:vMerge w:val="continue"/>
                  <w:noWrap w:val="0"/>
                  <w:vAlign w:val="center"/>
                </w:tcPr>
                <w:p w14:paraId="1A5C9A8A">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470" w:type="pct"/>
                  <w:vMerge w:val="continue"/>
                  <w:noWrap w:val="0"/>
                  <w:vAlign w:val="center"/>
                </w:tcPr>
                <w:p w14:paraId="6BD9855D">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265" w:type="pct"/>
                  <w:vMerge w:val="continue"/>
                  <w:noWrap w:val="0"/>
                  <w:vAlign w:val="center"/>
                </w:tcPr>
                <w:p w14:paraId="211CF568">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251" w:type="pct"/>
                  <w:vMerge w:val="continue"/>
                  <w:noWrap w:val="0"/>
                  <w:vAlign w:val="center"/>
                </w:tcPr>
                <w:p w14:paraId="3992FA7D">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p>
              </w:tc>
              <w:tc>
                <w:tcPr>
                  <w:tcW w:w="469" w:type="pct"/>
                  <w:noWrap w:val="0"/>
                  <w:vAlign w:val="center"/>
                </w:tcPr>
                <w:p w14:paraId="4C6FA333">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eastAsia="zh-CN"/>
                    </w:rPr>
                    <w:t>NH₃-N</w:t>
                  </w:r>
                </w:p>
              </w:tc>
              <w:tc>
                <w:tcPr>
                  <w:tcW w:w="788" w:type="pct"/>
                  <w:noWrap w:val="0"/>
                  <w:vAlign w:val="center"/>
                </w:tcPr>
                <w:p w14:paraId="4E46875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w:t>
                  </w:r>
                </w:p>
              </w:tc>
            </w:tr>
            <w:tr w14:paraId="59B6F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38" w:hRule="atLeast"/>
                <w:jc w:val="center"/>
              </w:trPr>
              <w:tc>
                <w:tcPr>
                  <w:tcW w:w="458" w:type="pct"/>
                  <w:vMerge w:val="continue"/>
                  <w:noWrap w:val="0"/>
                  <w:vAlign w:val="center"/>
                </w:tcPr>
                <w:p w14:paraId="18253366">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p>
              </w:tc>
              <w:tc>
                <w:tcPr>
                  <w:tcW w:w="838" w:type="pct"/>
                  <w:vMerge w:val="continue"/>
                  <w:noWrap w:val="0"/>
                  <w:vAlign w:val="center"/>
                </w:tcPr>
                <w:p w14:paraId="10A71DD7">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p>
              </w:tc>
              <w:tc>
                <w:tcPr>
                  <w:tcW w:w="780" w:type="pct"/>
                  <w:vMerge w:val="continue"/>
                  <w:noWrap w:val="0"/>
                  <w:vAlign w:val="center"/>
                </w:tcPr>
                <w:p w14:paraId="64C6E880">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p>
              </w:tc>
              <w:tc>
                <w:tcPr>
                  <w:tcW w:w="411" w:type="pct"/>
                  <w:vMerge w:val="continue"/>
                  <w:noWrap w:val="0"/>
                  <w:vAlign w:val="center"/>
                </w:tcPr>
                <w:p w14:paraId="72420AE2">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p>
              </w:tc>
              <w:tc>
                <w:tcPr>
                  <w:tcW w:w="265" w:type="pct"/>
                  <w:vMerge w:val="continue"/>
                  <w:noWrap w:val="0"/>
                  <w:vAlign w:val="center"/>
                </w:tcPr>
                <w:p w14:paraId="1E990A32">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p>
              </w:tc>
              <w:tc>
                <w:tcPr>
                  <w:tcW w:w="470" w:type="pct"/>
                  <w:vMerge w:val="continue"/>
                  <w:noWrap w:val="0"/>
                  <w:vAlign w:val="center"/>
                </w:tcPr>
                <w:p w14:paraId="460308F7">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p>
              </w:tc>
              <w:tc>
                <w:tcPr>
                  <w:tcW w:w="265" w:type="pct"/>
                  <w:vMerge w:val="continue"/>
                  <w:noWrap w:val="0"/>
                  <w:vAlign w:val="center"/>
                </w:tcPr>
                <w:p w14:paraId="0757DD01">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p>
              </w:tc>
              <w:tc>
                <w:tcPr>
                  <w:tcW w:w="251" w:type="pct"/>
                  <w:vMerge w:val="continue"/>
                  <w:noWrap w:val="0"/>
                  <w:vAlign w:val="center"/>
                </w:tcPr>
                <w:p w14:paraId="6F99F8E6">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p>
              </w:tc>
              <w:tc>
                <w:tcPr>
                  <w:tcW w:w="469" w:type="pct"/>
                  <w:noWrap w:val="0"/>
                  <w:vAlign w:val="center"/>
                </w:tcPr>
                <w:p w14:paraId="1F3C3A35">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rPr>
                    <w:t>SS</w:t>
                  </w:r>
                </w:p>
              </w:tc>
              <w:tc>
                <w:tcPr>
                  <w:tcW w:w="788" w:type="pct"/>
                  <w:noWrap w:val="0"/>
                  <w:vAlign w:val="center"/>
                </w:tcPr>
                <w:p w14:paraId="40F7F19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lang w:val="en-US" w:eastAsia="zh-CN"/>
                    </w:rPr>
                    <w:t>）*</w:t>
                  </w:r>
                </w:p>
              </w:tc>
            </w:tr>
            <w:tr w14:paraId="1D166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38" w:hRule="atLeast"/>
                <w:jc w:val="center"/>
              </w:trPr>
              <w:tc>
                <w:tcPr>
                  <w:tcW w:w="458" w:type="pct"/>
                  <w:vMerge w:val="continue"/>
                  <w:noWrap w:val="0"/>
                  <w:vAlign w:val="center"/>
                </w:tcPr>
                <w:p w14:paraId="046ACCF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rPr>
                  </w:pPr>
                </w:p>
              </w:tc>
              <w:tc>
                <w:tcPr>
                  <w:tcW w:w="838" w:type="pct"/>
                  <w:vMerge w:val="continue"/>
                  <w:noWrap w:val="0"/>
                  <w:vAlign w:val="center"/>
                </w:tcPr>
                <w:p w14:paraId="596D8F3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rPr>
                  </w:pPr>
                </w:p>
              </w:tc>
              <w:tc>
                <w:tcPr>
                  <w:tcW w:w="780" w:type="pct"/>
                  <w:vMerge w:val="continue"/>
                  <w:noWrap w:val="0"/>
                  <w:vAlign w:val="center"/>
                </w:tcPr>
                <w:p w14:paraId="02C0B7E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rPr>
                  </w:pPr>
                </w:p>
              </w:tc>
              <w:tc>
                <w:tcPr>
                  <w:tcW w:w="411" w:type="pct"/>
                  <w:vMerge w:val="continue"/>
                  <w:noWrap w:val="0"/>
                  <w:vAlign w:val="center"/>
                </w:tcPr>
                <w:p w14:paraId="5EB6277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rPr>
                  </w:pPr>
                </w:p>
              </w:tc>
              <w:tc>
                <w:tcPr>
                  <w:tcW w:w="265" w:type="pct"/>
                  <w:vMerge w:val="continue"/>
                  <w:noWrap w:val="0"/>
                  <w:vAlign w:val="center"/>
                </w:tcPr>
                <w:p w14:paraId="279E8F0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rPr>
                  </w:pPr>
                </w:p>
              </w:tc>
              <w:tc>
                <w:tcPr>
                  <w:tcW w:w="470" w:type="pct"/>
                  <w:vMerge w:val="continue"/>
                  <w:noWrap w:val="0"/>
                  <w:vAlign w:val="center"/>
                </w:tcPr>
                <w:p w14:paraId="3D483EA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rPr>
                  </w:pPr>
                </w:p>
              </w:tc>
              <w:tc>
                <w:tcPr>
                  <w:tcW w:w="265" w:type="pct"/>
                  <w:vMerge w:val="continue"/>
                  <w:noWrap w:val="0"/>
                  <w:vAlign w:val="center"/>
                </w:tcPr>
                <w:p w14:paraId="57958C1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rPr>
                  </w:pPr>
                </w:p>
              </w:tc>
              <w:tc>
                <w:tcPr>
                  <w:tcW w:w="251" w:type="pct"/>
                  <w:vMerge w:val="continue"/>
                  <w:noWrap w:val="0"/>
                  <w:vAlign w:val="center"/>
                </w:tcPr>
                <w:p w14:paraId="7541234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rPr>
                  </w:pPr>
                </w:p>
              </w:tc>
              <w:tc>
                <w:tcPr>
                  <w:tcW w:w="469" w:type="pct"/>
                  <w:noWrap w:val="0"/>
                  <w:vAlign w:val="center"/>
                </w:tcPr>
                <w:p w14:paraId="4ABB075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石油类</w:t>
                  </w:r>
                </w:p>
              </w:tc>
              <w:tc>
                <w:tcPr>
                  <w:tcW w:w="788" w:type="pct"/>
                  <w:noWrap w:val="0"/>
                  <w:vAlign w:val="center"/>
                </w:tcPr>
                <w:p w14:paraId="6B44AD3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w:t>
                  </w:r>
                </w:p>
              </w:tc>
            </w:tr>
          </w:tbl>
          <w:p w14:paraId="6DF32753">
            <w:pPr>
              <w:pStyle w:val="3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w:t>
            </w:r>
            <w:r>
              <w:rPr>
                <w:rFonts w:hint="eastAsia" w:cs="Times New Roman"/>
                <w:color w:val="auto"/>
                <w:highlight w:val="none"/>
                <w:lang w:val="en-US" w:eastAsia="zh-CN"/>
              </w:rPr>
              <w:t>12</w:t>
            </w:r>
            <w:r>
              <w:rPr>
                <w:rFonts w:hint="default" w:ascii="Times New Roman" w:hAnsi="Times New Roman" w:cs="Times New Roman"/>
                <w:color w:val="auto"/>
                <w:highlight w:val="none"/>
                <w:lang w:val="en-US" w:eastAsia="zh-CN"/>
              </w:rPr>
              <w:t>建设项目废水污染物排放信息表</w:t>
            </w:r>
          </w:p>
          <w:tbl>
            <w:tblPr>
              <w:tblStyle w:val="26"/>
              <w:tblpPr w:leftFromText="181" w:rightFromText="181" w:bottomFromText="113" w:vertAnchor="text" w:tblpXSpec="center" w:tblpY="1"/>
              <w:tblOverlap w:val="never"/>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0" w:type="dxa"/>
                <w:bottom w:w="0" w:type="dxa"/>
                <w:right w:w="0" w:type="dxa"/>
              </w:tblCellMar>
            </w:tblPr>
            <w:tblGrid>
              <w:gridCol w:w="843"/>
              <w:gridCol w:w="667"/>
              <w:gridCol w:w="644"/>
              <w:gridCol w:w="756"/>
              <w:gridCol w:w="758"/>
              <w:gridCol w:w="674"/>
              <w:gridCol w:w="642"/>
              <w:gridCol w:w="738"/>
              <w:gridCol w:w="2758"/>
              <w:gridCol w:w="724"/>
              <w:gridCol w:w="732"/>
            </w:tblGrid>
            <w:tr w14:paraId="642F52C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restart"/>
                  <w:tcBorders>
                    <w:tl2br w:val="nil"/>
                    <w:tr2bl w:val="nil"/>
                  </w:tcBorders>
                  <w:noWrap/>
                  <w:vAlign w:val="center"/>
                </w:tcPr>
                <w:p w14:paraId="19144A8B">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种类</w:t>
                  </w:r>
                </w:p>
              </w:tc>
              <w:tc>
                <w:tcPr>
                  <w:tcW w:w="335" w:type="pct"/>
                  <w:vMerge w:val="restart"/>
                  <w:tcBorders>
                    <w:tl2br w:val="nil"/>
                    <w:tr2bl w:val="nil"/>
                  </w:tcBorders>
                  <w:noWrap/>
                  <w:vAlign w:val="center"/>
                </w:tcPr>
                <w:p w14:paraId="04ED19F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废水量</w:t>
                  </w:r>
                </w:p>
                <w:p w14:paraId="6786CC8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w:t>
                  </w:r>
                  <w:r>
                    <w:rPr>
                      <w:rFonts w:hint="default" w:ascii="Times New Roman" w:hAnsi="Times New Roman" w:eastAsia="宋体" w:cs="Times New Roman"/>
                      <w:b/>
                      <w:bCs w:val="0"/>
                      <w:color w:val="auto"/>
                      <w:sz w:val="21"/>
                      <w:szCs w:val="21"/>
                      <w:highlight w:val="none"/>
                    </w:rPr>
                    <w:t>t/a</w:t>
                  </w:r>
                  <w:r>
                    <w:rPr>
                      <w:rFonts w:hint="default" w:ascii="Times New Roman" w:hAnsi="Times New Roman" w:eastAsia="宋体" w:cs="Times New Roman"/>
                      <w:b/>
                      <w:bCs w:val="0"/>
                      <w:color w:val="auto"/>
                      <w:sz w:val="21"/>
                      <w:szCs w:val="21"/>
                      <w:highlight w:val="none"/>
                      <w:lang w:eastAsia="zh-CN"/>
                    </w:rPr>
                    <w:t>）</w:t>
                  </w:r>
                </w:p>
              </w:tc>
              <w:tc>
                <w:tcPr>
                  <w:tcW w:w="324" w:type="pct"/>
                  <w:vMerge w:val="restart"/>
                  <w:tcBorders>
                    <w:tl2br w:val="nil"/>
                    <w:tr2bl w:val="nil"/>
                  </w:tcBorders>
                  <w:noWrap/>
                  <w:vAlign w:val="center"/>
                </w:tcPr>
                <w:p w14:paraId="4E6CD4C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p w14:paraId="6B862C5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名称</w:t>
                  </w:r>
                </w:p>
              </w:tc>
              <w:tc>
                <w:tcPr>
                  <w:tcW w:w="761" w:type="pct"/>
                  <w:gridSpan w:val="2"/>
                  <w:tcBorders>
                    <w:tl2br w:val="nil"/>
                    <w:tr2bl w:val="nil"/>
                  </w:tcBorders>
                  <w:noWrap/>
                  <w:vAlign w:val="center"/>
                </w:tcPr>
                <w:p w14:paraId="483FE60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污染物产生量</w:t>
                  </w:r>
                </w:p>
              </w:tc>
              <w:tc>
                <w:tcPr>
                  <w:tcW w:w="339" w:type="pct"/>
                  <w:vMerge w:val="restart"/>
                  <w:tcBorders>
                    <w:tl2br w:val="nil"/>
                    <w:tr2bl w:val="nil"/>
                  </w:tcBorders>
                  <w:noWrap/>
                  <w:vAlign w:val="center"/>
                </w:tcPr>
                <w:p w14:paraId="2E6CA706">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治理</w:t>
                  </w:r>
                </w:p>
                <w:p w14:paraId="6E3EC17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措施</w:t>
                  </w:r>
                </w:p>
              </w:tc>
              <w:tc>
                <w:tcPr>
                  <w:tcW w:w="694" w:type="pct"/>
                  <w:gridSpan w:val="2"/>
                  <w:tcBorders>
                    <w:tl2br w:val="nil"/>
                    <w:tr2bl w:val="nil"/>
                  </w:tcBorders>
                  <w:noWrap/>
                  <w:vAlign w:val="center"/>
                </w:tcPr>
                <w:p w14:paraId="1A1A43B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处理后排放量</w:t>
                  </w:r>
                </w:p>
              </w:tc>
              <w:tc>
                <w:tcPr>
                  <w:tcW w:w="1387" w:type="pct"/>
                  <w:vMerge w:val="restart"/>
                  <w:tcBorders>
                    <w:tl2br w:val="nil"/>
                    <w:tr2bl w:val="nil"/>
                  </w:tcBorders>
                  <w:noWrap/>
                  <w:vAlign w:val="center"/>
                </w:tcPr>
                <w:p w14:paraId="7E1A628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排放去向</w:t>
                  </w:r>
                </w:p>
              </w:tc>
              <w:tc>
                <w:tcPr>
                  <w:tcW w:w="732" w:type="pct"/>
                  <w:gridSpan w:val="2"/>
                  <w:tcBorders>
                    <w:tl2br w:val="nil"/>
                    <w:tr2bl w:val="nil"/>
                  </w:tcBorders>
                  <w:noWrap/>
                  <w:vAlign w:val="center"/>
                </w:tcPr>
                <w:p w14:paraId="68AEF54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最终排放</w:t>
                  </w:r>
                </w:p>
              </w:tc>
            </w:tr>
            <w:tr w14:paraId="047597F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continue"/>
                  <w:tcBorders>
                    <w:tl2br w:val="nil"/>
                    <w:tr2bl w:val="nil"/>
                  </w:tcBorders>
                  <w:noWrap/>
                  <w:vAlign w:val="center"/>
                </w:tcPr>
                <w:p w14:paraId="4B3BC7A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p>
              </w:tc>
              <w:tc>
                <w:tcPr>
                  <w:tcW w:w="335" w:type="pct"/>
                  <w:vMerge w:val="continue"/>
                  <w:tcBorders>
                    <w:tl2br w:val="nil"/>
                    <w:tr2bl w:val="nil"/>
                  </w:tcBorders>
                  <w:noWrap/>
                  <w:vAlign w:val="center"/>
                </w:tcPr>
                <w:p w14:paraId="4542B8E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p>
              </w:tc>
              <w:tc>
                <w:tcPr>
                  <w:tcW w:w="324" w:type="pct"/>
                  <w:vMerge w:val="continue"/>
                  <w:tcBorders>
                    <w:tl2br w:val="nil"/>
                    <w:tr2bl w:val="nil"/>
                  </w:tcBorders>
                  <w:noWrap/>
                  <w:vAlign w:val="center"/>
                </w:tcPr>
                <w:p w14:paraId="28692946">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p>
              </w:tc>
              <w:tc>
                <w:tcPr>
                  <w:tcW w:w="380" w:type="pct"/>
                  <w:tcBorders>
                    <w:tl2br w:val="nil"/>
                    <w:tr2bl w:val="nil"/>
                  </w:tcBorders>
                  <w:noWrap/>
                  <w:vAlign w:val="center"/>
                </w:tcPr>
                <w:p w14:paraId="23D15A5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浓度</w:t>
                  </w:r>
                </w:p>
              </w:tc>
              <w:tc>
                <w:tcPr>
                  <w:tcW w:w="381" w:type="pct"/>
                  <w:tcBorders>
                    <w:tl2br w:val="nil"/>
                    <w:tr2bl w:val="nil"/>
                  </w:tcBorders>
                  <w:noWrap/>
                  <w:vAlign w:val="center"/>
                </w:tcPr>
                <w:p w14:paraId="2836C84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产生量</w:t>
                  </w:r>
                </w:p>
              </w:tc>
              <w:tc>
                <w:tcPr>
                  <w:tcW w:w="339" w:type="pct"/>
                  <w:vMerge w:val="continue"/>
                  <w:tcBorders>
                    <w:tl2br w:val="nil"/>
                    <w:tr2bl w:val="nil"/>
                  </w:tcBorders>
                  <w:noWrap/>
                  <w:vAlign w:val="center"/>
                </w:tcPr>
                <w:p w14:paraId="07CCB95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p>
              </w:tc>
              <w:tc>
                <w:tcPr>
                  <w:tcW w:w="323" w:type="pct"/>
                  <w:tcBorders>
                    <w:tl2br w:val="nil"/>
                    <w:tr2bl w:val="nil"/>
                  </w:tcBorders>
                  <w:noWrap/>
                  <w:vAlign w:val="center"/>
                </w:tcPr>
                <w:p w14:paraId="734F34F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浓度</w:t>
                  </w:r>
                </w:p>
              </w:tc>
              <w:tc>
                <w:tcPr>
                  <w:tcW w:w="371" w:type="pct"/>
                  <w:tcBorders>
                    <w:tl2br w:val="nil"/>
                    <w:tr2bl w:val="nil"/>
                  </w:tcBorders>
                  <w:noWrap/>
                  <w:vAlign w:val="center"/>
                </w:tcPr>
                <w:p w14:paraId="1665D7B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bCs w:val="0"/>
                      <w:color w:val="auto"/>
                      <w:sz w:val="21"/>
                      <w:szCs w:val="21"/>
                      <w:highlight w:val="none"/>
                    </w:rPr>
                  </w:pPr>
                  <w:r>
                    <w:rPr>
                      <w:rFonts w:hint="eastAsia" w:ascii="Times New Roman" w:hAnsi="Times New Roman" w:eastAsia="宋体" w:cs="Times New Roman"/>
                      <w:b/>
                      <w:bCs w:val="0"/>
                      <w:color w:val="auto"/>
                      <w:sz w:val="21"/>
                      <w:szCs w:val="21"/>
                      <w:highlight w:val="none"/>
                      <w:lang w:val="en-US" w:eastAsia="zh-CN"/>
                    </w:rPr>
                    <w:t>排放</w:t>
                  </w:r>
                  <w:r>
                    <w:rPr>
                      <w:rFonts w:hint="default" w:ascii="Times New Roman" w:hAnsi="Times New Roman" w:eastAsia="宋体" w:cs="Times New Roman"/>
                      <w:b/>
                      <w:bCs w:val="0"/>
                      <w:color w:val="auto"/>
                      <w:sz w:val="21"/>
                      <w:szCs w:val="21"/>
                      <w:highlight w:val="none"/>
                    </w:rPr>
                    <w:t>量</w:t>
                  </w:r>
                </w:p>
              </w:tc>
              <w:tc>
                <w:tcPr>
                  <w:tcW w:w="1387" w:type="pct"/>
                  <w:vMerge w:val="continue"/>
                  <w:tcBorders>
                    <w:tl2br w:val="nil"/>
                    <w:tr2bl w:val="nil"/>
                  </w:tcBorders>
                  <w:noWrap/>
                  <w:vAlign w:val="center"/>
                </w:tcPr>
                <w:p w14:paraId="02723F2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p>
              </w:tc>
              <w:tc>
                <w:tcPr>
                  <w:tcW w:w="364" w:type="pct"/>
                  <w:tcBorders>
                    <w:tl2br w:val="nil"/>
                    <w:tr2bl w:val="nil"/>
                  </w:tcBorders>
                  <w:noWrap/>
                  <w:vAlign w:val="center"/>
                </w:tcPr>
                <w:p w14:paraId="3F4C09E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rPr>
                    <w:t>浓度</w:t>
                  </w:r>
                </w:p>
              </w:tc>
              <w:tc>
                <w:tcPr>
                  <w:tcW w:w="368" w:type="pct"/>
                  <w:tcBorders>
                    <w:tl2br w:val="nil"/>
                    <w:tr2bl w:val="nil"/>
                  </w:tcBorders>
                  <w:noWrap/>
                  <w:vAlign w:val="center"/>
                </w:tcPr>
                <w:p w14:paraId="78FDEBA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rPr>
                    <w:t>排放量</w:t>
                  </w:r>
                </w:p>
              </w:tc>
            </w:tr>
            <w:tr w14:paraId="48C13BC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continue"/>
                  <w:tcBorders>
                    <w:tl2br w:val="nil"/>
                    <w:tr2bl w:val="nil"/>
                  </w:tcBorders>
                  <w:noWrap/>
                  <w:vAlign w:val="center"/>
                </w:tcPr>
                <w:p w14:paraId="3C9B2A1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p>
              </w:tc>
              <w:tc>
                <w:tcPr>
                  <w:tcW w:w="335" w:type="pct"/>
                  <w:vMerge w:val="continue"/>
                  <w:tcBorders>
                    <w:tl2br w:val="nil"/>
                    <w:tr2bl w:val="nil"/>
                  </w:tcBorders>
                  <w:noWrap/>
                  <w:vAlign w:val="center"/>
                </w:tcPr>
                <w:p w14:paraId="4AF51DC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p>
              </w:tc>
              <w:tc>
                <w:tcPr>
                  <w:tcW w:w="324" w:type="pct"/>
                  <w:vMerge w:val="continue"/>
                  <w:tcBorders>
                    <w:tl2br w:val="nil"/>
                    <w:tr2bl w:val="nil"/>
                  </w:tcBorders>
                  <w:noWrap/>
                  <w:vAlign w:val="center"/>
                </w:tcPr>
                <w:p w14:paraId="7AE0E57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p>
              </w:tc>
              <w:tc>
                <w:tcPr>
                  <w:tcW w:w="380" w:type="pct"/>
                  <w:tcBorders>
                    <w:tl2br w:val="nil"/>
                    <w:tr2bl w:val="nil"/>
                  </w:tcBorders>
                  <w:noWrap/>
                  <w:vAlign w:val="center"/>
                </w:tcPr>
                <w:p w14:paraId="16446AD6">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rPr>
                    <w:t>mg/L</w:t>
                  </w:r>
                </w:p>
              </w:tc>
              <w:tc>
                <w:tcPr>
                  <w:tcW w:w="381" w:type="pct"/>
                  <w:tcBorders>
                    <w:tl2br w:val="nil"/>
                    <w:tr2bl w:val="nil"/>
                  </w:tcBorders>
                  <w:noWrap/>
                  <w:vAlign w:val="center"/>
                </w:tcPr>
                <w:p w14:paraId="3AFDAAE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rPr>
                    <w:t>t/a</w:t>
                  </w:r>
                </w:p>
              </w:tc>
              <w:tc>
                <w:tcPr>
                  <w:tcW w:w="339" w:type="pct"/>
                  <w:vMerge w:val="continue"/>
                  <w:tcBorders>
                    <w:tl2br w:val="nil"/>
                    <w:tr2bl w:val="nil"/>
                  </w:tcBorders>
                  <w:noWrap/>
                  <w:vAlign w:val="center"/>
                </w:tcPr>
                <w:p w14:paraId="37E7150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p>
              </w:tc>
              <w:tc>
                <w:tcPr>
                  <w:tcW w:w="323" w:type="pct"/>
                  <w:tcBorders>
                    <w:tl2br w:val="nil"/>
                    <w:tr2bl w:val="nil"/>
                  </w:tcBorders>
                  <w:noWrap/>
                  <w:vAlign w:val="center"/>
                </w:tcPr>
                <w:p w14:paraId="2D06B2F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mg/L</w:t>
                  </w:r>
                </w:p>
              </w:tc>
              <w:tc>
                <w:tcPr>
                  <w:tcW w:w="371" w:type="pct"/>
                  <w:tcBorders>
                    <w:tl2br w:val="nil"/>
                    <w:tr2bl w:val="nil"/>
                  </w:tcBorders>
                  <w:noWrap/>
                  <w:vAlign w:val="center"/>
                </w:tcPr>
                <w:p w14:paraId="1FEADF56">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t/a</w:t>
                  </w:r>
                </w:p>
              </w:tc>
              <w:tc>
                <w:tcPr>
                  <w:tcW w:w="1387" w:type="pct"/>
                  <w:vMerge w:val="continue"/>
                  <w:tcBorders>
                    <w:tl2br w:val="nil"/>
                    <w:tr2bl w:val="nil"/>
                  </w:tcBorders>
                  <w:noWrap/>
                  <w:vAlign w:val="center"/>
                </w:tcPr>
                <w:p w14:paraId="5A763ABB">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rPr>
                  </w:pPr>
                </w:p>
              </w:tc>
              <w:tc>
                <w:tcPr>
                  <w:tcW w:w="364" w:type="pct"/>
                  <w:tcBorders>
                    <w:tl2br w:val="nil"/>
                    <w:tr2bl w:val="nil"/>
                  </w:tcBorders>
                  <w:noWrap/>
                  <w:vAlign w:val="center"/>
                </w:tcPr>
                <w:p w14:paraId="3BB8495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rPr>
                    <w:t>mg/L</w:t>
                  </w:r>
                </w:p>
              </w:tc>
              <w:tc>
                <w:tcPr>
                  <w:tcW w:w="368" w:type="pct"/>
                  <w:tcBorders>
                    <w:tl2br w:val="nil"/>
                    <w:tr2bl w:val="nil"/>
                  </w:tcBorders>
                  <w:noWrap/>
                  <w:vAlign w:val="center"/>
                </w:tcPr>
                <w:p w14:paraId="4FA91BF6">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rPr>
                    <w:t>t/a</w:t>
                  </w:r>
                </w:p>
              </w:tc>
            </w:tr>
            <w:tr w14:paraId="363C3AB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restart"/>
                  <w:tcBorders>
                    <w:tl2br w:val="nil"/>
                    <w:tr2bl w:val="nil"/>
                  </w:tcBorders>
                  <w:noWrap/>
                  <w:vAlign w:val="center"/>
                </w:tcPr>
                <w:p w14:paraId="64EF911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w:t>
                  </w:r>
                </w:p>
                <w:p w14:paraId="6A38E8E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污水</w:t>
                  </w:r>
                </w:p>
              </w:tc>
              <w:tc>
                <w:tcPr>
                  <w:tcW w:w="335" w:type="pct"/>
                  <w:vMerge w:val="restart"/>
                  <w:tcBorders>
                    <w:tl2br w:val="nil"/>
                    <w:tr2bl w:val="nil"/>
                  </w:tcBorders>
                  <w:noWrap/>
                  <w:vAlign w:val="center"/>
                </w:tcPr>
                <w:p w14:paraId="3008A8D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1200</w:t>
                  </w:r>
                </w:p>
              </w:tc>
              <w:tc>
                <w:tcPr>
                  <w:tcW w:w="324" w:type="pct"/>
                  <w:tcBorders>
                    <w:tl2br w:val="nil"/>
                    <w:tr2bl w:val="nil"/>
                  </w:tcBorders>
                  <w:noWrap/>
                  <w:vAlign w:val="center"/>
                </w:tcPr>
                <w:p w14:paraId="567814A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COD</w:t>
                  </w:r>
                </w:p>
              </w:tc>
              <w:tc>
                <w:tcPr>
                  <w:tcW w:w="380" w:type="pct"/>
                  <w:tcBorders>
                    <w:tl2br w:val="nil"/>
                    <w:tr2bl w:val="nil"/>
                  </w:tcBorders>
                  <w:noWrap/>
                  <w:vAlign w:val="center"/>
                </w:tcPr>
                <w:p w14:paraId="6E360EC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w:t>
                  </w:r>
                  <w:r>
                    <w:rPr>
                      <w:rFonts w:hint="eastAsia" w:ascii="Times New Roman" w:hAnsi="Times New Roman" w:eastAsia="宋体" w:cs="Times New Roman"/>
                      <w:b w:val="0"/>
                      <w:bCs/>
                      <w:color w:val="auto"/>
                      <w:sz w:val="21"/>
                      <w:szCs w:val="21"/>
                      <w:highlight w:val="none"/>
                      <w:lang w:val="en-US" w:eastAsia="zh-CN"/>
                    </w:rPr>
                    <w:t>0</w:t>
                  </w:r>
                  <w:r>
                    <w:rPr>
                      <w:rFonts w:hint="default" w:ascii="Times New Roman" w:hAnsi="Times New Roman" w:eastAsia="宋体" w:cs="Times New Roman"/>
                      <w:b w:val="0"/>
                      <w:bCs/>
                      <w:color w:val="auto"/>
                      <w:sz w:val="21"/>
                      <w:szCs w:val="21"/>
                      <w:highlight w:val="none"/>
                      <w:lang w:val="en-US" w:eastAsia="zh-CN"/>
                    </w:rPr>
                    <w:t>0</w:t>
                  </w:r>
                </w:p>
              </w:tc>
              <w:tc>
                <w:tcPr>
                  <w:tcW w:w="381" w:type="pct"/>
                  <w:tcBorders>
                    <w:tl2br w:val="nil"/>
                    <w:tr2bl w:val="nil"/>
                  </w:tcBorders>
                  <w:noWrap/>
                  <w:vAlign w:val="center"/>
                </w:tcPr>
                <w:p w14:paraId="6ED856F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0.3600</w:t>
                  </w:r>
                </w:p>
              </w:tc>
              <w:tc>
                <w:tcPr>
                  <w:tcW w:w="339" w:type="pct"/>
                  <w:vMerge w:val="restart"/>
                  <w:tcBorders>
                    <w:tl2br w:val="nil"/>
                    <w:tr2bl w:val="nil"/>
                  </w:tcBorders>
                  <w:noWrap/>
                  <w:vAlign w:val="center"/>
                </w:tcPr>
                <w:p w14:paraId="436A2A7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化粪池</w:t>
                  </w:r>
                  <w:r>
                    <w:rPr>
                      <w:rFonts w:hint="eastAsia" w:ascii="Times New Roman" w:hAnsi="Times New Roman" w:eastAsia="宋体" w:cs="Times New Roman"/>
                      <w:b w:val="0"/>
                      <w:bCs/>
                      <w:color w:val="auto"/>
                      <w:sz w:val="21"/>
                      <w:szCs w:val="21"/>
                      <w:highlight w:val="none"/>
                      <w:lang w:val="en-US" w:eastAsia="zh-CN"/>
                    </w:rPr>
                    <w:t>收集</w:t>
                  </w:r>
                </w:p>
              </w:tc>
              <w:tc>
                <w:tcPr>
                  <w:tcW w:w="323" w:type="pct"/>
                  <w:tcBorders>
                    <w:tl2br w:val="nil"/>
                    <w:tr2bl w:val="nil"/>
                  </w:tcBorders>
                  <w:noWrap/>
                  <w:vAlign w:val="center"/>
                </w:tcPr>
                <w:p w14:paraId="2020380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w:t>
                  </w:r>
                  <w:r>
                    <w:rPr>
                      <w:rFonts w:hint="eastAsia" w:ascii="Times New Roman" w:hAnsi="Times New Roman" w:eastAsia="宋体" w:cs="Times New Roman"/>
                      <w:b w:val="0"/>
                      <w:bCs/>
                      <w:color w:val="auto"/>
                      <w:sz w:val="21"/>
                      <w:szCs w:val="21"/>
                      <w:highlight w:val="none"/>
                      <w:lang w:val="en-US" w:eastAsia="zh-CN"/>
                    </w:rPr>
                    <w:t>0</w:t>
                  </w:r>
                  <w:r>
                    <w:rPr>
                      <w:rFonts w:hint="default" w:ascii="Times New Roman" w:hAnsi="Times New Roman" w:eastAsia="宋体" w:cs="Times New Roman"/>
                      <w:b w:val="0"/>
                      <w:bCs/>
                      <w:color w:val="auto"/>
                      <w:sz w:val="21"/>
                      <w:szCs w:val="21"/>
                      <w:highlight w:val="none"/>
                      <w:lang w:val="en-US" w:eastAsia="zh-CN"/>
                    </w:rPr>
                    <w:t>0</w:t>
                  </w:r>
                </w:p>
              </w:tc>
              <w:tc>
                <w:tcPr>
                  <w:tcW w:w="371" w:type="pct"/>
                  <w:tcBorders>
                    <w:tl2br w:val="nil"/>
                    <w:tr2bl w:val="nil"/>
                  </w:tcBorders>
                  <w:noWrap/>
                  <w:vAlign w:val="center"/>
                </w:tcPr>
                <w:p w14:paraId="0EF7348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0.3600</w:t>
                  </w:r>
                </w:p>
              </w:tc>
              <w:tc>
                <w:tcPr>
                  <w:tcW w:w="1387" w:type="pct"/>
                  <w:vMerge w:val="restart"/>
                  <w:tcBorders>
                    <w:tl2br w:val="nil"/>
                    <w:tr2bl w:val="nil"/>
                  </w:tcBorders>
                  <w:noWrap/>
                  <w:vAlign w:val="center"/>
                </w:tcPr>
                <w:p w14:paraId="35FD0D0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五河县经济开发区污水处理厂</w:t>
                  </w:r>
                </w:p>
              </w:tc>
              <w:tc>
                <w:tcPr>
                  <w:tcW w:w="364" w:type="pct"/>
                  <w:tcBorders>
                    <w:tl2br w:val="nil"/>
                    <w:tr2bl w:val="nil"/>
                  </w:tcBorders>
                  <w:noWrap/>
                  <w:vAlign w:val="center"/>
                </w:tcPr>
                <w:p w14:paraId="06985A4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lang w:val="en-US" w:eastAsia="zh-CN"/>
                    </w:rPr>
                    <w:t>0</w:t>
                  </w:r>
                </w:p>
              </w:tc>
              <w:tc>
                <w:tcPr>
                  <w:tcW w:w="368" w:type="pct"/>
                  <w:tcBorders>
                    <w:tl2br w:val="nil"/>
                    <w:tr2bl w:val="nil"/>
                  </w:tcBorders>
                  <w:noWrap/>
                  <w:vAlign w:val="center"/>
                </w:tcPr>
                <w:p w14:paraId="49AC843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0.0480 </w:t>
                  </w:r>
                </w:p>
              </w:tc>
            </w:tr>
            <w:tr w14:paraId="5D23F085">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continue"/>
                  <w:tcBorders>
                    <w:tl2br w:val="nil"/>
                    <w:tr2bl w:val="nil"/>
                  </w:tcBorders>
                  <w:noWrap/>
                  <w:vAlign w:val="center"/>
                </w:tcPr>
                <w:p w14:paraId="71967E0B">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p>
              </w:tc>
              <w:tc>
                <w:tcPr>
                  <w:tcW w:w="335" w:type="pct"/>
                  <w:vMerge w:val="continue"/>
                  <w:tcBorders>
                    <w:tl2br w:val="nil"/>
                    <w:tr2bl w:val="nil"/>
                  </w:tcBorders>
                  <w:noWrap/>
                  <w:vAlign w:val="center"/>
                </w:tcPr>
                <w:p w14:paraId="719E052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4" w:type="pct"/>
                  <w:tcBorders>
                    <w:tl2br w:val="nil"/>
                    <w:tr2bl w:val="nil"/>
                  </w:tcBorders>
                  <w:noWrap/>
                  <w:vAlign w:val="center"/>
                </w:tcPr>
                <w:p w14:paraId="632CCD9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BOD5</w:t>
                  </w:r>
                </w:p>
              </w:tc>
              <w:tc>
                <w:tcPr>
                  <w:tcW w:w="380" w:type="pct"/>
                  <w:tcBorders>
                    <w:tl2br w:val="nil"/>
                    <w:tr2bl w:val="nil"/>
                  </w:tcBorders>
                  <w:noWrap/>
                  <w:vAlign w:val="center"/>
                </w:tcPr>
                <w:p w14:paraId="07B7C74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120</w:t>
                  </w:r>
                </w:p>
              </w:tc>
              <w:tc>
                <w:tcPr>
                  <w:tcW w:w="381" w:type="pct"/>
                  <w:tcBorders>
                    <w:tl2br w:val="nil"/>
                    <w:tr2bl w:val="nil"/>
                  </w:tcBorders>
                  <w:noWrap/>
                  <w:vAlign w:val="center"/>
                </w:tcPr>
                <w:p w14:paraId="7924F06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0.1440</w:t>
                  </w:r>
                </w:p>
              </w:tc>
              <w:tc>
                <w:tcPr>
                  <w:tcW w:w="339" w:type="pct"/>
                  <w:vMerge w:val="continue"/>
                  <w:tcBorders>
                    <w:tl2br w:val="nil"/>
                    <w:tr2bl w:val="nil"/>
                  </w:tcBorders>
                  <w:noWrap/>
                  <w:vAlign w:val="center"/>
                </w:tcPr>
                <w:p w14:paraId="7941FD26">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3" w:type="pct"/>
                  <w:tcBorders>
                    <w:tl2br w:val="nil"/>
                    <w:tr2bl w:val="nil"/>
                  </w:tcBorders>
                  <w:noWrap/>
                  <w:vAlign w:val="center"/>
                </w:tcPr>
                <w:p w14:paraId="525AE8B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120</w:t>
                  </w:r>
                </w:p>
              </w:tc>
              <w:tc>
                <w:tcPr>
                  <w:tcW w:w="371" w:type="pct"/>
                  <w:tcBorders>
                    <w:tl2br w:val="nil"/>
                    <w:tr2bl w:val="nil"/>
                  </w:tcBorders>
                  <w:noWrap/>
                  <w:vAlign w:val="center"/>
                </w:tcPr>
                <w:p w14:paraId="4FCBC76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0.1440</w:t>
                  </w:r>
                </w:p>
              </w:tc>
              <w:tc>
                <w:tcPr>
                  <w:tcW w:w="1387" w:type="pct"/>
                  <w:vMerge w:val="continue"/>
                  <w:tcBorders>
                    <w:tl2br w:val="nil"/>
                    <w:tr2bl w:val="nil"/>
                  </w:tcBorders>
                  <w:noWrap/>
                  <w:vAlign w:val="center"/>
                </w:tcPr>
                <w:p w14:paraId="02F16A5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64" w:type="pct"/>
                  <w:tcBorders>
                    <w:tl2br w:val="nil"/>
                    <w:tr2bl w:val="nil"/>
                  </w:tcBorders>
                  <w:noWrap/>
                  <w:vAlign w:val="center"/>
                </w:tcPr>
                <w:p w14:paraId="6DC8DD2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w:t>
                  </w:r>
                </w:p>
              </w:tc>
              <w:tc>
                <w:tcPr>
                  <w:tcW w:w="368" w:type="pct"/>
                  <w:tcBorders>
                    <w:tl2br w:val="nil"/>
                    <w:tr2bl w:val="nil"/>
                  </w:tcBorders>
                  <w:noWrap/>
                  <w:vAlign w:val="center"/>
                </w:tcPr>
                <w:p w14:paraId="0A40720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0.0120 </w:t>
                  </w:r>
                </w:p>
              </w:tc>
            </w:tr>
            <w:tr w14:paraId="4E9E254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continue"/>
                  <w:tcBorders>
                    <w:tl2br w:val="nil"/>
                    <w:tr2bl w:val="nil"/>
                  </w:tcBorders>
                  <w:noWrap/>
                  <w:vAlign w:val="center"/>
                </w:tcPr>
                <w:p w14:paraId="2E60790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p>
              </w:tc>
              <w:tc>
                <w:tcPr>
                  <w:tcW w:w="335" w:type="pct"/>
                  <w:vMerge w:val="continue"/>
                  <w:tcBorders>
                    <w:tl2br w:val="nil"/>
                    <w:tr2bl w:val="nil"/>
                  </w:tcBorders>
                  <w:noWrap/>
                  <w:vAlign w:val="center"/>
                </w:tcPr>
                <w:p w14:paraId="0416F70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4" w:type="pct"/>
                  <w:tcBorders>
                    <w:tl2br w:val="nil"/>
                    <w:tr2bl w:val="nil"/>
                  </w:tcBorders>
                  <w:noWrap/>
                  <w:vAlign w:val="center"/>
                </w:tcPr>
                <w:p w14:paraId="30D960C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SS</w:t>
                  </w:r>
                </w:p>
              </w:tc>
              <w:tc>
                <w:tcPr>
                  <w:tcW w:w="380" w:type="pct"/>
                  <w:tcBorders>
                    <w:tl2br w:val="nil"/>
                    <w:tr2bl w:val="nil"/>
                  </w:tcBorders>
                  <w:noWrap/>
                  <w:vAlign w:val="center"/>
                </w:tcPr>
                <w:p w14:paraId="1CF3872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200</w:t>
                  </w:r>
                </w:p>
              </w:tc>
              <w:tc>
                <w:tcPr>
                  <w:tcW w:w="381" w:type="pct"/>
                  <w:tcBorders>
                    <w:tl2br w:val="nil"/>
                    <w:tr2bl w:val="nil"/>
                  </w:tcBorders>
                  <w:noWrap/>
                  <w:vAlign w:val="center"/>
                </w:tcPr>
                <w:p w14:paraId="5A245FD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0.2400</w:t>
                  </w:r>
                </w:p>
              </w:tc>
              <w:tc>
                <w:tcPr>
                  <w:tcW w:w="339" w:type="pct"/>
                  <w:vMerge w:val="continue"/>
                  <w:tcBorders>
                    <w:tl2br w:val="nil"/>
                    <w:tr2bl w:val="nil"/>
                  </w:tcBorders>
                  <w:noWrap/>
                  <w:vAlign w:val="center"/>
                </w:tcPr>
                <w:p w14:paraId="3F5B906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3" w:type="pct"/>
                  <w:tcBorders>
                    <w:tl2br w:val="nil"/>
                    <w:tr2bl w:val="nil"/>
                  </w:tcBorders>
                  <w:noWrap/>
                  <w:vAlign w:val="center"/>
                </w:tcPr>
                <w:p w14:paraId="0A3FD5A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200</w:t>
                  </w:r>
                </w:p>
              </w:tc>
              <w:tc>
                <w:tcPr>
                  <w:tcW w:w="371" w:type="pct"/>
                  <w:tcBorders>
                    <w:tl2br w:val="nil"/>
                    <w:tr2bl w:val="nil"/>
                  </w:tcBorders>
                  <w:noWrap/>
                  <w:vAlign w:val="center"/>
                </w:tcPr>
                <w:p w14:paraId="1E94CF5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0.2400</w:t>
                  </w:r>
                </w:p>
              </w:tc>
              <w:tc>
                <w:tcPr>
                  <w:tcW w:w="1387" w:type="pct"/>
                  <w:vMerge w:val="continue"/>
                  <w:tcBorders>
                    <w:tl2br w:val="nil"/>
                    <w:tr2bl w:val="nil"/>
                  </w:tcBorders>
                  <w:noWrap/>
                  <w:vAlign w:val="center"/>
                </w:tcPr>
                <w:p w14:paraId="0ABCA4D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64" w:type="pct"/>
                  <w:tcBorders>
                    <w:tl2br w:val="nil"/>
                    <w:tr2bl w:val="nil"/>
                  </w:tcBorders>
                  <w:noWrap/>
                  <w:vAlign w:val="center"/>
                </w:tcPr>
                <w:p w14:paraId="7F9B318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w:t>
                  </w:r>
                </w:p>
              </w:tc>
              <w:tc>
                <w:tcPr>
                  <w:tcW w:w="368" w:type="pct"/>
                  <w:tcBorders>
                    <w:tl2br w:val="nil"/>
                    <w:tr2bl w:val="nil"/>
                  </w:tcBorders>
                  <w:noWrap/>
                  <w:vAlign w:val="center"/>
                </w:tcPr>
                <w:p w14:paraId="75EAF45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0.0120 </w:t>
                  </w:r>
                </w:p>
              </w:tc>
            </w:tr>
            <w:tr w14:paraId="2CE3BC1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continue"/>
                  <w:tcBorders>
                    <w:tl2br w:val="nil"/>
                    <w:tr2bl w:val="nil"/>
                  </w:tcBorders>
                  <w:noWrap/>
                  <w:vAlign w:val="center"/>
                </w:tcPr>
                <w:p w14:paraId="7037680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p>
              </w:tc>
              <w:tc>
                <w:tcPr>
                  <w:tcW w:w="335" w:type="pct"/>
                  <w:vMerge w:val="continue"/>
                  <w:tcBorders>
                    <w:tl2br w:val="nil"/>
                    <w:tr2bl w:val="nil"/>
                  </w:tcBorders>
                  <w:noWrap/>
                  <w:vAlign w:val="center"/>
                </w:tcPr>
                <w:p w14:paraId="2CC5E4E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4" w:type="pct"/>
                  <w:tcBorders>
                    <w:tl2br w:val="nil"/>
                    <w:tr2bl w:val="nil"/>
                  </w:tcBorders>
                  <w:noWrap/>
                  <w:vAlign w:val="center"/>
                </w:tcPr>
                <w:p w14:paraId="586429A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NH3-N</w:t>
                  </w:r>
                </w:p>
              </w:tc>
              <w:tc>
                <w:tcPr>
                  <w:tcW w:w="380" w:type="pct"/>
                  <w:tcBorders>
                    <w:tl2br w:val="nil"/>
                    <w:tr2bl w:val="nil"/>
                  </w:tcBorders>
                  <w:noWrap/>
                  <w:vAlign w:val="center"/>
                </w:tcPr>
                <w:p w14:paraId="4B36D12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25</w:t>
                  </w:r>
                </w:p>
              </w:tc>
              <w:tc>
                <w:tcPr>
                  <w:tcW w:w="381" w:type="pct"/>
                  <w:tcBorders>
                    <w:tl2br w:val="nil"/>
                    <w:tr2bl w:val="nil"/>
                  </w:tcBorders>
                  <w:noWrap/>
                  <w:vAlign w:val="center"/>
                </w:tcPr>
                <w:p w14:paraId="19CD16B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0.0300</w:t>
                  </w:r>
                </w:p>
              </w:tc>
              <w:tc>
                <w:tcPr>
                  <w:tcW w:w="339" w:type="pct"/>
                  <w:vMerge w:val="continue"/>
                  <w:tcBorders>
                    <w:tl2br w:val="nil"/>
                    <w:tr2bl w:val="nil"/>
                  </w:tcBorders>
                  <w:noWrap/>
                  <w:vAlign w:val="center"/>
                </w:tcPr>
                <w:p w14:paraId="60B3E45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3" w:type="pct"/>
                  <w:tcBorders>
                    <w:tl2br w:val="nil"/>
                    <w:tr2bl w:val="nil"/>
                  </w:tcBorders>
                  <w:noWrap/>
                  <w:vAlign w:val="center"/>
                </w:tcPr>
                <w:p w14:paraId="36B3694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25</w:t>
                  </w:r>
                </w:p>
              </w:tc>
              <w:tc>
                <w:tcPr>
                  <w:tcW w:w="371" w:type="pct"/>
                  <w:tcBorders>
                    <w:tl2br w:val="nil"/>
                    <w:tr2bl w:val="nil"/>
                  </w:tcBorders>
                  <w:noWrap/>
                  <w:vAlign w:val="center"/>
                </w:tcPr>
                <w:p w14:paraId="5D31562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0.0300</w:t>
                  </w:r>
                </w:p>
              </w:tc>
              <w:tc>
                <w:tcPr>
                  <w:tcW w:w="1387" w:type="pct"/>
                  <w:vMerge w:val="continue"/>
                  <w:tcBorders>
                    <w:tl2br w:val="nil"/>
                    <w:tr2bl w:val="nil"/>
                  </w:tcBorders>
                  <w:noWrap/>
                  <w:vAlign w:val="center"/>
                </w:tcPr>
                <w:p w14:paraId="0522FFD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64" w:type="pct"/>
                  <w:tcBorders>
                    <w:tl2br w:val="nil"/>
                    <w:tr2bl w:val="nil"/>
                  </w:tcBorders>
                  <w:noWrap/>
                  <w:vAlign w:val="center"/>
                </w:tcPr>
                <w:p w14:paraId="388AB6D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lang w:val="en-US" w:eastAsia="zh-CN"/>
                    </w:rPr>
                    <w:t>）*</w:t>
                  </w:r>
                </w:p>
              </w:tc>
              <w:tc>
                <w:tcPr>
                  <w:tcW w:w="368" w:type="pct"/>
                  <w:tcBorders>
                    <w:tl2br w:val="nil"/>
                    <w:tr2bl w:val="nil"/>
                  </w:tcBorders>
                  <w:noWrap/>
                  <w:vAlign w:val="center"/>
                </w:tcPr>
                <w:p w14:paraId="33F5188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0.0024 </w:t>
                  </w:r>
                </w:p>
              </w:tc>
            </w:tr>
            <w:tr w14:paraId="0D32DB84">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restart"/>
                  <w:tcBorders>
                    <w:tl2br w:val="nil"/>
                    <w:tr2bl w:val="nil"/>
                  </w:tcBorders>
                  <w:noWrap/>
                  <w:vAlign w:val="center"/>
                </w:tcPr>
                <w:p w14:paraId="7941235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宋体" w:hAnsi="宋体" w:eastAsia="宋体" w:cs="宋体"/>
                      <w:b w:val="0"/>
                      <w:bCs/>
                      <w:snapToGrid w:val="0"/>
                      <w:color w:val="000000"/>
                      <w:spacing w:val="-1"/>
                      <w:kern w:val="0"/>
                      <w:sz w:val="21"/>
                      <w:szCs w:val="21"/>
                      <w:lang w:val="en-US" w:eastAsia="en-US" w:bidi="ar-SA"/>
                    </w:rPr>
                    <w:t>生产废水</w:t>
                  </w:r>
                  <w:r>
                    <w:rPr>
                      <w:rFonts w:hint="eastAsia" w:ascii="宋体" w:hAnsi="宋体" w:eastAsia="宋体" w:cs="宋体"/>
                      <w:b w:val="0"/>
                      <w:bCs/>
                      <w:snapToGrid w:val="0"/>
                      <w:color w:val="000000"/>
                      <w:spacing w:val="-1"/>
                      <w:kern w:val="0"/>
                      <w:sz w:val="21"/>
                      <w:szCs w:val="21"/>
                      <w:lang w:val="en-US" w:eastAsia="zh-CN" w:bidi="ar-SA"/>
                    </w:rPr>
                    <w:t>（</w:t>
                  </w:r>
                  <w:r>
                    <w:rPr>
                      <w:rFonts w:hint="default" w:ascii="宋体" w:hAnsi="宋体" w:eastAsia="宋体" w:cs="宋体"/>
                      <w:b w:val="0"/>
                      <w:bCs/>
                      <w:snapToGrid w:val="0"/>
                      <w:color w:val="000000"/>
                      <w:spacing w:val="-2"/>
                      <w:kern w:val="0"/>
                      <w:sz w:val="21"/>
                      <w:szCs w:val="21"/>
                      <w:lang w:val="en-US" w:eastAsia="en-US" w:bidi="ar-SA"/>
                    </w:rPr>
                    <w:t>磨毛</w:t>
                  </w:r>
                  <w:r>
                    <w:rPr>
                      <w:rFonts w:hint="eastAsia" w:ascii="Times New Roman" w:hAnsi="Times New Roman" w:eastAsia="宋体" w:cs="Times New Roman"/>
                      <w:b w:val="0"/>
                      <w:bCs/>
                      <w:color w:val="auto"/>
                      <w:kern w:val="0"/>
                      <w:sz w:val="21"/>
                      <w:szCs w:val="21"/>
                      <w:highlight w:val="none"/>
                      <w:lang w:val="en-US" w:eastAsia="zh-CN" w:bidi="ar"/>
                    </w:rPr>
                    <w:t>废水</w:t>
                  </w:r>
                  <w:r>
                    <w:rPr>
                      <w:rFonts w:hint="eastAsia" w:ascii="宋体" w:hAnsi="宋体" w:eastAsia="宋体" w:cs="宋体"/>
                      <w:b w:val="0"/>
                      <w:bCs/>
                      <w:snapToGrid w:val="0"/>
                      <w:color w:val="000000"/>
                      <w:spacing w:val="-2"/>
                      <w:kern w:val="0"/>
                      <w:sz w:val="21"/>
                      <w:szCs w:val="21"/>
                      <w:lang w:val="en-US" w:eastAsia="zh-CN" w:bidi="ar-SA"/>
                    </w:rPr>
                    <w:t>、</w:t>
                  </w:r>
                  <w:r>
                    <w:rPr>
                      <w:rFonts w:hint="default" w:ascii="Times New Roman" w:hAnsi="Times New Roman" w:eastAsia="宋体" w:cs="宋体"/>
                      <w:b w:val="0"/>
                      <w:bCs/>
                      <w:snapToGrid w:val="0"/>
                      <w:color w:val="000000"/>
                      <w:spacing w:val="-1"/>
                      <w:kern w:val="0"/>
                      <w:sz w:val="21"/>
                      <w:szCs w:val="21"/>
                      <w:lang w:val="en-US" w:eastAsia="en-US" w:bidi="ar-SA"/>
                    </w:rPr>
                    <w:t>厂房设备清洁</w:t>
                  </w:r>
                  <w:r>
                    <w:rPr>
                      <w:rFonts w:hint="eastAsia" w:ascii="Times New Roman" w:hAnsi="Times New Roman" w:eastAsia="宋体" w:cs="Times New Roman"/>
                      <w:b w:val="0"/>
                      <w:bCs/>
                      <w:color w:val="auto"/>
                      <w:kern w:val="0"/>
                      <w:sz w:val="21"/>
                      <w:szCs w:val="21"/>
                      <w:highlight w:val="none"/>
                      <w:lang w:val="en-US" w:eastAsia="zh-CN" w:bidi="ar"/>
                    </w:rPr>
                    <w:t>废水</w:t>
                  </w:r>
                  <w:r>
                    <w:rPr>
                      <w:rFonts w:hint="eastAsia" w:ascii="Times New Roman" w:hAnsi="Times New Roman" w:eastAsia="宋体" w:cs="宋体"/>
                      <w:b w:val="0"/>
                      <w:bCs/>
                      <w:snapToGrid w:val="0"/>
                      <w:color w:val="000000"/>
                      <w:spacing w:val="-1"/>
                      <w:kern w:val="0"/>
                      <w:sz w:val="21"/>
                      <w:szCs w:val="21"/>
                      <w:lang w:val="en-US" w:eastAsia="zh-CN" w:bidi="ar-SA"/>
                    </w:rPr>
                    <w:t>、</w:t>
                  </w:r>
                  <w:r>
                    <w:rPr>
                      <w:rFonts w:hint="eastAsia" w:ascii="Times New Roman" w:hAnsi="Times New Roman" w:eastAsia="宋体" w:cs="Times New Roman"/>
                      <w:b w:val="0"/>
                      <w:bCs/>
                      <w:color w:val="auto"/>
                      <w:kern w:val="0"/>
                      <w:sz w:val="21"/>
                      <w:szCs w:val="21"/>
                      <w:highlight w:val="none"/>
                      <w:lang w:val="en-US" w:eastAsia="zh-CN" w:bidi="ar"/>
                    </w:rPr>
                    <w:t>织造废水</w:t>
                  </w:r>
                  <w:r>
                    <w:rPr>
                      <w:rFonts w:hint="eastAsia" w:ascii="宋体" w:hAnsi="宋体" w:eastAsia="宋体" w:cs="宋体"/>
                      <w:b w:val="0"/>
                      <w:bCs/>
                      <w:snapToGrid w:val="0"/>
                      <w:color w:val="000000"/>
                      <w:spacing w:val="-1"/>
                      <w:kern w:val="0"/>
                      <w:sz w:val="21"/>
                      <w:szCs w:val="21"/>
                      <w:lang w:val="en-US" w:eastAsia="zh-CN" w:bidi="ar-SA"/>
                    </w:rPr>
                    <w:t>）</w:t>
                  </w:r>
                </w:p>
              </w:tc>
              <w:tc>
                <w:tcPr>
                  <w:tcW w:w="335" w:type="pct"/>
                  <w:vMerge w:val="restart"/>
                  <w:tcBorders>
                    <w:tl2br w:val="nil"/>
                    <w:tr2bl w:val="nil"/>
                  </w:tcBorders>
                  <w:noWrap/>
                  <w:vAlign w:val="center"/>
                </w:tcPr>
                <w:p w14:paraId="534D92D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24081</w:t>
                  </w:r>
                </w:p>
              </w:tc>
              <w:tc>
                <w:tcPr>
                  <w:tcW w:w="324" w:type="pct"/>
                  <w:tcBorders>
                    <w:tl2br w:val="nil"/>
                    <w:tr2bl w:val="nil"/>
                  </w:tcBorders>
                  <w:noWrap/>
                  <w:vAlign w:val="center"/>
                </w:tcPr>
                <w:p w14:paraId="60CBE11C">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Cs/>
                      <w:color w:val="auto"/>
                      <w:kern w:val="0"/>
                      <w:sz w:val="21"/>
                      <w:szCs w:val="21"/>
                    </w:rPr>
                    <w:t>COD</w:t>
                  </w:r>
                </w:p>
              </w:tc>
              <w:tc>
                <w:tcPr>
                  <w:tcW w:w="756" w:type="dxa"/>
                  <w:tcBorders>
                    <w:tl2br w:val="nil"/>
                    <w:tr2bl w:val="nil"/>
                  </w:tcBorders>
                  <w:noWrap/>
                  <w:vAlign w:val="center"/>
                </w:tcPr>
                <w:p w14:paraId="081CD2E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652</w:t>
                  </w:r>
                </w:p>
              </w:tc>
              <w:tc>
                <w:tcPr>
                  <w:tcW w:w="758" w:type="dxa"/>
                  <w:tcBorders>
                    <w:tl2br w:val="nil"/>
                    <w:tr2bl w:val="nil"/>
                  </w:tcBorders>
                  <w:noWrap/>
                  <w:vAlign w:val="center"/>
                </w:tcPr>
                <w:p w14:paraId="2D4ABE7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15.7008 </w:t>
                  </w:r>
                </w:p>
              </w:tc>
              <w:tc>
                <w:tcPr>
                  <w:tcW w:w="339" w:type="pct"/>
                  <w:vMerge w:val="restart"/>
                  <w:tcBorders>
                    <w:tl2br w:val="nil"/>
                    <w:tr2bl w:val="nil"/>
                  </w:tcBorders>
                  <w:noWrap/>
                  <w:vAlign w:val="center"/>
                </w:tcPr>
                <w:p w14:paraId="3A6E43A6">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“隔油+气浮+好氧生化+二级沉淀+过滤”</w:t>
                  </w:r>
                  <w:r>
                    <w:rPr>
                      <w:rFonts w:hint="default" w:ascii="Times New Roman" w:hAnsi="Times New Roman" w:eastAsia="宋体" w:cs="Times New Roman"/>
                      <w:b w:val="0"/>
                      <w:bCs/>
                      <w:color w:val="auto"/>
                      <w:sz w:val="21"/>
                      <w:szCs w:val="21"/>
                      <w:highlight w:val="none"/>
                      <w:lang w:val="en-US" w:eastAsia="zh-CN"/>
                    </w:rPr>
                    <w:t>处理设施</w:t>
                  </w:r>
                </w:p>
              </w:tc>
              <w:tc>
                <w:tcPr>
                  <w:tcW w:w="642" w:type="dxa"/>
                  <w:tcBorders>
                    <w:tl2br w:val="nil"/>
                    <w:tr2bl w:val="nil"/>
                  </w:tcBorders>
                  <w:noWrap/>
                  <w:vAlign w:val="center"/>
                </w:tcPr>
                <w:p w14:paraId="7CF6BAC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34</w:t>
                  </w:r>
                </w:p>
              </w:tc>
              <w:tc>
                <w:tcPr>
                  <w:tcW w:w="738" w:type="dxa"/>
                  <w:tcBorders>
                    <w:tl2br w:val="nil"/>
                    <w:tr2bl w:val="nil"/>
                  </w:tcBorders>
                  <w:noWrap/>
                  <w:vAlign w:val="center"/>
                </w:tcPr>
                <w:p w14:paraId="4DF7319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0.8188 </w:t>
                  </w:r>
                </w:p>
              </w:tc>
              <w:tc>
                <w:tcPr>
                  <w:tcW w:w="1387" w:type="pct"/>
                  <w:vMerge w:val="continue"/>
                  <w:tcBorders>
                    <w:tl2br w:val="nil"/>
                    <w:tr2bl w:val="nil"/>
                  </w:tcBorders>
                  <w:noWrap/>
                  <w:vAlign w:val="center"/>
                </w:tcPr>
                <w:p w14:paraId="60A5AD6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64" w:type="pct"/>
                  <w:tcBorders>
                    <w:tl2br w:val="nil"/>
                    <w:tr2bl w:val="nil"/>
                  </w:tcBorders>
                  <w:noWrap/>
                  <w:vAlign w:val="center"/>
                </w:tcPr>
                <w:p w14:paraId="526713E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40</w:t>
                  </w:r>
                </w:p>
              </w:tc>
              <w:tc>
                <w:tcPr>
                  <w:tcW w:w="732" w:type="dxa"/>
                  <w:tcBorders>
                    <w:tl2br w:val="nil"/>
                    <w:tr2bl w:val="nil"/>
                  </w:tcBorders>
                  <w:noWrap/>
                  <w:vAlign w:val="center"/>
                </w:tcPr>
                <w:p w14:paraId="3081B35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0.9632 </w:t>
                  </w:r>
                </w:p>
              </w:tc>
            </w:tr>
            <w:tr w14:paraId="258AC1A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continue"/>
                  <w:tcBorders>
                    <w:tl2br w:val="nil"/>
                    <w:tr2bl w:val="nil"/>
                  </w:tcBorders>
                  <w:noWrap/>
                  <w:vAlign w:val="center"/>
                </w:tcPr>
                <w:p w14:paraId="72D7C55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p>
              </w:tc>
              <w:tc>
                <w:tcPr>
                  <w:tcW w:w="335" w:type="pct"/>
                  <w:vMerge w:val="continue"/>
                  <w:tcBorders>
                    <w:tl2br w:val="nil"/>
                    <w:tr2bl w:val="nil"/>
                  </w:tcBorders>
                  <w:noWrap/>
                  <w:vAlign w:val="center"/>
                </w:tcPr>
                <w:p w14:paraId="101EAA1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4" w:type="pct"/>
                  <w:tcBorders>
                    <w:tl2br w:val="nil"/>
                    <w:tr2bl w:val="nil"/>
                  </w:tcBorders>
                  <w:noWrap/>
                  <w:vAlign w:val="center"/>
                </w:tcPr>
                <w:p w14:paraId="60F05CFA">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Cs/>
                      <w:color w:val="auto"/>
                      <w:kern w:val="0"/>
                      <w:sz w:val="21"/>
                      <w:szCs w:val="21"/>
                    </w:rPr>
                    <w:t>BOD</w:t>
                  </w:r>
                  <w:r>
                    <w:rPr>
                      <w:rFonts w:hint="default" w:ascii="Times New Roman" w:hAnsi="Times New Roman" w:eastAsia="宋体" w:cs="Times New Roman"/>
                      <w:bCs/>
                      <w:color w:val="auto"/>
                      <w:kern w:val="0"/>
                      <w:sz w:val="21"/>
                      <w:szCs w:val="21"/>
                      <w:vertAlign w:val="subscript"/>
                    </w:rPr>
                    <w:t>5</w:t>
                  </w:r>
                </w:p>
              </w:tc>
              <w:tc>
                <w:tcPr>
                  <w:tcW w:w="756" w:type="dxa"/>
                  <w:tcBorders>
                    <w:tl2br w:val="nil"/>
                    <w:tr2bl w:val="nil"/>
                  </w:tcBorders>
                  <w:noWrap/>
                  <w:vAlign w:val="center"/>
                </w:tcPr>
                <w:p w14:paraId="0AFB65E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132</w:t>
                  </w:r>
                </w:p>
              </w:tc>
              <w:tc>
                <w:tcPr>
                  <w:tcW w:w="758" w:type="dxa"/>
                  <w:tcBorders>
                    <w:tl2br w:val="nil"/>
                    <w:tr2bl w:val="nil"/>
                  </w:tcBorders>
                  <w:noWrap/>
                  <w:vAlign w:val="center"/>
                </w:tcPr>
                <w:p w14:paraId="1620BC4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3.1787 </w:t>
                  </w:r>
                </w:p>
              </w:tc>
              <w:tc>
                <w:tcPr>
                  <w:tcW w:w="339" w:type="pct"/>
                  <w:vMerge w:val="continue"/>
                  <w:tcBorders>
                    <w:tl2br w:val="nil"/>
                    <w:tr2bl w:val="nil"/>
                  </w:tcBorders>
                  <w:noWrap/>
                  <w:vAlign w:val="center"/>
                </w:tcPr>
                <w:p w14:paraId="1316B49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642" w:type="dxa"/>
                  <w:tcBorders>
                    <w:tl2br w:val="nil"/>
                    <w:tr2bl w:val="nil"/>
                  </w:tcBorders>
                  <w:noWrap/>
                  <w:vAlign w:val="center"/>
                </w:tcPr>
                <w:p w14:paraId="309690B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w:t>
                  </w:r>
                </w:p>
              </w:tc>
              <w:tc>
                <w:tcPr>
                  <w:tcW w:w="738" w:type="dxa"/>
                  <w:tcBorders>
                    <w:tl2br w:val="nil"/>
                    <w:tr2bl w:val="nil"/>
                  </w:tcBorders>
                  <w:noWrap/>
                  <w:vAlign w:val="center"/>
                </w:tcPr>
                <w:p w14:paraId="7A7B91C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0.2408 </w:t>
                  </w:r>
                </w:p>
              </w:tc>
              <w:tc>
                <w:tcPr>
                  <w:tcW w:w="1387" w:type="pct"/>
                  <w:vMerge w:val="continue"/>
                  <w:tcBorders>
                    <w:tl2br w:val="nil"/>
                    <w:tr2bl w:val="nil"/>
                  </w:tcBorders>
                  <w:noWrap/>
                  <w:vAlign w:val="center"/>
                </w:tcPr>
                <w:p w14:paraId="265CCBB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64" w:type="pct"/>
                  <w:tcBorders>
                    <w:tl2br w:val="nil"/>
                    <w:tr2bl w:val="nil"/>
                  </w:tcBorders>
                  <w:noWrap/>
                  <w:vAlign w:val="center"/>
                </w:tcPr>
                <w:p w14:paraId="7F0ADDB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w:t>
                  </w:r>
                </w:p>
              </w:tc>
              <w:tc>
                <w:tcPr>
                  <w:tcW w:w="732" w:type="dxa"/>
                  <w:tcBorders>
                    <w:tl2br w:val="nil"/>
                    <w:tr2bl w:val="nil"/>
                  </w:tcBorders>
                  <w:noWrap/>
                  <w:vAlign w:val="center"/>
                </w:tcPr>
                <w:p w14:paraId="3FDB405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0.2408 </w:t>
                  </w:r>
                </w:p>
              </w:tc>
            </w:tr>
            <w:tr w14:paraId="474E55E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continue"/>
                  <w:tcBorders>
                    <w:tl2br w:val="nil"/>
                    <w:tr2bl w:val="nil"/>
                  </w:tcBorders>
                  <w:noWrap/>
                  <w:vAlign w:val="center"/>
                </w:tcPr>
                <w:p w14:paraId="58443D1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p>
              </w:tc>
              <w:tc>
                <w:tcPr>
                  <w:tcW w:w="335" w:type="pct"/>
                  <w:vMerge w:val="continue"/>
                  <w:tcBorders>
                    <w:tl2br w:val="nil"/>
                    <w:tr2bl w:val="nil"/>
                  </w:tcBorders>
                  <w:noWrap/>
                  <w:vAlign w:val="center"/>
                </w:tcPr>
                <w:p w14:paraId="5BCE367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4" w:type="pct"/>
                  <w:tcBorders>
                    <w:tl2br w:val="nil"/>
                    <w:tr2bl w:val="nil"/>
                  </w:tcBorders>
                  <w:noWrap/>
                  <w:vAlign w:val="center"/>
                </w:tcPr>
                <w:p w14:paraId="639C202A">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Cs/>
                      <w:color w:val="auto"/>
                      <w:kern w:val="0"/>
                      <w:sz w:val="21"/>
                      <w:szCs w:val="21"/>
                    </w:rPr>
                    <w:t>SS</w:t>
                  </w:r>
                </w:p>
              </w:tc>
              <w:tc>
                <w:tcPr>
                  <w:tcW w:w="756" w:type="dxa"/>
                  <w:tcBorders>
                    <w:tl2br w:val="nil"/>
                    <w:tr2bl w:val="nil"/>
                  </w:tcBorders>
                  <w:noWrap/>
                  <w:vAlign w:val="center"/>
                </w:tcPr>
                <w:p w14:paraId="0ADDD5B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111</w:t>
                  </w:r>
                </w:p>
              </w:tc>
              <w:tc>
                <w:tcPr>
                  <w:tcW w:w="758" w:type="dxa"/>
                  <w:tcBorders>
                    <w:tl2br w:val="nil"/>
                    <w:tr2bl w:val="nil"/>
                  </w:tcBorders>
                  <w:noWrap/>
                  <w:vAlign w:val="center"/>
                </w:tcPr>
                <w:p w14:paraId="18AE75F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2.6730 </w:t>
                  </w:r>
                </w:p>
              </w:tc>
              <w:tc>
                <w:tcPr>
                  <w:tcW w:w="339" w:type="pct"/>
                  <w:vMerge w:val="continue"/>
                  <w:tcBorders>
                    <w:tl2br w:val="nil"/>
                    <w:tr2bl w:val="nil"/>
                  </w:tcBorders>
                  <w:noWrap/>
                  <w:vAlign w:val="center"/>
                </w:tcPr>
                <w:p w14:paraId="05414BF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642" w:type="dxa"/>
                  <w:tcBorders>
                    <w:tl2br w:val="nil"/>
                    <w:tr2bl w:val="nil"/>
                  </w:tcBorders>
                  <w:noWrap/>
                  <w:vAlign w:val="center"/>
                </w:tcPr>
                <w:p w14:paraId="35B3984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41</w:t>
                  </w:r>
                </w:p>
              </w:tc>
              <w:tc>
                <w:tcPr>
                  <w:tcW w:w="738" w:type="dxa"/>
                  <w:tcBorders>
                    <w:tl2br w:val="nil"/>
                    <w:tr2bl w:val="nil"/>
                  </w:tcBorders>
                  <w:noWrap/>
                  <w:vAlign w:val="center"/>
                </w:tcPr>
                <w:p w14:paraId="5B6F8A8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0.9873 </w:t>
                  </w:r>
                </w:p>
              </w:tc>
              <w:tc>
                <w:tcPr>
                  <w:tcW w:w="1387" w:type="pct"/>
                  <w:vMerge w:val="continue"/>
                  <w:tcBorders>
                    <w:tl2br w:val="nil"/>
                    <w:tr2bl w:val="nil"/>
                  </w:tcBorders>
                  <w:noWrap/>
                  <w:vAlign w:val="center"/>
                </w:tcPr>
                <w:p w14:paraId="0886074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64" w:type="pct"/>
                  <w:tcBorders>
                    <w:tl2br w:val="nil"/>
                    <w:tr2bl w:val="nil"/>
                  </w:tcBorders>
                  <w:noWrap/>
                  <w:vAlign w:val="center"/>
                </w:tcPr>
                <w:p w14:paraId="0F35FE2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w:t>
                  </w:r>
                </w:p>
              </w:tc>
              <w:tc>
                <w:tcPr>
                  <w:tcW w:w="732" w:type="dxa"/>
                  <w:tcBorders>
                    <w:tl2br w:val="nil"/>
                    <w:tr2bl w:val="nil"/>
                  </w:tcBorders>
                  <w:noWrap/>
                  <w:vAlign w:val="center"/>
                </w:tcPr>
                <w:p w14:paraId="61E0652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0.2408 </w:t>
                  </w:r>
                </w:p>
              </w:tc>
            </w:tr>
            <w:tr w14:paraId="5FDD3AB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continue"/>
                  <w:tcBorders>
                    <w:tl2br w:val="nil"/>
                    <w:tr2bl w:val="nil"/>
                  </w:tcBorders>
                  <w:noWrap/>
                  <w:vAlign w:val="center"/>
                </w:tcPr>
                <w:p w14:paraId="3B16C826">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p>
              </w:tc>
              <w:tc>
                <w:tcPr>
                  <w:tcW w:w="335" w:type="pct"/>
                  <w:vMerge w:val="continue"/>
                  <w:tcBorders>
                    <w:tl2br w:val="nil"/>
                    <w:tr2bl w:val="nil"/>
                  </w:tcBorders>
                  <w:noWrap/>
                  <w:vAlign w:val="center"/>
                </w:tcPr>
                <w:p w14:paraId="1AB3DFF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4" w:type="pct"/>
                  <w:tcBorders>
                    <w:tl2br w:val="nil"/>
                    <w:tr2bl w:val="nil"/>
                  </w:tcBorders>
                  <w:noWrap/>
                  <w:vAlign w:val="center"/>
                </w:tcPr>
                <w:p w14:paraId="74E2F621">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Cs/>
                      <w:color w:val="auto"/>
                      <w:kern w:val="0"/>
                      <w:sz w:val="21"/>
                      <w:szCs w:val="21"/>
                    </w:rPr>
                    <w:t>NH</w:t>
                  </w:r>
                  <w:r>
                    <w:rPr>
                      <w:rFonts w:hint="default" w:ascii="Times New Roman" w:hAnsi="Times New Roman" w:eastAsia="宋体" w:cs="Times New Roman"/>
                      <w:bCs/>
                      <w:color w:val="auto"/>
                      <w:kern w:val="0"/>
                      <w:sz w:val="21"/>
                      <w:szCs w:val="21"/>
                      <w:vertAlign w:val="subscript"/>
                    </w:rPr>
                    <w:t>3</w:t>
                  </w:r>
                  <w:r>
                    <w:rPr>
                      <w:rFonts w:hint="default" w:ascii="Times New Roman" w:hAnsi="Times New Roman" w:eastAsia="宋体" w:cs="Times New Roman"/>
                      <w:bCs/>
                      <w:color w:val="auto"/>
                      <w:kern w:val="0"/>
                      <w:sz w:val="21"/>
                      <w:szCs w:val="21"/>
                    </w:rPr>
                    <w:t>-N</w:t>
                  </w:r>
                </w:p>
              </w:tc>
              <w:tc>
                <w:tcPr>
                  <w:tcW w:w="756" w:type="dxa"/>
                  <w:tcBorders>
                    <w:tl2br w:val="nil"/>
                    <w:tr2bl w:val="nil"/>
                  </w:tcBorders>
                  <w:noWrap/>
                  <w:vAlign w:val="center"/>
                </w:tcPr>
                <w:p w14:paraId="637DFA3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30</w:t>
                  </w:r>
                </w:p>
              </w:tc>
              <w:tc>
                <w:tcPr>
                  <w:tcW w:w="758" w:type="dxa"/>
                  <w:tcBorders>
                    <w:tl2br w:val="nil"/>
                    <w:tr2bl w:val="nil"/>
                  </w:tcBorders>
                  <w:noWrap/>
                  <w:vAlign w:val="center"/>
                </w:tcPr>
                <w:p w14:paraId="7E95F45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0.7224 </w:t>
                  </w:r>
                </w:p>
              </w:tc>
              <w:tc>
                <w:tcPr>
                  <w:tcW w:w="339" w:type="pct"/>
                  <w:vMerge w:val="continue"/>
                  <w:tcBorders>
                    <w:tl2br w:val="nil"/>
                    <w:tr2bl w:val="nil"/>
                  </w:tcBorders>
                  <w:noWrap/>
                  <w:vAlign w:val="center"/>
                </w:tcPr>
                <w:p w14:paraId="0235306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642" w:type="dxa"/>
                  <w:tcBorders>
                    <w:tl2br w:val="nil"/>
                    <w:tr2bl w:val="nil"/>
                  </w:tcBorders>
                  <w:noWrap/>
                  <w:vAlign w:val="center"/>
                </w:tcPr>
                <w:p w14:paraId="65B5C2F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738" w:type="dxa"/>
                  <w:tcBorders>
                    <w:tl2br w:val="nil"/>
                    <w:tr2bl w:val="nil"/>
                  </w:tcBorders>
                  <w:noWrap/>
                  <w:vAlign w:val="center"/>
                </w:tcPr>
                <w:p w14:paraId="3653E97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0.0482 </w:t>
                  </w:r>
                </w:p>
              </w:tc>
              <w:tc>
                <w:tcPr>
                  <w:tcW w:w="1387" w:type="pct"/>
                  <w:vMerge w:val="continue"/>
                  <w:tcBorders>
                    <w:tl2br w:val="nil"/>
                    <w:tr2bl w:val="nil"/>
                  </w:tcBorders>
                  <w:noWrap/>
                  <w:vAlign w:val="center"/>
                </w:tcPr>
                <w:p w14:paraId="68A6D3A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64" w:type="pct"/>
                  <w:tcBorders>
                    <w:tl2br w:val="nil"/>
                    <w:tr2bl w:val="nil"/>
                  </w:tcBorders>
                  <w:noWrap/>
                  <w:vAlign w:val="center"/>
                </w:tcPr>
                <w:p w14:paraId="6F55846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lang w:val="en-US" w:eastAsia="zh-CN"/>
                    </w:rPr>
                    <w:t>）*</w:t>
                  </w:r>
                </w:p>
              </w:tc>
              <w:tc>
                <w:tcPr>
                  <w:tcW w:w="732" w:type="dxa"/>
                  <w:tcBorders>
                    <w:tl2br w:val="nil"/>
                    <w:tr2bl w:val="nil"/>
                  </w:tcBorders>
                  <w:noWrap/>
                  <w:vAlign w:val="center"/>
                </w:tcPr>
                <w:p w14:paraId="7B8FEDE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0.0482 </w:t>
                  </w:r>
                </w:p>
              </w:tc>
            </w:tr>
            <w:tr w14:paraId="6CA93D5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continue"/>
                  <w:tcBorders>
                    <w:tl2br w:val="nil"/>
                    <w:tr2bl w:val="nil"/>
                  </w:tcBorders>
                  <w:noWrap/>
                  <w:vAlign w:val="center"/>
                </w:tcPr>
                <w:p w14:paraId="1E9270FB">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p>
              </w:tc>
              <w:tc>
                <w:tcPr>
                  <w:tcW w:w="335" w:type="pct"/>
                  <w:vMerge w:val="continue"/>
                  <w:tcBorders>
                    <w:tl2br w:val="nil"/>
                    <w:tr2bl w:val="nil"/>
                  </w:tcBorders>
                  <w:noWrap/>
                  <w:vAlign w:val="center"/>
                </w:tcPr>
                <w:p w14:paraId="2658A42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4" w:type="pct"/>
                  <w:tcBorders>
                    <w:tl2br w:val="nil"/>
                    <w:tr2bl w:val="nil"/>
                  </w:tcBorders>
                  <w:noWrap/>
                  <w:vAlign w:val="center"/>
                </w:tcPr>
                <w:p w14:paraId="24269E81">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Cs/>
                      <w:color w:val="auto"/>
                      <w:kern w:val="0"/>
                      <w:sz w:val="21"/>
                      <w:szCs w:val="21"/>
                      <w:lang w:val="en-US" w:eastAsia="en-US"/>
                    </w:rPr>
                    <w:t>石油类</w:t>
                  </w:r>
                </w:p>
              </w:tc>
              <w:tc>
                <w:tcPr>
                  <w:tcW w:w="756" w:type="dxa"/>
                  <w:tcBorders>
                    <w:tl2br w:val="nil"/>
                    <w:tr2bl w:val="nil"/>
                  </w:tcBorders>
                  <w:noWrap/>
                  <w:vAlign w:val="center"/>
                </w:tcPr>
                <w:p w14:paraId="44EAB64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46.3</w:t>
                  </w:r>
                </w:p>
              </w:tc>
              <w:tc>
                <w:tcPr>
                  <w:tcW w:w="758" w:type="dxa"/>
                  <w:tcBorders>
                    <w:tl2br w:val="nil"/>
                    <w:tr2bl w:val="nil"/>
                  </w:tcBorders>
                  <w:noWrap/>
                  <w:vAlign w:val="center"/>
                </w:tcPr>
                <w:p w14:paraId="63696E5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1.1150 </w:t>
                  </w:r>
                </w:p>
              </w:tc>
              <w:tc>
                <w:tcPr>
                  <w:tcW w:w="339" w:type="pct"/>
                  <w:vMerge w:val="continue"/>
                  <w:tcBorders>
                    <w:tl2br w:val="nil"/>
                    <w:tr2bl w:val="nil"/>
                  </w:tcBorders>
                  <w:noWrap/>
                  <w:vAlign w:val="center"/>
                </w:tcPr>
                <w:p w14:paraId="3DDA755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642" w:type="dxa"/>
                  <w:tcBorders>
                    <w:tl2br w:val="nil"/>
                    <w:tr2bl w:val="nil"/>
                  </w:tcBorders>
                  <w:noWrap/>
                  <w:vAlign w:val="center"/>
                </w:tcPr>
                <w:p w14:paraId="6CA733A6">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0.2</w:t>
                  </w:r>
                </w:p>
              </w:tc>
              <w:tc>
                <w:tcPr>
                  <w:tcW w:w="738" w:type="dxa"/>
                  <w:tcBorders>
                    <w:tl2br w:val="nil"/>
                    <w:tr2bl w:val="nil"/>
                  </w:tcBorders>
                  <w:noWrap/>
                  <w:vAlign w:val="center"/>
                </w:tcPr>
                <w:p w14:paraId="68415BF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0.0048 </w:t>
                  </w:r>
                </w:p>
              </w:tc>
              <w:tc>
                <w:tcPr>
                  <w:tcW w:w="1387" w:type="pct"/>
                  <w:vMerge w:val="continue"/>
                  <w:tcBorders>
                    <w:tl2br w:val="nil"/>
                    <w:tr2bl w:val="nil"/>
                  </w:tcBorders>
                  <w:noWrap/>
                  <w:vAlign w:val="center"/>
                </w:tcPr>
                <w:p w14:paraId="27BC25B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64" w:type="pct"/>
                  <w:tcBorders>
                    <w:tl2br w:val="nil"/>
                    <w:tr2bl w:val="nil"/>
                  </w:tcBorders>
                  <w:noWrap/>
                  <w:vAlign w:val="center"/>
                </w:tcPr>
                <w:p w14:paraId="6EB0B58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w:t>
                  </w:r>
                </w:p>
              </w:tc>
              <w:tc>
                <w:tcPr>
                  <w:tcW w:w="732" w:type="dxa"/>
                  <w:tcBorders>
                    <w:tl2br w:val="nil"/>
                    <w:tr2bl w:val="nil"/>
                  </w:tcBorders>
                  <w:noWrap/>
                  <w:vAlign w:val="center"/>
                </w:tcPr>
                <w:p w14:paraId="24AC80C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0.0241 </w:t>
                  </w:r>
                </w:p>
              </w:tc>
            </w:tr>
            <w:tr w14:paraId="59B170B4">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continue"/>
                  <w:tcBorders>
                    <w:tl2br w:val="nil"/>
                    <w:tr2bl w:val="nil"/>
                  </w:tcBorders>
                  <w:noWrap/>
                  <w:vAlign w:val="center"/>
                </w:tcPr>
                <w:p w14:paraId="75AA82E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p>
              </w:tc>
              <w:tc>
                <w:tcPr>
                  <w:tcW w:w="335" w:type="pct"/>
                  <w:vMerge w:val="continue"/>
                  <w:tcBorders>
                    <w:tl2br w:val="nil"/>
                    <w:tr2bl w:val="nil"/>
                  </w:tcBorders>
                  <w:noWrap/>
                  <w:vAlign w:val="center"/>
                </w:tcPr>
                <w:p w14:paraId="7C0576B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4" w:type="pct"/>
                  <w:tcBorders>
                    <w:tl2br w:val="nil"/>
                    <w:tr2bl w:val="nil"/>
                  </w:tcBorders>
                  <w:noWrap/>
                  <w:vAlign w:val="center"/>
                </w:tcPr>
                <w:p w14:paraId="1A67D745">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Cs/>
                      <w:color w:val="auto"/>
                      <w:kern w:val="0"/>
                      <w:sz w:val="21"/>
                      <w:szCs w:val="21"/>
                      <w:lang w:val="en-US" w:eastAsia="zh-CN"/>
                    </w:rPr>
                    <w:t>总锑</w:t>
                  </w:r>
                </w:p>
              </w:tc>
              <w:tc>
                <w:tcPr>
                  <w:tcW w:w="756" w:type="dxa"/>
                  <w:tcBorders>
                    <w:tl2br w:val="nil"/>
                    <w:tr2bl w:val="nil"/>
                  </w:tcBorders>
                  <w:noWrap/>
                  <w:vAlign w:val="center"/>
                </w:tcPr>
                <w:p w14:paraId="3974442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0.1</w:t>
                  </w:r>
                </w:p>
              </w:tc>
              <w:tc>
                <w:tcPr>
                  <w:tcW w:w="758" w:type="dxa"/>
                  <w:tcBorders>
                    <w:tl2br w:val="nil"/>
                    <w:tr2bl w:val="nil"/>
                  </w:tcBorders>
                  <w:noWrap/>
                  <w:vAlign w:val="center"/>
                </w:tcPr>
                <w:p w14:paraId="24EE666B">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0.0024 </w:t>
                  </w:r>
                </w:p>
              </w:tc>
              <w:tc>
                <w:tcPr>
                  <w:tcW w:w="339" w:type="pct"/>
                  <w:vMerge w:val="continue"/>
                  <w:tcBorders>
                    <w:tl2br w:val="nil"/>
                    <w:tr2bl w:val="nil"/>
                  </w:tcBorders>
                  <w:noWrap/>
                  <w:vAlign w:val="center"/>
                </w:tcPr>
                <w:p w14:paraId="7ADEB5B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642" w:type="dxa"/>
                  <w:tcBorders>
                    <w:tl2br w:val="nil"/>
                    <w:tr2bl w:val="nil"/>
                  </w:tcBorders>
                  <w:noWrap/>
                  <w:vAlign w:val="center"/>
                </w:tcPr>
                <w:p w14:paraId="3E7D12C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0.1</w:t>
                  </w:r>
                </w:p>
              </w:tc>
              <w:tc>
                <w:tcPr>
                  <w:tcW w:w="738" w:type="dxa"/>
                  <w:tcBorders>
                    <w:tl2br w:val="nil"/>
                    <w:tr2bl w:val="nil"/>
                  </w:tcBorders>
                  <w:noWrap/>
                  <w:vAlign w:val="center"/>
                </w:tcPr>
                <w:p w14:paraId="4D1B93E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0.0024 </w:t>
                  </w:r>
                </w:p>
              </w:tc>
              <w:tc>
                <w:tcPr>
                  <w:tcW w:w="1387" w:type="pct"/>
                  <w:vMerge w:val="continue"/>
                  <w:tcBorders>
                    <w:tl2br w:val="nil"/>
                    <w:tr2bl w:val="nil"/>
                  </w:tcBorders>
                  <w:noWrap/>
                  <w:vAlign w:val="center"/>
                </w:tcPr>
                <w:p w14:paraId="606C17F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64" w:type="pct"/>
                  <w:tcBorders>
                    <w:tl2br w:val="nil"/>
                    <w:tr2bl w:val="nil"/>
                  </w:tcBorders>
                  <w:noWrap/>
                  <w:vAlign w:val="center"/>
                </w:tcPr>
                <w:p w14:paraId="6ED1685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732" w:type="dxa"/>
                  <w:tcBorders>
                    <w:tl2br w:val="nil"/>
                    <w:tr2bl w:val="nil"/>
                  </w:tcBorders>
                  <w:noWrap/>
                  <w:vAlign w:val="center"/>
                </w:tcPr>
                <w:p w14:paraId="51E0E74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0.0024 </w:t>
                  </w:r>
                </w:p>
              </w:tc>
            </w:tr>
            <w:tr w14:paraId="394DCE1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restart"/>
                  <w:tcBorders>
                    <w:tl2br w:val="nil"/>
                    <w:tr2bl w:val="nil"/>
                  </w:tcBorders>
                  <w:noWrap/>
                  <w:vAlign w:val="center"/>
                </w:tcPr>
                <w:p w14:paraId="6A913F4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综合废水</w:t>
                  </w:r>
                </w:p>
              </w:tc>
              <w:tc>
                <w:tcPr>
                  <w:tcW w:w="335" w:type="pct"/>
                  <w:vMerge w:val="restart"/>
                  <w:tcBorders>
                    <w:tl2br w:val="nil"/>
                    <w:tr2bl w:val="nil"/>
                  </w:tcBorders>
                  <w:noWrap/>
                  <w:vAlign w:val="center"/>
                </w:tcPr>
                <w:p w14:paraId="49A7B2E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25281</w:t>
                  </w:r>
                </w:p>
              </w:tc>
              <w:tc>
                <w:tcPr>
                  <w:tcW w:w="324" w:type="pct"/>
                  <w:tcBorders>
                    <w:tl2br w:val="nil"/>
                    <w:tr2bl w:val="nil"/>
                  </w:tcBorders>
                  <w:shd w:val="clear" w:color="auto" w:fill="auto"/>
                  <w:noWrap/>
                  <w:vAlign w:val="center"/>
                </w:tcPr>
                <w:p w14:paraId="794A8E55">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rPr>
                    <w:t>COD</w:t>
                  </w:r>
                </w:p>
              </w:tc>
              <w:tc>
                <w:tcPr>
                  <w:tcW w:w="756" w:type="dxa"/>
                  <w:tcBorders>
                    <w:tl2br w:val="nil"/>
                    <w:tr2bl w:val="nil"/>
                  </w:tcBorders>
                  <w:noWrap/>
                  <w:vAlign w:val="center"/>
                </w:tcPr>
                <w:p w14:paraId="4DA9F0A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643.44 </w:t>
                  </w:r>
                </w:p>
              </w:tc>
              <w:tc>
                <w:tcPr>
                  <w:tcW w:w="758" w:type="dxa"/>
                  <w:tcBorders>
                    <w:tl2br w:val="nil"/>
                    <w:tr2bl w:val="nil"/>
                  </w:tcBorders>
                  <w:noWrap/>
                  <w:vAlign w:val="center"/>
                </w:tcPr>
                <w:p w14:paraId="2312314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16.0608 </w:t>
                  </w:r>
                </w:p>
              </w:tc>
              <w:tc>
                <w:tcPr>
                  <w:tcW w:w="339" w:type="pct"/>
                  <w:vMerge w:val="restart"/>
                  <w:tcBorders>
                    <w:tl2br w:val="nil"/>
                    <w:tr2bl w:val="nil"/>
                  </w:tcBorders>
                  <w:noWrap/>
                  <w:vAlign w:val="center"/>
                </w:tcPr>
                <w:p w14:paraId="68BC5AF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642" w:type="dxa"/>
                  <w:tcBorders>
                    <w:tl2br w:val="nil"/>
                    <w:tr2bl w:val="nil"/>
                  </w:tcBorders>
                  <w:noWrap/>
                  <w:vAlign w:val="center"/>
                </w:tcPr>
                <w:p w14:paraId="32050DF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46.63 </w:t>
                  </w:r>
                </w:p>
              </w:tc>
              <w:tc>
                <w:tcPr>
                  <w:tcW w:w="738" w:type="dxa"/>
                  <w:tcBorders>
                    <w:tl2br w:val="nil"/>
                    <w:tr2bl w:val="nil"/>
                  </w:tcBorders>
                  <w:noWrap/>
                  <w:vAlign w:val="center"/>
                </w:tcPr>
                <w:p w14:paraId="2AB4849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1.1788 </w:t>
                  </w:r>
                </w:p>
              </w:tc>
              <w:tc>
                <w:tcPr>
                  <w:tcW w:w="1387" w:type="pct"/>
                  <w:vMerge w:val="continue"/>
                  <w:tcBorders>
                    <w:tl2br w:val="nil"/>
                    <w:tr2bl w:val="nil"/>
                  </w:tcBorders>
                  <w:noWrap/>
                  <w:vAlign w:val="center"/>
                </w:tcPr>
                <w:p w14:paraId="7AF0F5E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724" w:type="dxa"/>
                  <w:tcBorders>
                    <w:tl2br w:val="nil"/>
                    <w:tr2bl w:val="nil"/>
                  </w:tcBorders>
                  <w:noWrap/>
                  <w:vAlign w:val="center"/>
                </w:tcPr>
                <w:p w14:paraId="2927D4B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40.00 </w:t>
                  </w:r>
                </w:p>
              </w:tc>
              <w:tc>
                <w:tcPr>
                  <w:tcW w:w="732" w:type="dxa"/>
                  <w:tcBorders>
                    <w:tl2br w:val="nil"/>
                    <w:tr2bl w:val="nil"/>
                  </w:tcBorders>
                  <w:noWrap/>
                  <w:vAlign w:val="center"/>
                </w:tcPr>
                <w:p w14:paraId="3BBD2DF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1.0112 </w:t>
                  </w:r>
                </w:p>
              </w:tc>
            </w:tr>
            <w:tr w14:paraId="5B4DAA2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continue"/>
                  <w:tcBorders>
                    <w:tl2br w:val="nil"/>
                    <w:tr2bl w:val="nil"/>
                  </w:tcBorders>
                  <w:noWrap/>
                  <w:vAlign w:val="center"/>
                </w:tcPr>
                <w:p w14:paraId="7F4AFD3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p>
              </w:tc>
              <w:tc>
                <w:tcPr>
                  <w:tcW w:w="335" w:type="pct"/>
                  <w:vMerge w:val="continue"/>
                  <w:tcBorders>
                    <w:tl2br w:val="nil"/>
                    <w:tr2bl w:val="nil"/>
                  </w:tcBorders>
                  <w:noWrap/>
                  <w:vAlign w:val="center"/>
                </w:tcPr>
                <w:p w14:paraId="1FF1DC3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4" w:type="pct"/>
                  <w:tcBorders>
                    <w:tl2br w:val="nil"/>
                    <w:tr2bl w:val="nil"/>
                  </w:tcBorders>
                  <w:shd w:val="clear" w:color="auto" w:fill="auto"/>
                  <w:noWrap/>
                  <w:vAlign w:val="center"/>
                </w:tcPr>
                <w:p w14:paraId="5F5F4379">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rPr>
                    <w:t>BOD</w:t>
                  </w:r>
                  <w:r>
                    <w:rPr>
                      <w:rFonts w:hint="default" w:ascii="Times New Roman" w:hAnsi="Times New Roman" w:eastAsia="宋体" w:cs="Times New Roman"/>
                      <w:bCs/>
                      <w:color w:val="auto"/>
                      <w:kern w:val="0"/>
                      <w:sz w:val="21"/>
                      <w:szCs w:val="21"/>
                      <w:vertAlign w:val="subscript"/>
                    </w:rPr>
                    <w:t>5</w:t>
                  </w:r>
                </w:p>
              </w:tc>
              <w:tc>
                <w:tcPr>
                  <w:tcW w:w="756" w:type="dxa"/>
                  <w:tcBorders>
                    <w:tl2br w:val="nil"/>
                    <w:tr2bl w:val="nil"/>
                  </w:tcBorders>
                  <w:noWrap/>
                  <w:vAlign w:val="center"/>
                </w:tcPr>
                <w:p w14:paraId="77D3775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131.71 </w:t>
                  </w:r>
                </w:p>
              </w:tc>
              <w:tc>
                <w:tcPr>
                  <w:tcW w:w="758" w:type="dxa"/>
                  <w:tcBorders>
                    <w:tl2br w:val="nil"/>
                    <w:tr2bl w:val="nil"/>
                  </w:tcBorders>
                  <w:noWrap/>
                  <w:vAlign w:val="center"/>
                </w:tcPr>
                <w:p w14:paraId="69721B6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3.3227 </w:t>
                  </w:r>
                </w:p>
              </w:tc>
              <w:tc>
                <w:tcPr>
                  <w:tcW w:w="339" w:type="pct"/>
                  <w:vMerge w:val="continue"/>
                  <w:tcBorders>
                    <w:tl2br w:val="nil"/>
                    <w:tr2bl w:val="nil"/>
                  </w:tcBorders>
                  <w:noWrap/>
                  <w:vAlign w:val="center"/>
                </w:tcPr>
                <w:p w14:paraId="4C5E8DE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642" w:type="dxa"/>
                  <w:tcBorders>
                    <w:tl2br w:val="nil"/>
                    <w:tr2bl w:val="nil"/>
                  </w:tcBorders>
                  <w:noWrap/>
                  <w:vAlign w:val="center"/>
                </w:tcPr>
                <w:p w14:paraId="721E56C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15.22 </w:t>
                  </w:r>
                </w:p>
              </w:tc>
              <w:tc>
                <w:tcPr>
                  <w:tcW w:w="738" w:type="dxa"/>
                  <w:tcBorders>
                    <w:tl2br w:val="nil"/>
                    <w:tr2bl w:val="nil"/>
                  </w:tcBorders>
                  <w:noWrap/>
                  <w:vAlign w:val="center"/>
                </w:tcPr>
                <w:p w14:paraId="548C6E1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0.3848 </w:t>
                  </w:r>
                </w:p>
              </w:tc>
              <w:tc>
                <w:tcPr>
                  <w:tcW w:w="1387" w:type="pct"/>
                  <w:vMerge w:val="continue"/>
                  <w:tcBorders>
                    <w:tl2br w:val="nil"/>
                    <w:tr2bl w:val="nil"/>
                  </w:tcBorders>
                  <w:noWrap/>
                  <w:vAlign w:val="center"/>
                </w:tcPr>
                <w:p w14:paraId="742240A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724" w:type="dxa"/>
                  <w:tcBorders>
                    <w:tl2br w:val="nil"/>
                    <w:tr2bl w:val="nil"/>
                  </w:tcBorders>
                  <w:noWrap/>
                  <w:vAlign w:val="center"/>
                </w:tcPr>
                <w:p w14:paraId="00243ED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10.00 </w:t>
                  </w:r>
                </w:p>
              </w:tc>
              <w:tc>
                <w:tcPr>
                  <w:tcW w:w="732" w:type="dxa"/>
                  <w:tcBorders>
                    <w:tl2br w:val="nil"/>
                    <w:tr2bl w:val="nil"/>
                  </w:tcBorders>
                  <w:noWrap/>
                  <w:vAlign w:val="center"/>
                </w:tcPr>
                <w:p w14:paraId="04FB38A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0.2528 </w:t>
                  </w:r>
                </w:p>
              </w:tc>
            </w:tr>
            <w:tr w14:paraId="6C0C92A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continue"/>
                  <w:tcBorders>
                    <w:tl2br w:val="nil"/>
                    <w:tr2bl w:val="nil"/>
                  </w:tcBorders>
                  <w:noWrap/>
                  <w:vAlign w:val="center"/>
                </w:tcPr>
                <w:p w14:paraId="59690C6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p>
              </w:tc>
              <w:tc>
                <w:tcPr>
                  <w:tcW w:w="335" w:type="pct"/>
                  <w:vMerge w:val="continue"/>
                  <w:tcBorders>
                    <w:tl2br w:val="nil"/>
                    <w:tr2bl w:val="nil"/>
                  </w:tcBorders>
                  <w:noWrap/>
                  <w:vAlign w:val="center"/>
                </w:tcPr>
                <w:p w14:paraId="376AC33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4" w:type="pct"/>
                  <w:tcBorders>
                    <w:tl2br w:val="nil"/>
                    <w:tr2bl w:val="nil"/>
                  </w:tcBorders>
                  <w:shd w:val="clear" w:color="auto" w:fill="auto"/>
                  <w:noWrap/>
                  <w:vAlign w:val="center"/>
                </w:tcPr>
                <w:p w14:paraId="12ED3377">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rPr>
                    <w:t>SS</w:t>
                  </w:r>
                </w:p>
              </w:tc>
              <w:tc>
                <w:tcPr>
                  <w:tcW w:w="756" w:type="dxa"/>
                  <w:tcBorders>
                    <w:tl2br w:val="nil"/>
                    <w:tr2bl w:val="nil"/>
                  </w:tcBorders>
                  <w:noWrap/>
                  <w:vAlign w:val="center"/>
                </w:tcPr>
                <w:p w14:paraId="6D45E29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113.16 </w:t>
                  </w:r>
                </w:p>
              </w:tc>
              <w:tc>
                <w:tcPr>
                  <w:tcW w:w="758" w:type="dxa"/>
                  <w:tcBorders>
                    <w:tl2br w:val="nil"/>
                    <w:tr2bl w:val="nil"/>
                  </w:tcBorders>
                  <w:noWrap/>
                  <w:vAlign w:val="center"/>
                </w:tcPr>
                <w:p w14:paraId="0FF1514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2.9130 </w:t>
                  </w:r>
                </w:p>
              </w:tc>
              <w:tc>
                <w:tcPr>
                  <w:tcW w:w="339" w:type="pct"/>
                  <w:vMerge w:val="continue"/>
                  <w:tcBorders>
                    <w:tl2br w:val="nil"/>
                    <w:tr2bl w:val="nil"/>
                  </w:tcBorders>
                  <w:noWrap/>
                  <w:vAlign w:val="center"/>
                </w:tcPr>
                <w:p w14:paraId="52CF952B">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642" w:type="dxa"/>
                  <w:tcBorders>
                    <w:tl2br w:val="nil"/>
                    <w:tr2bl w:val="nil"/>
                  </w:tcBorders>
                  <w:noWrap/>
                  <w:vAlign w:val="center"/>
                </w:tcPr>
                <w:p w14:paraId="2DF5DBB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48.55 </w:t>
                  </w:r>
                </w:p>
              </w:tc>
              <w:tc>
                <w:tcPr>
                  <w:tcW w:w="738" w:type="dxa"/>
                  <w:tcBorders>
                    <w:tl2br w:val="nil"/>
                    <w:tr2bl w:val="nil"/>
                  </w:tcBorders>
                  <w:noWrap/>
                  <w:vAlign w:val="center"/>
                </w:tcPr>
                <w:p w14:paraId="540D593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1.2273 </w:t>
                  </w:r>
                </w:p>
              </w:tc>
              <w:tc>
                <w:tcPr>
                  <w:tcW w:w="1387" w:type="pct"/>
                  <w:vMerge w:val="continue"/>
                  <w:tcBorders>
                    <w:tl2br w:val="nil"/>
                    <w:tr2bl w:val="nil"/>
                  </w:tcBorders>
                  <w:noWrap/>
                  <w:vAlign w:val="center"/>
                </w:tcPr>
                <w:p w14:paraId="3D21A3A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724" w:type="dxa"/>
                  <w:tcBorders>
                    <w:tl2br w:val="nil"/>
                    <w:tr2bl w:val="nil"/>
                  </w:tcBorders>
                  <w:noWrap/>
                  <w:vAlign w:val="center"/>
                </w:tcPr>
                <w:p w14:paraId="5566114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10.00 </w:t>
                  </w:r>
                </w:p>
              </w:tc>
              <w:tc>
                <w:tcPr>
                  <w:tcW w:w="732" w:type="dxa"/>
                  <w:tcBorders>
                    <w:tl2br w:val="nil"/>
                    <w:tr2bl w:val="nil"/>
                  </w:tcBorders>
                  <w:noWrap/>
                  <w:vAlign w:val="center"/>
                </w:tcPr>
                <w:p w14:paraId="24ED927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0.2528 </w:t>
                  </w:r>
                </w:p>
              </w:tc>
            </w:tr>
            <w:tr w14:paraId="0FD9749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continue"/>
                  <w:tcBorders>
                    <w:tl2br w:val="nil"/>
                    <w:tr2bl w:val="nil"/>
                  </w:tcBorders>
                  <w:noWrap/>
                  <w:vAlign w:val="center"/>
                </w:tcPr>
                <w:p w14:paraId="309FFB2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p>
              </w:tc>
              <w:tc>
                <w:tcPr>
                  <w:tcW w:w="335" w:type="pct"/>
                  <w:vMerge w:val="continue"/>
                  <w:tcBorders>
                    <w:tl2br w:val="nil"/>
                    <w:tr2bl w:val="nil"/>
                  </w:tcBorders>
                  <w:noWrap/>
                  <w:vAlign w:val="center"/>
                </w:tcPr>
                <w:p w14:paraId="424E75B6">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4" w:type="pct"/>
                  <w:tcBorders>
                    <w:tl2br w:val="nil"/>
                    <w:tr2bl w:val="nil"/>
                  </w:tcBorders>
                  <w:shd w:val="clear" w:color="auto" w:fill="auto"/>
                  <w:noWrap/>
                  <w:vAlign w:val="center"/>
                </w:tcPr>
                <w:p w14:paraId="291E4CDA">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rPr>
                    <w:t>NH</w:t>
                  </w:r>
                  <w:r>
                    <w:rPr>
                      <w:rFonts w:hint="default" w:ascii="Times New Roman" w:hAnsi="Times New Roman" w:eastAsia="宋体" w:cs="Times New Roman"/>
                      <w:bCs/>
                      <w:color w:val="auto"/>
                      <w:kern w:val="0"/>
                      <w:sz w:val="21"/>
                      <w:szCs w:val="21"/>
                      <w:vertAlign w:val="subscript"/>
                    </w:rPr>
                    <w:t>3</w:t>
                  </w:r>
                  <w:r>
                    <w:rPr>
                      <w:rFonts w:hint="default" w:ascii="Times New Roman" w:hAnsi="Times New Roman" w:eastAsia="宋体" w:cs="Times New Roman"/>
                      <w:bCs/>
                      <w:color w:val="auto"/>
                      <w:kern w:val="0"/>
                      <w:sz w:val="21"/>
                      <w:szCs w:val="21"/>
                    </w:rPr>
                    <w:t>-N</w:t>
                  </w:r>
                </w:p>
              </w:tc>
              <w:tc>
                <w:tcPr>
                  <w:tcW w:w="756" w:type="dxa"/>
                  <w:tcBorders>
                    <w:tl2br w:val="nil"/>
                    <w:tr2bl w:val="nil"/>
                  </w:tcBorders>
                  <w:noWrap/>
                  <w:vAlign w:val="center"/>
                </w:tcPr>
                <w:p w14:paraId="2D624EF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29.88 </w:t>
                  </w:r>
                </w:p>
              </w:tc>
              <w:tc>
                <w:tcPr>
                  <w:tcW w:w="758" w:type="dxa"/>
                  <w:tcBorders>
                    <w:tl2br w:val="nil"/>
                    <w:tr2bl w:val="nil"/>
                  </w:tcBorders>
                  <w:noWrap/>
                  <w:vAlign w:val="center"/>
                </w:tcPr>
                <w:p w14:paraId="38E28E5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0.7524 </w:t>
                  </w:r>
                </w:p>
              </w:tc>
              <w:tc>
                <w:tcPr>
                  <w:tcW w:w="339" w:type="pct"/>
                  <w:vMerge w:val="continue"/>
                  <w:tcBorders>
                    <w:tl2br w:val="nil"/>
                    <w:tr2bl w:val="nil"/>
                  </w:tcBorders>
                  <w:noWrap/>
                  <w:vAlign w:val="center"/>
                </w:tcPr>
                <w:p w14:paraId="203E9F2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642" w:type="dxa"/>
                  <w:tcBorders>
                    <w:tl2br w:val="nil"/>
                    <w:tr2bl w:val="nil"/>
                  </w:tcBorders>
                  <w:noWrap/>
                  <w:vAlign w:val="center"/>
                </w:tcPr>
                <w:p w14:paraId="6AB8941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3.09 </w:t>
                  </w:r>
                </w:p>
              </w:tc>
              <w:tc>
                <w:tcPr>
                  <w:tcW w:w="738" w:type="dxa"/>
                  <w:tcBorders>
                    <w:tl2br w:val="nil"/>
                    <w:tr2bl w:val="nil"/>
                  </w:tcBorders>
                  <w:noWrap/>
                  <w:vAlign w:val="center"/>
                </w:tcPr>
                <w:p w14:paraId="555698D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0.0782 </w:t>
                  </w:r>
                </w:p>
              </w:tc>
              <w:tc>
                <w:tcPr>
                  <w:tcW w:w="1387" w:type="pct"/>
                  <w:vMerge w:val="continue"/>
                  <w:tcBorders>
                    <w:tl2br w:val="nil"/>
                    <w:tr2bl w:val="nil"/>
                  </w:tcBorders>
                  <w:noWrap/>
                  <w:vAlign w:val="center"/>
                </w:tcPr>
                <w:p w14:paraId="20DECCD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724" w:type="dxa"/>
                  <w:tcBorders>
                    <w:tl2br w:val="nil"/>
                    <w:tr2bl w:val="nil"/>
                  </w:tcBorders>
                  <w:noWrap/>
                  <w:vAlign w:val="center"/>
                </w:tcPr>
                <w:p w14:paraId="6E8AAFF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2.00 </w:t>
                  </w:r>
                </w:p>
              </w:tc>
              <w:tc>
                <w:tcPr>
                  <w:tcW w:w="732" w:type="dxa"/>
                  <w:tcBorders>
                    <w:tl2br w:val="nil"/>
                    <w:tr2bl w:val="nil"/>
                  </w:tcBorders>
                  <w:noWrap/>
                  <w:vAlign w:val="center"/>
                </w:tcPr>
                <w:p w14:paraId="3746CF1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0.0506 </w:t>
                  </w:r>
                </w:p>
              </w:tc>
            </w:tr>
            <w:tr w14:paraId="0F59190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continue"/>
                  <w:tcBorders>
                    <w:tl2br w:val="nil"/>
                    <w:tr2bl w:val="nil"/>
                  </w:tcBorders>
                  <w:noWrap/>
                  <w:vAlign w:val="center"/>
                </w:tcPr>
                <w:p w14:paraId="2CE6C21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p>
              </w:tc>
              <w:tc>
                <w:tcPr>
                  <w:tcW w:w="335" w:type="pct"/>
                  <w:vMerge w:val="continue"/>
                  <w:tcBorders>
                    <w:tl2br w:val="nil"/>
                    <w:tr2bl w:val="nil"/>
                  </w:tcBorders>
                  <w:noWrap/>
                  <w:vAlign w:val="center"/>
                </w:tcPr>
                <w:p w14:paraId="1DFCFDE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4" w:type="pct"/>
                  <w:tcBorders>
                    <w:tl2br w:val="nil"/>
                    <w:tr2bl w:val="nil"/>
                  </w:tcBorders>
                  <w:shd w:val="clear" w:color="auto" w:fill="auto"/>
                  <w:noWrap/>
                  <w:vAlign w:val="center"/>
                </w:tcPr>
                <w:p w14:paraId="77E121D0">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lang w:val="en-US" w:eastAsia="en-US"/>
                    </w:rPr>
                    <w:t>石油类</w:t>
                  </w:r>
                </w:p>
              </w:tc>
              <w:tc>
                <w:tcPr>
                  <w:tcW w:w="756" w:type="dxa"/>
                  <w:tcBorders>
                    <w:tl2br w:val="nil"/>
                    <w:tr2bl w:val="nil"/>
                  </w:tcBorders>
                  <w:noWrap/>
                  <w:vAlign w:val="center"/>
                </w:tcPr>
                <w:p w14:paraId="4298BD4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45.17 </w:t>
                  </w:r>
                </w:p>
              </w:tc>
              <w:tc>
                <w:tcPr>
                  <w:tcW w:w="758" w:type="dxa"/>
                  <w:tcBorders>
                    <w:tl2br w:val="nil"/>
                    <w:tr2bl w:val="nil"/>
                  </w:tcBorders>
                  <w:noWrap/>
                  <w:vAlign w:val="center"/>
                </w:tcPr>
                <w:p w14:paraId="1CF317D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1.1150 </w:t>
                  </w:r>
                </w:p>
              </w:tc>
              <w:tc>
                <w:tcPr>
                  <w:tcW w:w="339" w:type="pct"/>
                  <w:vMerge w:val="continue"/>
                  <w:tcBorders>
                    <w:tl2br w:val="nil"/>
                    <w:tr2bl w:val="nil"/>
                  </w:tcBorders>
                  <w:noWrap/>
                  <w:vAlign w:val="center"/>
                </w:tcPr>
                <w:p w14:paraId="190086E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642" w:type="dxa"/>
                  <w:tcBorders>
                    <w:tl2br w:val="nil"/>
                    <w:tr2bl w:val="nil"/>
                  </w:tcBorders>
                  <w:noWrap/>
                  <w:vAlign w:val="center"/>
                </w:tcPr>
                <w:p w14:paraId="633C0F7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0.20 </w:t>
                  </w:r>
                </w:p>
              </w:tc>
              <w:tc>
                <w:tcPr>
                  <w:tcW w:w="738" w:type="dxa"/>
                  <w:tcBorders>
                    <w:tl2br w:val="nil"/>
                    <w:tr2bl w:val="nil"/>
                  </w:tcBorders>
                  <w:noWrap/>
                  <w:vAlign w:val="center"/>
                </w:tcPr>
                <w:p w14:paraId="0A03DD4B">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0.0048 </w:t>
                  </w:r>
                </w:p>
              </w:tc>
              <w:tc>
                <w:tcPr>
                  <w:tcW w:w="1387" w:type="pct"/>
                  <w:vMerge w:val="continue"/>
                  <w:tcBorders>
                    <w:tl2br w:val="nil"/>
                    <w:tr2bl w:val="nil"/>
                  </w:tcBorders>
                  <w:noWrap/>
                  <w:vAlign w:val="center"/>
                </w:tcPr>
                <w:p w14:paraId="3535C10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724" w:type="dxa"/>
                  <w:tcBorders>
                    <w:tl2br w:val="nil"/>
                    <w:tr2bl w:val="nil"/>
                  </w:tcBorders>
                  <w:noWrap/>
                  <w:vAlign w:val="center"/>
                </w:tcPr>
                <w:p w14:paraId="3210230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1.00 </w:t>
                  </w:r>
                </w:p>
              </w:tc>
              <w:tc>
                <w:tcPr>
                  <w:tcW w:w="732" w:type="dxa"/>
                  <w:tcBorders>
                    <w:tl2br w:val="nil"/>
                    <w:tr2bl w:val="nil"/>
                  </w:tcBorders>
                  <w:noWrap/>
                  <w:vAlign w:val="center"/>
                </w:tcPr>
                <w:p w14:paraId="19971A1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0.0241 </w:t>
                  </w:r>
                </w:p>
              </w:tc>
            </w:tr>
            <w:tr w14:paraId="7EFA014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424" w:type="pct"/>
                  <w:vMerge w:val="continue"/>
                  <w:tcBorders>
                    <w:tl2br w:val="nil"/>
                    <w:tr2bl w:val="nil"/>
                  </w:tcBorders>
                  <w:noWrap/>
                  <w:vAlign w:val="center"/>
                </w:tcPr>
                <w:p w14:paraId="0AB8520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rPr>
                  </w:pPr>
                </w:p>
              </w:tc>
              <w:tc>
                <w:tcPr>
                  <w:tcW w:w="335" w:type="pct"/>
                  <w:vMerge w:val="continue"/>
                  <w:tcBorders>
                    <w:tl2br w:val="nil"/>
                    <w:tr2bl w:val="nil"/>
                  </w:tcBorders>
                  <w:noWrap/>
                  <w:vAlign w:val="center"/>
                </w:tcPr>
                <w:p w14:paraId="63250B5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24" w:type="pct"/>
                  <w:tcBorders>
                    <w:tl2br w:val="nil"/>
                    <w:tr2bl w:val="nil"/>
                  </w:tcBorders>
                  <w:shd w:val="clear" w:color="auto" w:fill="auto"/>
                  <w:noWrap/>
                  <w:vAlign w:val="center"/>
                </w:tcPr>
                <w:p w14:paraId="5901C798">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Cs/>
                      <w:color w:val="auto"/>
                      <w:kern w:val="0"/>
                      <w:sz w:val="21"/>
                      <w:szCs w:val="21"/>
                      <w:lang w:val="en-US" w:eastAsia="zh-CN"/>
                    </w:rPr>
                    <w:t>总锑</w:t>
                  </w:r>
                </w:p>
              </w:tc>
              <w:tc>
                <w:tcPr>
                  <w:tcW w:w="756" w:type="dxa"/>
                  <w:tcBorders>
                    <w:tl2br w:val="nil"/>
                    <w:tr2bl w:val="nil"/>
                  </w:tcBorders>
                  <w:noWrap/>
                  <w:vAlign w:val="center"/>
                </w:tcPr>
                <w:p w14:paraId="4D3121DB">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0.10 </w:t>
                  </w:r>
                </w:p>
              </w:tc>
              <w:tc>
                <w:tcPr>
                  <w:tcW w:w="758" w:type="dxa"/>
                  <w:tcBorders>
                    <w:tl2br w:val="nil"/>
                    <w:tr2bl w:val="nil"/>
                  </w:tcBorders>
                  <w:noWrap/>
                  <w:vAlign w:val="center"/>
                </w:tcPr>
                <w:p w14:paraId="12B8F14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0.0024 </w:t>
                  </w:r>
                </w:p>
              </w:tc>
              <w:tc>
                <w:tcPr>
                  <w:tcW w:w="339" w:type="pct"/>
                  <w:vMerge w:val="continue"/>
                  <w:tcBorders>
                    <w:tl2br w:val="nil"/>
                    <w:tr2bl w:val="nil"/>
                  </w:tcBorders>
                  <w:noWrap/>
                  <w:vAlign w:val="center"/>
                </w:tcPr>
                <w:p w14:paraId="5DC689C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642" w:type="dxa"/>
                  <w:tcBorders>
                    <w:tl2br w:val="nil"/>
                    <w:tr2bl w:val="nil"/>
                  </w:tcBorders>
                  <w:noWrap/>
                  <w:vAlign w:val="center"/>
                </w:tcPr>
                <w:p w14:paraId="62D1C7A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0.10 </w:t>
                  </w:r>
                </w:p>
              </w:tc>
              <w:tc>
                <w:tcPr>
                  <w:tcW w:w="738" w:type="dxa"/>
                  <w:tcBorders>
                    <w:tl2br w:val="nil"/>
                    <w:tr2bl w:val="nil"/>
                  </w:tcBorders>
                  <w:noWrap/>
                  <w:vAlign w:val="center"/>
                </w:tcPr>
                <w:p w14:paraId="53BE07A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0.0024 </w:t>
                  </w:r>
                </w:p>
              </w:tc>
              <w:tc>
                <w:tcPr>
                  <w:tcW w:w="1387" w:type="pct"/>
                  <w:vMerge w:val="continue"/>
                  <w:tcBorders>
                    <w:tl2br w:val="nil"/>
                    <w:tr2bl w:val="nil"/>
                  </w:tcBorders>
                  <w:noWrap/>
                  <w:vAlign w:val="center"/>
                </w:tcPr>
                <w:p w14:paraId="09CD93F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724" w:type="dxa"/>
                  <w:tcBorders>
                    <w:tl2br w:val="nil"/>
                    <w:tr2bl w:val="nil"/>
                  </w:tcBorders>
                  <w:noWrap/>
                  <w:vAlign w:val="center"/>
                </w:tcPr>
                <w:p w14:paraId="70FBC44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 xml:space="preserve"> </w:t>
                  </w:r>
                </w:p>
              </w:tc>
              <w:tc>
                <w:tcPr>
                  <w:tcW w:w="732" w:type="dxa"/>
                  <w:tcBorders>
                    <w:tl2br w:val="nil"/>
                    <w:tr2bl w:val="nil"/>
                  </w:tcBorders>
                  <w:noWrap/>
                  <w:vAlign w:val="center"/>
                </w:tcPr>
                <w:p w14:paraId="61377E1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0.0024 </w:t>
                  </w:r>
                </w:p>
              </w:tc>
            </w:tr>
          </w:tbl>
          <w:p w14:paraId="063C7D81">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0" w:afterAutospacing="0" w:line="360" w:lineRule="auto"/>
              <w:ind w:left="0" w:right="0"/>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从上表可以看出，项目生活污水经化粪池</w:t>
            </w:r>
            <w:r>
              <w:rPr>
                <w:rFonts w:hint="eastAsia" w:ascii="Times New Roman" w:hAnsi="Times New Roman" w:eastAsia="宋体" w:cs="Times New Roman"/>
                <w:color w:val="auto"/>
                <w:sz w:val="24"/>
                <w:highlight w:val="none"/>
                <w:lang w:val="en-US" w:eastAsia="zh-CN"/>
              </w:rPr>
              <w:t>收集</w:t>
            </w:r>
            <w:r>
              <w:rPr>
                <w:rFonts w:hint="default" w:ascii="Times New Roman" w:hAnsi="Times New Roman" w:eastAsia="宋体" w:cs="Times New Roman"/>
                <w:color w:val="auto"/>
                <w:sz w:val="24"/>
                <w:highlight w:val="none"/>
                <w:lang w:val="en-US" w:eastAsia="zh-CN"/>
              </w:rPr>
              <w:t>后各项污染因子均能满足</w:t>
            </w:r>
            <w:r>
              <w:rPr>
                <w:rFonts w:hint="eastAsia" w:ascii="Times New Roman" w:hAnsi="Times New Roman" w:eastAsia="宋体" w:cs="Times New Roman"/>
                <w:color w:val="auto"/>
                <w:sz w:val="24"/>
                <w:highlight w:val="none"/>
                <w:lang w:val="en-US" w:eastAsia="zh-CN"/>
              </w:rPr>
              <w:t>五河县经济开发区污水处理厂</w:t>
            </w:r>
            <w:r>
              <w:rPr>
                <w:rFonts w:hint="default" w:ascii="Times New Roman" w:hAnsi="Times New Roman" w:eastAsia="宋体" w:cs="Times New Roman"/>
                <w:color w:val="auto"/>
                <w:sz w:val="24"/>
                <w:highlight w:val="none"/>
                <w:lang w:val="en-US" w:eastAsia="zh-CN"/>
              </w:rPr>
              <w:t>接管限值和《污水综合排放标准》（GB8978-1996）表4中三级标准</w:t>
            </w:r>
            <w:r>
              <w:rPr>
                <w:rFonts w:hint="eastAsia" w:ascii="Times New Roman" w:hAnsi="Times New Roman" w:eastAsia="宋体" w:cs="Times New Roman"/>
                <w:color w:val="auto"/>
                <w:sz w:val="24"/>
                <w:highlight w:val="none"/>
                <w:lang w:val="en-US" w:eastAsia="zh-CN"/>
              </w:rPr>
              <w:t>。</w:t>
            </w:r>
            <w:r>
              <w:rPr>
                <w:rFonts w:hint="eastAsia"/>
              </w:rPr>
              <w:t>生产废水经厂区内生产废水处理设施处理后</w:t>
            </w:r>
            <w:r>
              <w:rPr>
                <w:rFonts w:hint="eastAsia"/>
                <w:lang w:eastAsia="zh-CN"/>
              </w:rPr>
              <w:t>95%</w:t>
            </w:r>
            <w:r>
              <w:rPr>
                <w:rFonts w:hint="eastAsia"/>
              </w:rPr>
              <w:t>回用于生产，其余</w:t>
            </w:r>
            <w:r>
              <w:rPr>
                <w:rFonts w:hint="eastAsia"/>
                <w:lang w:eastAsia="zh-CN"/>
              </w:rPr>
              <w:t>5%</w:t>
            </w:r>
            <w:r>
              <w:rPr>
                <w:rFonts w:hint="eastAsia"/>
              </w:rPr>
              <w:t>经厂区内污水明渠排放口排入园区污水管网，外排综合废水水质能够满足《纺织染整工业水污染物排放标准》（GB4287-2012)表2中间接排放限值及其2015年修改单要求、五河县城南污水处理厂接管限值要求以及《污水综合排放标准》（GB8978-1996）中三级标准。</w:t>
            </w:r>
          </w:p>
          <w:p w14:paraId="116FE9DC">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0" w:afterAutospacing="0" w:line="360" w:lineRule="auto"/>
              <w:ind w:left="0" w:right="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对环境影响较小，</w:t>
            </w:r>
            <w:r>
              <w:rPr>
                <w:rFonts w:hint="default" w:ascii="Times New Roman" w:hAnsi="Times New Roman" w:eastAsia="宋体" w:cs="Times New Roman"/>
                <w:color w:val="auto"/>
                <w:sz w:val="24"/>
                <w:highlight w:val="none"/>
                <w:lang w:val="en-GB" w:eastAsia="zh-CN"/>
              </w:rPr>
              <w:t>不会降低项目区域现有水环境功能。</w:t>
            </w:r>
          </w:p>
          <w:p w14:paraId="6DB6A6BC">
            <w:pPr>
              <w:pStyle w:val="44"/>
              <w:keepNext w:val="0"/>
              <w:keepLines w:val="0"/>
              <w:pageBreakBefore w:val="0"/>
              <w:suppressLineNumbers w:val="0"/>
              <w:kinsoku/>
              <w:wordWrap/>
              <w:overflowPunct/>
              <w:bidi w:val="0"/>
              <w:spacing w:before="0" w:beforeAutospacing="0" w:after="0" w:afterAutospacing="0" w:line="360" w:lineRule="auto"/>
              <w:ind w:left="0" w:right="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2、废水达标排放分析</w:t>
            </w:r>
          </w:p>
          <w:p w14:paraId="7B9CFC7A">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0" w:afterAutospacing="0" w:line="360" w:lineRule="auto"/>
              <w:ind w:left="0" w:right="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根据前文分析，项目外排废水为生活污水</w:t>
            </w:r>
            <w:r>
              <w:rPr>
                <w:rFonts w:hint="eastAsia" w:cs="Times New Roman"/>
                <w:color w:val="auto"/>
                <w:sz w:val="24"/>
                <w:highlight w:val="none"/>
                <w:lang w:val="en-US" w:eastAsia="zh-CN"/>
              </w:rPr>
              <w:t>和生产废水</w:t>
            </w:r>
            <w:r>
              <w:rPr>
                <w:rFonts w:hint="default" w:ascii="Times New Roman" w:hAnsi="Times New Roman" w:eastAsia="宋体" w:cs="Times New Roman"/>
                <w:color w:val="auto"/>
                <w:sz w:val="24"/>
                <w:highlight w:val="none"/>
                <w:lang w:val="en-US" w:eastAsia="zh-CN"/>
              </w:rPr>
              <w:t>，经</w:t>
            </w:r>
            <w:r>
              <w:rPr>
                <w:rFonts w:hint="eastAsia" w:ascii="Times New Roman" w:hAnsi="Times New Roman" w:eastAsia="宋体" w:cs="Times New Roman"/>
                <w:color w:val="auto"/>
                <w:sz w:val="24"/>
                <w:highlight w:val="none"/>
                <w:lang w:val="en-US" w:eastAsia="zh-CN"/>
              </w:rPr>
              <w:t>化粪池收集</w:t>
            </w:r>
            <w:r>
              <w:rPr>
                <w:rFonts w:hint="default" w:ascii="Times New Roman" w:hAnsi="Times New Roman" w:eastAsia="宋体" w:cs="Times New Roman"/>
                <w:color w:val="auto"/>
                <w:sz w:val="24"/>
                <w:highlight w:val="none"/>
                <w:lang w:val="en-US" w:eastAsia="zh-CN"/>
              </w:rPr>
              <w:t>后的生活污水中各项污染因子排放浓度均能满足</w:t>
            </w:r>
            <w:r>
              <w:rPr>
                <w:rFonts w:hint="eastAsia" w:cs="Times New Roman"/>
                <w:color w:val="auto"/>
                <w:sz w:val="24"/>
                <w:highlight w:val="none"/>
                <w:lang w:val="en-US" w:eastAsia="zh-CN"/>
              </w:rPr>
              <w:t>五河县经济开发区污水处理厂</w:t>
            </w:r>
            <w:r>
              <w:rPr>
                <w:rFonts w:hint="default" w:ascii="Times New Roman" w:hAnsi="Times New Roman" w:eastAsia="宋体" w:cs="Times New Roman"/>
                <w:color w:val="auto"/>
                <w:sz w:val="24"/>
                <w:highlight w:val="none"/>
                <w:lang w:val="en-US" w:eastAsia="zh-CN"/>
              </w:rPr>
              <w:t>接管限值和《污水综合排放标准》（GB8978-1996）表4中三级标准（COD：500mg/L、BOD</w:t>
            </w:r>
            <w:r>
              <w:rPr>
                <w:rFonts w:hint="default" w:ascii="Times New Roman" w:hAnsi="Times New Roman" w:eastAsia="宋体" w:cs="Times New Roman"/>
                <w:color w:val="auto"/>
                <w:sz w:val="24"/>
                <w:highlight w:val="none"/>
                <w:vertAlign w:val="subscript"/>
                <w:lang w:val="en-US" w:eastAsia="zh-CN"/>
              </w:rPr>
              <w:t>5</w:t>
            </w:r>
            <w:r>
              <w:rPr>
                <w:rFonts w:hint="default" w:ascii="Times New Roman" w:hAnsi="Times New Roman" w:eastAsia="宋体" w:cs="Times New Roman"/>
                <w:color w:val="auto"/>
                <w:sz w:val="24"/>
                <w:highlight w:val="none"/>
                <w:lang w:val="en-US" w:eastAsia="zh-CN"/>
              </w:rPr>
              <w:t>：300mg/L、SS：400mg/L、NH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-N：45mg/L）。</w:t>
            </w:r>
            <w:r>
              <w:rPr>
                <w:rFonts w:hint="eastAsia" w:ascii="Times New Roman" w:hAnsi="Times New Roman" w:eastAsia="宋体" w:cs="宋体"/>
              </w:rPr>
              <w:t>生产废水经厂区内生产废水处理设施处理后</w:t>
            </w:r>
            <w:r>
              <w:rPr>
                <w:rFonts w:hint="eastAsia" w:cs="宋体"/>
                <w:lang w:eastAsia="zh-CN"/>
              </w:rPr>
              <w:t>95%</w:t>
            </w:r>
            <w:r>
              <w:rPr>
                <w:rFonts w:hint="eastAsia" w:ascii="Times New Roman" w:hAnsi="Times New Roman" w:eastAsia="宋体" w:cs="宋体"/>
              </w:rPr>
              <w:t>回用于生产，其余</w:t>
            </w:r>
            <w:r>
              <w:rPr>
                <w:rFonts w:hint="eastAsia" w:cs="宋体"/>
                <w:lang w:eastAsia="zh-CN"/>
              </w:rPr>
              <w:t>5%</w:t>
            </w:r>
            <w:r>
              <w:rPr>
                <w:rFonts w:hint="eastAsia" w:ascii="Times New Roman" w:hAnsi="Times New Roman" w:eastAsia="宋体" w:cs="宋体"/>
              </w:rPr>
              <w:t>经厂区内污水明渠排放口排入园区污水管网，回用水水质能够满足企业回用水水质标准(pH:6.5-8.5，CODcr&lt;50mg/L，SS&lt;30mg/L)(回用水水质标准参照执行《纺织染整工业回用水水质》（FZ/T01107-2011)表1中限值要求）外排综合废水水质能够满足《纺织染整工业水污染物排放标准》（GB4287-2012)表2中间接排放限值及其2015年修改单要求、五河县城南污水处理厂接管限值要求以及《污水综合排放标准》（GB8978-1996）中三级标准。</w:t>
            </w:r>
          </w:p>
          <w:p w14:paraId="20417612">
            <w:pPr>
              <w:keepNext w:val="0"/>
              <w:keepLines w:val="0"/>
              <w:pageBreakBefore w:val="0"/>
              <w:widowControl/>
              <w:suppressLineNumbers w:val="0"/>
              <w:kinsoku/>
              <w:wordWrap/>
              <w:overflowPunct/>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w:t>
            </w:r>
            <w:r>
              <w:rPr>
                <w:rFonts w:hint="eastAsia" w:cs="Times New Roman"/>
                <w:b/>
                <w:bCs/>
                <w:color w:val="auto"/>
                <w:kern w:val="2"/>
                <w:sz w:val="24"/>
                <w:szCs w:val="24"/>
                <w:highlight w:val="none"/>
                <w:lang w:val="en-US" w:eastAsia="zh-CN" w:bidi="ar-SA"/>
              </w:rPr>
              <w:t>五河县经济开发区污水处理厂</w:t>
            </w:r>
            <w:r>
              <w:rPr>
                <w:rFonts w:hint="default" w:ascii="Times New Roman" w:hAnsi="Times New Roman" w:eastAsia="宋体" w:cs="Times New Roman"/>
                <w:b/>
                <w:bCs/>
                <w:color w:val="auto"/>
                <w:sz w:val="24"/>
                <w:highlight w:val="none"/>
                <w:lang w:val="en-US" w:eastAsia="zh-CN"/>
              </w:rPr>
              <w:t>依托可行性分析</w:t>
            </w:r>
          </w:p>
          <w:p w14:paraId="7EF8C97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100" w:right="0" w:firstLine="472" w:firstLineChars="200"/>
              <w:jc w:val="both"/>
              <w:textAlignment w:val="baseline"/>
              <w:rPr>
                <w:rFonts w:hint="default" w:ascii="Times New Roman" w:hAnsi="Times New Roman" w:eastAsia="宋体" w:cs="宋体"/>
                <w:snapToGrid w:val="0"/>
                <w:color w:val="000000"/>
                <w:kern w:val="0"/>
                <w:sz w:val="24"/>
                <w:szCs w:val="24"/>
                <w:lang w:val="en-US" w:eastAsia="en-US" w:bidi="ar-SA"/>
              </w:rPr>
            </w:pPr>
            <w:r>
              <w:rPr>
                <w:rFonts w:hint="default" w:ascii="Times New Roman" w:hAnsi="Times New Roman" w:eastAsia="宋体" w:cs="宋体"/>
                <w:snapToGrid w:val="0"/>
                <w:color w:val="000000"/>
                <w:spacing w:val="-2"/>
                <w:kern w:val="0"/>
                <w:sz w:val="24"/>
                <w:szCs w:val="24"/>
                <w:lang w:val="en-US" w:eastAsia="en-US" w:bidi="ar-SA"/>
              </w:rPr>
              <w:t>五河县经济开发区污水处理厂原名五河县城南污水处理厂，位于五河县城东南</w:t>
            </w:r>
            <w:r>
              <w:rPr>
                <w:rFonts w:hint="default" w:ascii="Times New Roman" w:hAnsi="Times New Roman" w:eastAsia="宋体" w:cs="宋体"/>
                <w:snapToGrid w:val="0"/>
                <w:color w:val="000000"/>
                <w:spacing w:val="-1"/>
                <w:kern w:val="0"/>
                <w:sz w:val="24"/>
                <w:szCs w:val="24"/>
                <w:lang w:val="en-US" w:eastAsia="en-US" w:bidi="ar-SA"/>
              </w:rPr>
              <w:t>部，南环线与创立路交叉口东北侧，南环线北。该污水处理厂规划总体规模</w:t>
            </w:r>
            <w:r>
              <w:rPr>
                <w:rFonts w:hint="default" w:ascii="Times New Roman" w:hAnsi="Times New Roman" w:eastAsia="宋体" w:cs="Times New Roman"/>
                <w:snapToGrid w:val="0"/>
                <w:color w:val="000000"/>
                <w:spacing w:val="-1"/>
                <w:kern w:val="0"/>
                <w:sz w:val="24"/>
                <w:szCs w:val="24"/>
                <w:lang w:val="en-US" w:eastAsia="en-US" w:bidi="ar-SA"/>
              </w:rPr>
              <w:t>8.0</w:t>
            </w:r>
            <w:r>
              <w:rPr>
                <w:rFonts w:hint="default" w:ascii="Times New Roman" w:hAnsi="Times New Roman" w:eastAsia="宋体" w:cs="宋体"/>
                <w:snapToGrid w:val="0"/>
                <w:color w:val="000000"/>
                <w:spacing w:val="-1"/>
                <w:kern w:val="0"/>
                <w:sz w:val="24"/>
                <w:szCs w:val="24"/>
                <w:lang w:val="en-US" w:eastAsia="en-US" w:bidi="ar-SA"/>
              </w:rPr>
              <w:t>万</w:t>
            </w:r>
            <w:r>
              <w:rPr>
                <w:rFonts w:hint="default" w:ascii="Times New Roman" w:hAnsi="Times New Roman" w:eastAsia="宋体" w:cs="Times New Roman"/>
                <w:snapToGrid w:val="0"/>
                <w:color w:val="000000"/>
                <w:spacing w:val="-4"/>
                <w:kern w:val="0"/>
                <w:sz w:val="24"/>
                <w:szCs w:val="24"/>
                <w:lang w:val="en-US" w:eastAsia="en-US" w:bidi="ar-SA"/>
              </w:rPr>
              <w:t>m</w:t>
            </w:r>
            <w:r>
              <w:rPr>
                <w:rFonts w:hint="default" w:ascii="Times New Roman" w:hAnsi="Times New Roman" w:eastAsia="宋体" w:cs="Times New Roman"/>
                <w:snapToGrid w:val="0"/>
                <w:color w:val="000000"/>
                <w:spacing w:val="-4"/>
                <w:kern w:val="0"/>
                <w:position w:val="8"/>
                <w:sz w:val="15"/>
                <w:szCs w:val="24"/>
                <w:lang w:val="en-US" w:eastAsia="en-US" w:bidi="ar-SA"/>
              </w:rPr>
              <w:t>3</w:t>
            </w:r>
            <w:r>
              <w:rPr>
                <w:rFonts w:hint="default" w:ascii="Times New Roman" w:hAnsi="Times New Roman" w:eastAsia="宋体" w:cs="Times New Roman"/>
                <w:snapToGrid w:val="0"/>
                <w:color w:val="000000"/>
                <w:spacing w:val="-4"/>
                <w:kern w:val="0"/>
                <w:sz w:val="24"/>
                <w:szCs w:val="24"/>
                <w:lang w:val="en-US" w:eastAsia="en-US" w:bidi="ar-SA"/>
              </w:rPr>
              <w:t>/d</w:t>
            </w:r>
            <w:r>
              <w:rPr>
                <w:rFonts w:hint="default" w:ascii="Times New Roman" w:hAnsi="Times New Roman" w:eastAsia="宋体" w:cs="宋体"/>
                <w:snapToGrid w:val="0"/>
                <w:color w:val="000000"/>
                <w:spacing w:val="-4"/>
                <w:kern w:val="0"/>
                <w:sz w:val="24"/>
                <w:szCs w:val="24"/>
                <w:lang w:val="en-US" w:eastAsia="en-US" w:bidi="ar-SA"/>
              </w:rPr>
              <w:t>，目前一期项目已建成，规模为</w:t>
            </w:r>
            <w:r>
              <w:rPr>
                <w:rFonts w:hint="default" w:ascii="Times New Roman" w:hAnsi="Times New Roman" w:eastAsia="宋体" w:cs="Times New Roman"/>
                <w:snapToGrid w:val="0"/>
                <w:color w:val="000000"/>
                <w:spacing w:val="-4"/>
                <w:kern w:val="0"/>
                <w:sz w:val="24"/>
                <w:szCs w:val="24"/>
                <w:lang w:val="en-US" w:eastAsia="en-US" w:bidi="ar-SA"/>
              </w:rPr>
              <w:t>2.0</w:t>
            </w:r>
            <w:r>
              <w:rPr>
                <w:rFonts w:hint="default" w:ascii="Times New Roman" w:hAnsi="Times New Roman" w:eastAsia="宋体" w:cs="宋体"/>
                <w:snapToGrid w:val="0"/>
                <w:color w:val="000000"/>
                <w:spacing w:val="-4"/>
                <w:kern w:val="0"/>
                <w:sz w:val="24"/>
                <w:szCs w:val="24"/>
                <w:lang w:val="en-US" w:eastAsia="en-US" w:bidi="ar-SA"/>
              </w:rPr>
              <w:t>万</w:t>
            </w:r>
            <w:r>
              <w:rPr>
                <w:rFonts w:hint="default" w:ascii="Times New Roman" w:hAnsi="Times New Roman" w:eastAsia="宋体" w:cs="Times New Roman"/>
                <w:snapToGrid w:val="0"/>
                <w:color w:val="000000"/>
                <w:spacing w:val="-4"/>
                <w:kern w:val="0"/>
                <w:sz w:val="24"/>
                <w:szCs w:val="24"/>
                <w:lang w:val="en-US" w:eastAsia="en-US" w:bidi="ar-SA"/>
              </w:rPr>
              <w:t>m</w:t>
            </w:r>
            <w:r>
              <w:rPr>
                <w:rFonts w:hint="default" w:ascii="Times New Roman" w:hAnsi="Times New Roman" w:eastAsia="宋体" w:cs="Times New Roman"/>
                <w:snapToGrid w:val="0"/>
                <w:color w:val="000000"/>
                <w:spacing w:val="-4"/>
                <w:kern w:val="0"/>
                <w:position w:val="8"/>
                <w:sz w:val="15"/>
                <w:szCs w:val="24"/>
                <w:lang w:val="en-US" w:eastAsia="en-US" w:bidi="ar-SA"/>
              </w:rPr>
              <w:t>3</w:t>
            </w:r>
            <w:r>
              <w:rPr>
                <w:rFonts w:hint="default" w:ascii="Times New Roman" w:hAnsi="Times New Roman" w:eastAsia="宋体" w:cs="Times New Roman"/>
                <w:snapToGrid w:val="0"/>
                <w:color w:val="000000"/>
                <w:spacing w:val="-4"/>
                <w:kern w:val="0"/>
                <w:sz w:val="24"/>
                <w:szCs w:val="24"/>
                <w:lang w:val="en-US" w:eastAsia="en-US" w:bidi="ar-SA"/>
              </w:rPr>
              <w:t>/d</w:t>
            </w:r>
            <w:r>
              <w:rPr>
                <w:rFonts w:hint="default" w:ascii="Times New Roman" w:hAnsi="Times New Roman" w:eastAsia="宋体" w:cs="宋体"/>
                <w:snapToGrid w:val="0"/>
                <w:color w:val="000000"/>
                <w:spacing w:val="-4"/>
                <w:kern w:val="0"/>
                <w:sz w:val="24"/>
                <w:szCs w:val="24"/>
                <w:lang w:val="en-US" w:eastAsia="en-US" w:bidi="ar-SA"/>
              </w:rPr>
              <w:t>，新建污水管网</w:t>
            </w:r>
            <w:r>
              <w:rPr>
                <w:rFonts w:hint="default" w:ascii="Times New Roman" w:hAnsi="Times New Roman" w:eastAsia="宋体" w:cs="Times New Roman"/>
                <w:snapToGrid w:val="0"/>
                <w:color w:val="000000"/>
                <w:spacing w:val="-4"/>
                <w:kern w:val="0"/>
                <w:sz w:val="24"/>
                <w:szCs w:val="24"/>
                <w:lang w:val="en-US" w:eastAsia="en-US" w:bidi="ar-SA"/>
              </w:rPr>
              <w:t>23km</w:t>
            </w:r>
            <w:r>
              <w:rPr>
                <w:rFonts w:hint="default" w:ascii="Times New Roman" w:hAnsi="Times New Roman" w:eastAsia="宋体" w:cs="宋体"/>
                <w:snapToGrid w:val="0"/>
                <w:color w:val="000000"/>
                <w:spacing w:val="-4"/>
                <w:kern w:val="0"/>
                <w:sz w:val="24"/>
                <w:szCs w:val="24"/>
                <w:lang w:val="en-US" w:eastAsia="en-US" w:bidi="ar-SA"/>
              </w:rPr>
              <w:t>，污水处理工</w:t>
            </w:r>
            <w:r>
              <w:rPr>
                <w:rFonts w:hint="default" w:ascii="Times New Roman" w:hAnsi="Times New Roman" w:eastAsia="宋体" w:cs="宋体"/>
                <w:snapToGrid w:val="0"/>
                <w:color w:val="000000"/>
                <w:kern w:val="0"/>
                <w:sz w:val="24"/>
                <w:szCs w:val="24"/>
                <w:lang w:val="en-US" w:eastAsia="en-US" w:bidi="ar-SA"/>
              </w:rPr>
              <w:t>艺采用预处理</w:t>
            </w:r>
            <w:r>
              <w:rPr>
                <w:rFonts w:hint="default" w:ascii="Times New Roman" w:hAnsi="Times New Roman" w:eastAsia="宋体" w:cs="Times New Roman"/>
                <w:snapToGrid w:val="0"/>
                <w:color w:val="000000"/>
                <w:kern w:val="0"/>
                <w:sz w:val="24"/>
                <w:szCs w:val="24"/>
                <w:lang w:val="en-US" w:eastAsia="en-US" w:bidi="ar-SA"/>
              </w:rPr>
              <w:t>+</w:t>
            </w:r>
            <w:r>
              <w:rPr>
                <w:rFonts w:hint="default" w:ascii="Times New Roman" w:hAnsi="Times New Roman" w:eastAsia="宋体" w:cs="宋体"/>
                <w:snapToGrid w:val="0"/>
                <w:color w:val="000000"/>
                <w:kern w:val="0"/>
                <w:sz w:val="24"/>
                <w:szCs w:val="24"/>
                <w:lang w:val="en-US" w:eastAsia="en-US" w:bidi="ar-SA"/>
              </w:rPr>
              <w:t>水解酸化</w:t>
            </w:r>
            <w:r>
              <w:rPr>
                <w:rFonts w:hint="default" w:ascii="Times New Roman" w:hAnsi="Times New Roman" w:eastAsia="宋体" w:cs="Times New Roman"/>
                <w:snapToGrid w:val="0"/>
                <w:color w:val="000000"/>
                <w:kern w:val="0"/>
                <w:sz w:val="24"/>
                <w:szCs w:val="24"/>
                <w:lang w:val="en-US" w:eastAsia="en-US" w:bidi="ar-SA"/>
              </w:rPr>
              <w:t>+A</w:t>
            </w:r>
            <w:r>
              <w:rPr>
                <w:rFonts w:hint="default" w:ascii="Times New Roman" w:hAnsi="Times New Roman" w:eastAsia="宋体" w:cs="Times New Roman"/>
                <w:snapToGrid w:val="0"/>
                <w:color w:val="000000"/>
                <w:kern w:val="0"/>
                <w:sz w:val="24"/>
                <w:szCs w:val="24"/>
                <w:vertAlign w:val="superscript"/>
                <w:lang w:val="en-US" w:eastAsia="en-US" w:bidi="ar-SA"/>
              </w:rPr>
              <w:t>2</w:t>
            </w:r>
            <w:r>
              <w:rPr>
                <w:rFonts w:hint="default" w:ascii="Times New Roman" w:hAnsi="Times New Roman" w:eastAsia="宋体" w:cs="Times New Roman"/>
                <w:snapToGrid w:val="0"/>
                <w:color w:val="000000"/>
                <w:kern w:val="0"/>
                <w:sz w:val="24"/>
                <w:szCs w:val="24"/>
                <w:lang w:val="en-US" w:eastAsia="en-US" w:bidi="ar-SA"/>
              </w:rPr>
              <w:t>/O</w:t>
            </w:r>
            <w:r>
              <w:rPr>
                <w:rFonts w:hint="default" w:ascii="Times New Roman" w:hAnsi="Times New Roman" w:eastAsia="宋体" w:cs="宋体"/>
                <w:snapToGrid w:val="0"/>
                <w:color w:val="000000"/>
                <w:kern w:val="0"/>
                <w:sz w:val="24"/>
                <w:szCs w:val="24"/>
                <w:lang w:val="en-US" w:eastAsia="en-US" w:bidi="ar-SA"/>
              </w:rPr>
              <w:t>氧化沟</w:t>
            </w:r>
            <w:r>
              <w:rPr>
                <w:rFonts w:hint="default" w:ascii="Times New Roman" w:hAnsi="Times New Roman" w:eastAsia="宋体" w:cs="Times New Roman"/>
                <w:snapToGrid w:val="0"/>
                <w:color w:val="000000"/>
                <w:kern w:val="0"/>
                <w:sz w:val="24"/>
                <w:szCs w:val="24"/>
                <w:lang w:val="en-US" w:eastAsia="en-US" w:bidi="ar-SA"/>
              </w:rPr>
              <w:t>+</w:t>
            </w:r>
            <w:r>
              <w:rPr>
                <w:rFonts w:hint="default" w:ascii="Times New Roman" w:hAnsi="Times New Roman" w:eastAsia="宋体" w:cs="宋体"/>
                <w:snapToGrid w:val="0"/>
                <w:color w:val="000000"/>
                <w:kern w:val="0"/>
                <w:sz w:val="24"/>
                <w:szCs w:val="24"/>
                <w:lang w:val="en-US" w:eastAsia="en-US" w:bidi="ar-SA"/>
              </w:rPr>
              <w:t>二沉池</w:t>
            </w:r>
            <w:r>
              <w:rPr>
                <w:rFonts w:hint="default" w:ascii="Times New Roman" w:hAnsi="Times New Roman" w:eastAsia="宋体" w:cs="Times New Roman"/>
                <w:snapToGrid w:val="0"/>
                <w:color w:val="000000"/>
                <w:kern w:val="0"/>
                <w:sz w:val="24"/>
                <w:szCs w:val="24"/>
                <w:lang w:val="en-US" w:eastAsia="en-US" w:bidi="ar-SA"/>
              </w:rPr>
              <w:t>+</w:t>
            </w:r>
            <w:r>
              <w:rPr>
                <w:rFonts w:hint="default" w:ascii="Times New Roman" w:hAnsi="Times New Roman" w:eastAsia="宋体" w:cs="宋体"/>
                <w:snapToGrid w:val="0"/>
                <w:color w:val="000000"/>
                <w:kern w:val="0"/>
                <w:sz w:val="24"/>
                <w:szCs w:val="24"/>
                <w:lang w:val="en-US" w:eastAsia="en-US" w:bidi="ar-SA"/>
              </w:rPr>
              <w:t>高效沉淀池</w:t>
            </w:r>
            <w:r>
              <w:rPr>
                <w:rFonts w:hint="default" w:ascii="Times New Roman" w:hAnsi="Times New Roman" w:eastAsia="宋体" w:cs="Times New Roman"/>
                <w:snapToGrid w:val="0"/>
                <w:color w:val="000000"/>
                <w:kern w:val="0"/>
                <w:sz w:val="24"/>
                <w:szCs w:val="24"/>
                <w:lang w:val="en-US" w:eastAsia="en-US" w:bidi="ar-SA"/>
              </w:rPr>
              <w:t>+</w:t>
            </w:r>
            <w:r>
              <w:rPr>
                <w:rFonts w:hint="default" w:ascii="Times New Roman" w:hAnsi="Times New Roman" w:eastAsia="宋体" w:cs="宋体"/>
                <w:snapToGrid w:val="0"/>
                <w:color w:val="000000"/>
                <w:spacing w:val="-1"/>
                <w:kern w:val="0"/>
                <w:sz w:val="24"/>
                <w:szCs w:val="24"/>
                <w:lang w:val="en-US" w:eastAsia="en-US" w:bidi="ar-SA"/>
              </w:rPr>
              <w:t>反硝化深床滤池</w:t>
            </w:r>
            <w:r>
              <w:rPr>
                <w:rFonts w:hint="default" w:ascii="Times New Roman" w:hAnsi="Times New Roman" w:eastAsia="宋体" w:cs="Times New Roman"/>
                <w:snapToGrid w:val="0"/>
                <w:color w:val="000000"/>
                <w:spacing w:val="-1"/>
                <w:kern w:val="0"/>
                <w:sz w:val="24"/>
                <w:szCs w:val="24"/>
                <w:lang w:val="en-US" w:eastAsia="en-US" w:bidi="ar-SA"/>
              </w:rPr>
              <w:t>+</w:t>
            </w:r>
            <w:r>
              <w:rPr>
                <w:rFonts w:hint="default" w:ascii="Times New Roman" w:hAnsi="Times New Roman" w:eastAsia="宋体" w:cs="宋体"/>
                <w:snapToGrid w:val="0"/>
                <w:color w:val="000000"/>
                <w:spacing w:val="-1"/>
                <w:kern w:val="0"/>
                <w:sz w:val="24"/>
                <w:szCs w:val="24"/>
                <w:lang w:val="en-US" w:eastAsia="en-US" w:bidi="ar-SA"/>
              </w:rPr>
              <w:t>紫外</w:t>
            </w:r>
            <w:r>
              <w:rPr>
                <w:rFonts w:hint="default" w:ascii="Times New Roman" w:hAnsi="Times New Roman" w:eastAsia="宋体" w:cs="宋体"/>
                <w:snapToGrid w:val="0"/>
                <w:color w:val="000000"/>
                <w:spacing w:val="-2"/>
                <w:kern w:val="0"/>
                <w:sz w:val="24"/>
                <w:szCs w:val="24"/>
                <w:lang w:val="en-US" w:eastAsia="en-US" w:bidi="ar-SA"/>
              </w:rPr>
              <w:t>线与次氯酸钠联合消毒；二期工程已进入建设程序，规模为</w:t>
            </w:r>
            <w:r>
              <w:rPr>
                <w:rFonts w:hint="default" w:ascii="Times New Roman" w:hAnsi="Times New Roman" w:eastAsia="宋体" w:cs="Times New Roman"/>
                <w:snapToGrid w:val="0"/>
                <w:color w:val="000000"/>
                <w:spacing w:val="-2"/>
                <w:kern w:val="0"/>
                <w:sz w:val="24"/>
                <w:szCs w:val="24"/>
                <w:lang w:val="en-US" w:eastAsia="en-US" w:bidi="ar-SA"/>
              </w:rPr>
              <w:t>2.0</w:t>
            </w:r>
            <w:r>
              <w:rPr>
                <w:rFonts w:hint="default" w:ascii="Times New Roman" w:hAnsi="Times New Roman" w:eastAsia="宋体" w:cs="宋体"/>
                <w:snapToGrid w:val="0"/>
                <w:color w:val="000000"/>
                <w:spacing w:val="-2"/>
                <w:kern w:val="0"/>
                <w:sz w:val="24"/>
                <w:szCs w:val="24"/>
                <w:lang w:val="en-US" w:eastAsia="en-US" w:bidi="ar-SA"/>
              </w:rPr>
              <w:t>万</w:t>
            </w:r>
            <w:r>
              <w:rPr>
                <w:rFonts w:hint="default" w:ascii="Times New Roman" w:hAnsi="Times New Roman" w:eastAsia="宋体" w:cs="Times New Roman"/>
                <w:snapToGrid w:val="0"/>
                <w:color w:val="000000"/>
                <w:spacing w:val="-2"/>
                <w:kern w:val="0"/>
                <w:sz w:val="24"/>
                <w:szCs w:val="24"/>
                <w:lang w:val="en-US" w:eastAsia="en-US" w:bidi="ar-SA"/>
              </w:rPr>
              <w:t>m</w:t>
            </w:r>
            <w:r>
              <w:rPr>
                <w:rFonts w:hint="default" w:ascii="Times New Roman" w:hAnsi="Times New Roman" w:eastAsia="宋体" w:cs="Times New Roman"/>
                <w:snapToGrid w:val="0"/>
                <w:color w:val="000000"/>
                <w:spacing w:val="-2"/>
                <w:kern w:val="0"/>
                <w:position w:val="8"/>
                <w:sz w:val="15"/>
                <w:szCs w:val="24"/>
                <w:lang w:val="en-US" w:eastAsia="en-US" w:bidi="ar-SA"/>
              </w:rPr>
              <w:t>3</w:t>
            </w:r>
            <w:r>
              <w:rPr>
                <w:rFonts w:hint="default" w:ascii="Times New Roman" w:hAnsi="Times New Roman" w:eastAsia="宋体" w:cs="Times New Roman"/>
                <w:snapToGrid w:val="0"/>
                <w:color w:val="000000"/>
                <w:spacing w:val="-2"/>
                <w:kern w:val="0"/>
                <w:sz w:val="24"/>
                <w:szCs w:val="24"/>
                <w:lang w:val="en-US" w:eastAsia="en-US" w:bidi="ar-SA"/>
              </w:rPr>
              <w:t>/d</w:t>
            </w:r>
            <w:r>
              <w:rPr>
                <w:rFonts w:hint="default" w:ascii="Times New Roman" w:hAnsi="Times New Roman" w:eastAsia="宋体" w:cs="宋体"/>
                <w:snapToGrid w:val="0"/>
                <w:color w:val="000000"/>
                <w:spacing w:val="-2"/>
                <w:kern w:val="0"/>
                <w:sz w:val="24"/>
                <w:szCs w:val="24"/>
                <w:lang w:val="en-US" w:eastAsia="en-US" w:bidi="ar-SA"/>
              </w:rPr>
              <w:t>，建成后全</w:t>
            </w:r>
            <w:r>
              <w:rPr>
                <w:rFonts w:hint="default" w:ascii="Times New Roman" w:hAnsi="Times New Roman" w:eastAsia="宋体" w:cs="宋体"/>
                <w:snapToGrid w:val="0"/>
                <w:color w:val="000000"/>
                <w:spacing w:val="-4"/>
                <w:kern w:val="0"/>
                <w:sz w:val="24"/>
                <w:szCs w:val="24"/>
                <w:lang w:val="en-US" w:eastAsia="en-US" w:bidi="ar-SA"/>
              </w:rPr>
              <w:t>厂总处理能力为</w:t>
            </w:r>
            <w:r>
              <w:rPr>
                <w:rFonts w:hint="default" w:ascii="Times New Roman" w:hAnsi="Times New Roman" w:eastAsia="宋体" w:cs="Times New Roman"/>
                <w:snapToGrid w:val="0"/>
                <w:color w:val="000000"/>
                <w:spacing w:val="-4"/>
                <w:kern w:val="0"/>
                <w:sz w:val="24"/>
                <w:szCs w:val="24"/>
                <w:lang w:val="en-US" w:eastAsia="en-US" w:bidi="ar-SA"/>
              </w:rPr>
              <w:t>4</w:t>
            </w:r>
            <w:r>
              <w:rPr>
                <w:rFonts w:hint="default" w:ascii="Times New Roman" w:hAnsi="Times New Roman" w:eastAsia="宋体" w:cs="宋体"/>
                <w:snapToGrid w:val="0"/>
                <w:color w:val="000000"/>
                <w:spacing w:val="-4"/>
                <w:kern w:val="0"/>
                <w:sz w:val="24"/>
                <w:szCs w:val="24"/>
                <w:lang w:val="en-US" w:eastAsia="en-US" w:bidi="ar-SA"/>
              </w:rPr>
              <w:t>万</w:t>
            </w:r>
            <w:r>
              <w:rPr>
                <w:rFonts w:hint="default" w:ascii="Times New Roman" w:hAnsi="Times New Roman" w:eastAsia="宋体" w:cs="Times New Roman"/>
                <w:snapToGrid w:val="0"/>
                <w:color w:val="000000"/>
                <w:spacing w:val="-4"/>
                <w:kern w:val="0"/>
                <w:sz w:val="24"/>
                <w:szCs w:val="24"/>
                <w:lang w:val="en-US" w:eastAsia="en-US" w:bidi="ar-SA"/>
              </w:rPr>
              <w:t>m</w:t>
            </w:r>
            <w:r>
              <w:rPr>
                <w:rFonts w:hint="default" w:ascii="Times New Roman" w:hAnsi="Times New Roman" w:eastAsia="宋体" w:cs="Times New Roman"/>
                <w:snapToGrid w:val="0"/>
                <w:color w:val="000000"/>
                <w:spacing w:val="-4"/>
                <w:kern w:val="0"/>
                <w:position w:val="8"/>
                <w:sz w:val="15"/>
                <w:szCs w:val="24"/>
                <w:lang w:val="en-US" w:eastAsia="en-US" w:bidi="ar-SA"/>
              </w:rPr>
              <w:t>3</w:t>
            </w:r>
            <w:r>
              <w:rPr>
                <w:rFonts w:hint="default" w:ascii="Times New Roman" w:hAnsi="Times New Roman" w:eastAsia="宋体" w:cs="Times New Roman"/>
                <w:snapToGrid w:val="0"/>
                <w:color w:val="000000"/>
                <w:spacing w:val="-4"/>
                <w:kern w:val="0"/>
                <w:sz w:val="24"/>
                <w:szCs w:val="24"/>
                <w:lang w:val="en-US" w:eastAsia="en-US" w:bidi="ar-SA"/>
              </w:rPr>
              <w:t>/d</w:t>
            </w:r>
            <w:r>
              <w:rPr>
                <w:rFonts w:hint="default" w:ascii="Times New Roman" w:hAnsi="Times New Roman" w:eastAsia="宋体" w:cs="宋体"/>
                <w:snapToGrid w:val="0"/>
                <w:color w:val="000000"/>
                <w:spacing w:val="-4"/>
                <w:kern w:val="0"/>
                <w:sz w:val="24"/>
                <w:szCs w:val="24"/>
                <w:lang w:val="en-US" w:eastAsia="en-US" w:bidi="ar-SA"/>
              </w:rPr>
              <w:t>，配套建设</w:t>
            </w:r>
            <w:r>
              <w:rPr>
                <w:rFonts w:hint="default" w:ascii="Times New Roman" w:hAnsi="Times New Roman" w:eastAsia="宋体" w:cs="Times New Roman"/>
                <w:snapToGrid w:val="0"/>
                <w:color w:val="000000"/>
                <w:spacing w:val="-4"/>
                <w:kern w:val="0"/>
                <w:sz w:val="24"/>
                <w:szCs w:val="24"/>
                <w:lang w:val="en-US" w:eastAsia="en-US" w:bidi="ar-SA"/>
              </w:rPr>
              <w:t>4</w:t>
            </w:r>
            <w:r>
              <w:rPr>
                <w:rFonts w:hint="default" w:ascii="Times New Roman" w:hAnsi="Times New Roman" w:eastAsia="宋体" w:cs="宋体"/>
                <w:snapToGrid w:val="0"/>
                <w:color w:val="000000"/>
                <w:spacing w:val="-4"/>
                <w:kern w:val="0"/>
                <w:sz w:val="24"/>
                <w:szCs w:val="24"/>
                <w:lang w:val="en-US" w:eastAsia="en-US" w:bidi="ar-SA"/>
              </w:rPr>
              <w:t>万</w:t>
            </w:r>
            <w:r>
              <w:rPr>
                <w:rFonts w:hint="default" w:ascii="Times New Roman" w:hAnsi="Times New Roman" w:eastAsia="宋体" w:cs="Times New Roman"/>
                <w:snapToGrid w:val="0"/>
                <w:color w:val="000000"/>
                <w:spacing w:val="-4"/>
                <w:kern w:val="0"/>
                <w:sz w:val="24"/>
                <w:szCs w:val="24"/>
                <w:lang w:val="en-US" w:eastAsia="en-US" w:bidi="ar-SA"/>
              </w:rPr>
              <w:t>m</w:t>
            </w:r>
            <w:r>
              <w:rPr>
                <w:rFonts w:hint="default" w:ascii="Times New Roman" w:hAnsi="Times New Roman" w:eastAsia="宋体" w:cs="Times New Roman"/>
                <w:snapToGrid w:val="0"/>
                <w:color w:val="000000"/>
                <w:spacing w:val="-4"/>
                <w:kern w:val="0"/>
                <w:position w:val="8"/>
                <w:sz w:val="15"/>
                <w:szCs w:val="24"/>
                <w:lang w:val="en-US" w:eastAsia="en-US" w:bidi="ar-SA"/>
              </w:rPr>
              <w:t>3</w:t>
            </w:r>
            <w:r>
              <w:rPr>
                <w:rFonts w:hint="default" w:ascii="Times New Roman" w:hAnsi="Times New Roman" w:eastAsia="宋体" w:cs="Times New Roman"/>
                <w:snapToGrid w:val="0"/>
                <w:color w:val="000000"/>
                <w:spacing w:val="-4"/>
                <w:kern w:val="0"/>
                <w:sz w:val="24"/>
                <w:szCs w:val="24"/>
                <w:lang w:val="en-US" w:eastAsia="en-US" w:bidi="ar-SA"/>
              </w:rPr>
              <w:t>/d</w:t>
            </w:r>
            <w:r>
              <w:rPr>
                <w:rFonts w:hint="default" w:ascii="Times New Roman" w:hAnsi="Times New Roman" w:eastAsia="宋体" w:cs="宋体"/>
                <w:snapToGrid w:val="0"/>
                <w:color w:val="000000"/>
                <w:spacing w:val="-4"/>
                <w:kern w:val="0"/>
                <w:sz w:val="24"/>
                <w:szCs w:val="24"/>
                <w:lang w:val="en-US" w:eastAsia="en-US" w:bidi="ar-SA"/>
              </w:rPr>
              <w:t>的</w:t>
            </w:r>
            <w:r>
              <w:rPr>
                <w:rFonts w:hint="default" w:ascii="Times New Roman" w:hAnsi="Times New Roman" w:eastAsia="宋体" w:cs="Times New Roman"/>
                <w:snapToGrid w:val="0"/>
                <w:color w:val="000000"/>
                <w:spacing w:val="-4"/>
                <w:kern w:val="0"/>
                <w:sz w:val="24"/>
                <w:szCs w:val="24"/>
                <w:lang w:val="en-US" w:eastAsia="en-US" w:bidi="ar-SA"/>
              </w:rPr>
              <w:t>“</w:t>
            </w:r>
            <w:r>
              <w:rPr>
                <w:rFonts w:hint="default" w:ascii="Times New Roman" w:hAnsi="Times New Roman" w:eastAsia="宋体" w:cs="宋体"/>
                <w:snapToGrid w:val="0"/>
                <w:color w:val="000000"/>
                <w:spacing w:val="-4"/>
                <w:kern w:val="0"/>
                <w:sz w:val="24"/>
                <w:szCs w:val="24"/>
                <w:lang w:val="en-US" w:eastAsia="en-US" w:bidi="ar-SA"/>
              </w:rPr>
              <w:t>表面流</w:t>
            </w:r>
            <w:r>
              <w:rPr>
                <w:rFonts w:hint="default" w:ascii="Times New Roman" w:hAnsi="Times New Roman" w:eastAsia="宋体" w:cs="Times New Roman"/>
                <w:snapToGrid w:val="0"/>
                <w:color w:val="000000"/>
                <w:spacing w:val="-4"/>
                <w:kern w:val="0"/>
                <w:sz w:val="24"/>
                <w:szCs w:val="24"/>
                <w:lang w:val="en-US" w:eastAsia="en-US" w:bidi="ar-SA"/>
              </w:rPr>
              <w:t>+</w:t>
            </w:r>
            <w:r>
              <w:rPr>
                <w:rFonts w:hint="default" w:ascii="Times New Roman" w:hAnsi="Times New Roman" w:eastAsia="宋体" w:cs="宋体"/>
                <w:snapToGrid w:val="0"/>
                <w:color w:val="000000"/>
                <w:spacing w:val="-4"/>
                <w:kern w:val="0"/>
                <w:sz w:val="24"/>
                <w:szCs w:val="24"/>
                <w:lang w:val="en-US" w:eastAsia="en-US" w:bidi="ar-SA"/>
              </w:rPr>
              <w:t>垂直流人工湿地</w:t>
            </w:r>
            <w:r>
              <w:rPr>
                <w:rFonts w:hint="default" w:ascii="Times New Roman" w:hAnsi="Times New Roman" w:eastAsia="宋体" w:cs="Times New Roman"/>
                <w:snapToGrid w:val="0"/>
                <w:color w:val="000000"/>
                <w:spacing w:val="-4"/>
                <w:kern w:val="0"/>
                <w:sz w:val="24"/>
                <w:szCs w:val="24"/>
                <w:lang w:val="en-US" w:eastAsia="en-US" w:bidi="ar-SA"/>
              </w:rPr>
              <w:t>”</w:t>
            </w:r>
            <w:r>
              <w:rPr>
                <w:rFonts w:hint="default" w:ascii="Times New Roman" w:hAnsi="Times New Roman" w:eastAsia="宋体" w:cs="宋体"/>
                <w:snapToGrid w:val="0"/>
                <w:color w:val="000000"/>
                <w:spacing w:val="-4"/>
                <w:kern w:val="0"/>
                <w:sz w:val="24"/>
                <w:szCs w:val="24"/>
                <w:lang w:val="en-US" w:eastAsia="en-US" w:bidi="ar-SA"/>
              </w:rPr>
              <w:t>，配套</w:t>
            </w:r>
            <w:r>
              <w:rPr>
                <w:rFonts w:hint="default" w:ascii="Times New Roman" w:hAnsi="Times New Roman" w:eastAsia="宋体" w:cs="宋体"/>
                <w:snapToGrid w:val="0"/>
                <w:color w:val="000000"/>
                <w:spacing w:val="-1"/>
                <w:kern w:val="0"/>
                <w:sz w:val="24"/>
                <w:szCs w:val="24"/>
                <w:lang w:val="en-US" w:eastAsia="en-US" w:bidi="ar-SA"/>
              </w:rPr>
              <w:t>尾水排放管约</w:t>
            </w:r>
            <w:r>
              <w:rPr>
                <w:rFonts w:hint="default" w:ascii="Times New Roman" w:hAnsi="Times New Roman" w:eastAsia="宋体" w:cs="Times New Roman"/>
                <w:snapToGrid w:val="0"/>
                <w:color w:val="000000"/>
                <w:spacing w:val="-1"/>
                <w:kern w:val="0"/>
                <w:sz w:val="24"/>
                <w:szCs w:val="24"/>
                <w:lang w:val="en-US" w:eastAsia="en-US" w:bidi="ar-SA"/>
              </w:rPr>
              <w:t>5.5km</w:t>
            </w:r>
            <w:r>
              <w:rPr>
                <w:rFonts w:hint="default" w:ascii="Times New Roman" w:hAnsi="Times New Roman" w:eastAsia="宋体" w:cs="宋体"/>
                <w:snapToGrid w:val="0"/>
                <w:color w:val="000000"/>
                <w:spacing w:val="-1"/>
                <w:kern w:val="0"/>
                <w:sz w:val="24"/>
                <w:szCs w:val="24"/>
                <w:lang w:val="en-US" w:eastAsia="en-US" w:bidi="ar-SA"/>
              </w:rPr>
              <w:t>，污水处理工艺和一期项目相同；污水处理厂尾水达标后进入</w:t>
            </w:r>
            <w:r>
              <w:rPr>
                <w:rFonts w:hint="default" w:ascii="Times New Roman" w:hAnsi="Times New Roman" w:eastAsia="宋体" w:cs="宋体"/>
                <w:snapToGrid w:val="0"/>
                <w:color w:val="000000"/>
                <w:kern w:val="0"/>
                <w:sz w:val="24"/>
                <w:szCs w:val="24"/>
                <w:lang w:val="en-US" w:eastAsia="en-US" w:bidi="ar-SA"/>
              </w:rPr>
              <w:t>人工湿地进一步处理后进入新开河，最终排入</w:t>
            </w:r>
            <w:r>
              <w:rPr>
                <w:rFonts w:hint="default" w:ascii="Times New Roman" w:hAnsi="Times New Roman" w:eastAsia="宋体" w:cs="宋体"/>
                <w:snapToGrid w:val="0"/>
                <w:color w:val="000000"/>
                <w:spacing w:val="-1"/>
                <w:kern w:val="0"/>
                <w:sz w:val="24"/>
                <w:szCs w:val="24"/>
                <w:lang w:val="en-US" w:eastAsia="en-US" w:bidi="ar-SA"/>
              </w:rPr>
              <w:t>淮河。</w:t>
            </w:r>
          </w:p>
          <w:p w14:paraId="4941297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109" w:right="0" w:firstLine="472" w:firstLineChars="200"/>
              <w:jc w:val="both"/>
              <w:textAlignment w:val="baseline"/>
              <w:rPr>
                <w:rFonts w:hint="default" w:ascii="Times New Roman" w:hAnsi="Times New Roman" w:eastAsia="宋体" w:cs="宋体"/>
                <w:snapToGrid w:val="0"/>
                <w:color w:val="000000"/>
                <w:kern w:val="0"/>
                <w:sz w:val="24"/>
                <w:szCs w:val="24"/>
                <w:lang w:eastAsia="en-US"/>
              </w:rPr>
            </w:pPr>
            <w:r>
              <w:rPr>
                <w:rFonts w:hint="default" w:ascii="Times New Roman" w:hAnsi="Times New Roman" w:eastAsia="宋体" w:cs="宋体"/>
                <w:snapToGrid w:val="0"/>
                <w:color w:val="000000"/>
                <w:spacing w:val="-2"/>
                <w:kern w:val="0"/>
                <w:sz w:val="24"/>
                <w:szCs w:val="24"/>
                <w:lang w:val="en-US" w:eastAsia="en-US" w:bidi="ar-SA"/>
              </w:rPr>
              <w:t>本项目地处五</w:t>
            </w:r>
            <w:r>
              <w:rPr>
                <w:rFonts w:hint="eastAsia" w:cs="宋体"/>
                <w:snapToGrid w:val="0"/>
                <w:color w:val="000000"/>
                <w:spacing w:val="-2"/>
                <w:kern w:val="0"/>
                <w:sz w:val="24"/>
                <w:szCs w:val="24"/>
                <w:lang w:val="en-US" w:eastAsia="zh-CN" w:bidi="ar-SA"/>
              </w:rPr>
              <w:t>河县</w:t>
            </w:r>
            <w:r>
              <w:rPr>
                <w:rFonts w:hint="default" w:ascii="Times New Roman" w:hAnsi="Times New Roman" w:eastAsia="宋体" w:cs="宋体"/>
                <w:snapToGrid w:val="0"/>
                <w:color w:val="000000"/>
                <w:spacing w:val="-2"/>
                <w:kern w:val="0"/>
                <w:sz w:val="24"/>
                <w:szCs w:val="24"/>
                <w:lang w:val="en-US" w:eastAsia="en-US" w:bidi="ar-SA"/>
              </w:rPr>
              <w:t>经济开发区</w:t>
            </w:r>
            <w:r>
              <w:rPr>
                <w:rFonts w:hint="eastAsia" w:cs="Times New Roman"/>
                <w:color w:val="auto"/>
                <w:highlight w:val="none"/>
                <w:lang w:eastAsia="zh-CN"/>
              </w:rPr>
              <w:t>彩虹大道与兴潼路交口西80米</w:t>
            </w:r>
            <w:r>
              <w:rPr>
                <w:rFonts w:hint="default" w:ascii="Times New Roman" w:hAnsi="Times New Roman" w:eastAsia="宋体" w:cs="宋体"/>
                <w:snapToGrid w:val="0"/>
                <w:color w:val="000000"/>
                <w:spacing w:val="-2"/>
                <w:kern w:val="0"/>
                <w:sz w:val="24"/>
                <w:szCs w:val="24"/>
                <w:lang w:val="en-US" w:eastAsia="en-US" w:bidi="ar-SA"/>
              </w:rPr>
              <w:t>，属五河县经济</w:t>
            </w:r>
            <w:r>
              <w:rPr>
                <w:rFonts w:hint="default" w:ascii="Times New Roman" w:hAnsi="Times New Roman" w:eastAsia="宋体" w:cs="宋体"/>
                <w:snapToGrid w:val="0"/>
                <w:color w:val="000000"/>
                <w:spacing w:val="-1"/>
                <w:kern w:val="0"/>
                <w:sz w:val="24"/>
                <w:szCs w:val="24"/>
                <w:lang w:eastAsia="en-US"/>
              </w:rPr>
              <w:t>开发区污水处理厂收水范围。外排废水水量不超过</w:t>
            </w:r>
            <w:r>
              <w:rPr>
                <w:rFonts w:hint="eastAsia" w:cs="宋体"/>
                <w:snapToGrid w:val="0"/>
                <w:color w:val="000000"/>
                <w:spacing w:val="-1"/>
                <w:kern w:val="0"/>
                <w:sz w:val="24"/>
                <w:szCs w:val="24"/>
                <w:lang w:val="en-US" w:eastAsia="zh-CN"/>
              </w:rPr>
              <w:t>84.27</w:t>
            </w:r>
            <w:r>
              <w:rPr>
                <w:rFonts w:hint="default" w:ascii="Times New Roman" w:hAnsi="Times New Roman" w:eastAsia="宋体" w:cs="Times New Roman"/>
                <w:snapToGrid w:val="0"/>
                <w:color w:val="000000"/>
                <w:spacing w:val="-1"/>
                <w:kern w:val="0"/>
                <w:sz w:val="24"/>
                <w:szCs w:val="24"/>
                <w:lang w:eastAsia="en-US"/>
              </w:rPr>
              <w:t>m</w:t>
            </w:r>
            <w:r>
              <w:rPr>
                <w:rFonts w:hint="default" w:ascii="Times New Roman" w:hAnsi="Times New Roman" w:eastAsia="宋体" w:cs="Times New Roman"/>
                <w:snapToGrid w:val="0"/>
                <w:color w:val="000000"/>
                <w:spacing w:val="-1"/>
                <w:kern w:val="0"/>
                <w:position w:val="8"/>
                <w:sz w:val="15"/>
                <w:szCs w:val="24"/>
                <w:lang w:eastAsia="en-US"/>
              </w:rPr>
              <w:t>3</w:t>
            </w:r>
            <w:r>
              <w:rPr>
                <w:rFonts w:hint="default" w:ascii="Times New Roman" w:hAnsi="Times New Roman" w:eastAsia="宋体" w:cs="Times New Roman"/>
                <w:snapToGrid w:val="0"/>
                <w:color w:val="000000"/>
                <w:spacing w:val="-1"/>
                <w:kern w:val="0"/>
                <w:sz w:val="24"/>
                <w:szCs w:val="24"/>
                <w:lang w:eastAsia="en-US"/>
              </w:rPr>
              <w:t>/d</w:t>
            </w:r>
            <w:r>
              <w:rPr>
                <w:rFonts w:hint="default" w:ascii="Times New Roman" w:hAnsi="Times New Roman" w:eastAsia="宋体" w:cs="宋体"/>
                <w:snapToGrid w:val="0"/>
                <w:color w:val="000000"/>
                <w:spacing w:val="-1"/>
                <w:kern w:val="0"/>
                <w:sz w:val="24"/>
                <w:szCs w:val="24"/>
                <w:lang w:eastAsia="en-US"/>
              </w:rPr>
              <w:t>，约占五河县经济开发区污水处理厂一期项目规模</w:t>
            </w:r>
            <w:r>
              <w:rPr>
                <w:rFonts w:hint="default" w:ascii="Times New Roman" w:hAnsi="Times New Roman" w:eastAsia="宋体" w:cs="Times New Roman"/>
                <w:snapToGrid w:val="0"/>
                <w:color w:val="000000"/>
                <w:spacing w:val="-1"/>
                <w:kern w:val="0"/>
                <w:sz w:val="24"/>
                <w:szCs w:val="24"/>
                <w:lang w:eastAsia="en-US"/>
              </w:rPr>
              <w:t>2.0</w:t>
            </w:r>
            <w:r>
              <w:rPr>
                <w:rFonts w:hint="default" w:ascii="Times New Roman" w:hAnsi="Times New Roman" w:eastAsia="宋体" w:cs="宋体"/>
                <w:snapToGrid w:val="0"/>
                <w:color w:val="000000"/>
                <w:spacing w:val="-1"/>
                <w:kern w:val="0"/>
                <w:sz w:val="24"/>
                <w:szCs w:val="24"/>
                <w:lang w:eastAsia="en-US"/>
              </w:rPr>
              <w:t>万</w:t>
            </w:r>
            <w:r>
              <w:rPr>
                <w:rFonts w:hint="default" w:ascii="Times New Roman" w:hAnsi="Times New Roman" w:eastAsia="宋体" w:cs="Times New Roman"/>
                <w:snapToGrid w:val="0"/>
                <w:color w:val="000000"/>
                <w:spacing w:val="-1"/>
                <w:kern w:val="0"/>
                <w:sz w:val="24"/>
                <w:szCs w:val="24"/>
                <w:lang w:eastAsia="en-US"/>
              </w:rPr>
              <w:t>m</w:t>
            </w:r>
            <w:r>
              <w:rPr>
                <w:rFonts w:hint="default" w:ascii="Times New Roman" w:hAnsi="Times New Roman" w:eastAsia="宋体" w:cs="Times New Roman"/>
                <w:snapToGrid w:val="0"/>
                <w:color w:val="000000"/>
                <w:spacing w:val="-1"/>
                <w:kern w:val="0"/>
                <w:position w:val="8"/>
                <w:sz w:val="15"/>
                <w:szCs w:val="24"/>
                <w:lang w:eastAsia="en-US"/>
              </w:rPr>
              <w:t>3</w:t>
            </w:r>
            <w:r>
              <w:rPr>
                <w:rFonts w:hint="default" w:ascii="Times New Roman" w:hAnsi="Times New Roman" w:eastAsia="宋体" w:cs="Times New Roman"/>
                <w:snapToGrid w:val="0"/>
                <w:color w:val="000000"/>
                <w:spacing w:val="-1"/>
                <w:kern w:val="0"/>
                <w:sz w:val="24"/>
                <w:szCs w:val="24"/>
                <w:lang w:eastAsia="en-US"/>
              </w:rPr>
              <w:t>/d</w:t>
            </w:r>
            <w:r>
              <w:rPr>
                <w:rFonts w:hint="default" w:ascii="Times New Roman" w:hAnsi="Times New Roman" w:eastAsia="宋体" w:cs="宋体"/>
                <w:snapToGrid w:val="0"/>
                <w:color w:val="000000"/>
                <w:spacing w:val="-1"/>
                <w:kern w:val="0"/>
                <w:sz w:val="24"/>
                <w:szCs w:val="24"/>
                <w:lang w:eastAsia="en-US"/>
              </w:rPr>
              <w:t>的</w:t>
            </w:r>
            <w:r>
              <w:rPr>
                <w:rFonts w:hint="eastAsia" w:ascii="Times New Roman" w:hAnsi="Times New Roman" w:eastAsia="宋体" w:cs="Times New Roman"/>
                <w:snapToGrid w:val="0"/>
                <w:color w:val="000000"/>
                <w:spacing w:val="-1"/>
                <w:kern w:val="0"/>
                <w:sz w:val="24"/>
                <w:szCs w:val="24"/>
                <w:lang w:val="en-US" w:eastAsia="zh-CN"/>
              </w:rPr>
              <w:t>0.</w:t>
            </w:r>
            <w:r>
              <w:rPr>
                <w:rFonts w:hint="eastAsia" w:cs="Times New Roman"/>
                <w:snapToGrid w:val="0"/>
                <w:color w:val="000000"/>
                <w:spacing w:val="-1"/>
                <w:kern w:val="0"/>
                <w:sz w:val="24"/>
                <w:szCs w:val="24"/>
                <w:lang w:val="en-US" w:eastAsia="zh-CN"/>
              </w:rPr>
              <w:t>42</w:t>
            </w:r>
            <w:r>
              <w:rPr>
                <w:rFonts w:hint="default" w:ascii="Times New Roman" w:hAnsi="Times New Roman" w:eastAsia="宋体" w:cs="Times New Roman"/>
                <w:snapToGrid w:val="0"/>
                <w:color w:val="000000"/>
                <w:spacing w:val="-1"/>
                <w:kern w:val="0"/>
                <w:sz w:val="24"/>
                <w:szCs w:val="24"/>
                <w:lang w:eastAsia="en-US"/>
              </w:rPr>
              <w:t>%</w:t>
            </w:r>
            <w:r>
              <w:rPr>
                <w:rFonts w:hint="default" w:ascii="Times New Roman" w:hAnsi="Times New Roman" w:eastAsia="宋体" w:cs="宋体"/>
                <w:snapToGrid w:val="0"/>
                <w:color w:val="000000"/>
                <w:spacing w:val="-1"/>
                <w:kern w:val="0"/>
                <w:sz w:val="24"/>
                <w:szCs w:val="24"/>
                <w:lang w:eastAsia="en-US"/>
              </w:rPr>
              <w:t>，</w:t>
            </w:r>
            <w:r>
              <w:rPr>
                <w:rFonts w:hint="default" w:ascii="Times New Roman" w:hAnsi="Times New Roman" w:eastAsia="宋体" w:cs="宋体"/>
                <w:snapToGrid w:val="0"/>
                <w:color w:val="000000"/>
                <w:spacing w:val="-2"/>
                <w:kern w:val="0"/>
                <w:sz w:val="24"/>
                <w:szCs w:val="24"/>
                <w:lang w:eastAsia="en-US"/>
              </w:rPr>
              <w:t>因此，从管道建</w:t>
            </w:r>
            <w:r>
              <w:rPr>
                <w:rFonts w:hint="default" w:ascii="Times New Roman" w:hAnsi="Times New Roman" w:eastAsia="宋体" w:cs="宋体"/>
                <w:snapToGrid w:val="0"/>
                <w:color w:val="000000"/>
                <w:spacing w:val="-1"/>
                <w:kern w:val="0"/>
                <w:sz w:val="24"/>
                <w:szCs w:val="24"/>
                <w:lang w:eastAsia="en-US"/>
              </w:rPr>
              <w:t>设配套以及水量分析污水接管是可行的。</w:t>
            </w:r>
          </w:p>
          <w:p w14:paraId="349F5A3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107" w:right="0" w:firstLine="504" w:firstLineChars="200"/>
              <w:jc w:val="both"/>
              <w:textAlignment w:val="baseline"/>
              <w:rPr>
                <w:rFonts w:hint="default" w:ascii="Times New Roman" w:hAnsi="Times New Roman" w:eastAsia="宋体" w:cs="宋体"/>
                <w:snapToGrid w:val="0"/>
                <w:color w:val="000000"/>
                <w:kern w:val="0"/>
                <w:sz w:val="24"/>
                <w:szCs w:val="24"/>
                <w:lang w:val="en-US" w:eastAsia="en-US" w:bidi="ar-SA"/>
              </w:rPr>
            </w:pPr>
            <w:r>
              <w:rPr>
                <w:rFonts w:hint="default" w:ascii="Times New Roman" w:hAnsi="Times New Roman" w:eastAsia="宋体" w:cs="宋体"/>
                <w:snapToGrid w:val="0"/>
                <w:color w:val="000000"/>
                <w:spacing w:val="6"/>
                <w:kern w:val="0"/>
                <w:sz w:val="24"/>
                <w:szCs w:val="24"/>
                <w:lang w:val="en-US" w:eastAsia="en-US" w:bidi="ar-SA"/>
              </w:rPr>
              <w:t>本项目排放的废水主要污染物浓度满足五河县经济</w:t>
            </w:r>
            <w:r>
              <w:rPr>
                <w:rFonts w:hint="default" w:ascii="Times New Roman" w:hAnsi="Times New Roman" w:eastAsia="宋体" w:cs="宋体"/>
                <w:snapToGrid w:val="0"/>
                <w:color w:val="000000"/>
                <w:spacing w:val="5"/>
                <w:kern w:val="0"/>
                <w:sz w:val="24"/>
                <w:szCs w:val="24"/>
                <w:lang w:val="en-US" w:eastAsia="en-US" w:bidi="ar-SA"/>
              </w:rPr>
              <w:t>开发区污水处理厂接管限</w:t>
            </w:r>
            <w:r>
              <w:rPr>
                <w:rFonts w:hint="default" w:ascii="Times New Roman" w:hAnsi="Times New Roman" w:eastAsia="宋体" w:cs="宋体"/>
                <w:snapToGrid w:val="0"/>
                <w:color w:val="000000"/>
                <w:spacing w:val="-1"/>
                <w:kern w:val="0"/>
                <w:sz w:val="24"/>
                <w:szCs w:val="24"/>
                <w:lang w:val="en-US" w:eastAsia="en-US" w:bidi="ar-SA"/>
              </w:rPr>
              <w:t>值，通过市政污水管网进入五河县经济开发区污</w:t>
            </w:r>
            <w:r>
              <w:rPr>
                <w:rFonts w:hint="default" w:ascii="Times New Roman" w:hAnsi="Times New Roman" w:eastAsia="宋体" w:cs="宋体"/>
                <w:snapToGrid w:val="0"/>
                <w:color w:val="000000"/>
                <w:spacing w:val="-2"/>
                <w:kern w:val="0"/>
                <w:sz w:val="24"/>
                <w:szCs w:val="24"/>
                <w:lang w:val="en-US" w:eastAsia="en-US" w:bidi="ar-SA"/>
              </w:rPr>
              <w:t>水处理厂进行处理，出水污染物排</w:t>
            </w:r>
            <w:r>
              <w:rPr>
                <w:rFonts w:hint="default" w:ascii="Times New Roman" w:hAnsi="Times New Roman" w:eastAsia="宋体" w:cs="宋体"/>
                <w:snapToGrid w:val="0"/>
                <w:color w:val="000000"/>
                <w:spacing w:val="3"/>
                <w:kern w:val="0"/>
                <w:sz w:val="24"/>
                <w:szCs w:val="24"/>
                <w:lang w:val="en-US" w:eastAsia="en-US" w:bidi="ar-SA"/>
              </w:rPr>
              <w:t>放指标执行《城镇污水处理厂污染物排放标准》（</w:t>
            </w:r>
            <w:r>
              <w:rPr>
                <w:rFonts w:hint="default" w:ascii="Times New Roman" w:hAnsi="Times New Roman" w:eastAsia="宋体" w:cs="Times New Roman"/>
                <w:snapToGrid w:val="0"/>
                <w:color w:val="000000"/>
                <w:kern w:val="0"/>
                <w:sz w:val="24"/>
                <w:szCs w:val="24"/>
                <w:lang w:val="en-US" w:eastAsia="en-US" w:bidi="ar-SA"/>
              </w:rPr>
              <w:t>GB</w:t>
            </w:r>
            <w:r>
              <w:rPr>
                <w:rFonts w:hint="default" w:ascii="Times New Roman" w:hAnsi="Times New Roman" w:eastAsia="宋体" w:cs="Times New Roman"/>
                <w:snapToGrid w:val="0"/>
                <w:color w:val="000000"/>
                <w:spacing w:val="3"/>
                <w:kern w:val="0"/>
                <w:sz w:val="24"/>
                <w:szCs w:val="24"/>
                <w:lang w:val="en-US" w:eastAsia="en-US" w:bidi="ar-SA"/>
              </w:rPr>
              <w:t>18918-2002</w:t>
            </w:r>
            <w:r>
              <w:rPr>
                <w:rFonts w:hint="default" w:ascii="Times New Roman" w:hAnsi="Times New Roman" w:eastAsia="宋体" w:cs="宋体"/>
                <w:snapToGrid w:val="0"/>
                <w:color w:val="000000"/>
                <w:spacing w:val="3"/>
                <w:kern w:val="0"/>
                <w:sz w:val="24"/>
                <w:szCs w:val="24"/>
                <w:lang w:val="en-US" w:eastAsia="en-US" w:bidi="ar-SA"/>
              </w:rPr>
              <w:t>）一级标准中</w:t>
            </w:r>
            <w:r>
              <w:rPr>
                <w:rFonts w:hint="default" w:ascii="Times New Roman" w:hAnsi="Times New Roman" w:eastAsia="宋体" w:cs="Times New Roman"/>
                <w:snapToGrid w:val="0"/>
                <w:color w:val="000000"/>
                <w:spacing w:val="3"/>
                <w:kern w:val="0"/>
                <w:sz w:val="24"/>
                <w:szCs w:val="24"/>
                <w:lang w:val="en-US" w:eastAsia="en-US" w:bidi="ar-SA"/>
              </w:rPr>
              <w:t>A</w:t>
            </w:r>
            <w:r>
              <w:rPr>
                <w:rFonts w:hint="default" w:ascii="Times New Roman" w:hAnsi="Times New Roman" w:eastAsia="宋体" w:cs="宋体"/>
                <w:snapToGrid w:val="0"/>
                <w:color w:val="000000"/>
                <w:spacing w:val="-1"/>
                <w:kern w:val="0"/>
                <w:sz w:val="24"/>
                <w:szCs w:val="24"/>
                <w:lang w:val="en-US" w:eastAsia="en-US" w:bidi="ar-SA"/>
              </w:rPr>
              <w:t>标准和《安徽省淮河流域城镇污水处理厂和</w:t>
            </w:r>
            <w:r>
              <w:rPr>
                <w:rFonts w:hint="default" w:ascii="Times New Roman" w:hAnsi="Times New Roman" w:eastAsia="宋体" w:cs="宋体"/>
                <w:snapToGrid w:val="0"/>
                <w:color w:val="000000"/>
                <w:spacing w:val="-2"/>
                <w:kern w:val="0"/>
                <w:sz w:val="24"/>
                <w:szCs w:val="24"/>
                <w:lang w:val="en-US" w:eastAsia="en-US" w:bidi="ar-SA"/>
              </w:rPr>
              <w:t>工业行业主要水污染物排放标准》（征</w:t>
            </w:r>
            <w:r>
              <w:rPr>
                <w:rFonts w:hint="default" w:ascii="Times New Roman" w:hAnsi="Times New Roman" w:eastAsia="宋体" w:cs="宋体"/>
                <w:snapToGrid w:val="0"/>
                <w:color w:val="000000"/>
                <w:spacing w:val="3"/>
                <w:kern w:val="0"/>
                <w:sz w:val="24"/>
                <w:szCs w:val="24"/>
                <w:lang w:val="en-US" w:eastAsia="en-US" w:bidi="ar-SA"/>
              </w:rPr>
              <w:t>求意见稿）中城镇污水处理厂</w:t>
            </w:r>
            <w:r>
              <w:rPr>
                <w:rFonts w:hint="default" w:ascii="Times New Roman" w:hAnsi="Times New Roman" w:eastAsia="宋体" w:cs="Times New Roman"/>
                <w:snapToGrid w:val="0"/>
                <w:color w:val="000000"/>
                <w:spacing w:val="3"/>
                <w:kern w:val="0"/>
                <w:sz w:val="24"/>
                <w:szCs w:val="24"/>
                <w:lang w:val="en-US" w:eastAsia="en-US" w:bidi="ar-SA"/>
              </w:rPr>
              <w:t>Ⅰ</w:t>
            </w:r>
            <w:r>
              <w:rPr>
                <w:rFonts w:hint="default" w:ascii="Times New Roman" w:hAnsi="Times New Roman" w:eastAsia="宋体" w:cs="宋体"/>
                <w:snapToGrid w:val="0"/>
                <w:color w:val="000000"/>
                <w:spacing w:val="3"/>
                <w:kern w:val="0"/>
                <w:sz w:val="24"/>
                <w:szCs w:val="24"/>
                <w:lang w:val="en-US" w:eastAsia="en-US" w:bidi="ar-SA"/>
              </w:rPr>
              <w:t>需执行的水质排放标准要求，尾水最终进行淮河，</w:t>
            </w:r>
            <w:r>
              <w:rPr>
                <w:rFonts w:hint="default" w:ascii="Times New Roman" w:hAnsi="Times New Roman" w:eastAsia="宋体" w:cs="宋体"/>
                <w:snapToGrid w:val="0"/>
                <w:color w:val="000000"/>
                <w:spacing w:val="-1"/>
                <w:kern w:val="0"/>
                <w:sz w:val="24"/>
                <w:szCs w:val="24"/>
                <w:lang w:val="en-US" w:eastAsia="en-US" w:bidi="ar-SA"/>
              </w:rPr>
              <w:t>对地表水的影响可以接受。</w:t>
            </w:r>
          </w:p>
          <w:p w14:paraId="7812E62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128" w:right="0" w:firstLine="472" w:firstLineChars="200"/>
              <w:jc w:val="left"/>
              <w:textAlignment w:val="baseline"/>
              <w:rPr>
                <w:rFonts w:hint="default" w:ascii="Times New Roman" w:hAnsi="Times New Roman" w:eastAsia="宋体" w:cs="宋体"/>
                <w:snapToGrid w:val="0"/>
                <w:color w:val="000000"/>
                <w:kern w:val="0"/>
                <w:sz w:val="24"/>
                <w:szCs w:val="24"/>
                <w:lang w:val="en-US" w:eastAsia="en-US" w:bidi="ar-SA"/>
              </w:rPr>
            </w:pPr>
            <w:r>
              <w:rPr>
                <w:rFonts w:hint="default" w:ascii="Times New Roman" w:hAnsi="Times New Roman" w:eastAsia="宋体" w:cs="宋体"/>
                <w:snapToGrid w:val="0"/>
                <w:color w:val="000000"/>
                <w:spacing w:val="-2"/>
                <w:kern w:val="0"/>
                <w:sz w:val="24"/>
                <w:szCs w:val="24"/>
                <w:lang w:val="en-US" w:eastAsia="en-US" w:bidi="ar-SA"/>
              </w:rPr>
              <w:t>因此，本项目外排废水接管进入五河县经济开发区污水处理厂进行处理是</w:t>
            </w:r>
            <w:r>
              <w:rPr>
                <w:rFonts w:hint="default" w:ascii="Times New Roman" w:hAnsi="Times New Roman" w:eastAsia="宋体" w:cs="宋体"/>
                <w:snapToGrid w:val="0"/>
                <w:color w:val="000000"/>
                <w:spacing w:val="-3"/>
                <w:kern w:val="0"/>
                <w:sz w:val="24"/>
                <w:szCs w:val="24"/>
                <w:lang w:val="en-US" w:eastAsia="en-US" w:bidi="ar-SA"/>
              </w:rPr>
              <w:t>可行</w:t>
            </w:r>
            <w:r>
              <w:rPr>
                <w:rFonts w:hint="default" w:ascii="Times New Roman" w:hAnsi="Times New Roman" w:eastAsia="宋体" w:cs="宋体"/>
                <w:snapToGrid w:val="0"/>
                <w:color w:val="000000"/>
                <w:spacing w:val="-15"/>
                <w:kern w:val="0"/>
                <w:sz w:val="24"/>
                <w:szCs w:val="24"/>
                <w:lang w:val="en-US" w:eastAsia="en-US" w:bidi="ar-SA"/>
              </w:rPr>
              <w:t>的。</w:t>
            </w:r>
          </w:p>
          <w:p w14:paraId="5F0F364E">
            <w:pPr>
              <w:pStyle w:val="13"/>
              <w:keepNext w:val="0"/>
              <w:keepLines w:val="0"/>
              <w:pageBreakBefore w:val="0"/>
              <w:suppressLineNumbers w:val="0"/>
              <w:tabs>
                <w:tab w:val="left" w:pos="180"/>
              </w:tabs>
              <w:kinsoku/>
              <w:wordWrap/>
              <w:overflowPunct/>
              <w:bidi w:val="0"/>
              <w:adjustRightInd w:val="0"/>
              <w:snapToGrid w:val="0"/>
              <w:spacing w:before="0" w:beforeAutospacing="0" w:after="0" w:afterAutospacing="0" w:line="360" w:lineRule="auto"/>
              <w:ind w:left="0" w:leftChars="0" w:right="0" w:firstLine="466" w:firstLineChars="200"/>
              <w:jc w:val="left"/>
              <w:textAlignment w:val="auto"/>
              <w:rPr>
                <w:rFonts w:hint="default"/>
                <w:b/>
                <w:bCs/>
                <w:spacing w:val="-4"/>
              </w:rPr>
            </w:pPr>
            <w:r>
              <w:rPr>
                <w:rFonts w:hint="eastAsia"/>
                <w:b/>
                <w:bCs/>
                <w:spacing w:val="-4"/>
                <w:lang w:val="en-US" w:eastAsia="zh-CN"/>
              </w:rPr>
              <w:t>4、</w:t>
            </w:r>
            <w:r>
              <w:rPr>
                <w:rFonts w:hint="default"/>
                <w:b/>
                <w:bCs/>
                <w:spacing w:val="-4"/>
              </w:rPr>
              <w:t>废水污染防治措施及其可行性分析</w:t>
            </w:r>
          </w:p>
          <w:p w14:paraId="73458B5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109" w:right="0" w:firstLine="476" w:firstLineChars="200"/>
              <w:jc w:val="both"/>
              <w:textAlignment w:val="baseline"/>
              <w:rPr>
                <w:rFonts w:hint="default" w:ascii="Times New Roman" w:hAnsi="Times New Roman" w:eastAsia="宋体" w:cs="宋体"/>
                <w:snapToGrid w:val="0"/>
                <w:color w:val="000000"/>
                <w:spacing w:val="-1"/>
                <w:kern w:val="0"/>
                <w:sz w:val="24"/>
                <w:szCs w:val="24"/>
                <w:lang w:val="en-US" w:eastAsia="en-US"/>
              </w:rPr>
            </w:pPr>
            <w:r>
              <w:rPr>
                <w:rFonts w:hint="default" w:ascii="Times New Roman" w:hAnsi="Times New Roman" w:eastAsia="宋体" w:cs="宋体"/>
                <w:snapToGrid w:val="0"/>
                <w:color w:val="000000"/>
                <w:spacing w:val="-1"/>
                <w:kern w:val="0"/>
                <w:sz w:val="24"/>
                <w:szCs w:val="24"/>
                <w:lang w:val="en-US" w:eastAsia="en-US"/>
              </w:rPr>
              <w:t>本项目生产废水主要采用“</w:t>
            </w:r>
            <w:r>
              <w:rPr>
                <w:rFonts w:hint="eastAsia" w:cs="宋体"/>
                <w:snapToGrid w:val="0"/>
                <w:color w:val="000000"/>
                <w:spacing w:val="-1"/>
                <w:kern w:val="0"/>
                <w:sz w:val="24"/>
                <w:szCs w:val="24"/>
                <w:lang w:val="en-US" w:eastAsia="zh-CN"/>
              </w:rPr>
              <w:t>隔油+气浮+好氧生化+二级沉淀+过滤</w:t>
            </w:r>
            <w:r>
              <w:rPr>
                <w:rFonts w:hint="default" w:ascii="Times New Roman" w:hAnsi="Times New Roman" w:eastAsia="宋体" w:cs="宋体"/>
                <w:snapToGrid w:val="0"/>
                <w:color w:val="000000"/>
                <w:spacing w:val="-1"/>
                <w:kern w:val="0"/>
                <w:sz w:val="24"/>
                <w:szCs w:val="24"/>
                <w:lang w:val="en-US" w:eastAsia="en-US"/>
              </w:rPr>
              <w:t>”处理工艺，各生产工序产生的废水统一引入厂区内污水处理站进行处理，首先经机械格栅截除大颗粒悬浮杂质后自流进入隔油</w:t>
            </w:r>
            <w:r>
              <w:rPr>
                <w:rFonts w:hint="eastAsia" w:cs="宋体"/>
                <w:snapToGrid w:val="0"/>
                <w:color w:val="000000"/>
                <w:spacing w:val="-1"/>
                <w:kern w:val="0"/>
                <w:sz w:val="24"/>
                <w:szCs w:val="24"/>
                <w:lang w:val="en-US" w:eastAsia="zh-CN"/>
              </w:rPr>
              <w:t>调节池</w:t>
            </w:r>
            <w:r>
              <w:rPr>
                <w:rFonts w:hint="default" w:ascii="Times New Roman" w:hAnsi="Times New Roman" w:eastAsia="宋体" w:cs="宋体"/>
                <w:snapToGrid w:val="0"/>
                <w:color w:val="000000"/>
                <w:spacing w:val="-1"/>
                <w:kern w:val="0"/>
                <w:sz w:val="24"/>
                <w:szCs w:val="24"/>
                <w:lang w:val="en-US" w:eastAsia="en-US"/>
              </w:rPr>
              <w:t>，经加隔油、加药混凝聚合反应、浮选分离后的废水由提升泵进入好氧生化系统进行降解，出水经配水系统加药后进入二沉池、过滤器后，进入清水池，清水池中的水由自动变频恒压供水装置提升进入管网后供至各生产厂房循环使用。本项目生产废水各处理单元简述如下：</w:t>
            </w:r>
          </w:p>
          <w:p w14:paraId="030A28B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109" w:right="0" w:firstLine="476" w:firstLineChars="200"/>
              <w:jc w:val="both"/>
              <w:textAlignment w:val="baseline"/>
              <w:rPr>
                <w:rFonts w:hint="default" w:ascii="Times New Roman" w:hAnsi="Times New Roman" w:eastAsia="宋体" w:cs="宋体"/>
                <w:snapToGrid w:val="0"/>
                <w:color w:val="000000"/>
                <w:spacing w:val="-1"/>
                <w:kern w:val="0"/>
                <w:sz w:val="24"/>
                <w:szCs w:val="24"/>
                <w:lang w:val="en-US" w:eastAsia="en-US"/>
              </w:rPr>
            </w:pPr>
            <w:r>
              <w:rPr>
                <w:rFonts w:hint="eastAsia" w:cs="宋体"/>
                <w:snapToGrid w:val="0"/>
                <w:color w:val="000000"/>
                <w:spacing w:val="-1"/>
                <w:kern w:val="0"/>
                <w:sz w:val="24"/>
                <w:szCs w:val="24"/>
                <w:lang w:val="en-US" w:eastAsia="zh-CN"/>
              </w:rPr>
              <w:t>a.</w:t>
            </w:r>
            <w:r>
              <w:rPr>
                <w:rFonts w:hint="default" w:ascii="Times New Roman" w:hAnsi="Times New Roman" w:eastAsia="宋体" w:cs="宋体"/>
                <w:snapToGrid w:val="0"/>
                <w:color w:val="000000"/>
                <w:spacing w:val="-1"/>
                <w:kern w:val="0"/>
                <w:sz w:val="24"/>
                <w:szCs w:val="24"/>
                <w:lang w:val="en-US" w:eastAsia="en-US"/>
              </w:rPr>
              <w:t>格栅：除去大颗粒杂质，保障后续设备正常运行。</w:t>
            </w:r>
          </w:p>
          <w:p w14:paraId="70760DE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109" w:right="0" w:firstLine="476" w:firstLineChars="200"/>
              <w:jc w:val="both"/>
              <w:textAlignment w:val="baseline"/>
              <w:rPr>
                <w:rFonts w:hint="default" w:ascii="Times New Roman" w:hAnsi="Times New Roman" w:eastAsia="宋体" w:cs="宋体"/>
                <w:snapToGrid w:val="0"/>
                <w:color w:val="000000"/>
                <w:spacing w:val="-1"/>
                <w:kern w:val="0"/>
                <w:sz w:val="24"/>
                <w:szCs w:val="24"/>
                <w:lang w:val="en-US" w:eastAsia="en-US"/>
              </w:rPr>
            </w:pPr>
            <w:r>
              <w:rPr>
                <w:rFonts w:hint="eastAsia" w:cs="宋体"/>
                <w:snapToGrid w:val="0"/>
                <w:color w:val="000000"/>
                <w:spacing w:val="-1"/>
                <w:kern w:val="0"/>
                <w:sz w:val="24"/>
                <w:szCs w:val="24"/>
                <w:lang w:val="en-US" w:eastAsia="zh-CN"/>
              </w:rPr>
              <w:t>b.</w:t>
            </w:r>
            <w:r>
              <w:rPr>
                <w:rFonts w:hint="default" w:ascii="Times New Roman" w:hAnsi="Times New Roman" w:eastAsia="宋体" w:cs="宋体"/>
                <w:snapToGrid w:val="0"/>
                <w:color w:val="000000"/>
                <w:spacing w:val="-1"/>
                <w:kern w:val="0"/>
                <w:sz w:val="24"/>
                <w:szCs w:val="24"/>
                <w:lang w:val="en-US" w:eastAsia="en-US"/>
              </w:rPr>
              <w:t>隔油调节池、气浮：调节流量，均匀水质后，加药剂混凝聚合反应，浮选分离，去除浮于液面的悬浮性油类杂质。</w:t>
            </w:r>
          </w:p>
          <w:p w14:paraId="2C5AA6E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109" w:right="0" w:firstLine="476" w:firstLineChars="200"/>
              <w:jc w:val="both"/>
              <w:textAlignment w:val="baseline"/>
              <w:rPr>
                <w:rFonts w:hint="default" w:ascii="Times New Roman" w:hAnsi="Times New Roman" w:eastAsia="宋体" w:cs="宋体"/>
                <w:snapToGrid w:val="0"/>
                <w:color w:val="000000"/>
                <w:spacing w:val="-1"/>
                <w:kern w:val="0"/>
                <w:sz w:val="24"/>
                <w:szCs w:val="24"/>
                <w:lang w:val="en-US" w:eastAsia="en-US"/>
              </w:rPr>
            </w:pPr>
            <w:r>
              <w:rPr>
                <w:rFonts w:hint="eastAsia" w:cs="宋体"/>
                <w:snapToGrid w:val="0"/>
                <w:color w:val="000000"/>
                <w:spacing w:val="-1"/>
                <w:kern w:val="0"/>
                <w:sz w:val="24"/>
                <w:szCs w:val="24"/>
                <w:lang w:val="en-US" w:eastAsia="zh-CN"/>
              </w:rPr>
              <w:t>c.</w:t>
            </w:r>
            <w:r>
              <w:rPr>
                <w:rFonts w:hint="default" w:ascii="Times New Roman" w:hAnsi="Times New Roman" w:eastAsia="宋体" w:cs="宋体"/>
                <w:snapToGrid w:val="0"/>
                <w:color w:val="000000"/>
                <w:spacing w:val="-1"/>
                <w:kern w:val="0"/>
                <w:sz w:val="24"/>
                <w:szCs w:val="24"/>
                <w:lang w:val="en-US" w:eastAsia="en-US"/>
              </w:rPr>
              <w:t>好氧生化池：在好氧生化池中，废水中的有机物被微生物分解生成CO</w:t>
            </w:r>
            <w:r>
              <w:rPr>
                <w:rFonts w:hint="default" w:ascii="Times New Roman" w:hAnsi="Times New Roman" w:eastAsia="宋体" w:cs="宋体"/>
                <w:snapToGrid w:val="0"/>
                <w:color w:val="000000"/>
                <w:spacing w:val="-1"/>
                <w:kern w:val="0"/>
                <w:sz w:val="24"/>
                <w:szCs w:val="24"/>
                <w:vertAlign w:val="subscript"/>
                <w:lang w:val="en-US" w:eastAsia="en-US"/>
              </w:rPr>
              <w:t>2</w:t>
            </w:r>
            <w:r>
              <w:rPr>
                <w:rFonts w:hint="default" w:ascii="Times New Roman" w:hAnsi="Times New Roman" w:eastAsia="宋体" w:cs="宋体"/>
                <w:snapToGrid w:val="0"/>
                <w:color w:val="000000"/>
                <w:spacing w:val="-1"/>
                <w:kern w:val="0"/>
                <w:sz w:val="24"/>
                <w:szCs w:val="24"/>
                <w:lang w:val="en-US" w:eastAsia="en-US"/>
              </w:rPr>
              <w:t>、H</w:t>
            </w:r>
            <w:r>
              <w:rPr>
                <w:rFonts w:hint="default" w:ascii="Times New Roman" w:hAnsi="Times New Roman" w:eastAsia="宋体" w:cs="宋体"/>
                <w:snapToGrid w:val="0"/>
                <w:color w:val="000000"/>
                <w:spacing w:val="-1"/>
                <w:kern w:val="0"/>
                <w:sz w:val="24"/>
                <w:szCs w:val="24"/>
                <w:vertAlign w:val="subscript"/>
                <w:lang w:val="en-US" w:eastAsia="en-US"/>
              </w:rPr>
              <w:t>2</w:t>
            </w:r>
            <w:r>
              <w:rPr>
                <w:rFonts w:hint="default" w:ascii="Times New Roman" w:hAnsi="Times New Roman" w:eastAsia="宋体" w:cs="宋体"/>
                <w:snapToGrid w:val="0"/>
                <w:color w:val="000000"/>
                <w:spacing w:val="-1"/>
                <w:kern w:val="0"/>
                <w:sz w:val="24"/>
                <w:szCs w:val="24"/>
                <w:lang w:val="en-US" w:eastAsia="en-US"/>
              </w:rPr>
              <w:t>O和其他无机物，化有害为无害，使废水得到净化，更大程度利用生化工艺，提高池体利用率。</w:t>
            </w:r>
          </w:p>
          <w:p w14:paraId="25043B0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109" w:right="0" w:firstLine="476" w:firstLineChars="200"/>
              <w:jc w:val="both"/>
              <w:textAlignment w:val="baseline"/>
              <w:rPr>
                <w:rFonts w:hint="default" w:ascii="Times New Roman" w:hAnsi="Times New Roman" w:eastAsia="宋体" w:cs="宋体"/>
                <w:snapToGrid w:val="0"/>
                <w:color w:val="000000"/>
                <w:spacing w:val="-1"/>
                <w:kern w:val="0"/>
                <w:sz w:val="24"/>
                <w:szCs w:val="24"/>
                <w:lang w:val="en-US" w:eastAsia="en-US"/>
              </w:rPr>
            </w:pPr>
            <w:r>
              <w:rPr>
                <w:rFonts w:hint="eastAsia" w:cs="宋体"/>
                <w:snapToGrid w:val="0"/>
                <w:color w:val="000000"/>
                <w:spacing w:val="-1"/>
                <w:kern w:val="0"/>
                <w:sz w:val="24"/>
                <w:szCs w:val="24"/>
                <w:lang w:val="en-US" w:eastAsia="zh-CN"/>
              </w:rPr>
              <w:t>d.</w:t>
            </w:r>
            <w:r>
              <w:rPr>
                <w:rFonts w:hint="default" w:ascii="Times New Roman" w:hAnsi="Times New Roman" w:eastAsia="宋体" w:cs="宋体"/>
                <w:snapToGrid w:val="0"/>
                <w:color w:val="000000"/>
                <w:spacing w:val="-1"/>
                <w:kern w:val="0"/>
                <w:sz w:val="24"/>
                <w:szCs w:val="24"/>
                <w:lang w:val="en-US" w:eastAsia="en-US"/>
              </w:rPr>
              <w:t>沉淀池：对生化处理后的废水进行沉淀，去除废水中的悬浮物。</w:t>
            </w:r>
          </w:p>
          <w:p w14:paraId="13DA562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109" w:right="0" w:firstLine="476" w:firstLineChars="200"/>
              <w:jc w:val="both"/>
              <w:textAlignment w:val="baseline"/>
              <w:rPr>
                <w:rFonts w:hint="default" w:ascii="Times New Roman" w:hAnsi="Times New Roman" w:eastAsia="宋体" w:cs="宋体"/>
                <w:snapToGrid w:val="0"/>
                <w:color w:val="000000"/>
                <w:spacing w:val="-1"/>
                <w:kern w:val="0"/>
                <w:sz w:val="24"/>
                <w:szCs w:val="24"/>
                <w:lang w:val="en-US" w:eastAsia="en-US"/>
              </w:rPr>
            </w:pPr>
            <w:r>
              <w:rPr>
                <w:rFonts w:hint="eastAsia" w:cs="宋体"/>
                <w:snapToGrid w:val="0"/>
                <w:color w:val="000000"/>
                <w:spacing w:val="-1"/>
                <w:kern w:val="0"/>
                <w:sz w:val="24"/>
                <w:szCs w:val="24"/>
                <w:lang w:val="en-US" w:eastAsia="zh-CN"/>
              </w:rPr>
              <w:t>e.</w:t>
            </w:r>
            <w:r>
              <w:rPr>
                <w:rFonts w:hint="default" w:ascii="Times New Roman" w:hAnsi="Times New Roman" w:eastAsia="宋体" w:cs="宋体"/>
                <w:snapToGrid w:val="0"/>
                <w:color w:val="000000"/>
                <w:spacing w:val="-1"/>
                <w:kern w:val="0"/>
                <w:sz w:val="24"/>
                <w:szCs w:val="24"/>
                <w:lang w:val="en-US" w:eastAsia="en-US"/>
              </w:rPr>
              <w:t>过滤器：对废水进行过滤，进一步去除水中的悬浮物及有机物。</w:t>
            </w:r>
          </w:p>
          <w:p w14:paraId="3DFA552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109" w:right="0" w:firstLine="476" w:firstLineChars="200"/>
              <w:jc w:val="both"/>
              <w:textAlignment w:val="baseline"/>
              <w:rPr>
                <w:rFonts w:hint="default" w:ascii="Times New Roman" w:hAnsi="Times New Roman" w:eastAsia="宋体" w:cs="宋体"/>
                <w:snapToGrid w:val="0"/>
                <w:color w:val="000000"/>
                <w:spacing w:val="-1"/>
                <w:kern w:val="0"/>
                <w:sz w:val="24"/>
                <w:szCs w:val="24"/>
                <w:lang w:val="en-US" w:eastAsia="en-US"/>
              </w:rPr>
            </w:pPr>
            <w:r>
              <w:rPr>
                <w:rFonts w:hint="eastAsia" w:cs="宋体"/>
                <w:snapToGrid w:val="0"/>
                <w:color w:val="000000"/>
                <w:spacing w:val="-1"/>
                <w:kern w:val="0"/>
                <w:sz w:val="24"/>
                <w:szCs w:val="24"/>
                <w:lang w:val="en-US" w:eastAsia="zh-CN"/>
              </w:rPr>
              <w:t>f.</w:t>
            </w:r>
            <w:r>
              <w:rPr>
                <w:rFonts w:hint="default" w:ascii="Times New Roman" w:hAnsi="Times New Roman" w:eastAsia="宋体" w:cs="宋体"/>
                <w:snapToGrid w:val="0"/>
                <w:color w:val="000000"/>
                <w:spacing w:val="-1"/>
                <w:kern w:val="0"/>
                <w:sz w:val="24"/>
                <w:szCs w:val="24"/>
                <w:lang w:val="en-US" w:eastAsia="en-US"/>
              </w:rPr>
              <w:t>清水池：暂时储存处理后的清水，储存回用。</w:t>
            </w:r>
          </w:p>
          <w:p w14:paraId="7FC8A74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109" w:right="0" w:firstLine="476" w:firstLineChars="200"/>
              <w:jc w:val="both"/>
              <w:textAlignment w:val="baseline"/>
              <w:rPr>
                <w:rFonts w:hint="default" w:ascii="Times New Roman" w:hAnsi="Times New Roman" w:eastAsia="宋体" w:cs="宋体"/>
                <w:snapToGrid w:val="0"/>
                <w:color w:val="000000"/>
                <w:spacing w:val="-1"/>
                <w:kern w:val="0"/>
                <w:sz w:val="24"/>
                <w:szCs w:val="24"/>
                <w:lang w:val="en-US" w:eastAsia="en-US"/>
              </w:rPr>
            </w:pPr>
            <w:r>
              <w:rPr>
                <w:rFonts w:hint="eastAsia" w:cs="宋体"/>
                <w:snapToGrid w:val="0"/>
                <w:color w:val="000000"/>
                <w:spacing w:val="-1"/>
                <w:kern w:val="0"/>
                <w:sz w:val="24"/>
                <w:szCs w:val="24"/>
                <w:lang w:val="en-US" w:eastAsia="zh-CN"/>
              </w:rPr>
              <w:t>g.</w:t>
            </w:r>
            <w:r>
              <w:rPr>
                <w:rFonts w:hint="default" w:ascii="Times New Roman" w:hAnsi="Times New Roman" w:eastAsia="宋体" w:cs="宋体"/>
                <w:snapToGrid w:val="0"/>
                <w:color w:val="000000"/>
                <w:spacing w:val="-1"/>
                <w:kern w:val="0"/>
                <w:sz w:val="24"/>
                <w:szCs w:val="24"/>
                <w:lang w:val="en-US" w:eastAsia="en-US"/>
              </w:rPr>
              <w:t>污泥池：为生化污泥提供临时储存空间，利于集中处理。</w:t>
            </w:r>
          </w:p>
          <w:p w14:paraId="58E8B4C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ind w:left="0" w:leftChars="0" w:right="0"/>
              <w:textAlignment w:val="auto"/>
              <w:rPr>
                <w:rFonts w:hint="default"/>
                <w:lang w:val="en-US" w:eastAsia="en-US"/>
              </w:rPr>
            </w:pPr>
            <w:r>
              <w:rPr>
                <w:rFonts w:hint="eastAsia" w:ascii="Times New Roman" w:hAnsi="Times New Roman" w:eastAsia="宋体" w:cs="Times New Roman"/>
                <w:color w:val="auto"/>
                <w:sz w:val="24"/>
                <w:szCs w:val="24"/>
                <w:highlight w:val="none"/>
                <w:lang w:eastAsia="zh-CN"/>
              </w:rPr>
              <w:drawing>
                <wp:inline distT="0" distB="0" distL="114300" distR="114300">
                  <wp:extent cx="6223635" cy="2960370"/>
                  <wp:effectExtent l="0" t="0" r="0" b="0"/>
                  <wp:docPr id="125" name="ECB019B1-382A-4266-B25C-5B523AA43C14-6" descr="C:/Users/ADMIN/AppData/Local/Temp/wps.utDvP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ECB019B1-382A-4266-B25C-5B523AA43C14-6" descr="C:/Users/ADMIN/AppData/Local/Temp/wps.utDvPEwps"/>
                          <pic:cNvPicPr>
                            <a:picLocks noChangeAspect="1"/>
                          </pic:cNvPicPr>
                        </pic:nvPicPr>
                        <pic:blipFill>
                          <a:blip r:embed="rId23"/>
                          <a:stretch>
                            <a:fillRect/>
                          </a:stretch>
                        </pic:blipFill>
                        <pic:spPr>
                          <a:xfrm>
                            <a:off x="0" y="0"/>
                            <a:ext cx="6223635" cy="2960370"/>
                          </a:xfrm>
                          <a:prstGeom prst="rect">
                            <a:avLst/>
                          </a:prstGeom>
                        </pic:spPr>
                      </pic:pic>
                    </a:graphicData>
                  </a:graphic>
                </wp:inline>
              </w:drawing>
            </w:r>
          </w:p>
          <w:p w14:paraId="5474DD3E">
            <w:pPr>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line="360" w:lineRule="auto"/>
              <w:ind w:left="0" w:right="0"/>
              <w:jc w:val="center"/>
              <w:textAlignment w:val="auto"/>
              <w:rPr>
                <w:rFonts w:hint="default" w:eastAsia="宋体"/>
                <w:color w:val="auto"/>
                <w:kern w:val="0"/>
                <w:sz w:val="24"/>
                <w:highlight w:val="none"/>
                <w:lang w:bidi="ar"/>
              </w:rPr>
            </w:pPr>
            <w:r>
              <w:rPr>
                <w:rFonts w:hint="default" w:ascii="Times New Roman" w:hAnsi="Times New Roman" w:eastAsia="宋体" w:cs="Times New Roman"/>
                <w:b/>
                <w:bCs/>
                <w:color w:val="auto"/>
                <w:spacing w:val="4"/>
                <w:kern w:val="2"/>
                <w:sz w:val="24"/>
                <w:szCs w:val="24"/>
                <w:highlight w:val="none"/>
                <w:lang w:val="en-US" w:eastAsia="en-US" w:bidi="ar-SA"/>
              </w:rPr>
              <w:t>图</w:t>
            </w:r>
            <w:r>
              <w:rPr>
                <w:rFonts w:hint="eastAsia" w:cs="Times New Roman"/>
                <w:b/>
                <w:bCs/>
                <w:color w:val="auto"/>
                <w:spacing w:val="4"/>
                <w:kern w:val="2"/>
                <w:sz w:val="24"/>
                <w:szCs w:val="24"/>
                <w:highlight w:val="none"/>
                <w:lang w:val="en-US" w:eastAsia="zh-CN" w:bidi="ar-SA"/>
              </w:rPr>
              <w:t>4</w:t>
            </w:r>
            <w:r>
              <w:rPr>
                <w:rFonts w:hint="default" w:ascii="Times New Roman" w:hAnsi="Times New Roman" w:eastAsia="Times New Roman" w:cs="Times New Roman"/>
                <w:b/>
                <w:bCs/>
                <w:color w:val="auto"/>
                <w:spacing w:val="4"/>
                <w:kern w:val="2"/>
                <w:sz w:val="24"/>
                <w:szCs w:val="24"/>
                <w:highlight w:val="none"/>
                <w:lang w:val="en-US" w:eastAsia="en-US" w:bidi="ar-SA"/>
              </w:rPr>
              <w:t>-</w:t>
            </w:r>
            <w:r>
              <w:rPr>
                <w:rFonts w:hint="eastAsia" w:cs="Times New Roman"/>
                <w:b/>
                <w:bCs/>
                <w:color w:val="auto"/>
                <w:spacing w:val="4"/>
                <w:kern w:val="2"/>
                <w:sz w:val="24"/>
                <w:szCs w:val="24"/>
                <w:highlight w:val="none"/>
                <w:lang w:val="en-US" w:eastAsia="zh-CN" w:bidi="ar-SA"/>
              </w:rPr>
              <w:t>3污水处理设施工艺</w:t>
            </w:r>
            <w:r>
              <w:rPr>
                <w:rFonts w:hint="default" w:ascii="Times New Roman" w:hAnsi="Times New Roman" w:eastAsia="宋体" w:cs="Times New Roman"/>
                <w:b/>
                <w:bCs/>
                <w:color w:val="auto"/>
                <w:spacing w:val="4"/>
                <w:kern w:val="2"/>
                <w:sz w:val="24"/>
                <w:szCs w:val="24"/>
                <w:highlight w:val="none"/>
                <w:lang w:val="en-US" w:eastAsia="zh-CN" w:bidi="ar-SA"/>
              </w:rPr>
              <w:t>图</w:t>
            </w:r>
          </w:p>
          <w:p w14:paraId="1D3BADBC">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宋体"/>
                <w:snapToGrid w:val="0"/>
                <w:color w:val="000000"/>
                <w:spacing w:val="2"/>
                <w:kern w:val="0"/>
                <w:sz w:val="24"/>
                <w:szCs w:val="24"/>
                <w:lang w:val="en-US" w:eastAsia="en-US" w:bidi="ar-SA"/>
              </w:rPr>
            </w:pPr>
            <w:r>
              <w:rPr>
                <w:rFonts w:hint="eastAsia" w:ascii="Times New Roman" w:hAnsi="Times New Roman" w:eastAsia="宋体" w:cs="Times New Roman"/>
                <w:color w:val="auto"/>
                <w:kern w:val="0"/>
                <w:sz w:val="24"/>
                <w:szCs w:val="22"/>
              </w:rPr>
              <w:t>项目</w:t>
            </w:r>
            <w:r>
              <w:rPr>
                <w:rFonts w:hint="eastAsia" w:ascii="Times New Roman" w:hAnsi="Times New Roman" w:eastAsia="宋体" w:cs="Times New Roman"/>
                <w:color w:val="auto"/>
                <w:kern w:val="0"/>
                <w:sz w:val="24"/>
                <w:szCs w:val="22"/>
                <w:lang w:val="en-US" w:eastAsia="zh-CN"/>
              </w:rPr>
              <w:t>一体化</w:t>
            </w:r>
            <w:r>
              <w:rPr>
                <w:rFonts w:hint="eastAsia" w:ascii="Times New Roman" w:hAnsi="Times New Roman" w:eastAsia="宋体" w:cs="Times New Roman"/>
                <w:color w:val="auto"/>
                <w:kern w:val="0"/>
                <w:sz w:val="24"/>
                <w:szCs w:val="22"/>
              </w:rPr>
              <w:t>污水处理设施</w:t>
            </w:r>
            <w:r>
              <w:rPr>
                <w:rFonts w:hint="eastAsia" w:ascii="Times New Roman" w:hAnsi="Times New Roman" w:eastAsia="宋体" w:cs="Times New Roman"/>
                <w:color w:val="auto"/>
                <w:kern w:val="0"/>
                <w:sz w:val="24"/>
                <w:szCs w:val="22"/>
                <w:lang w:val="en-US" w:eastAsia="zh-CN"/>
              </w:rPr>
              <w:t>设计</w:t>
            </w:r>
            <w:r>
              <w:rPr>
                <w:rFonts w:hint="eastAsia" w:ascii="Times New Roman" w:hAnsi="Times New Roman" w:eastAsia="宋体" w:cs="Times New Roman"/>
                <w:color w:val="auto"/>
                <w:kern w:val="0"/>
                <w:sz w:val="24"/>
                <w:szCs w:val="22"/>
              </w:rPr>
              <w:t>处理能力为</w:t>
            </w:r>
            <w:r>
              <w:rPr>
                <w:rFonts w:hint="eastAsia" w:ascii="Times New Roman" w:hAnsi="Times New Roman" w:eastAsia="宋体" w:cs="Times New Roman"/>
                <w:color w:val="auto"/>
                <w:kern w:val="0"/>
                <w:sz w:val="24"/>
                <w:szCs w:val="22"/>
                <w:lang w:val="en-US" w:eastAsia="zh-CN"/>
              </w:rPr>
              <w:t>1800</w:t>
            </w:r>
            <w:r>
              <w:rPr>
                <w:rFonts w:hint="eastAsia" w:ascii="Times New Roman" w:hAnsi="Times New Roman" w:eastAsia="宋体" w:cs="Times New Roman"/>
                <w:color w:val="auto"/>
                <w:kern w:val="0"/>
                <w:sz w:val="24"/>
                <w:szCs w:val="22"/>
              </w:rPr>
              <w:t>m</w:t>
            </w:r>
            <w:r>
              <w:rPr>
                <w:rFonts w:hint="eastAsia" w:ascii="Times New Roman" w:hAnsi="Times New Roman" w:eastAsia="宋体" w:cs="Times New Roman"/>
                <w:color w:val="auto"/>
                <w:kern w:val="0"/>
                <w:sz w:val="24"/>
                <w:szCs w:val="22"/>
                <w:vertAlign w:val="superscript"/>
              </w:rPr>
              <w:t>3</w:t>
            </w:r>
            <w:r>
              <w:rPr>
                <w:rFonts w:hint="eastAsia" w:ascii="Times New Roman" w:hAnsi="Times New Roman" w:eastAsia="宋体" w:cs="Times New Roman"/>
                <w:color w:val="auto"/>
                <w:kern w:val="0"/>
                <w:sz w:val="24"/>
                <w:szCs w:val="22"/>
              </w:rPr>
              <w:t>/</w:t>
            </w:r>
            <w:r>
              <w:rPr>
                <w:rFonts w:hint="eastAsia" w:ascii="Times New Roman" w:hAnsi="Times New Roman" w:eastAsia="宋体" w:cs="Times New Roman"/>
                <w:color w:val="auto"/>
                <w:kern w:val="0"/>
                <w:sz w:val="24"/>
                <w:szCs w:val="22"/>
                <w:lang w:val="en-US" w:eastAsia="zh-CN"/>
              </w:rPr>
              <w:t>d</w:t>
            </w:r>
            <w:r>
              <w:rPr>
                <w:rFonts w:hint="eastAsia" w:ascii="Times New Roman" w:hAnsi="Times New Roman" w:eastAsia="宋体" w:cs="Times New Roman"/>
                <w:color w:val="auto"/>
                <w:kern w:val="0"/>
                <w:sz w:val="24"/>
                <w:szCs w:val="22"/>
              </w:rPr>
              <w:t>，</w:t>
            </w:r>
            <w:r>
              <w:rPr>
                <w:rFonts w:hint="eastAsia" w:ascii="Times New Roman" w:hAnsi="Times New Roman" w:eastAsia="宋体" w:cs="Times New Roman"/>
                <w:color w:val="auto"/>
                <w:kern w:val="0"/>
                <w:sz w:val="24"/>
                <w:szCs w:val="22"/>
                <w:lang w:val="en-US" w:eastAsia="zh-CN"/>
              </w:rPr>
              <w:t>本项目进入一体化污水处理设施的废水量为1605.4t/d</w:t>
            </w:r>
            <w:r>
              <w:rPr>
                <w:rFonts w:hint="eastAsia" w:ascii="Times New Roman" w:hAnsi="Times New Roman" w:eastAsia="宋体" w:cs="Times New Roman"/>
                <w:color w:val="auto"/>
                <w:kern w:val="0"/>
                <w:sz w:val="24"/>
                <w:szCs w:val="22"/>
              </w:rPr>
              <w:t>，废水中主要污染物为COD、BOD</w:t>
            </w:r>
            <w:r>
              <w:rPr>
                <w:rFonts w:hint="eastAsia" w:ascii="Times New Roman" w:hAnsi="Times New Roman" w:eastAsia="宋体" w:cs="Times New Roman"/>
                <w:color w:val="auto"/>
                <w:kern w:val="0"/>
                <w:sz w:val="24"/>
                <w:szCs w:val="22"/>
                <w:vertAlign w:val="subscript"/>
              </w:rPr>
              <w:t>5</w:t>
            </w:r>
            <w:r>
              <w:rPr>
                <w:rFonts w:hint="eastAsia" w:ascii="Times New Roman" w:hAnsi="Times New Roman" w:eastAsia="宋体" w:cs="Times New Roman"/>
                <w:color w:val="auto"/>
                <w:kern w:val="0"/>
                <w:sz w:val="24"/>
                <w:szCs w:val="22"/>
              </w:rPr>
              <w:t>、SS</w:t>
            </w:r>
            <w:r>
              <w:rPr>
                <w:rFonts w:hint="eastAsia" w:ascii="Times New Roman" w:hAnsi="Times New Roman" w:eastAsia="宋体" w:cs="Times New Roman"/>
                <w:color w:val="auto"/>
                <w:kern w:val="0"/>
                <w:sz w:val="24"/>
                <w:szCs w:val="22"/>
                <w:lang w:eastAsia="zh-CN"/>
              </w:rPr>
              <w:t>、</w:t>
            </w:r>
            <w:r>
              <w:rPr>
                <w:rFonts w:hint="eastAsia" w:ascii="Times New Roman" w:hAnsi="Times New Roman" w:eastAsia="宋体" w:cs="Times New Roman"/>
                <w:color w:val="auto"/>
                <w:kern w:val="0"/>
                <w:sz w:val="24"/>
                <w:szCs w:val="22"/>
              </w:rPr>
              <w:t>NH</w:t>
            </w:r>
            <w:r>
              <w:rPr>
                <w:rFonts w:hint="eastAsia" w:ascii="Times New Roman" w:hAnsi="Times New Roman" w:eastAsia="宋体" w:cs="Times New Roman"/>
                <w:color w:val="auto"/>
                <w:kern w:val="0"/>
                <w:sz w:val="24"/>
                <w:szCs w:val="22"/>
                <w:vertAlign w:val="subscript"/>
              </w:rPr>
              <w:t>3</w:t>
            </w:r>
            <w:r>
              <w:rPr>
                <w:rFonts w:hint="eastAsia" w:ascii="Times New Roman" w:hAnsi="Times New Roman" w:eastAsia="宋体" w:cs="Times New Roman"/>
                <w:color w:val="auto"/>
                <w:kern w:val="0"/>
                <w:sz w:val="24"/>
                <w:szCs w:val="22"/>
              </w:rPr>
              <w:t>-N</w:t>
            </w:r>
            <w:r>
              <w:rPr>
                <w:rFonts w:hint="eastAsia" w:ascii="Times New Roman" w:hAnsi="Times New Roman" w:eastAsia="宋体" w:cs="Times New Roman"/>
                <w:color w:val="auto"/>
                <w:kern w:val="0"/>
                <w:sz w:val="24"/>
                <w:szCs w:val="22"/>
                <w:lang w:eastAsia="zh-CN"/>
              </w:rPr>
              <w:t>、</w:t>
            </w:r>
            <w:r>
              <w:rPr>
                <w:rFonts w:hint="eastAsia" w:ascii="Times New Roman" w:hAnsi="Times New Roman" w:eastAsia="宋体" w:cs="Times New Roman"/>
                <w:color w:val="auto"/>
                <w:kern w:val="0"/>
                <w:sz w:val="24"/>
                <w:szCs w:val="22"/>
                <w:lang w:val="en-US" w:eastAsia="zh-CN"/>
              </w:rPr>
              <w:t>石油类、总锑</w:t>
            </w:r>
            <w:r>
              <w:rPr>
                <w:rFonts w:hint="default" w:ascii="Calibri" w:hAnsi="Calibri" w:eastAsia="宋体" w:cs="Times New Roman"/>
                <w:spacing w:val="-3"/>
                <w:sz w:val="24"/>
                <w:szCs w:val="24"/>
              </w:rPr>
              <w:t>。</w:t>
            </w:r>
          </w:p>
          <w:p w14:paraId="5C214E12">
            <w:pPr>
              <w:keepNext w:val="0"/>
              <w:keepLines w:val="0"/>
              <w:widowControl/>
              <w:suppressLineNumbers w:val="0"/>
              <w:adjustRightInd w:val="0"/>
              <w:snapToGrid w:val="0"/>
              <w:spacing w:before="0" w:beforeAutospacing="0" w:after="0" w:afterAutospacing="0" w:line="360" w:lineRule="auto"/>
              <w:ind w:left="0" w:right="0" w:firstLine="472" w:firstLineChars="200"/>
              <w:rPr>
                <w:rFonts w:hint="eastAsia" w:ascii="Times New Roman" w:hAnsi="Times New Roman" w:eastAsia="宋体" w:cs="Times New Roman"/>
                <w:color w:val="auto"/>
                <w:kern w:val="0"/>
                <w:sz w:val="24"/>
                <w:szCs w:val="22"/>
              </w:rPr>
            </w:pPr>
            <w:r>
              <w:rPr>
                <w:rFonts w:hint="default" w:ascii="宋体" w:hAnsi="宋体" w:eastAsia="宋体" w:cs="宋体"/>
                <w:snapToGrid w:val="0"/>
                <w:color w:val="000000"/>
                <w:spacing w:val="-2"/>
                <w:kern w:val="0"/>
                <w:sz w:val="24"/>
                <w:szCs w:val="24"/>
                <w:lang w:val="en-US" w:eastAsia="en-US" w:bidi="ar-SA"/>
              </w:rPr>
              <w:t>类比《安徽锦春纺织</w:t>
            </w:r>
            <w:r>
              <w:rPr>
                <w:rFonts w:hint="default" w:ascii="宋体" w:hAnsi="宋体" w:eastAsia="宋体" w:cs="宋体"/>
                <w:snapToGrid w:val="0"/>
                <w:color w:val="000000"/>
                <w:spacing w:val="1"/>
                <w:kern w:val="0"/>
                <w:sz w:val="24"/>
                <w:szCs w:val="24"/>
                <w:lang w:val="en-US" w:eastAsia="en-US" w:bidi="ar-SA"/>
              </w:rPr>
              <w:t>科技有限公司年产</w:t>
            </w:r>
            <w:r>
              <w:rPr>
                <w:rFonts w:hint="default" w:ascii="Times New Roman" w:hAnsi="Times New Roman" w:eastAsia="Times New Roman" w:cs="Times New Roman"/>
                <w:snapToGrid w:val="0"/>
                <w:color w:val="000000"/>
                <w:spacing w:val="1"/>
                <w:kern w:val="0"/>
                <w:sz w:val="24"/>
                <w:szCs w:val="24"/>
                <w:lang w:val="en-US" w:eastAsia="en-US" w:bidi="ar-SA"/>
              </w:rPr>
              <w:t>6000</w:t>
            </w:r>
            <w:r>
              <w:rPr>
                <w:rFonts w:hint="default" w:ascii="宋体" w:hAnsi="宋体" w:eastAsia="宋体" w:cs="宋体"/>
                <w:snapToGrid w:val="0"/>
                <w:color w:val="000000"/>
                <w:spacing w:val="1"/>
                <w:kern w:val="0"/>
                <w:sz w:val="24"/>
                <w:szCs w:val="24"/>
                <w:lang w:val="en-US" w:eastAsia="en-US" w:bidi="ar-SA"/>
              </w:rPr>
              <w:t>万米高密化纤布生产项目阶段性竣工</w:t>
            </w:r>
            <w:r>
              <w:rPr>
                <w:rFonts w:hint="default" w:ascii="宋体" w:hAnsi="宋体" w:eastAsia="宋体" w:cs="宋体"/>
                <w:snapToGrid w:val="0"/>
                <w:color w:val="000000"/>
                <w:kern w:val="0"/>
                <w:sz w:val="24"/>
                <w:szCs w:val="24"/>
                <w:lang w:val="en-US" w:eastAsia="en-US" w:bidi="ar-SA"/>
              </w:rPr>
              <w:t>环境保护验收报告表》</w:t>
            </w:r>
            <w:r>
              <w:rPr>
                <w:rFonts w:hint="default" w:ascii="宋体" w:hAnsi="宋体" w:eastAsia="宋体" w:cs="宋体"/>
                <w:snapToGrid w:val="0"/>
                <w:color w:val="000000"/>
                <w:spacing w:val="-1"/>
                <w:kern w:val="0"/>
                <w:sz w:val="24"/>
                <w:szCs w:val="24"/>
                <w:lang w:val="en-US" w:eastAsia="en-US" w:bidi="ar-SA"/>
              </w:rPr>
              <w:t>中污水处理</w:t>
            </w:r>
            <w:r>
              <w:rPr>
                <w:rFonts w:hint="eastAsia" w:ascii="宋体" w:hAnsi="宋体" w:eastAsia="宋体" w:cs="宋体"/>
                <w:snapToGrid w:val="0"/>
                <w:color w:val="000000"/>
                <w:spacing w:val="-1"/>
                <w:kern w:val="0"/>
                <w:sz w:val="24"/>
                <w:szCs w:val="24"/>
                <w:lang w:val="en-US" w:eastAsia="zh-CN" w:bidi="ar-SA"/>
              </w:rPr>
              <w:t>效率</w:t>
            </w:r>
            <w:r>
              <w:rPr>
                <w:rFonts w:hint="default" w:ascii="宋体" w:hAnsi="宋体" w:eastAsia="宋体" w:cs="宋体"/>
                <w:snapToGrid w:val="0"/>
                <w:color w:val="000000"/>
                <w:spacing w:val="-1"/>
                <w:kern w:val="0"/>
                <w:sz w:val="24"/>
                <w:szCs w:val="24"/>
                <w:lang w:val="en-US" w:eastAsia="en-US" w:bidi="ar-SA"/>
              </w:rPr>
              <w:t>。</w:t>
            </w:r>
            <w:r>
              <w:rPr>
                <w:rFonts w:hint="eastAsia" w:ascii="Times New Roman" w:hAnsi="Times New Roman" w:eastAsia="宋体" w:cs="Times New Roman"/>
                <w:color w:val="auto"/>
                <w:kern w:val="0"/>
                <w:sz w:val="24"/>
                <w:szCs w:val="22"/>
                <w:lang w:val="en-US" w:eastAsia="zh-CN"/>
              </w:rPr>
              <w:t>对</w:t>
            </w:r>
            <w:r>
              <w:rPr>
                <w:rFonts w:hint="eastAsia" w:ascii="Times New Roman" w:hAnsi="Times New Roman" w:eastAsia="宋体" w:cs="Times New Roman"/>
                <w:color w:val="auto"/>
                <w:kern w:val="0"/>
                <w:sz w:val="24"/>
                <w:szCs w:val="22"/>
              </w:rPr>
              <w:t>COD、BOD</w:t>
            </w:r>
            <w:r>
              <w:rPr>
                <w:rFonts w:hint="eastAsia" w:ascii="Times New Roman" w:hAnsi="Times New Roman" w:eastAsia="宋体" w:cs="Times New Roman"/>
                <w:color w:val="auto"/>
                <w:kern w:val="0"/>
                <w:sz w:val="24"/>
                <w:szCs w:val="22"/>
                <w:vertAlign w:val="subscript"/>
              </w:rPr>
              <w:t>5</w:t>
            </w:r>
            <w:r>
              <w:rPr>
                <w:rFonts w:hint="eastAsia" w:ascii="Times New Roman" w:hAnsi="Times New Roman" w:eastAsia="宋体" w:cs="Times New Roman"/>
                <w:color w:val="auto"/>
                <w:kern w:val="0"/>
                <w:sz w:val="24"/>
                <w:szCs w:val="22"/>
              </w:rPr>
              <w:t>、SS、NH</w:t>
            </w:r>
            <w:r>
              <w:rPr>
                <w:rFonts w:hint="eastAsia" w:ascii="Times New Roman" w:hAnsi="Times New Roman" w:eastAsia="宋体" w:cs="Times New Roman"/>
                <w:color w:val="auto"/>
                <w:kern w:val="0"/>
                <w:sz w:val="24"/>
                <w:szCs w:val="22"/>
                <w:vertAlign w:val="subscript"/>
              </w:rPr>
              <w:t>3</w:t>
            </w:r>
            <w:r>
              <w:rPr>
                <w:rFonts w:hint="eastAsia" w:ascii="Times New Roman" w:hAnsi="Times New Roman" w:eastAsia="宋体" w:cs="Times New Roman"/>
                <w:color w:val="auto"/>
                <w:kern w:val="0"/>
                <w:sz w:val="24"/>
                <w:szCs w:val="22"/>
              </w:rPr>
              <w:t>-N</w:t>
            </w:r>
            <w:r>
              <w:rPr>
                <w:rFonts w:hint="eastAsia" w:ascii="Times New Roman" w:hAnsi="Times New Roman" w:eastAsia="宋体" w:cs="Times New Roman"/>
                <w:color w:val="auto"/>
                <w:kern w:val="0"/>
                <w:sz w:val="24"/>
                <w:szCs w:val="22"/>
                <w:lang w:eastAsia="zh-CN"/>
              </w:rPr>
              <w:t>、</w:t>
            </w:r>
            <w:r>
              <w:rPr>
                <w:rFonts w:hint="eastAsia" w:ascii="Times New Roman" w:hAnsi="Times New Roman" w:eastAsia="宋体" w:cs="Times New Roman"/>
                <w:color w:val="auto"/>
                <w:kern w:val="0"/>
                <w:sz w:val="24"/>
                <w:szCs w:val="22"/>
                <w:lang w:val="en-US" w:eastAsia="zh-CN"/>
              </w:rPr>
              <w:t>石油类的平均去除效率分别为94.78</w:t>
            </w:r>
            <w:r>
              <w:rPr>
                <w:rFonts w:hint="eastAsia" w:ascii="Times New Roman" w:hAnsi="Times New Roman" w:eastAsia="宋体" w:cs="Times New Roman"/>
                <w:color w:val="auto"/>
                <w:kern w:val="0"/>
                <w:sz w:val="24"/>
                <w:szCs w:val="22"/>
              </w:rPr>
              <w:t>%、</w:t>
            </w:r>
            <w:r>
              <w:rPr>
                <w:rFonts w:hint="eastAsia" w:ascii="Times New Roman" w:hAnsi="Times New Roman" w:eastAsia="宋体" w:cs="Times New Roman"/>
                <w:color w:val="auto"/>
                <w:kern w:val="0"/>
                <w:sz w:val="24"/>
                <w:szCs w:val="22"/>
                <w:lang w:val="en-US" w:eastAsia="zh-CN"/>
              </w:rPr>
              <w:t>92.27</w:t>
            </w:r>
            <w:r>
              <w:rPr>
                <w:rFonts w:hint="eastAsia" w:ascii="Times New Roman" w:hAnsi="Times New Roman" w:eastAsia="宋体" w:cs="Times New Roman"/>
                <w:color w:val="auto"/>
                <w:kern w:val="0"/>
                <w:sz w:val="24"/>
                <w:szCs w:val="22"/>
              </w:rPr>
              <w:t>%、</w:t>
            </w:r>
            <w:r>
              <w:rPr>
                <w:rFonts w:hint="eastAsia" w:ascii="Times New Roman" w:hAnsi="Times New Roman" w:eastAsia="宋体" w:cs="Times New Roman"/>
                <w:color w:val="auto"/>
                <w:kern w:val="0"/>
                <w:sz w:val="24"/>
                <w:szCs w:val="22"/>
                <w:lang w:val="en-US" w:eastAsia="zh-CN"/>
              </w:rPr>
              <w:t>63.26</w:t>
            </w:r>
            <w:r>
              <w:rPr>
                <w:rFonts w:hint="eastAsia" w:ascii="Times New Roman" w:hAnsi="Times New Roman" w:eastAsia="宋体" w:cs="Times New Roman"/>
                <w:color w:val="auto"/>
                <w:kern w:val="0"/>
                <w:sz w:val="24"/>
                <w:szCs w:val="22"/>
              </w:rPr>
              <w:t>%、</w:t>
            </w:r>
            <w:r>
              <w:rPr>
                <w:rFonts w:hint="eastAsia" w:ascii="Times New Roman" w:hAnsi="Times New Roman" w:eastAsia="宋体" w:cs="Times New Roman"/>
                <w:color w:val="auto"/>
                <w:kern w:val="0"/>
                <w:sz w:val="24"/>
                <w:szCs w:val="22"/>
                <w:lang w:val="en-US" w:eastAsia="zh-CN"/>
              </w:rPr>
              <w:t>91.84</w:t>
            </w:r>
            <w:r>
              <w:rPr>
                <w:rFonts w:hint="eastAsia" w:ascii="Times New Roman" w:hAnsi="Times New Roman" w:eastAsia="宋体" w:cs="Times New Roman"/>
                <w:color w:val="auto"/>
                <w:kern w:val="0"/>
                <w:sz w:val="24"/>
                <w:szCs w:val="22"/>
              </w:rPr>
              <w:t>%</w:t>
            </w:r>
            <w:r>
              <w:rPr>
                <w:rFonts w:hint="eastAsia" w:ascii="Times New Roman" w:hAnsi="Times New Roman" w:eastAsia="宋体" w:cs="Times New Roman"/>
                <w:color w:val="auto"/>
                <w:kern w:val="0"/>
                <w:sz w:val="24"/>
                <w:szCs w:val="22"/>
                <w:lang w:eastAsia="zh-CN"/>
              </w:rPr>
              <w:t>、</w:t>
            </w:r>
            <w:r>
              <w:rPr>
                <w:rFonts w:hint="eastAsia" w:ascii="Times New Roman" w:hAnsi="Times New Roman" w:eastAsia="宋体" w:cs="Times New Roman"/>
                <w:color w:val="auto"/>
                <w:kern w:val="0"/>
                <w:sz w:val="24"/>
                <w:szCs w:val="22"/>
                <w:lang w:val="en-US" w:eastAsia="zh-CN"/>
              </w:rPr>
              <w:t>99.48%</w:t>
            </w:r>
            <w:r>
              <w:rPr>
                <w:rFonts w:hint="eastAsia" w:ascii="Times New Roman" w:hAnsi="Times New Roman" w:eastAsia="宋体" w:cs="Times New Roman"/>
                <w:color w:val="auto"/>
                <w:kern w:val="0"/>
                <w:sz w:val="24"/>
                <w:szCs w:val="22"/>
                <w:lang w:eastAsia="zh-CN"/>
              </w:rPr>
              <w:t>。</w:t>
            </w:r>
            <w:r>
              <w:rPr>
                <w:rFonts w:hint="eastAsia" w:ascii="Times New Roman" w:hAnsi="Times New Roman" w:eastAsia="宋体" w:cs="Times New Roman"/>
                <w:color w:val="auto"/>
                <w:kern w:val="0"/>
                <w:sz w:val="24"/>
                <w:szCs w:val="22"/>
              </w:rPr>
              <w:t>采用此类废水处理工艺，产生及处理后的水质情况如下：</w:t>
            </w:r>
          </w:p>
          <w:p w14:paraId="787580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表4-</w:t>
            </w:r>
            <w:r>
              <w:rPr>
                <w:rFonts w:hint="eastAsia" w:ascii="Times New Roman" w:hAnsi="Times New Roman" w:eastAsia="宋体" w:cs="Times New Roman"/>
                <w:b/>
                <w:color w:val="auto"/>
                <w:sz w:val="24"/>
                <w:szCs w:val="21"/>
                <w:lang w:val="en-US" w:eastAsia="zh-CN"/>
              </w:rPr>
              <w:t>1</w:t>
            </w:r>
            <w:r>
              <w:rPr>
                <w:rFonts w:hint="eastAsia" w:cs="Times New Roman"/>
                <w:b/>
                <w:color w:val="auto"/>
                <w:sz w:val="24"/>
                <w:szCs w:val="21"/>
                <w:lang w:val="en-US" w:eastAsia="zh-CN"/>
              </w:rPr>
              <w:t>3</w:t>
            </w:r>
            <w:r>
              <w:rPr>
                <w:rFonts w:hint="eastAsia" w:ascii="Times New Roman" w:hAnsi="Times New Roman" w:eastAsia="宋体" w:cs="Times New Roman"/>
                <w:b/>
                <w:color w:val="auto"/>
                <w:sz w:val="24"/>
                <w:szCs w:val="21"/>
                <w:lang w:val="en-US" w:eastAsia="zh-CN"/>
              </w:rPr>
              <w:t xml:space="preserve"> </w:t>
            </w:r>
            <w:r>
              <w:rPr>
                <w:rFonts w:hint="default" w:ascii="Times New Roman" w:hAnsi="Times New Roman" w:eastAsia="宋体" w:cs="Times New Roman"/>
                <w:b/>
                <w:color w:val="auto"/>
                <w:sz w:val="24"/>
                <w:szCs w:val="21"/>
              </w:rPr>
              <w:t>废水</w:t>
            </w:r>
            <w:r>
              <w:rPr>
                <w:rFonts w:hint="eastAsia" w:ascii="Times New Roman" w:hAnsi="Times New Roman" w:eastAsia="宋体" w:cs="Times New Roman"/>
                <w:b/>
                <w:color w:val="auto"/>
                <w:sz w:val="24"/>
                <w:szCs w:val="21"/>
                <w:lang w:val="en-US" w:eastAsia="zh-CN"/>
              </w:rPr>
              <w:t>产生和</w:t>
            </w:r>
            <w:r>
              <w:rPr>
                <w:rFonts w:hint="eastAsia" w:ascii="Times New Roman" w:hAnsi="Times New Roman" w:eastAsia="宋体" w:cs="Times New Roman"/>
                <w:b/>
                <w:color w:val="auto"/>
                <w:sz w:val="24"/>
                <w:szCs w:val="21"/>
              </w:rPr>
              <w:t>排放信息一览</w:t>
            </w:r>
            <w:r>
              <w:rPr>
                <w:rFonts w:hint="default" w:ascii="Times New Roman" w:hAnsi="Times New Roman" w:eastAsia="宋体" w:cs="Times New Roman"/>
                <w:b/>
                <w:color w:val="auto"/>
                <w:sz w:val="24"/>
                <w:szCs w:val="21"/>
              </w:rPr>
              <w:t>表</w:t>
            </w:r>
          </w:p>
          <w:tbl>
            <w:tblPr>
              <w:tblStyle w:val="26"/>
              <w:tblpPr w:leftFromText="181" w:rightFromText="181" w:bottomFromText="113" w:vertAnchor="text" w:tblpXSpec="center" w:tblpY="1"/>
              <w:tblOverlap w:val="never"/>
              <w:tblW w:w="1000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0" w:type="dxa"/>
                <w:bottom w:w="0" w:type="dxa"/>
                <w:right w:w="0" w:type="dxa"/>
              </w:tblCellMar>
            </w:tblPr>
            <w:tblGrid>
              <w:gridCol w:w="794"/>
              <w:gridCol w:w="828"/>
              <w:gridCol w:w="927"/>
              <w:gridCol w:w="907"/>
              <w:gridCol w:w="963"/>
              <w:gridCol w:w="927"/>
              <w:gridCol w:w="915"/>
              <w:gridCol w:w="1016"/>
              <w:gridCol w:w="876"/>
              <w:gridCol w:w="927"/>
              <w:gridCol w:w="927"/>
            </w:tblGrid>
            <w:tr w14:paraId="4FFF27D4">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40" w:hRule="atLeast"/>
                <w:jc w:val="center"/>
              </w:trPr>
              <w:tc>
                <w:tcPr>
                  <w:tcW w:w="396" w:type="pct"/>
                  <w:vMerge w:val="restart"/>
                  <w:tcBorders>
                    <w:tl2br w:val="nil"/>
                    <w:tr2bl w:val="nil"/>
                  </w:tcBorders>
                  <w:noWrap/>
                  <w:vAlign w:val="center"/>
                </w:tcPr>
                <w:p w14:paraId="25F65BD2">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种类</w:t>
                  </w:r>
                </w:p>
              </w:tc>
              <w:tc>
                <w:tcPr>
                  <w:tcW w:w="413" w:type="pct"/>
                  <w:vMerge w:val="restart"/>
                  <w:tcBorders>
                    <w:tl2br w:val="nil"/>
                    <w:tr2bl w:val="nil"/>
                  </w:tcBorders>
                  <w:noWrap/>
                  <w:vAlign w:val="center"/>
                </w:tcPr>
                <w:p w14:paraId="1792D891">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废水量</w:t>
                  </w:r>
                </w:p>
                <w:p w14:paraId="5B08AC74">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(t/a)</w:t>
                  </w:r>
                </w:p>
              </w:tc>
              <w:tc>
                <w:tcPr>
                  <w:tcW w:w="463" w:type="pct"/>
                  <w:vMerge w:val="restart"/>
                  <w:tcBorders>
                    <w:tl2br w:val="nil"/>
                    <w:tr2bl w:val="nil"/>
                  </w:tcBorders>
                  <w:noWrap/>
                  <w:vAlign w:val="center"/>
                </w:tcPr>
                <w:p w14:paraId="184B30F2">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w:t>
                  </w:r>
                </w:p>
                <w:p w14:paraId="1AF0A8A6">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名称</w:t>
                  </w:r>
                </w:p>
              </w:tc>
              <w:tc>
                <w:tcPr>
                  <w:tcW w:w="934" w:type="pct"/>
                  <w:gridSpan w:val="2"/>
                  <w:tcBorders>
                    <w:tl2br w:val="nil"/>
                    <w:tr2bl w:val="nil"/>
                  </w:tcBorders>
                  <w:noWrap/>
                  <w:vAlign w:val="center"/>
                </w:tcPr>
                <w:p w14:paraId="25F6BC48">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污染物产生量</w:t>
                  </w:r>
                </w:p>
              </w:tc>
              <w:tc>
                <w:tcPr>
                  <w:tcW w:w="463" w:type="pct"/>
                  <w:vMerge w:val="restart"/>
                  <w:tcBorders>
                    <w:tl2br w:val="nil"/>
                    <w:tr2bl w:val="nil"/>
                  </w:tcBorders>
                  <w:noWrap/>
                  <w:vAlign w:val="center"/>
                </w:tcPr>
                <w:p w14:paraId="7232BD6C">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治理</w:t>
                  </w:r>
                </w:p>
                <w:p w14:paraId="14E5F57B">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措施</w:t>
                  </w:r>
                </w:p>
              </w:tc>
              <w:tc>
                <w:tcPr>
                  <w:tcW w:w="964" w:type="pct"/>
                  <w:gridSpan w:val="2"/>
                  <w:tcBorders>
                    <w:tl2br w:val="nil"/>
                    <w:tr2bl w:val="nil"/>
                  </w:tcBorders>
                  <w:noWrap/>
                  <w:vAlign w:val="center"/>
                </w:tcPr>
                <w:p w14:paraId="0CD68BFF">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处理后</w:t>
                  </w:r>
                </w:p>
              </w:tc>
              <w:tc>
                <w:tcPr>
                  <w:tcW w:w="437" w:type="pct"/>
                  <w:vMerge w:val="restart"/>
                  <w:tcBorders>
                    <w:tl2br w:val="nil"/>
                    <w:tr2bl w:val="nil"/>
                  </w:tcBorders>
                  <w:noWrap/>
                  <w:vAlign w:val="center"/>
                </w:tcPr>
                <w:p w14:paraId="66C10E5A">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0"/>
                      <w:sz w:val="21"/>
                      <w:szCs w:val="21"/>
                      <w:lang w:eastAsia="zh-CN"/>
                    </w:rPr>
                  </w:pPr>
                  <w:r>
                    <w:rPr>
                      <w:rFonts w:hint="eastAsia" w:ascii="Times New Roman" w:hAnsi="Times New Roman" w:eastAsia="宋体" w:cs="Times New Roman"/>
                      <w:b/>
                      <w:bCs/>
                      <w:color w:val="auto"/>
                      <w:kern w:val="0"/>
                      <w:sz w:val="21"/>
                      <w:szCs w:val="21"/>
                      <w:lang w:val="en-US" w:eastAsia="zh-CN"/>
                    </w:rPr>
                    <w:t>去除效率</w:t>
                  </w:r>
                </w:p>
              </w:tc>
              <w:tc>
                <w:tcPr>
                  <w:tcW w:w="463" w:type="pct"/>
                  <w:vMerge w:val="restart"/>
                  <w:tcBorders>
                    <w:tl2br w:val="nil"/>
                    <w:tr2bl w:val="nil"/>
                  </w:tcBorders>
                  <w:noWrap/>
                  <w:vAlign w:val="center"/>
                </w:tcPr>
                <w:p w14:paraId="7BAAD747">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排放去向</w:t>
                  </w:r>
                </w:p>
              </w:tc>
              <w:tc>
                <w:tcPr>
                  <w:tcW w:w="463" w:type="pct"/>
                  <w:vMerge w:val="restart"/>
                  <w:tcBorders>
                    <w:tl2br w:val="nil"/>
                    <w:tr2bl w:val="nil"/>
                  </w:tcBorders>
                  <w:noWrap/>
                  <w:vAlign w:val="center"/>
                </w:tcPr>
                <w:p w14:paraId="47CDEB7A">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sz w:val="21"/>
                      <w:szCs w:val="21"/>
                      <w:lang w:val="en-US" w:eastAsia="zh-CN"/>
                    </w:rPr>
                    <w:t>回用水标准</w:t>
                  </w:r>
                </w:p>
              </w:tc>
            </w:tr>
            <w:tr w14:paraId="1A24F68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40" w:hRule="atLeast"/>
                <w:jc w:val="center"/>
              </w:trPr>
              <w:tc>
                <w:tcPr>
                  <w:tcW w:w="396" w:type="pct"/>
                  <w:vMerge w:val="continue"/>
                  <w:tcBorders>
                    <w:tl2br w:val="nil"/>
                    <w:tr2bl w:val="nil"/>
                  </w:tcBorders>
                  <w:noWrap/>
                  <w:vAlign w:val="center"/>
                </w:tcPr>
                <w:p w14:paraId="275F9BE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tcBorders>
                    <w:tl2br w:val="nil"/>
                    <w:tr2bl w:val="nil"/>
                  </w:tcBorders>
                  <w:noWrap/>
                  <w:vAlign w:val="center"/>
                </w:tcPr>
                <w:p w14:paraId="729FE61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vMerge w:val="continue"/>
                  <w:tcBorders>
                    <w:tl2br w:val="nil"/>
                    <w:tr2bl w:val="nil"/>
                  </w:tcBorders>
                  <w:noWrap/>
                  <w:vAlign w:val="center"/>
                </w:tcPr>
                <w:p w14:paraId="6A46E88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53" w:type="pct"/>
                  <w:tcBorders>
                    <w:tl2br w:val="nil"/>
                    <w:tr2bl w:val="nil"/>
                  </w:tcBorders>
                  <w:noWrap/>
                  <w:vAlign w:val="center"/>
                </w:tcPr>
                <w:p w14:paraId="42BD5152">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浓度</w:t>
                  </w:r>
                </w:p>
              </w:tc>
              <w:tc>
                <w:tcPr>
                  <w:tcW w:w="481" w:type="pct"/>
                  <w:tcBorders>
                    <w:tl2br w:val="nil"/>
                    <w:tr2bl w:val="nil"/>
                  </w:tcBorders>
                  <w:noWrap/>
                  <w:vAlign w:val="center"/>
                </w:tcPr>
                <w:p w14:paraId="72099007">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产生量</w:t>
                  </w:r>
                </w:p>
              </w:tc>
              <w:tc>
                <w:tcPr>
                  <w:tcW w:w="463" w:type="pct"/>
                  <w:vMerge w:val="continue"/>
                  <w:tcBorders>
                    <w:tl2br w:val="nil"/>
                    <w:tr2bl w:val="nil"/>
                  </w:tcBorders>
                  <w:noWrap/>
                  <w:vAlign w:val="center"/>
                </w:tcPr>
                <w:p w14:paraId="5966407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457" w:type="pct"/>
                  <w:tcBorders>
                    <w:tl2br w:val="nil"/>
                    <w:tr2bl w:val="nil"/>
                  </w:tcBorders>
                  <w:noWrap/>
                  <w:vAlign w:val="center"/>
                </w:tcPr>
                <w:p w14:paraId="69E867EC">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浓度</w:t>
                  </w:r>
                </w:p>
              </w:tc>
              <w:tc>
                <w:tcPr>
                  <w:tcW w:w="507" w:type="pct"/>
                  <w:tcBorders>
                    <w:tl2br w:val="nil"/>
                    <w:tr2bl w:val="nil"/>
                  </w:tcBorders>
                  <w:noWrap/>
                  <w:vAlign w:val="center"/>
                </w:tcPr>
                <w:p w14:paraId="7E216F8F">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排放量</w:t>
                  </w:r>
                </w:p>
              </w:tc>
              <w:tc>
                <w:tcPr>
                  <w:tcW w:w="437" w:type="pct"/>
                  <w:vMerge w:val="continue"/>
                  <w:tcBorders>
                    <w:tl2br w:val="nil"/>
                    <w:tr2bl w:val="nil"/>
                  </w:tcBorders>
                  <w:noWrap/>
                  <w:vAlign w:val="center"/>
                </w:tcPr>
                <w:p w14:paraId="26FE71A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vMerge w:val="continue"/>
                  <w:tcBorders>
                    <w:tl2br w:val="nil"/>
                    <w:tr2bl w:val="nil"/>
                  </w:tcBorders>
                  <w:noWrap/>
                  <w:vAlign w:val="center"/>
                </w:tcPr>
                <w:p w14:paraId="3476415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vMerge w:val="continue"/>
                  <w:tcBorders>
                    <w:tl2br w:val="nil"/>
                    <w:tr2bl w:val="nil"/>
                  </w:tcBorders>
                  <w:noWrap/>
                  <w:vAlign w:val="center"/>
                </w:tcPr>
                <w:p w14:paraId="09C1862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14:paraId="0B3EAE5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40" w:hRule="atLeast"/>
                <w:jc w:val="center"/>
              </w:trPr>
              <w:tc>
                <w:tcPr>
                  <w:tcW w:w="396" w:type="pct"/>
                  <w:vMerge w:val="continue"/>
                  <w:tcBorders>
                    <w:tl2br w:val="nil"/>
                    <w:tr2bl w:val="nil"/>
                  </w:tcBorders>
                  <w:noWrap/>
                  <w:vAlign w:val="center"/>
                </w:tcPr>
                <w:p w14:paraId="6DDF93E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tcBorders>
                    <w:tl2br w:val="nil"/>
                    <w:tr2bl w:val="nil"/>
                  </w:tcBorders>
                  <w:noWrap/>
                  <w:vAlign w:val="center"/>
                </w:tcPr>
                <w:p w14:paraId="221EC3B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vMerge w:val="continue"/>
                  <w:tcBorders>
                    <w:tl2br w:val="nil"/>
                    <w:tr2bl w:val="nil"/>
                  </w:tcBorders>
                  <w:noWrap/>
                  <w:vAlign w:val="center"/>
                </w:tcPr>
                <w:p w14:paraId="0FBD952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53" w:type="pct"/>
                  <w:tcBorders>
                    <w:tl2br w:val="nil"/>
                    <w:tr2bl w:val="nil"/>
                  </w:tcBorders>
                  <w:noWrap/>
                  <w:vAlign w:val="center"/>
                </w:tcPr>
                <w:p w14:paraId="65C891AA">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(mg/L)</w:t>
                  </w:r>
                </w:p>
              </w:tc>
              <w:tc>
                <w:tcPr>
                  <w:tcW w:w="481" w:type="pct"/>
                  <w:tcBorders>
                    <w:tl2br w:val="nil"/>
                    <w:tr2bl w:val="nil"/>
                  </w:tcBorders>
                  <w:noWrap/>
                  <w:vAlign w:val="center"/>
                </w:tcPr>
                <w:p w14:paraId="0743FFBC">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(t/a)</w:t>
                  </w:r>
                </w:p>
              </w:tc>
              <w:tc>
                <w:tcPr>
                  <w:tcW w:w="463" w:type="pct"/>
                  <w:vMerge w:val="continue"/>
                  <w:tcBorders>
                    <w:tl2br w:val="nil"/>
                    <w:tr2bl w:val="nil"/>
                  </w:tcBorders>
                  <w:noWrap/>
                  <w:vAlign w:val="center"/>
                </w:tcPr>
                <w:p w14:paraId="409AA4F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457" w:type="pct"/>
                  <w:tcBorders>
                    <w:tl2br w:val="nil"/>
                    <w:tr2bl w:val="nil"/>
                  </w:tcBorders>
                  <w:noWrap/>
                  <w:vAlign w:val="center"/>
                </w:tcPr>
                <w:p w14:paraId="675056CE">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(mg/L)</w:t>
                  </w:r>
                </w:p>
              </w:tc>
              <w:tc>
                <w:tcPr>
                  <w:tcW w:w="507" w:type="pct"/>
                  <w:tcBorders>
                    <w:tl2br w:val="nil"/>
                    <w:tr2bl w:val="nil"/>
                  </w:tcBorders>
                  <w:noWrap/>
                  <w:vAlign w:val="center"/>
                </w:tcPr>
                <w:p w14:paraId="4975E7D2">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(t/a)</w:t>
                  </w:r>
                </w:p>
              </w:tc>
              <w:tc>
                <w:tcPr>
                  <w:tcW w:w="437" w:type="pct"/>
                  <w:vMerge w:val="continue"/>
                  <w:tcBorders>
                    <w:tl2br w:val="nil"/>
                    <w:tr2bl w:val="nil"/>
                  </w:tcBorders>
                  <w:noWrap/>
                  <w:vAlign w:val="center"/>
                </w:tcPr>
                <w:p w14:paraId="637DBC0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vMerge w:val="continue"/>
                  <w:tcBorders>
                    <w:tl2br w:val="nil"/>
                    <w:tr2bl w:val="nil"/>
                  </w:tcBorders>
                  <w:noWrap/>
                  <w:vAlign w:val="center"/>
                </w:tcPr>
                <w:p w14:paraId="555811E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tcBorders>
                    <w:tl2br w:val="nil"/>
                    <w:tr2bl w:val="nil"/>
                  </w:tcBorders>
                  <w:noWrap/>
                  <w:vAlign w:val="center"/>
                </w:tcPr>
                <w:p w14:paraId="530EC00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
                      <w:bCs/>
                      <w:color w:val="auto"/>
                      <w:kern w:val="0"/>
                      <w:sz w:val="21"/>
                      <w:szCs w:val="21"/>
                    </w:rPr>
                    <w:t>(mg/L)</w:t>
                  </w:r>
                </w:p>
              </w:tc>
            </w:tr>
            <w:tr w14:paraId="2C8250B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96" w:type="pct"/>
                  <w:vMerge w:val="restart"/>
                  <w:tcBorders>
                    <w:tl2br w:val="nil"/>
                    <w:tr2bl w:val="nil"/>
                  </w:tcBorders>
                  <w:noWrap/>
                  <w:vAlign w:val="center"/>
                </w:tcPr>
                <w:p w14:paraId="44D058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生产废水（织造废水、磨毛废水、设备清洗废水）</w:t>
                  </w:r>
                </w:p>
              </w:tc>
              <w:tc>
                <w:tcPr>
                  <w:tcW w:w="413" w:type="pct"/>
                  <w:vMerge w:val="restart"/>
                  <w:tcBorders>
                    <w:tl2br w:val="nil"/>
                    <w:tr2bl w:val="nil"/>
                  </w:tcBorders>
                  <w:noWrap/>
                  <w:vAlign w:val="center"/>
                </w:tcPr>
                <w:p w14:paraId="0EDCC4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481620</w:t>
                  </w:r>
                </w:p>
              </w:tc>
              <w:tc>
                <w:tcPr>
                  <w:tcW w:w="463" w:type="pct"/>
                  <w:tcBorders>
                    <w:tl2br w:val="nil"/>
                    <w:tr2bl w:val="nil"/>
                  </w:tcBorders>
                  <w:noWrap/>
                  <w:vAlign w:val="center"/>
                </w:tcPr>
                <w:p w14:paraId="7ED6781A">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rPr>
                    <w:t>COD</w:t>
                  </w:r>
                </w:p>
              </w:tc>
              <w:tc>
                <w:tcPr>
                  <w:tcW w:w="453" w:type="pct"/>
                  <w:tcBorders>
                    <w:tl2br w:val="nil"/>
                    <w:tr2bl w:val="nil"/>
                  </w:tcBorders>
                  <w:noWrap/>
                  <w:vAlign w:val="center"/>
                </w:tcPr>
                <w:p w14:paraId="5C0B6BD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652</w:t>
                  </w:r>
                </w:p>
              </w:tc>
              <w:tc>
                <w:tcPr>
                  <w:tcW w:w="963" w:type="dxa"/>
                  <w:tcBorders>
                    <w:tl2br w:val="nil"/>
                    <w:tr2bl w:val="nil"/>
                  </w:tcBorders>
                  <w:noWrap/>
                  <w:vAlign w:val="center"/>
                </w:tcPr>
                <w:p w14:paraId="39FAF89F">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 xml:space="preserve">314.0162 </w:t>
                  </w:r>
                </w:p>
              </w:tc>
              <w:tc>
                <w:tcPr>
                  <w:tcW w:w="463" w:type="pct"/>
                  <w:vMerge w:val="restart"/>
                  <w:tcBorders>
                    <w:tl2br w:val="nil"/>
                    <w:tr2bl w:val="nil"/>
                  </w:tcBorders>
                  <w:noWrap/>
                  <w:vAlign w:val="center"/>
                </w:tcPr>
                <w:p w14:paraId="49D86C0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w:t>
                  </w:r>
                  <w:r>
                    <w:rPr>
                      <w:rFonts w:hint="eastAsia" w:cs="Times New Roman"/>
                      <w:b w:val="0"/>
                      <w:color w:val="auto"/>
                      <w:kern w:val="2"/>
                      <w:sz w:val="21"/>
                      <w:szCs w:val="21"/>
                      <w:lang w:val="en-US" w:eastAsia="zh-CN" w:bidi="ar-SA"/>
                    </w:rPr>
                    <w:t>隔油+气浮+好氧生化+二级沉淀+过滤</w:t>
                  </w:r>
                  <w:r>
                    <w:rPr>
                      <w:rFonts w:hint="eastAsia" w:ascii="Times New Roman" w:hAnsi="Times New Roman" w:eastAsia="宋体" w:cs="Times New Roman"/>
                      <w:b w:val="0"/>
                      <w:color w:val="auto"/>
                      <w:kern w:val="2"/>
                      <w:sz w:val="21"/>
                      <w:szCs w:val="21"/>
                      <w:lang w:val="en-US" w:eastAsia="zh-CN" w:bidi="ar-SA"/>
                    </w:rPr>
                    <w:t>”</w:t>
                  </w:r>
                  <w:r>
                    <w:rPr>
                      <w:rFonts w:hint="default" w:ascii="Times New Roman" w:hAnsi="Times New Roman" w:eastAsia="宋体" w:cs="Times New Roman"/>
                      <w:b w:val="0"/>
                      <w:color w:val="auto"/>
                      <w:kern w:val="2"/>
                      <w:sz w:val="21"/>
                      <w:szCs w:val="21"/>
                      <w:lang w:val="en-US" w:eastAsia="zh-CN" w:bidi="ar-SA"/>
                    </w:rPr>
                    <w:t>处理设施</w:t>
                  </w:r>
                </w:p>
              </w:tc>
              <w:tc>
                <w:tcPr>
                  <w:tcW w:w="457" w:type="pct"/>
                  <w:tcBorders>
                    <w:tl2br w:val="nil"/>
                    <w:tr2bl w:val="nil"/>
                  </w:tcBorders>
                  <w:noWrap/>
                  <w:vAlign w:val="center"/>
                </w:tcPr>
                <w:p w14:paraId="57B1E6B3">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34</w:t>
                  </w:r>
                </w:p>
              </w:tc>
              <w:tc>
                <w:tcPr>
                  <w:tcW w:w="1016" w:type="dxa"/>
                  <w:tcBorders>
                    <w:tl2br w:val="nil"/>
                    <w:tr2bl w:val="nil"/>
                  </w:tcBorders>
                  <w:noWrap/>
                  <w:vAlign w:val="center"/>
                </w:tcPr>
                <w:p w14:paraId="40205B72">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 xml:space="preserve">16.3916 </w:t>
                  </w:r>
                </w:p>
              </w:tc>
              <w:tc>
                <w:tcPr>
                  <w:tcW w:w="437" w:type="pct"/>
                  <w:tcBorders>
                    <w:tl2br w:val="nil"/>
                    <w:tr2bl w:val="nil"/>
                  </w:tcBorders>
                  <w:noWrap/>
                  <w:vAlign w:val="center"/>
                </w:tcPr>
                <w:p w14:paraId="7B598B8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94.78%</w:t>
                  </w:r>
                </w:p>
              </w:tc>
              <w:tc>
                <w:tcPr>
                  <w:tcW w:w="463" w:type="pct"/>
                  <w:vMerge w:val="restart"/>
                  <w:tcBorders>
                    <w:tl2br w:val="nil"/>
                    <w:tr2bl w:val="nil"/>
                  </w:tcBorders>
                  <w:noWrap/>
                  <w:vAlign w:val="center"/>
                </w:tcPr>
                <w:p w14:paraId="7E00A16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95%回用</w:t>
                  </w:r>
                  <w:r>
                    <w:rPr>
                      <w:rFonts w:hint="eastAsia" w:ascii="Times New Roman" w:hAnsi="Times New Roman" w:eastAsia="宋体" w:cs="Times New Roman"/>
                      <w:bCs/>
                      <w:color w:val="auto"/>
                      <w:sz w:val="21"/>
                      <w:szCs w:val="21"/>
                      <w:lang w:val="en-US" w:eastAsia="zh-CN"/>
                    </w:rPr>
                    <w:t>用于织造用水</w:t>
                  </w:r>
                  <w:r>
                    <w:rPr>
                      <w:rFonts w:hint="eastAsia" w:cs="Times New Roman"/>
                      <w:bCs/>
                      <w:color w:val="auto"/>
                      <w:sz w:val="21"/>
                      <w:szCs w:val="21"/>
                      <w:lang w:val="en-US" w:eastAsia="zh-CN"/>
                    </w:rPr>
                    <w:t>，5%排放到</w:t>
                  </w:r>
                  <w:r>
                    <w:rPr>
                      <w:rFonts w:hint="default" w:ascii="Times New Roman" w:hAnsi="Times New Roman" w:eastAsia="宋体" w:cs="Times New Roman"/>
                      <w:bCs/>
                      <w:color w:val="auto"/>
                      <w:sz w:val="21"/>
                      <w:szCs w:val="21"/>
                      <w:lang w:val="en-US" w:eastAsia="en-US"/>
                    </w:rPr>
                    <w:t>五河县经济开发区污水处理厂</w:t>
                  </w:r>
                </w:p>
              </w:tc>
              <w:tc>
                <w:tcPr>
                  <w:tcW w:w="463" w:type="pct"/>
                  <w:tcBorders>
                    <w:tl2br w:val="nil"/>
                    <w:tr2bl w:val="nil"/>
                  </w:tcBorders>
                  <w:noWrap/>
                  <w:vAlign w:val="center"/>
                </w:tcPr>
                <w:p w14:paraId="299CDE0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50</w:t>
                  </w:r>
                </w:p>
              </w:tc>
            </w:tr>
            <w:tr w14:paraId="36154E9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96" w:type="pct"/>
                  <w:vMerge w:val="continue"/>
                  <w:tcBorders>
                    <w:tl2br w:val="nil"/>
                    <w:tr2bl w:val="nil"/>
                  </w:tcBorders>
                  <w:noWrap/>
                  <w:vAlign w:val="center"/>
                </w:tcPr>
                <w:p w14:paraId="08872AE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tcBorders>
                    <w:tl2br w:val="nil"/>
                    <w:tr2bl w:val="nil"/>
                  </w:tcBorders>
                  <w:noWrap/>
                  <w:vAlign w:val="center"/>
                </w:tcPr>
                <w:p w14:paraId="444BAA4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tcBorders>
                    <w:tl2br w:val="nil"/>
                    <w:tr2bl w:val="nil"/>
                  </w:tcBorders>
                  <w:noWrap/>
                  <w:vAlign w:val="center"/>
                </w:tcPr>
                <w:p w14:paraId="0CFE1219">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rPr>
                    <w:t>BOD</w:t>
                  </w:r>
                  <w:r>
                    <w:rPr>
                      <w:rFonts w:hint="default" w:ascii="Times New Roman" w:hAnsi="Times New Roman" w:eastAsia="宋体" w:cs="Times New Roman"/>
                      <w:bCs/>
                      <w:color w:val="auto"/>
                      <w:kern w:val="0"/>
                      <w:sz w:val="21"/>
                      <w:szCs w:val="21"/>
                      <w:vertAlign w:val="subscript"/>
                    </w:rPr>
                    <w:t>5</w:t>
                  </w:r>
                </w:p>
              </w:tc>
              <w:tc>
                <w:tcPr>
                  <w:tcW w:w="453" w:type="pct"/>
                  <w:tcBorders>
                    <w:tl2br w:val="nil"/>
                    <w:tr2bl w:val="nil"/>
                  </w:tcBorders>
                  <w:noWrap/>
                  <w:vAlign w:val="center"/>
                </w:tcPr>
                <w:p w14:paraId="20C1C5CD">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132</w:t>
                  </w:r>
                </w:p>
              </w:tc>
              <w:tc>
                <w:tcPr>
                  <w:tcW w:w="963" w:type="dxa"/>
                  <w:tcBorders>
                    <w:tl2br w:val="nil"/>
                    <w:tr2bl w:val="nil"/>
                  </w:tcBorders>
                  <w:noWrap/>
                  <w:vAlign w:val="center"/>
                </w:tcPr>
                <w:p w14:paraId="26E29F89">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 xml:space="preserve">63.5738 </w:t>
                  </w:r>
                </w:p>
              </w:tc>
              <w:tc>
                <w:tcPr>
                  <w:tcW w:w="463" w:type="pct"/>
                  <w:vMerge w:val="continue"/>
                  <w:tcBorders>
                    <w:tl2br w:val="nil"/>
                    <w:tr2bl w:val="nil"/>
                  </w:tcBorders>
                  <w:noWrap/>
                  <w:vAlign w:val="center"/>
                </w:tcPr>
                <w:p w14:paraId="3159A1E3">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p>
              </w:tc>
              <w:tc>
                <w:tcPr>
                  <w:tcW w:w="457" w:type="pct"/>
                  <w:tcBorders>
                    <w:tl2br w:val="nil"/>
                    <w:tr2bl w:val="nil"/>
                  </w:tcBorders>
                  <w:noWrap/>
                  <w:vAlign w:val="center"/>
                </w:tcPr>
                <w:p w14:paraId="4D896C2F">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10</w:t>
                  </w:r>
                </w:p>
              </w:tc>
              <w:tc>
                <w:tcPr>
                  <w:tcW w:w="1016" w:type="dxa"/>
                  <w:tcBorders>
                    <w:tl2br w:val="nil"/>
                    <w:tr2bl w:val="nil"/>
                  </w:tcBorders>
                  <w:noWrap/>
                  <w:vAlign w:val="center"/>
                </w:tcPr>
                <w:p w14:paraId="74D7EEBD">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 xml:space="preserve">4.9143 </w:t>
                  </w:r>
                </w:p>
              </w:tc>
              <w:tc>
                <w:tcPr>
                  <w:tcW w:w="437" w:type="pct"/>
                  <w:tcBorders>
                    <w:tl2br w:val="nil"/>
                    <w:tr2bl w:val="nil"/>
                  </w:tcBorders>
                  <w:noWrap/>
                  <w:vAlign w:val="center"/>
                </w:tcPr>
                <w:p w14:paraId="4DD86AC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92.27%</w:t>
                  </w:r>
                </w:p>
              </w:tc>
              <w:tc>
                <w:tcPr>
                  <w:tcW w:w="463" w:type="pct"/>
                  <w:vMerge w:val="continue"/>
                  <w:tcBorders>
                    <w:tl2br w:val="nil"/>
                    <w:tr2bl w:val="nil"/>
                  </w:tcBorders>
                  <w:noWrap/>
                  <w:vAlign w:val="center"/>
                </w:tcPr>
                <w:p w14:paraId="6AF1AF3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tcBorders>
                    <w:tl2br w:val="nil"/>
                    <w:tr2bl w:val="nil"/>
                  </w:tcBorders>
                  <w:noWrap/>
                  <w:vAlign w:val="center"/>
                </w:tcPr>
                <w:p w14:paraId="0717C0B7">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10</w:t>
                  </w:r>
                </w:p>
              </w:tc>
            </w:tr>
            <w:tr w14:paraId="6F9501B5">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96" w:type="pct"/>
                  <w:vMerge w:val="continue"/>
                  <w:tcBorders>
                    <w:tl2br w:val="nil"/>
                    <w:tr2bl w:val="nil"/>
                  </w:tcBorders>
                  <w:noWrap/>
                  <w:vAlign w:val="center"/>
                </w:tcPr>
                <w:p w14:paraId="700E24F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tcBorders>
                    <w:tl2br w:val="nil"/>
                    <w:tr2bl w:val="nil"/>
                  </w:tcBorders>
                  <w:noWrap/>
                  <w:vAlign w:val="center"/>
                </w:tcPr>
                <w:p w14:paraId="2A73402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tcBorders>
                    <w:tl2br w:val="nil"/>
                    <w:tr2bl w:val="nil"/>
                  </w:tcBorders>
                  <w:noWrap/>
                  <w:vAlign w:val="center"/>
                </w:tcPr>
                <w:p w14:paraId="2F5E5689">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rPr>
                    <w:t>SS</w:t>
                  </w:r>
                </w:p>
              </w:tc>
              <w:tc>
                <w:tcPr>
                  <w:tcW w:w="453" w:type="pct"/>
                  <w:tcBorders>
                    <w:tl2br w:val="nil"/>
                    <w:tr2bl w:val="nil"/>
                  </w:tcBorders>
                  <w:noWrap/>
                  <w:vAlign w:val="center"/>
                </w:tcPr>
                <w:p w14:paraId="74BFE80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111</w:t>
                  </w:r>
                </w:p>
              </w:tc>
              <w:tc>
                <w:tcPr>
                  <w:tcW w:w="963" w:type="dxa"/>
                  <w:tcBorders>
                    <w:tl2br w:val="nil"/>
                    <w:tr2bl w:val="nil"/>
                  </w:tcBorders>
                  <w:noWrap/>
                  <w:vAlign w:val="center"/>
                </w:tcPr>
                <w:p w14:paraId="2DDE8467">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 xml:space="preserve">53.4598 </w:t>
                  </w:r>
                </w:p>
              </w:tc>
              <w:tc>
                <w:tcPr>
                  <w:tcW w:w="463" w:type="pct"/>
                  <w:vMerge w:val="continue"/>
                  <w:tcBorders>
                    <w:tl2br w:val="nil"/>
                    <w:tr2bl w:val="nil"/>
                  </w:tcBorders>
                  <w:noWrap/>
                  <w:vAlign w:val="center"/>
                </w:tcPr>
                <w:p w14:paraId="5C49E916">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p>
              </w:tc>
              <w:tc>
                <w:tcPr>
                  <w:tcW w:w="457" w:type="pct"/>
                  <w:tcBorders>
                    <w:tl2br w:val="nil"/>
                    <w:tr2bl w:val="nil"/>
                  </w:tcBorders>
                  <w:noWrap/>
                  <w:vAlign w:val="center"/>
                </w:tcPr>
                <w:p w14:paraId="39046A42">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41</w:t>
                  </w:r>
                </w:p>
              </w:tc>
              <w:tc>
                <w:tcPr>
                  <w:tcW w:w="1016" w:type="dxa"/>
                  <w:tcBorders>
                    <w:tl2br w:val="nil"/>
                    <w:tr2bl w:val="nil"/>
                  </w:tcBorders>
                  <w:noWrap/>
                  <w:vAlign w:val="center"/>
                </w:tcPr>
                <w:p w14:paraId="7A8D524A">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 xml:space="preserve">19.6411 </w:t>
                  </w:r>
                </w:p>
              </w:tc>
              <w:tc>
                <w:tcPr>
                  <w:tcW w:w="437" w:type="pct"/>
                  <w:tcBorders>
                    <w:tl2br w:val="nil"/>
                    <w:tr2bl w:val="nil"/>
                  </w:tcBorders>
                  <w:noWrap/>
                  <w:vAlign w:val="center"/>
                </w:tcPr>
                <w:p w14:paraId="646CC4C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63.26%</w:t>
                  </w:r>
                </w:p>
              </w:tc>
              <w:tc>
                <w:tcPr>
                  <w:tcW w:w="463" w:type="pct"/>
                  <w:vMerge w:val="continue"/>
                  <w:tcBorders>
                    <w:tl2br w:val="nil"/>
                    <w:tr2bl w:val="nil"/>
                  </w:tcBorders>
                  <w:noWrap/>
                  <w:vAlign w:val="center"/>
                </w:tcPr>
                <w:p w14:paraId="5C75AD2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tcBorders>
                    <w:tl2br w:val="nil"/>
                    <w:tr2bl w:val="nil"/>
                  </w:tcBorders>
                  <w:noWrap/>
                  <w:vAlign w:val="center"/>
                </w:tcPr>
                <w:p w14:paraId="664EEA6F">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w:t>
                  </w:r>
                </w:p>
              </w:tc>
            </w:tr>
            <w:tr w14:paraId="312982C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96" w:type="pct"/>
                  <w:vMerge w:val="continue"/>
                  <w:tcBorders>
                    <w:tl2br w:val="nil"/>
                    <w:tr2bl w:val="nil"/>
                  </w:tcBorders>
                  <w:noWrap/>
                  <w:vAlign w:val="center"/>
                </w:tcPr>
                <w:p w14:paraId="253DB18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tcBorders>
                    <w:tl2br w:val="nil"/>
                    <w:tr2bl w:val="nil"/>
                  </w:tcBorders>
                  <w:noWrap/>
                  <w:vAlign w:val="center"/>
                </w:tcPr>
                <w:p w14:paraId="25F8208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tcBorders>
                    <w:tl2br w:val="nil"/>
                    <w:tr2bl w:val="nil"/>
                  </w:tcBorders>
                  <w:noWrap/>
                  <w:vAlign w:val="center"/>
                </w:tcPr>
                <w:p w14:paraId="3EEE4BE4">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rPr>
                    <w:t>NH</w:t>
                  </w:r>
                  <w:r>
                    <w:rPr>
                      <w:rFonts w:hint="default" w:ascii="Times New Roman" w:hAnsi="Times New Roman" w:eastAsia="宋体" w:cs="Times New Roman"/>
                      <w:bCs/>
                      <w:color w:val="auto"/>
                      <w:kern w:val="0"/>
                      <w:sz w:val="21"/>
                      <w:szCs w:val="21"/>
                      <w:vertAlign w:val="subscript"/>
                    </w:rPr>
                    <w:t>3</w:t>
                  </w:r>
                  <w:r>
                    <w:rPr>
                      <w:rFonts w:hint="default" w:ascii="Times New Roman" w:hAnsi="Times New Roman" w:eastAsia="宋体" w:cs="Times New Roman"/>
                      <w:bCs/>
                      <w:color w:val="auto"/>
                      <w:kern w:val="0"/>
                      <w:sz w:val="21"/>
                      <w:szCs w:val="21"/>
                    </w:rPr>
                    <w:t>-N</w:t>
                  </w:r>
                </w:p>
              </w:tc>
              <w:tc>
                <w:tcPr>
                  <w:tcW w:w="453" w:type="pct"/>
                  <w:tcBorders>
                    <w:tl2br w:val="nil"/>
                    <w:tr2bl w:val="nil"/>
                  </w:tcBorders>
                  <w:noWrap/>
                  <w:vAlign w:val="center"/>
                </w:tcPr>
                <w:p w14:paraId="0EADEDB7">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30</w:t>
                  </w:r>
                </w:p>
              </w:tc>
              <w:tc>
                <w:tcPr>
                  <w:tcW w:w="963" w:type="dxa"/>
                  <w:tcBorders>
                    <w:tl2br w:val="nil"/>
                    <w:tr2bl w:val="nil"/>
                  </w:tcBorders>
                  <w:noWrap/>
                  <w:vAlign w:val="center"/>
                </w:tcPr>
                <w:p w14:paraId="3671E485">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 xml:space="preserve">14.4486 </w:t>
                  </w:r>
                </w:p>
              </w:tc>
              <w:tc>
                <w:tcPr>
                  <w:tcW w:w="463" w:type="pct"/>
                  <w:vMerge w:val="continue"/>
                  <w:tcBorders>
                    <w:tl2br w:val="nil"/>
                    <w:tr2bl w:val="nil"/>
                  </w:tcBorders>
                  <w:noWrap/>
                  <w:vAlign w:val="center"/>
                </w:tcPr>
                <w:p w14:paraId="615F4382">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p>
              </w:tc>
              <w:tc>
                <w:tcPr>
                  <w:tcW w:w="457" w:type="pct"/>
                  <w:tcBorders>
                    <w:tl2br w:val="nil"/>
                    <w:tr2bl w:val="nil"/>
                  </w:tcBorders>
                  <w:noWrap/>
                  <w:vAlign w:val="center"/>
                </w:tcPr>
                <w:p w14:paraId="39060D7D">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w:t>
                  </w:r>
                </w:p>
              </w:tc>
              <w:tc>
                <w:tcPr>
                  <w:tcW w:w="1016" w:type="dxa"/>
                  <w:tcBorders>
                    <w:tl2br w:val="nil"/>
                    <w:tr2bl w:val="nil"/>
                  </w:tcBorders>
                  <w:noWrap/>
                  <w:vAlign w:val="center"/>
                </w:tcPr>
                <w:p w14:paraId="731F0633">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 xml:space="preserve">1.1790 </w:t>
                  </w:r>
                </w:p>
              </w:tc>
              <w:tc>
                <w:tcPr>
                  <w:tcW w:w="437" w:type="pct"/>
                  <w:tcBorders>
                    <w:tl2br w:val="nil"/>
                    <w:tr2bl w:val="nil"/>
                  </w:tcBorders>
                  <w:noWrap/>
                  <w:vAlign w:val="center"/>
                </w:tcPr>
                <w:p w14:paraId="4902C63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91.84%</w:t>
                  </w:r>
                </w:p>
              </w:tc>
              <w:tc>
                <w:tcPr>
                  <w:tcW w:w="463" w:type="pct"/>
                  <w:vMerge w:val="continue"/>
                  <w:tcBorders>
                    <w:tl2br w:val="nil"/>
                    <w:tr2bl w:val="nil"/>
                  </w:tcBorders>
                  <w:noWrap/>
                  <w:vAlign w:val="center"/>
                </w:tcPr>
                <w:p w14:paraId="7143B5F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tcBorders>
                    <w:tl2br w:val="nil"/>
                    <w:tr2bl w:val="nil"/>
                  </w:tcBorders>
                  <w:noWrap/>
                  <w:vAlign w:val="center"/>
                </w:tcPr>
                <w:p w14:paraId="4251F968">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5</w:t>
                  </w:r>
                </w:p>
              </w:tc>
            </w:tr>
            <w:tr w14:paraId="44741FB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96" w:type="pct"/>
                  <w:vMerge w:val="continue"/>
                  <w:tcBorders>
                    <w:tl2br w:val="nil"/>
                    <w:tr2bl w:val="nil"/>
                  </w:tcBorders>
                  <w:noWrap/>
                  <w:vAlign w:val="center"/>
                </w:tcPr>
                <w:p w14:paraId="3F8C879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tcBorders>
                    <w:tl2br w:val="nil"/>
                    <w:tr2bl w:val="nil"/>
                  </w:tcBorders>
                  <w:noWrap/>
                  <w:vAlign w:val="center"/>
                </w:tcPr>
                <w:p w14:paraId="798B4F5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tcBorders>
                    <w:tl2br w:val="nil"/>
                    <w:tr2bl w:val="nil"/>
                  </w:tcBorders>
                  <w:noWrap/>
                  <w:vAlign w:val="center"/>
                </w:tcPr>
                <w:p w14:paraId="23D84EC9">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en-US"/>
                    </w:rPr>
                    <w:t>石油类</w:t>
                  </w:r>
                </w:p>
              </w:tc>
              <w:tc>
                <w:tcPr>
                  <w:tcW w:w="453" w:type="pct"/>
                  <w:tcBorders>
                    <w:tl2br w:val="nil"/>
                    <w:tr2bl w:val="nil"/>
                  </w:tcBorders>
                  <w:noWrap/>
                  <w:vAlign w:val="center"/>
                </w:tcPr>
                <w:p w14:paraId="3283F552">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46.3</w:t>
                  </w:r>
                </w:p>
              </w:tc>
              <w:tc>
                <w:tcPr>
                  <w:tcW w:w="963" w:type="dxa"/>
                  <w:tcBorders>
                    <w:tl2br w:val="nil"/>
                    <w:tr2bl w:val="nil"/>
                  </w:tcBorders>
                  <w:noWrap/>
                  <w:vAlign w:val="center"/>
                </w:tcPr>
                <w:p w14:paraId="7B8D133B">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 xml:space="preserve">22.2990 </w:t>
                  </w:r>
                </w:p>
              </w:tc>
              <w:tc>
                <w:tcPr>
                  <w:tcW w:w="463" w:type="pct"/>
                  <w:vMerge w:val="continue"/>
                  <w:tcBorders>
                    <w:tl2br w:val="nil"/>
                    <w:tr2bl w:val="nil"/>
                  </w:tcBorders>
                  <w:noWrap/>
                  <w:vAlign w:val="center"/>
                </w:tcPr>
                <w:p w14:paraId="44F5D84B">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p>
              </w:tc>
              <w:tc>
                <w:tcPr>
                  <w:tcW w:w="457" w:type="pct"/>
                  <w:tcBorders>
                    <w:tl2br w:val="nil"/>
                    <w:tr2bl w:val="nil"/>
                  </w:tcBorders>
                  <w:noWrap/>
                  <w:vAlign w:val="center"/>
                </w:tcPr>
                <w:p w14:paraId="712123E7">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0.2</w:t>
                  </w:r>
                </w:p>
              </w:tc>
              <w:tc>
                <w:tcPr>
                  <w:tcW w:w="1016" w:type="dxa"/>
                  <w:tcBorders>
                    <w:tl2br w:val="nil"/>
                    <w:tr2bl w:val="nil"/>
                  </w:tcBorders>
                  <w:shd w:val="clear" w:color="auto" w:fill="auto"/>
                  <w:noWrap/>
                  <w:vAlign w:val="center"/>
                </w:tcPr>
                <w:p w14:paraId="40388A56">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 xml:space="preserve">0.1160 </w:t>
                  </w:r>
                </w:p>
              </w:tc>
              <w:tc>
                <w:tcPr>
                  <w:tcW w:w="437" w:type="pct"/>
                  <w:tcBorders>
                    <w:tl2br w:val="nil"/>
                    <w:tr2bl w:val="nil"/>
                  </w:tcBorders>
                  <w:noWrap/>
                  <w:vAlign w:val="center"/>
                </w:tcPr>
                <w:p w14:paraId="71051E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99.48%</w:t>
                  </w:r>
                </w:p>
              </w:tc>
              <w:tc>
                <w:tcPr>
                  <w:tcW w:w="463" w:type="pct"/>
                  <w:vMerge w:val="continue"/>
                  <w:tcBorders>
                    <w:tl2br w:val="nil"/>
                    <w:tr2bl w:val="nil"/>
                  </w:tcBorders>
                  <w:noWrap/>
                  <w:vAlign w:val="center"/>
                </w:tcPr>
                <w:p w14:paraId="107C4C8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tcBorders>
                    <w:tl2br w:val="nil"/>
                    <w:tr2bl w:val="nil"/>
                  </w:tcBorders>
                  <w:noWrap/>
                  <w:vAlign w:val="center"/>
                </w:tcPr>
                <w:p w14:paraId="109B4424">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1.0</w:t>
                  </w:r>
                </w:p>
              </w:tc>
            </w:tr>
            <w:tr w14:paraId="1119F957">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96" w:type="pct"/>
                  <w:vMerge w:val="continue"/>
                  <w:tcBorders>
                    <w:tl2br w:val="nil"/>
                    <w:tr2bl w:val="nil"/>
                  </w:tcBorders>
                  <w:noWrap/>
                  <w:vAlign w:val="center"/>
                </w:tcPr>
                <w:p w14:paraId="027729E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13" w:type="pct"/>
                  <w:vMerge w:val="continue"/>
                  <w:tcBorders>
                    <w:tl2br w:val="nil"/>
                    <w:tr2bl w:val="nil"/>
                  </w:tcBorders>
                  <w:noWrap/>
                  <w:vAlign w:val="center"/>
                </w:tcPr>
                <w:p w14:paraId="75981C9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tcBorders>
                    <w:tl2br w:val="nil"/>
                    <w:tr2bl w:val="nil"/>
                  </w:tcBorders>
                  <w:noWrap/>
                  <w:vAlign w:val="center"/>
                </w:tcPr>
                <w:p w14:paraId="4A0C375F">
                  <w:pPr>
                    <w:keepNext w:val="0"/>
                    <w:keepLines w:val="0"/>
                    <w:suppressLineNumbers w:val="0"/>
                    <w:overflowPunct w:val="0"/>
                    <w:autoSpaceDE w:val="0"/>
                    <w:autoSpaceDN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总锑</w:t>
                  </w:r>
                </w:p>
              </w:tc>
              <w:tc>
                <w:tcPr>
                  <w:tcW w:w="453" w:type="pct"/>
                  <w:tcBorders>
                    <w:tl2br w:val="nil"/>
                    <w:tr2bl w:val="nil"/>
                  </w:tcBorders>
                  <w:noWrap/>
                  <w:vAlign w:val="center"/>
                </w:tcPr>
                <w:p w14:paraId="13708BC8">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0.1</w:t>
                  </w:r>
                </w:p>
              </w:tc>
              <w:tc>
                <w:tcPr>
                  <w:tcW w:w="963" w:type="dxa"/>
                  <w:tcBorders>
                    <w:tl2br w:val="nil"/>
                    <w:tr2bl w:val="nil"/>
                  </w:tcBorders>
                  <w:noWrap/>
                  <w:vAlign w:val="center"/>
                </w:tcPr>
                <w:p w14:paraId="563131AA">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 xml:space="preserve">0.0482 </w:t>
                  </w:r>
                </w:p>
              </w:tc>
              <w:tc>
                <w:tcPr>
                  <w:tcW w:w="463" w:type="pct"/>
                  <w:vMerge w:val="continue"/>
                  <w:tcBorders>
                    <w:tl2br w:val="nil"/>
                    <w:tr2bl w:val="nil"/>
                  </w:tcBorders>
                  <w:noWrap/>
                  <w:vAlign w:val="center"/>
                </w:tcPr>
                <w:p w14:paraId="4D3071D2">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p>
              </w:tc>
              <w:tc>
                <w:tcPr>
                  <w:tcW w:w="457" w:type="pct"/>
                  <w:tcBorders>
                    <w:tl2br w:val="nil"/>
                    <w:tr2bl w:val="nil"/>
                  </w:tcBorders>
                  <w:noWrap/>
                  <w:vAlign w:val="center"/>
                </w:tcPr>
                <w:p w14:paraId="2096DD72">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0.1</w:t>
                  </w:r>
                </w:p>
              </w:tc>
              <w:tc>
                <w:tcPr>
                  <w:tcW w:w="507" w:type="pct"/>
                  <w:tcBorders>
                    <w:tl2br w:val="nil"/>
                    <w:tr2bl w:val="nil"/>
                  </w:tcBorders>
                  <w:noWrap/>
                  <w:vAlign w:val="center"/>
                </w:tcPr>
                <w:p w14:paraId="4D586461">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 xml:space="preserve">0.0482 </w:t>
                  </w:r>
                </w:p>
              </w:tc>
              <w:tc>
                <w:tcPr>
                  <w:tcW w:w="437" w:type="pct"/>
                  <w:tcBorders>
                    <w:tl2br w:val="nil"/>
                    <w:tr2bl w:val="nil"/>
                  </w:tcBorders>
                  <w:noWrap/>
                  <w:vAlign w:val="center"/>
                </w:tcPr>
                <w:p w14:paraId="642461D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w:t>
                  </w:r>
                </w:p>
              </w:tc>
              <w:tc>
                <w:tcPr>
                  <w:tcW w:w="463" w:type="pct"/>
                  <w:vMerge w:val="continue"/>
                  <w:tcBorders>
                    <w:tl2br w:val="nil"/>
                    <w:tr2bl w:val="nil"/>
                  </w:tcBorders>
                  <w:noWrap/>
                  <w:vAlign w:val="center"/>
                </w:tcPr>
                <w:p w14:paraId="38C6ACC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c>
                <w:tcPr>
                  <w:tcW w:w="463" w:type="pct"/>
                  <w:tcBorders>
                    <w:tl2br w:val="nil"/>
                    <w:tr2bl w:val="nil"/>
                  </w:tcBorders>
                  <w:noWrap/>
                  <w:vAlign w:val="center"/>
                </w:tcPr>
                <w:p w14:paraId="0BF9AF15">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w:t>
                  </w:r>
                </w:p>
              </w:tc>
            </w:tr>
          </w:tbl>
          <w:p w14:paraId="65E0ACEA">
            <w:pPr>
              <w:keepNext w:val="0"/>
              <w:keepLines w:val="0"/>
              <w:widowControl w:val="0"/>
              <w:suppressLineNumbers w:val="0"/>
              <w:tabs>
                <w:tab w:val="left" w:pos="180"/>
              </w:tabs>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宋体"/>
                <w:color w:val="auto"/>
                <w:kern w:val="0"/>
                <w:sz w:val="24"/>
                <w:szCs w:val="24"/>
                <w:lang w:val="en-US" w:eastAsia="zh-CN" w:bidi="ar"/>
              </w:rPr>
            </w:pPr>
            <w:r>
              <w:rPr>
                <w:rFonts w:hint="eastAsia" w:ascii="Times New Roman" w:hAnsi="Times New Roman" w:eastAsia="宋体" w:cs="宋体"/>
                <w:color w:val="auto"/>
                <w:kern w:val="0"/>
                <w:sz w:val="24"/>
                <w:szCs w:val="24"/>
                <w:lang w:val="en-US" w:eastAsia="zh-CN" w:bidi="ar"/>
              </w:rPr>
              <w:t>本项目生产废水量为481620t/a（1605.4t/d），经一体化污水处理设施处理后</w:t>
            </w:r>
            <w:r>
              <w:rPr>
                <w:rFonts w:hint="eastAsia" w:cs="宋体"/>
                <w:color w:val="auto"/>
                <w:kern w:val="0"/>
                <w:sz w:val="24"/>
                <w:szCs w:val="24"/>
                <w:lang w:val="en-US" w:eastAsia="zh-CN" w:bidi="ar"/>
              </w:rPr>
              <w:t>95%</w:t>
            </w:r>
            <w:r>
              <w:rPr>
                <w:rFonts w:hint="eastAsia" w:ascii="Times New Roman" w:hAnsi="Times New Roman" w:eastAsia="宋体" w:cs="宋体"/>
                <w:color w:val="auto"/>
                <w:kern w:val="0"/>
                <w:sz w:val="24"/>
                <w:szCs w:val="24"/>
                <w:lang w:val="en-US" w:eastAsia="zh-CN" w:bidi="ar"/>
              </w:rPr>
              <w:t>回用用于织造用水，</w:t>
            </w:r>
            <w:r>
              <w:rPr>
                <w:rFonts w:hint="eastAsia" w:cs="宋体"/>
                <w:color w:val="auto"/>
                <w:kern w:val="0"/>
                <w:sz w:val="24"/>
                <w:szCs w:val="24"/>
                <w:lang w:val="en-US" w:eastAsia="zh-CN" w:bidi="ar"/>
              </w:rPr>
              <w:t>5%</w:t>
            </w:r>
            <w:r>
              <w:rPr>
                <w:rFonts w:hint="eastAsia" w:ascii="Times New Roman" w:hAnsi="Times New Roman" w:eastAsia="宋体" w:cs="宋体"/>
                <w:color w:val="auto"/>
                <w:kern w:val="0"/>
                <w:sz w:val="24"/>
                <w:szCs w:val="24"/>
                <w:lang w:val="en-US" w:eastAsia="zh-CN" w:bidi="ar"/>
              </w:rPr>
              <w:t>排放到</w:t>
            </w:r>
            <w:r>
              <w:rPr>
                <w:rFonts w:hint="default" w:ascii="Times New Roman" w:hAnsi="Times New Roman" w:eastAsia="宋体" w:cs="宋体"/>
                <w:color w:val="auto"/>
                <w:kern w:val="0"/>
                <w:sz w:val="24"/>
                <w:szCs w:val="24"/>
                <w:lang w:val="en-US" w:eastAsia="en-US" w:bidi="ar"/>
              </w:rPr>
              <w:t>五河县经济开发区污水处理</w:t>
            </w:r>
            <w:r>
              <w:rPr>
                <w:rFonts w:hint="eastAsia" w:cs="宋体"/>
                <w:color w:val="auto"/>
                <w:kern w:val="0"/>
                <w:sz w:val="24"/>
                <w:szCs w:val="24"/>
                <w:lang w:val="en-US" w:eastAsia="zh-CN" w:bidi="ar"/>
              </w:rPr>
              <w:t>厂</w:t>
            </w:r>
            <w:r>
              <w:rPr>
                <w:rFonts w:hint="eastAsia" w:ascii="Times New Roman" w:hAnsi="Times New Roman" w:eastAsia="宋体" w:cs="宋体"/>
                <w:color w:val="auto"/>
                <w:kern w:val="0"/>
                <w:sz w:val="24"/>
                <w:szCs w:val="24"/>
                <w:lang w:val="en-US" w:eastAsia="zh-CN" w:bidi="ar"/>
              </w:rPr>
              <w:t>。可回用水量为</w:t>
            </w:r>
            <w:r>
              <w:rPr>
                <w:rFonts w:hint="eastAsia" w:ascii="Times New Roman" w:hAnsi="Times New Roman" w:eastAsia="宋体" w:cs="Times New Roman"/>
                <w:color w:val="auto"/>
                <w:kern w:val="0"/>
                <w:sz w:val="24"/>
                <w:szCs w:val="24"/>
                <w:highlight w:val="none"/>
                <w:lang w:val="en-US" w:eastAsia="zh-CN" w:bidi="ar"/>
              </w:rPr>
              <w:t>1525.13</w:t>
            </w:r>
            <w:r>
              <w:rPr>
                <w:rFonts w:hint="default" w:ascii="Times New Roman" w:hAnsi="Times New Roman" w:eastAsia="宋体" w:cs="Times New Roman"/>
                <w:color w:val="auto"/>
                <w:kern w:val="0"/>
                <w:sz w:val="24"/>
                <w:szCs w:val="24"/>
                <w:highlight w:val="none"/>
                <w:lang w:val="en-US" w:eastAsia="en-US" w:bidi="ar"/>
              </w:rPr>
              <w:t>t/d（</w:t>
            </w:r>
            <w:r>
              <w:rPr>
                <w:rFonts w:hint="eastAsia" w:ascii="Times New Roman" w:hAnsi="Times New Roman" w:eastAsia="宋体" w:cs="Times New Roman"/>
                <w:color w:val="auto"/>
                <w:kern w:val="0"/>
                <w:sz w:val="24"/>
                <w:szCs w:val="24"/>
                <w:highlight w:val="none"/>
                <w:lang w:val="en-US" w:eastAsia="zh-CN" w:bidi="ar"/>
              </w:rPr>
              <w:t>457539</w:t>
            </w:r>
            <w:r>
              <w:rPr>
                <w:rFonts w:hint="default" w:ascii="Times New Roman" w:hAnsi="Times New Roman" w:eastAsia="宋体" w:cs="Times New Roman"/>
                <w:color w:val="auto"/>
                <w:kern w:val="0"/>
                <w:sz w:val="24"/>
                <w:szCs w:val="24"/>
                <w:highlight w:val="none"/>
                <w:lang w:val="en-US" w:eastAsia="en-US" w:bidi="ar"/>
              </w:rPr>
              <w:t>t/a）</w:t>
            </w:r>
            <w:r>
              <w:rPr>
                <w:rFonts w:hint="eastAsia" w:ascii="Times New Roman" w:hAnsi="Times New Roman" w:eastAsia="宋体" w:cs="宋体"/>
                <w:color w:val="auto"/>
                <w:kern w:val="0"/>
                <w:sz w:val="24"/>
                <w:szCs w:val="24"/>
                <w:lang w:val="en-US" w:eastAsia="zh-CN" w:bidi="ar"/>
              </w:rPr>
              <w:t>。根据前文用水分析，项目织造用水</w:t>
            </w:r>
            <w:r>
              <w:rPr>
                <w:rFonts w:hint="default" w:ascii="Times New Roman" w:hAnsi="Times New Roman" w:eastAsia="宋体" w:cs="宋体"/>
                <w:color w:val="auto"/>
                <w:kern w:val="0"/>
                <w:sz w:val="24"/>
                <w:szCs w:val="24"/>
                <w:lang w:val="en-US" w:eastAsia="en-US" w:bidi="ar"/>
              </w:rPr>
              <w:t>2000t/d(</w:t>
            </w:r>
            <w:r>
              <w:rPr>
                <w:rFonts w:hint="eastAsia" w:ascii="Times New Roman" w:hAnsi="Times New Roman" w:eastAsia="宋体" w:cs="宋体"/>
                <w:color w:val="auto"/>
                <w:kern w:val="0"/>
                <w:sz w:val="24"/>
                <w:szCs w:val="24"/>
                <w:lang w:val="en-US" w:eastAsia="zh-CN" w:bidi="ar"/>
              </w:rPr>
              <w:t>600000</w:t>
            </w:r>
            <w:r>
              <w:rPr>
                <w:rFonts w:hint="default" w:ascii="Times New Roman" w:hAnsi="Times New Roman" w:eastAsia="宋体" w:cs="宋体"/>
                <w:color w:val="auto"/>
                <w:kern w:val="0"/>
                <w:sz w:val="24"/>
                <w:szCs w:val="24"/>
                <w:lang w:val="en-US" w:eastAsia="en-US" w:bidi="ar"/>
              </w:rPr>
              <w:t>t/a)</w:t>
            </w:r>
            <w:r>
              <w:rPr>
                <w:rFonts w:hint="eastAsia" w:ascii="Times New Roman" w:hAnsi="Times New Roman" w:eastAsia="宋体" w:cs="宋体"/>
                <w:color w:val="auto"/>
                <w:kern w:val="0"/>
                <w:sz w:val="24"/>
                <w:szCs w:val="24"/>
                <w:lang w:val="en-US" w:eastAsia="zh-CN" w:bidi="ar"/>
              </w:rPr>
              <w:t>。可回用水量小于织造用水需求量，因此，可完全利用回用水量。</w:t>
            </w:r>
          </w:p>
          <w:p w14:paraId="18B56796">
            <w:pPr>
              <w:keepNext w:val="0"/>
              <w:keepLines w:val="0"/>
              <w:widowControl w:val="0"/>
              <w:suppressLineNumbers w:val="0"/>
              <w:adjustRightInd w:val="0"/>
              <w:snapToGrid w:val="0"/>
              <w:spacing w:before="0" w:beforeAutospacing="0" w:after="0" w:afterAutospacing="0" w:line="360" w:lineRule="auto"/>
              <w:ind w:left="0" w:leftChars="0" w:right="0" w:firstLine="480" w:firstLineChars="200"/>
              <w:jc w:val="both"/>
              <w:rPr>
                <w:rFonts w:hint="eastAsia"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
              </w:rPr>
              <w:t>根据</w:t>
            </w:r>
            <w:r>
              <w:rPr>
                <w:rFonts w:hint="eastAsia" w:ascii="Times New Roman" w:hAnsi="Times New Roman" w:eastAsia="宋体" w:cs="宋体"/>
                <w:color w:val="auto"/>
                <w:kern w:val="0"/>
                <w:sz w:val="24"/>
                <w:szCs w:val="24"/>
                <w:lang w:val="en-US" w:eastAsia="zh-CN" w:bidi="ar"/>
              </w:rPr>
              <w:t>上表</w:t>
            </w:r>
            <w:r>
              <w:rPr>
                <w:rFonts w:hint="default" w:ascii="Times New Roman" w:hAnsi="Times New Roman" w:eastAsia="宋体" w:cs="宋体"/>
                <w:color w:val="auto"/>
                <w:kern w:val="0"/>
                <w:sz w:val="24"/>
                <w:szCs w:val="24"/>
                <w:lang w:val="en-US" w:eastAsia="zh-CN" w:bidi="ar"/>
              </w:rPr>
              <w:t>分析，</w:t>
            </w:r>
            <w:r>
              <w:rPr>
                <w:rFonts w:hint="eastAsia" w:ascii="Times New Roman" w:hAnsi="Times New Roman" w:eastAsia="宋体" w:cs="宋体"/>
                <w:color w:val="auto"/>
                <w:kern w:val="0"/>
                <w:sz w:val="24"/>
                <w:szCs w:val="20"/>
                <w:lang w:val="en-US" w:eastAsia="zh-CN" w:bidi="ar"/>
              </w:rPr>
              <w:t>项目生</w:t>
            </w:r>
            <w:r>
              <w:rPr>
                <w:rFonts w:hint="eastAsia" w:cs="宋体"/>
                <w:color w:val="auto"/>
                <w:kern w:val="0"/>
                <w:sz w:val="24"/>
                <w:szCs w:val="20"/>
                <w:lang w:val="en-US" w:eastAsia="zh-CN" w:bidi="ar"/>
              </w:rPr>
              <w:t>产废</w:t>
            </w:r>
            <w:r>
              <w:rPr>
                <w:rFonts w:hint="eastAsia" w:ascii="Times New Roman" w:hAnsi="Times New Roman" w:eastAsia="宋体" w:cs="宋体"/>
                <w:color w:val="auto"/>
                <w:kern w:val="0"/>
                <w:sz w:val="24"/>
                <w:szCs w:val="20"/>
                <w:lang w:val="en-US" w:eastAsia="zh-CN" w:bidi="ar"/>
              </w:rPr>
              <w:t>水</w:t>
            </w:r>
            <w:r>
              <w:rPr>
                <w:rFonts w:hint="eastAsia" w:ascii="Times New Roman" w:hAnsi="Times New Roman" w:eastAsia="宋体" w:cs="Times New Roman"/>
                <w:color w:val="auto"/>
                <w:kern w:val="0"/>
                <w:sz w:val="24"/>
                <w:szCs w:val="20"/>
                <w:lang w:val="en-US" w:eastAsia="zh-CN" w:bidi="ar-SA"/>
              </w:rPr>
              <w:t>经</w:t>
            </w:r>
            <w:r>
              <w:rPr>
                <w:rFonts w:hint="eastAsia" w:cs="Times New Roman"/>
                <w:color w:val="auto"/>
                <w:kern w:val="0"/>
                <w:sz w:val="24"/>
                <w:szCs w:val="20"/>
                <w:lang w:val="en-US" w:eastAsia="zh-CN" w:bidi="ar-SA"/>
              </w:rPr>
              <w:t>“隔油+气浮+好氧生化+二级沉淀+过滤”</w:t>
            </w:r>
            <w:r>
              <w:rPr>
                <w:rFonts w:hint="eastAsia" w:ascii="Times New Roman" w:hAnsi="Times New Roman" w:eastAsia="宋体" w:cs="Times New Roman"/>
                <w:color w:val="auto"/>
                <w:kern w:val="0"/>
                <w:sz w:val="24"/>
                <w:szCs w:val="20"/>
                <w:lang w:val="en-US" w:eastAsia="zh-CN" w:bidi="ar-SA"/>
              </w:rPr>
              <w:t>污水处理设施处理后回用于织造用水。经处理后的</w:t>
            </w:r>
            <w:r>
              <w:rPr>
                <w:rFonts w:hint="eastAsia" w:ascii="Times New Roman" w:hAnsi="Times New Roman" w:eastAsia="宋体" w:cs="宋体"/>
                <w:color w:val="auto"/>
                <w:kern w:val="0"/>
                <w:sz w:val="24"/>
                <w:szCs w:val="20"/>
                <w:lang w:val="en-US" w:eastAsia="zh-CN" w:bidi="ar"/>
              </w:rPr>
              <w:t>生产污水</w:t>
            </w:r>
            <w:r>
              <w:rPr>
                <w:rFonts w:hint="default" w:ascii="Times New Roman" w:hAnsi="Times New Roman" w:eastAsia="宋体" w:cs="宋体"/>
                <w:color w:val="auto"/>
                <w:kern w:val="0"/>
                <w:sz w:val="24"/>
                <w:szCs w:val="20"/>
                <w:lang w:val="en-US" w:eastAsia="zh-CN" w:bidi="ar"/>
              </w:rPr>
              <w:t>：COD的浓度为</w:t>
            </w:r>
            <w:r>
              <w:rPr>
                <w:rFonts w:hint="eastAsia" w:ascii="Times New Roman" w:hAnsi="Times New Roman" w:eastAsia="宋体" w:cs="宋体"/>
                <w:color w:val="auto"/>
                <w:kern w:val="0"/>
                <w:sz w:val="24"/>
                <w:szCs w:val="20"/>
                <w:lang w:val="en-US" w:eastAsia="zh-CN" w:bidi="ar"/>
              </w:rPr>
              <w:t>34</w:t>
            </w:r>
            <w:r>
              <w:rPr>
                <w:rFonts w:hint="default" w:ascii="Times New Roman" w:hAnsi="Times New Roman" w:eastAsia="宋体" w:cs="宋体"/>
                <w:color w:val="auto"/>
                <w:kern w:val="0"/>
                <w:sz w:val="24"/>
                <w:szCs w:val="20"/>
                <w:lang w:val="en-US" w:eastAsia="zh-CN" w:bidi="ar"/>
              </w:rPr>
              <w:t>mg/L、BOD</w:t>
            </w:r>
            <w:r>
              <w:rPr>
                <w:rFonts w:hint="default" w:ascii="Times New Roman" w:hAnsi="Times New Roman" w:eastAsia="宋体" w:cs="宋体"/>
                <w:color w:val="auto"/>
                <w:kern w:val="0"/>
                <w:sz w:val="24"/>
                <w:szCs w:val="20"/>
                <w:vertAlign w:val="subscript"/>
                <w:lang w:val="en-US" w:eastAsia="zh-CN" w:bidi="ar"/>
              </w:rPr>
              <w:t>5</w:t>
            </w:r>
            <w:r>
              <w:rPr>
                <w:rFonts w:hint="default" w:ascii="Times New Roman" w:hAnsi="Times New Roman" w:eastAsia="宋体" w:cs="宋体"/>
                <w:color w:val="auto"/>
                <w:kern w:val="0"/>
                <w:sz w:val="24"/>
                <w:szCs w:val="20"/>
                <w:lang w:val="en-US" w:eastAsia="zh-CN" w:bidi="ar"/>
              </w:rPr>
              <w:t>的浓度为</w:t>
            </w:r>
            <w:r>
              <w:rPr>
                <w:rFonts w:hint="eastAsia" w:ascii="Times New Roman" w:hAnsi="Times New Roman" w:eastAsia="宋体" w:cs="宋体"/>
                <w:color w:val="auto"/>
                <w:kern w:val="0"/>
                <w:sz w:val="24"/>
                <w:szCs w:val="20"/>
                <w:lang w:val="en-US" w:eastAsia="zh-CN" w:bidi="ar"/>
              </w:rPr>
              <w:t>10</w:t>
            </w:r>
            <w:r>
              <w:rPr>
                <w:rFonts w:hint="default" w:ascii="Times New Roman" w:hAnsi="Times New Roman" w:eastAsia="宋体" w:cs="宋体"/>
                <w:color w:val="auto"/>
                <w:kern w:val="0"/>
                <w:sz w:val="24"/>
                <w:szCs w:val="20"/>
                <w:lang w:val="en-US" w:eastAsia="zh-CN" w:bidi="ar"/>
              </w:rPr>
              <w:t>mg/L、SS的浓度为</w:t>
            </w:r>
            <w:r>
              <w:rPr>
                <w:rFonts w:hint="eastAsia" w:ascii="Times New Roman" w:hAnsi="Times New Roman" w:eastAsia="宋体" w:cs="宋体"/>
                <w:color w:val="auto"/>
                <w:kern w:val="0"/>
                <w:sz w:val="24"/>
                <w:szCs w:val="20"/>
                <w:lang w:val="en-US" w:eastAsia="zh-CN" w:bidi="ar"/>
              </w:rPr>
              <w:t>41</w:t>
            </w:r>
            <w:r>
              <w:rPr>
                <w:rFonts w:hint="default" w:ascii="Times New Roman" w:hAnsi="Times New Roman" w:eastAsia="宋体" w:cs="宋体"/>
                <w:color w:val="auto"/>
                <w:kern w:val="0"/>
                <w:sz w:val="24"/>
                <w:szCs w:val="20"/>
                <w:lang w:val="en-US" w:eastAsia="zh-CN" w:bidi="ar"/>
              </w:rPr>
              <w:t>mg/L、NH</w:t>
            </w:r>
            <w:r>
              <w:rPr>
                <w:rFonts w:hint="default" w:ascii="Times New Roman" w:hAnsi="Times New Roman" w:eastAsia="宋体" w:cs="宋体"/>
                <w:color w:val="auto"/>
                <w:kern w:val="0"/>
                <w:sz w:val="24"/>
                <w:szCs w:val="20"/>
                <w:vertAlign w:val="subscript"/>
                <w:lang w:val="en-US" w:eastAsia="zh-CN" w:bidi="ar"/>
              </w:rPr>
              <w:t>3</w:t>
            </w:r>
            <w:r>
              <w:rPr>
                <w:rFonts w:hint="default" w:ascii="Times New Roman" w:hAnsi="Times New Roman" w:eastAsia="宋体" w:cs="宋体"/>
                <w:color w:val="auto"/>
                <w:kern w:val="0"/>
                <w:sz w:val="24"/>
                <w:szCs w:val="20"/>
                <w:lang w:val="en-US" w:eastAsia="zh-CN" w:bidi="ar"/>
              </w:rPr>
              <w:t>-N的浓度为</w:t>
            </w:r>
            <w:r>
              <w:rPr>
                <w:rFonts w:hint="eastAsia" w:ascii="Times New Roman" w:hAnsi="Times New Roman" w:eastAsia="宋体" w:cs="宋体"/>
                <w:color w:val="auto"/>
                <w:kern w:val="0"/>
                <w:sz w:val="24"/>
                <w:szCs w:val="20"/>
                <w:lang w:val="en-US" w:eastAsia="zh-CN" w:bidi="ar"/>
              </w:rPr>
              <w:t>2</w:t>
            </w:r>
            <w:r>
              <w:rPr>
                <w:rFonts w:hint="default" w:ascii="Times New Roman" w:hAnsi="Times New Roman" w:eastAsia="宋体" w:cs="宋体"/>
                <w:color w:val="auto"/>
                <w:kern w:val="0"/>
                <w:sz w:val="24"/>
                <w:szCs w:val="20"/>
                <w:lang w:val="en-US" w:eastAsia="zh-CN" w:bidi="ar"/>
              </w:rPr>
              <w:t>mg/L，</w:t>
            </w:r>
            <w:r>
              <w:rPr>
                <w:rFonts w:hint="eastAsia" w:ascii="Times New Roman" w:hAnsi="Times New Roman" w:eastAsia="宋体" w:cs="宋体"/>
                <w:color w:val="auto"/>
                <w:kern w:val="0"/>
                <w:sz w:val="24"/>
                <w:szCs w:val="20"/>
                <w:lang w:val="en-US" w:eastAsia="zh-CN" w:bidi="ar"/>
              </w:rPr>
              <w:t>石油类</w:t>
            </w:r>
            <w:r>
              <w:rPr>
                <w:rFonts w:hint="default" w:ascii="Times New Roman" w:hAnsi="Times New Roman" w:eastAsia="宋体" w:cs="宋体"/>
                <w:color w:val="auto"/>
                <w:kern w:val="0"/>
                <w:sz w:val="24"/>
                <w:szCs w:val="20"/>
                <w:lang w:val="en-US" w:eastAsia="zh-CN" w:bidi="ar"/>
              </w:rPr>
              <w:t>的浓度为</w:t>
            </w:r>
            <w:r>
              <w:rPr>
                <w:rFonts w:hint="eastAsia" w:ascii="Times New Roman" w:hAnsi="Times New Roman" w:eastAsia="宋体" w:cs="宋体"/>
                <w:color w:val="auto"/>
                <w:kern w:val="0"/>
                <w:sz w:val="24"/>
                <w:szCs w:val="20"/>
                <w:lang w:val="en-US" w:eastAsia="zh-CN" w:bidi="ar"/>
              </w:rPr>
              <w:t>0.2</w:t>
            </w:r>
            <w:r>
              <w:rPr>
                <w:rFonts w:hint="default" w:ascii="Times New Roman" w:hAnsi="Times New Roman" w:eastAsia="宋体" w:cs="宋体"/>
                <w:color w:val="auto"/>
                <w:kern w:val="0"/>
                <w:sz w:val="24"/>
                <w:szCs w:val="20"/>
                <w:lang w:val="en-US" w:eastAsia="zh-CN" w:bidi="ar"/>
              </w:rPr>
              <w:t>mg/L</w:t>
            </w:r>
            <w:r>
              <w:rPr>
                <w:rFonts w:hint="default" w:ascii="Times New Roman" w:hAnsi="Times New Roman" w:eastAsia="宋体" w:cs="宋体"/>
                <w:color w:val="auto"/>
                <w:kern w:val="0"/>
                <w:sz w:val="24"/>
                <w:szCs w:val="24"/>
                <w:lang w:val="en-US" w:eastAsia="zh-CN" w:bidi="ar"/>
              </w:rPr>
              <w:t>满足</w:t>
            </w:r>
            <w:r>
              <w:rPr>
                <w:rFonts w:hint="eastAsia" w:ascii="Times New Roman" w:hAnsi="Times New Roman" w:eastAsia="宋体" w:cs="Times New Roman"/>
                <w:color w:val="auto"/>
                <w:kern w:val="0"/>
                <w:sz w:val="24"/>
                <w:szCs w:val="20"/>
                <w:lang w:val="en-US" w:eastAsia="zh-CN" w:bidi="ar-SA"/>
              </w:rPr>
              <w:t>回用水执行的标准为《城市污水再生利用 工业用水水质》GB/T19923-2024表1限值（COD：50mg/L、BOD</w:t>
            </w:r>
            <w:r>
              <w:rPr>
                <w:rFonts w:hint="eastAsia" w:ascii="Times New Roman" w:hAnsi="Times New Roman" w:eastAsia="宋体" w:cs="Times New Roman"/>
                <w:color w:val="auto"/>
                <w:kern w:val="0"/>
                <w:sz w:val="24"/>
                <w:szCs w:val="20"/>
                <w:vertAlign w:val="subscript"/>
                <w:lang w:val="en-US" w:eastAsia="zh-CN" w:bidi="ar-SA"/>
              </w:rPr>
              <w:t>5</w:t>
            </w:r>
            <w:r>
              <w:rPr>
                <w:rFonts w:hint="eastAsia" w:ascii="Times New Roman" w:hAnsi="Times New Roman" w:eastAsia="宋体" w:cs="Times New Roman"/>
                <w:color w:val="auto"/>
                <w:kern w:val="0"/>
                <w:sz w:val="24"/>
                <w:szCs w:val="20"/>
                <w:lang w:val="en-US" w:eastAsia="zh-CN" w:bidi="ar-SA"/>
              </w:rPr>
              <w:t>：10mg/L、</w:t>
            </w:r>
            <w:r>
              <w:rPr>
                <w:rFonts w:hint="default" w:ascii="Times New Roman" w:hAnsi="Times New Roman" w:eastAsia="宋体" w:cs="Times New Roman"/>
                <w:color w:val="auto"/>
                <w:kern w:val="0"/>
                <w:sz w:val="24"/>
                <w:szCs w:val="20"/>
                <w:lang w:val="en-US" w:eastAsia="zh-CN" w:bidi="ar-SA"/>
              </w:rPr>
              <w:t>NH</w:t>
            </w:r>
            <w:r>
              <w:rPr>
                <w:rFonts w:hint="default" w:ascii="Times New Roman" w:hAnsi="Times New Roman" w:eastAsia="宋体" w:cs="Times New Roman"/>
                <w:color w:val="auto"/>
                <w:kern w:val="0"/>
                <w:sz w:val="24"/>
                <w:szCs w:val="20"/>
                <w:vertAlign w:val="subscript"/>
                <w:lang w:val="en-US" w:eastAsia="zh-CN" w:bidi="ar-SA"/>
              </w:rPr>
              <w:t>3</w:t>
            </w:r>
            <w:r>
              <w:rPr>
                <w:rFonts w:hint="default" w:ascii="Times New Roman" w:hAnsi="Times New Roman" w:eastAsia="宋体" w:cs="Times New Roman"/>
                <w:color w:val="auto"/>
                <w:kern w:val="0"/>
                <w:sz w:val="24"/>
                <w:szCs w:val="20"/>
                <w:lang w:val="en-US" w:eastAsia="zh-CN" w:bidi="ar-SA"/>
              </w:rPr>
              <w:t>-N：</w:t>
            </w:r>
            <w:r>
              <w:rPr>
                <w:rFonts w:hint="eastAsia" w:ascii="Times New Roman" w:hAnsi="Times New Roman" w:eastAsia="宋体" w:cs="Times New Roman"/>
                <w:color w:val="auto"/>
                <w:kern w:val="0"/>
                <w:sz w:val="24"/>
                <w:szCs w:val="20"/>
                <w:lang w:val="en-US" w:eastAsia="zh-CN" w:bidi="ar-SA"/>
              </w:rPr>
              <w:t>5</w:t>
            </w:r>
            <w:r>
              <w:rPr>
                <w:rFonts w:hint="default" w:ascii="Times New Roman" w:hAnsi="Times New Roman" w:eastAsia="宋体" w:cs="Times New Roman"/>
                <w:color w:val="auto"/>
                <w:kern w:val="0"/>
                <w:sz w:val="24"/>
                <w:szCs w:val="20"/>
                <w:lang w:val="en-US" w:eastAsia="zh-CN" w:bidi="ar-SA"/>
              </w:rPr>
              <w:t>mg/L</w:t>
            </w:r>
            <w:r>
              <w:rPr>
                <w:rFonts w:hint="eastAsia" w:ascii="Times New Roman" w:hAnsi="Times New Roman" w:eastAsia="宋体" w:cs="Times New Roman"/>
                <w:color w:val="auto"/>
                <w:kern w:val="0"/>
                <w:sz w:val="24"/>
                <w:szCs w:val="20"/>
                <w:lang w:val="en-US" w:eastAsia="zh-CN" w:bidi="ar-SA"/>
              </w:rPr>
              <w:t>、石油类：1.0mg/L）</w:t>
            </w:r>
            <w:r>
              <w:rPr>
                <w:rFonts w:hint="default" w:ascii="Times New Roman" w:hAnsi="Times New Roman" w:eastAsia="宋体" w:cs="宋体"/>
                <w:color w:val="auto"/>
                <w:kern w:val="0"/>
                <w:sz w:val="24"/>
                <w:szCs w:val="24"/>
                <w:lang w:val="en-US" w:eastAsia="zh-CN" w:bidi="ar"/>
              </w:rPr>
              <w:t>。</w:t>
            </w:r>
          </w:p>
          <w:p w14:paraId="4A541BED">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综上所述，本项目</w:t>
            </w:r>
            <w:r>
              <w:rPr>
                <w:rFonts w:hint="eastAsia" w:cs="Times New Roman"/>
                <w:b w:val="0"/>
                <w:bCs w:val="0"/>
                <w:color w:val="auto"/>
                <w:kern w:val="2"/>
                <w:sz w:val="24"/>
                <w:szCs w:val="24"/>
                <w:lang w:val="en-US" w:eastAsia="zh-CN" w:bidi="ar-SA"/>
              </w:rPr>
              <w:t>产生</w:t>
            </w:r>
            <w:r>
              <w:rPr>
                <w:rFonts w:hint="default" w:ascii="Times New Roman" w:hAnsi="Times New Roman" w:eastAsia="宋体" w:cs="Times New Roman"/>
                <w:b w:val="0"/>
                <w:bCs w:val="0"/>
                <w:color w:val="auto"/>
                <w:kern w:val="2"/>
                <w:sz w:val="24"/>
                <w:szCs w:val="24"/>
                <w:lang w:val="en-US" w:eastAsia="zh-CN" w:bidi="ar-SA"/>
              </w:rPr>
              <w:t>的</w:t>
            </w:r>
            <w:r>
              <w:rPr>
                <w:rFonts w:hint="eastAsia" w:ascii="Times New Roman" w:hAnsi="Times New Roman" w:eastAsia="宋体" w:cs="宋体"/>
                <w:b w:val="0"/>
                <w:bCs w:val="0"/>
                <w:color w:val="auto"/>
                <w:kern w:val="0"/>
                <w:sz w:val="24"/>
                <w:szCs w:val="24"/>
                <w:lang w:val="en-US" w:eastAsia="zh-CN" w:bidi="ar"/>
              </w:rPr>
              <w:t>生</w:t>
            </w:r>
            <w:r>
              <w:rPr>
                <w:rFonts w:hint="eastAsia" w:cs="宋体"/>
                <w:b w:val="0"/>
                <w:bCs w:val="0"/>
                <w:color w:val="auto"/>
                <w:kern w:val="0"/>
                <w:sz w:val="24"/>
                <w:szCs w:val="24"/>
                <w:lang w:val="en-US" w:eastAsia="zh-CN" w:bidi="ar"/>
              </w:rPr>
              <w:t>产废</w:t>
            </w:r>
            <w:r>
              <w:rPr>
                <w:rFonts w:hint="eastAsia" w:ascii="Times New Roman" w:hAnsi="Times New Roman" w:eastAsia="宋体" w:cs="宋体"/>
                <w:b w:val="0"/>
                <w:bCs w:val="0"/>
                <w:color w:val="auto"/>
                <w:kern w:val="0"/>
                <w:sz w:val="24"/>
                <w:szCs w:val="24"/>
                <w:lang w:val="en-US" w:eastAsia="zh-CN" w:bidi="ar"/>
              </w:rPr>
              <w:t>水经</w:t>
            </w:r>
            <w:r>
              <w:rPr>
                <w:rFonts w:hint="eastAsia" w:cs="宋体"/>
                <w:b w:val="0"/>
                <w:bCs w:val="0"/>
                <w:color w:val="auto"/>
                <w:kern w:val="0"/>
                <w:sz w:val="24"/>
                <w:szCs w:val="24"/>
                <w:lang w:val="en-US" w:eastAsia="zh-CN" w:bidi="ar"/>
              </w:rPr>
              <w:t>“隔油+气浮+好氧生化+二级沉淀+过滤”</w:t>
            </w:r>
            <w:r>
              <w:rPr>
                <w:rFonts w:hint="eastAsia" w:ascii="Times New Roman" w:hAnsi="Times New Roman" w:eastAsia="宋体" w:cs="宋体"/>
                <w:b w:val="0"/>
                <w:bCs w:val="0"/>
                <w:color w:val="auto"/>
                <w:kern w:val="0"/>
                <w:sz w:val="24"/>
                <w:szCs w:val="24"/>
                <w:lang w:val="en-US" w:eastAsia="zh-CN" w:bidi="ar"/>
              </w:rPr>
              <w:t>污水处理设施处理后回用于厂区织造用水是可行的。</w:t>
            </w:r>
          </w:p>
          <w:p w14:paraId="10016C14">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、废水监测计划</w:t>
            </w:r>
          </w:p>
          <w:p w14:paraId="08C94EE1">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宋体" w:hAnsi="宋体" w:eastAsia="宋体" w:cs="宋体"/>
                <w:b w:val="0"/>
                <w:bCs w:val="0"/>
                <w:snapToGrid w:val="0"/>
                <w:color w:val="000000"/>
                <w:kern w:val="0"/>
                <w:sz w:val="24"/>
                <w:szCs w:val="24"/>
                <w:lang w:val="en-US" w:eastAsia="en-US" w:bidi="ar-SA"/>
              </w:rPr>
            </w:pPr>
            <w:r>
              <w:rPr>
                <w:rFonts w:hint="default" w:ascii="宋体" w:hAnsi="宋体" w:eastAsia="宋体" w:cs="宋体"/>
                <w:b w:val="0"/>
                <w:bCs w:val="0"/>
                <w:snapToGrid w:val="0"/>
                <w:color w:val="000000"/>
                <w:spacing w:val="2"/>
                <w:kern w:val="0"/>
                <w:sz w:val="24"/>
                <w:szCs w:val="24"/>
                <w:lang w:val="en-US" w:eastAsia="en-US" w:bidi="ar-SA"/>
              </w:rPr>
              <w:t>按照《排污单位自行监测技术指南纺织印染工业》（</w:t>
            </w:r>
            <w:r>
              <w:rPr>
                <w:rFonts w:hint="default" w:ascii="Times New Roman" w:hAnsi="Times New Roman" w:eastAsia="Times New Roman" w:cs="Times New Roman"/>
                <w:b w:val="0"/>
                <w:bCs w:val="0"/>
                <w:snapToGrid w:val="0"/>
                <w:color w:val="000000"/>
                <w:kern w:val="0"/>
                <w:sz w:val="24"/>
                <w:szCs w:val="24"/>
                <w:lang w:val="en-US" w:eastAsia="en-US" w:bidi="ar-SA"/>
              </w:rPr>
              <w:t>HJ</w:t>
            </w:r>
            <w:r>
              <w:rPr>
                <w:rFonts w:hint="default" w:ascii="Times New Roman" w:hAnsi="Times New Roman" w:eastAsia="Times New Roman" w:cs="Times New Roman"/>
                <w:b w:val="0"/>
                <w:bCs w:val="0"/>
                <w:snapToGrid w:val="0"/>
                <w:color w:val="000000"/>
                <w:spacing w:val="2"/>
                <w:kern w:val="0"/>
                <w:sz w:val="24"/>
                <w:szCs w:val="24"/>
                <w:lang w:val="en-US" w:eastAsia="en-US" w:bidi="ar-SA"/>
              </w:rPr>
              <w:t>879-2017</w:t>
            </w:r>
            <w:r>
              <w:rPr>
                <w:rFonts w:hint="default" w:ascii="宋体" w:hAnsi="宋体" w:eastAsia="宋体" w:cs="宋体"/>
                <w:b w:val="0"/>
                <w:bCs w:val="0"/>
                <w:snapToGrid w:val="0"/>
                <w:color w:val="000000"/>
                <w:spacing w:val="2"/>
                <w:kern w:val="0"/>
                <w:sz w:val="24"/>
                <w:szCs w:val="24"/>
                <w:lang w:val="en-US" w:eastAsia="en-US" w:bidi="ar-SA"/>
              </w:rPr>
              <w:t>）、《排污</w:t>
            </w:r>
            <w:r>
              <w:rPr>
                <w:rFonts w:hint="default" w:ascii="宋体" w:hAnsi="宋体" w:eastAsia="宋体" w:cs="宋体"/>
                <w:b w:val="0"/>
                <w:bCs w:val="0"/>
                <w:snapToGrid w:val="0"/>
                <w:color w:val="000000"/>
                <w:kern w:val="0"/>
                <w:sz w:val="24"/>
                <w:szCs w:val="24"/>
                <w:lang w:val="en-US" w:eastAsia="en-US" w:bidi="ar-SA"/>
              </w:rPr>
              <w:t>单位自行监测技术指南总则》（</w:t>
            </w:r>
            <w:r>
              <w:rPr>
                <w:rFonts w:hint="default" w:ascii="Times New Roman" w:hAnsi="Times New Roman" w:eastAsia="Times New Roman" w:cs="Times New Roman"/>
                <w:b w:val="0"/>
                <w:bCs w:val="0"/>
                <w:snapToGrid w:val="0"/>
                <w:color w:val="000000"/>
                <w:kern w:val="0"/>
                <w:sz w:val="24"/>
                <w:szCs w:val="24"/>
                <w:lang w:val="en-US" w:eastAsia="en-US" w:bidi="ar-SA"/>
              </w:rPr>
              <w:t>HJ819-2017</w:t>
            </w:r>
            <w:r>
              <w:rPr>
                <w:rFonts w:hint="default" w:ascii="宋体" w:hAnsi="宋体" w:eastAsia="宋体" w:cs="宋体"/>
                <w:b w:val="0"/>
                <w:bCs w:val="0"/>
                <w:snapToGrid w:val="0"/>
                <w:color w:val="000000"/>
                <w:kern w:val="0"/>
                <w:sz w:val="24"/>
                <w:szCs w:val="24"/>
                <w:lang w:val="en-US" w:eastAsia="en-US" w:bidi="ar-SA"/>
              </w:rPr>
              <w:t>）中相关要求，本项目废水监测计划</w:t>
            </w:r>
            <w:r>
              <w:rPr>
                <w:rFonts w:hint="default" w:ascii="宋体" w:hAnsi="宋体" w:eastAsia="宋体" w:cs="宋体"/>
                <w:b w:val="0"/>
                <w:bCs w:val="0"/>
                <w:snapToGrid w:val="0"/>
                <w:color w:val="000000"/>
                <w:spacing w:val="-3"/>
                <w:kern w:val="0"/>
                <w:sz w:val="24"/>
                <w:szCs w:val="24"/>
                <w:lang w:val="en-US" w:eastAsia="en-US" w:bidi="ar-SA"/>
              </w:rPr>
              <w:t>具体如下：</w:t>
            </w:r>
          </w:p>
          <w:p w14:paraId="1EBC71AD">
            <w:pPr>
              <w:keepNext w:val="0"/>
              <w:keepLines w:val="0"/>
              <w:suppressLineNumbers w:val="0"/>
              <w:kinsoku w:val="0"/>
              <w:autoSpaceDE w:val="0"/>
              <w:autoSpaceDN w:val="0"/>
              <w:adjustRightInd w:val="0"/>
              <w:snapToGrid w:val="0"/>
              <w:spacing w:before="0" w:beforeAutospacing="0" w:after="0" w:afterAutospacing="0" w:line="211" w:lineRule="auto"/>
              <w:ind w:left="2469" w:right="0"/>
              <w:jc w:val="left"/>
              <w:textAlignment w:val="baseline"/>
              <w:rPr>
                <w:rFonts w:hint="default" w:ascii="宋体" w:hAnsi="宋体" w:eastAsia="宋体" w:cs="宋体"/>
                <w:b/>
                <w:bCs/>
                <w:snapToGrid w:val="0"/>
                <w:color w:val="000000"/>
                <w:spacing w:val="-2"/>
                <w:kern w:val="0"/>
                <w:sz w:val="24"/>
                <w:szCs w:val="24"/>
                <w:lang w:val="en-US" w:eastAsia="en-US" w:bidi="ar-SA"/>
              </w:rPr>
            </w:pPr>
            <w:r>
              <w:rPr>
                <w:rFonts w:hint="default" w:ascii="宋体" w:hAnsi="宋体" w:eastAsia="宋体" w:cs="宋体"/>
                <w:b/>
                <w:bCs/>
                <w:snapToGrid w:val="0"/>
                <w:color w:val="000000"/>
                <w:spacing w:val="-2"/>
                <w:kern w:val="0"/>
                <w:sz w:val="24"/>
                <w:szCs w:val="24"/>
                <w:lang w:val="en-US" w:eastAsia="en-US" w:bidi="ar-SA"/>
              </w:rPr>
              <w:t>表</w:t>
            </w:r>
            <w:r>
              <w:rPr>
                <w:rFonts w:hint="default" w:ascii="Times New Roman" w:hAnsi="Times New Roman" w:eastAsia="Times New Roman" w:cs="Times New Roman"/>
                <w:b/>
                <w:bCs/>
                <w:snapToGrid w:val="0"/>
                <w:color w:val="000000"/>
                <w:spacing w:val="-2"/>
                <w:kern w:val="0"/>
                <w:sz w:val="24"/>
                <w:szCs w:val="24"/>
                <w:lang w:val="en-US" w:eastAsia="en-US" w:bidi="ar-SA"/>
              </w:rPr>
              <w:t>4-1</w:t>
            </w:r>
            <w:r>
              <w:rPr>
                <w:rFonts w:hint="eastAsia" w:eastAsia="宋体" w:cs="Times New Roman"/>
                <w:b/>
                <w:bCs/>
                <w:snapToGrid w:val="0"/>
                <w:color w:val="000000"/>
                <w:spacing w:val="-2"/>
                <w:kern w:val="0"/>
                <w:sz w:val="24"/>
                <w:szCs w:val="24"/>
                <w:lang w:val="en-US" w:eastAsia="zh-CN" w:bidi="ar-SA"/>
              </w:rPr>
              <w:t>4</w:t>
            </w:r>
            <w:r>
              <w:rPr>
                <w:rFonts w:hint="default" w:ascii="宋体" w:hAnsi="宋体" w:eastAsia="宋体" w:cs="宋体"/>
                <w:b/>
                <w:bCs/>
                <w:snapToGrid w:val="0"/>
                <w:color w:val="000000"/>
                <w:spacing w:val="-2"/>
                <w:kern w:val="0"/>
                <w:sz w:val="24"/>
                <w:szCs w:val="24"/>
                <w:lang w:val="en-US" w:eastAsia="en-US" w:bidi="ar-SA"/>
              </w:rPr>
              <w:t>本项目废水监测计划一览表</w:t>
            </w:r>
          </w:p>
          <w:tbl>
            <w:tblPr>
              <w:tblStyle w:val="27"/>
              <w:tblW w:w="9919" w:type="dxa"/>
              <w:tblInd w:w="5"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417"/>
              <w:gridCol w:w="1417"/>
              <w:gridCol w:w="1417"/>
              <w:gridCol w:w="1417"/>
              <w:gridCol w:w="1417"/>
              <w:gridCol w:w="1417"/>
            </w:tblGrid>
            <w:tr w14:paraId="4063BF3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left w:val="nil"/>
                    <w:tl2br w:val="nil"/>
                  </w:tcBorders>
                  <w:shd w:val="clear" w:color="auto" w:fill="FFFFFF"/>
                  <w:vAlign w:val="center"/>
                </w:tcPr>
                <w:p w14:paraId="3D9512C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bCs/>
                      <w:snapToGrid w:val="0"/>
                      <w:color w:val="000000"/>
                      <w:spacing w:val="3"/>
                      <w:kern w:val="0"/>
                      <w:sz w:val="21"/>
                      <w:szCs w:val="21"/>
                      <w:lang w:val="en-US" w:eastAsia="en-US" w:bidi="ar-SA"/>
                    </w:rPr>
                    <w:t>监测类别</w:t>
                  </w:r>
                </w:p>
              </w:tc>
              <w:tc>
                <w:tcPr>
                  <w:tcW w:w="1417" w:type="dxa"/>
                  <w:shd w:val="clear" w:color="auto" w:fill="FFFFFF"/>
                  <w:vAlign w:val="center"/>
                </w:tcPr>
                <w:p w14:paraId="325F77F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bCs/>
                      <w:snapToGrid w:val="0"/>
                      <w:color w:val="000000"/>
                      <w:spacing w:val="6"/>
                      <w:kern w:val="0"/>
                      <w:sz w:val="21"/>
                      <w:szCs w:val="21"/>
                      <w:lang w:val="en-US" w:eastAsia="en-US" w:bidi="ar-SA"/>
                    </w:rPr>
                    <w:t>监测项目</w:t>
                  </w:r>
                </w:p>
              </w:tc>
              <w:tc>
                <w:tcPr>
                  <w:tcW w:w="1417" w:type="dxa"/>
                  <w:shd w:val="clear" w:color="auto" w:fill="FFFFFF"/>
                  <w:vAlign w:val="center"/>
                </w:tcPr>
                <w:p w14:paraId="414A524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bCs/>
                      <w:snapToGrid w:val="0"/>
                      <w:color w:val="000000"/>
                      <w:spacing w:val="3"/>
                      <w:kern w:val="0"/>
                      <w:sz w:val="21"/>
                      <w:szCs w:val="21"/>
                      <w:lang w:val="en-US" w:eastAsia="en-US" w:bidi="ar-SA"/>
                    </w:rPr>
                    <w:t>监测</w:t>
                  </w:r>
                  <w:r>
                    <w:rPr>
                      <w:rFonts w:hint="default" w:ascii="Times New Roman" w:hAnsi="Times New Roman" w:eastAsia="宋体" w:cs="宋体"/>
                      <w:b w:val="0"/>
                      <w:bCs/>
                      <w:snapToGrid w:val="0"/>
                      <w:color w:val="000000"/>
                      <w:spacing w:val="-2"/>
                      <w:kern w:val="0"/>
                      <w:sz w:val="21"/>
                      <w:szCs w:val="21"/>
                      <w:lang w:val="en-US" w:eastAsia="en-US" w:bidi="ar-SA"/>
                    </w:rPr>
                    <w:t>点位</w:t>
                  </w:r>
                </w:p>
              </w:tc>
              <w:tc>
                <w:tcPr>
                  <w:tcW w:w="1417" w:type="dxa"/>
                  <w:shd w:val="clear" w:color="auto" w:fill="FFFFFF"/>
                  <w:vAlign w:val="center"/>
                </w:tcPr>
                <w:p w14:paraId="24FF454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bCs/>
                      <w:snapToGrid w:val="0"/>
                      <w:color w:val="000000"/>
                      <w:spacing w:val="6"/>
                      <w:kern w:val="0"/>
                      <w:sz w:val="21"/>
                      <w:szCs w:val="21"/>
                      <w:lang w:val="en-US" w:eastAsia="en-US" w:bidi="ar-SA"/>
                    </w:rPr>
                    <w:t>监测频次</w:t>
                  </w:r>
                </w:p>
              </w:tc>
              <w:tc>
                <w:tcPr>
                  <w:tcW w:w="1417" w:type="dxa"/>
                  <w:shd w:val="clear" w:color="auto" w:fill="FFFFFF"/>
                  <w:vAlign w:val="center"/>
                </w:tcPr>
                <w:p w14:paraId="3E89862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bCs/>
                      <w:snapToGrid w:val="0"/>
                      <w:color w:val="000000"/>
                      <w:spacing w:val="3"/>
                      <w:kern w:val="0"/>
                      <w:sz w:val="21"/>
                      <w:szCs w:val="21"/>
                      <w:lang w:val="en-US" w:eastAsia="en-US" w:bidi="ar-SA"/>
                    </w:rPr>
                    <w:t>监测方法</w:t>
                  </w:r>
                </w:p>
              </w:tc>
              <w:tc>
                <w:tcPr>
                  <w:tcW w:w="1417" w:type="dxa"/>
                  <w:shd w:val="clear" w:color="auto" w:fill="FFFFFF"/>
                  <w:vAlign w:val="center"/>
                </w:tcPr>
                <w:p w14:paraId="16161DF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bCs/>
                      <w:snapToGrid w:val="0"/>
                      <w:color w:val="000000"/>
                      <w:spacing w:val="6"/>
                      <w:kern w:val="0"/>
                      <w:sz w:val="21"/>
                      <w:szCs w:val="21"/>
                      <w:lang w:val="en-US" w:eastAsia="en-US" w:bidi="ar-SA"/>
                    </w:rPr>
                    <w:t>监测分析方法</w:t>
                  </w:r>
                </w:p>
              </w:tc>
              <w:tc>
                <w:tcPr>
                  <w:tcW w:w="1417" w:type="dxa"/>
                  <w:tcBorders>
                    <w:right w:val="nil"/>
                  </w:tcBorders>
                  <w:shd w:val="clear" w:color="auto" w:fill="FFFFFF"/>
                  <w:vAlign w:val="center"/>
                </w:tcPr>
                <w:p w14:paraId="1A519C4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bCs/>
                      <w:snapToGrid w:val="0"/>
                      <w:color w:val="000000"/>
                      <w:spacing w:val="6"/>
                      <w:kern w:val="0"/>
                      <w:sz w:val="21"/>
                      <w:szCs w:val="21"/>
                      <w:lang w:val="en-US" w:eastAsia="en-US" w:bidi="ar-SA"/>
                    </w:rPr>
                    <w:t>监测要求</w:t>
                  </w:r>
                </w:p>
              </w:tc>
            </w:tr>
            <w:tr w14:paraId="3A01D61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17" w:type="dxa"/>
                  <w:vMerge w:val="restart"/>
                  <w:tcBorders>
                    <w:left w:val="nil"/>
                    <w:tl2br w:val="nil"/>
                  </w:tcBorders>
                  <w:shd w:val="clear" w:color="auto" w:fill="FFFFFF"/>
                  <w:vAlign w:val="center"/>
                </w:tcPr>
                <w:p w14:paraId="172286B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snapToGrid w:val="0"/>
                      <w:color w:val="000000"/>
                      <w:spacing w:val="5"/>
                      <w:kern w:val="0"/>
                      <w:sz w:val="21"/>
                      <w:szCs w:val="21"/>
                      <w:lang w:val="en-US" w:eastAsia="en-US" w:bidi="ar-SA"/>
                    </w:rPr>
                    <w:t>废水</w:t>
                  </w:r>
                  <w:r>
                    <w:rPr>
                      <w:rFonts w:hint="default" w:ascii="Times New Roman" w:hAnsi="Times New Roman" w:eastAsia="宋体" w:cs="宋体"/>
                      <w:b w:val="0"/>
                      <w:snapToGrid w:val="0"/>
                      <w:color w:val="000000"/>
                      <w:spacing w:val="4"/>
                      <w:kern w:val="0"/>
                      <w:sz w:val="21"/>
                      <w:szCs w:val="21"/>
                      <w:lang w:val="en-US" w:eastAsia="en-US" w:bidi="ar-SA"/>
                    </w:rPr>
                    <w:t>监测</w:t>
                  </w:r>
                </w:p>
              </w:tc>
              <w:tc>
                <w:tcPr>
                  <w:tcW w:w="1417" w:type="dxa"/>
                  <w:shd w:val="clear" w:color="auto" w:fill="FFFFFF"/>
                  <w:vAlign w:val="center"/>
                </w:tcPr>
                <w:p w14:paraId="42FA5FB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snapToGrid w:val="0"/>
                      <w:color w:val="000000"/>
                      <w:spacing w:val="6"/>
                      <w:kern w:val="0"/>
                      <w:sz w:val="21"/>
                      <w:szCs w:val="21"/>
                      <w:lang w:val="en-US" w:eastAsia="en-US" w:bidi="ar-SA"/>
                    </w:rPr>
                    <w:t>悬浮物</w:t>
                  </w:r>
                </w:p>
              </w:tc>
              <w:tc>
                <w:tcPr>
                  <w:tcW w:w="1417" w:type="dxa"/>
                  <w:vMerge w:val="restart"/>
                  <w:shd w:val="clear" w:color="auto" w:fill="FFFFFF"/>
                  <w:vAlign w:val="center"/>
                </w:tcPr>
                <w:p w14:paraId="70AE2C0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snapToGrid w:val="0"/>
                      <w:color w:val="000000"/>
                      <w:spacing w:val="5"/>
                      <w:kern w:val="0"/>
                      <w:sz w:val="21"/>
                      <w:szCs w:val="21"/>
                      <w:lang w:val="en-US" w:eastAsia="en-US" w:bidi="ar-SA"/>
                    </w:rPr>
                    <w:t>废水</w:t>
                  </w:r>
                  <w:r>
                    <w:rPr>
                      <w:rFonts w:hint="default" w:ascii="Times New Roman" w:hAnsi="Times New Roman" w:eastAsia="宋体" w:cs="宋体"/>
                      <w:b w:val="0"/>
                      <w:snapToGrid w:val="0"/>
                      <w:color w:val="000000"/>
                      <w:spacing w:val="4"/>
                      <w:kern w:val="0"/>
                      <w:sz w:val="21"/>
                      <w:szCs w:val="21"/>
                      <w:lang w:val="en-US" w:eastAsia="en-US" w:bidi="ar-SA"/>
                    </w:rPr>
                    <w:t>总排放口</w:t>
                  </w:r>
                </w:p>
              </w:tc>
              <w:tc>
                <w:tcPr>
                  <w:tcW w:w="1417" w:type="dxa"/>
                  <w:shd w:val="clear" w:color="auto" w:fill="FFFFFF"/>
                  <w:vAlign w:val="center"/>
                </w:tcPr>
                <w:p w14:paraId="2178C16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snapToGrid w:val="0"/>
                      <w:color w:val="000000"/>
                      <w:spacing w:val="-3"/>
                      <w:kern w:val="0"/>
                      <w:sz w:val="21"/>
                      <w:szCs w:val="21"/>
                      <w:lang w:val="en-US" w:eastAsia="en-US" w:bidi="ar-SA"/>
                    </w:rPr>
                    <w:t>每周</w:t>
                  </w:r>
                  <w:r>
                    <w:rPr>
                      <w:rFonts w:hint="default" w:ascii="Times New Roman" w:hAnsi="Times New Roman" w:eastAsia="宋体" w:cs="Times New Roman"/>
                      <w:b w:val="0"/>
                      <w:snapToGrid w:val="0"/>
                      <w:color w:val="000000"/>
                      <w:spacing w:val="-3"/>
                      <w:kern w:val="0"/>
                      <w:sz w:val="21"/>
                      <w:szCs w:val="21"/>
                      <w:lang w:val="en-US" w:eastAsia="en-US" w:bidi="ar-SA"/>
                    </w:rPr>
                    <w:t>1</w:t>
                  </w:r>
                  <w:r>
                    <w:rPr>
                      <w:rFonts w:hint="default" w:ascii="Times New Roman" w:hAnsi="Times New Roman" w:eastAsia="宋体" w:cs="宋体"/>
                      <w:b w:val="0"/>
                      <w:snapToGrid w:val="0"/>
                      <w:color w:val="000000"/>
                      <w:spacing w:val="-3"/>
                      <w:kern w:val="0"/>
                      <w:sz w:val="21"/>
                      <w:szCs w:val="21"/>
                      <w:lang w:val="en-US" w:eastAsia="en-US" w:bidi="ar-SA"/>
                    </w:rPr>
                    <w:t>次</w:t>
                  </w:r>
                </w:p>
              </w:tc>
              <w:tc>
                <w:tcPr>
                  <w:tcW w:w="1417" w:type="dxa"/>
                  <w:vMerge w:val="restart"/>
                  <w:shd w:val="clear" w:color="auto" w:fill="FFFFFF"/>
                  <w:vAlign w:val="center"/>
                </w:tcPr>
                <w:p w14:paraId="4E8F2BD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宋体"/>
                      <w:b w:val="0"/>
                      <w:snapToGrid w:val="0"/>
                      <w:color w:val="000000"/>
                      <w:spacing w:val="3"/>
                      <w:kern w:val="0"/>
                      <w:sz w:val="21"/>
                      <w:szCs w:val="21"/>
                      <w:lang w:val="en-US" w:eastAsia="en-US" w:bidi="ar-SA"/>
                    </w:rPr>
                  </w:pPr>
                  <w:r>
                    <w:rPr>
                      <w:rFonts w:hint="default" w:ascii="Times New Roman" w:hAnsi="Times New Roman" w:eastAsia="宋体" w:cs="宋体"/>
                      <w:b w:val="0"/>
                      <w:snapToGrid w:val="0"/>
                      <w:color w:val="000000"/>
                      <w:spacing w:val="3"/>
                      <w:kern w:val="0"/>
                      <w:sz w:val="21"/>
                      <w:szCs w:val="21"/>
                      <w:lang w:val="en-US" w:eastAsia="en-US" w:bidi="ar-SA"/>
                    </w:rPr>
                    <w:t>按环境监测技术规范要求</w:t>
                  </w:r>
                </w:p>
              </w:tc>
              <w:tc>
                <w:tcPr>
                  <w:tcW w:w="1417" w:type="dxa"/>
                  <w:vMerge w:val="restart"/>
                  <w:shd w:val="clear" w:color="auto" w:fill="FFFFFF"/>
                  <w:vAlign w:val="center"/>
                </w:tcPr>
                <w:p w14:paraId="264C092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宋体"/>
                      <w:b w:val="0"/>
                      <w:snapToGrid w:val="0"/>
                      <w:color w:val="000000"/>
                      <w:spacing w:val="3"/>
                      <w:kern w:val="0"/>
                      <w:sz w:val="21"/>
                      <w:szCs w:val="21"/>
                      <w:lang w:val="en-US" w:eastAsia="en-US" w:bidi="ar-SA"/>
                    </w:rPr>
                  </w:pPr>
                  <w:r>
                    <w:rPr>
                      <w:rFonts w:hint="default" w:ascii="Times New Roman" w:hAnsi="Times New Roman" w:eastAsia="宋体" w:cs="宋体"/>
                      <w:b w:val="0"/>
                      <w:snapToGrid w:val="0"/>
                      <w:color w:val="000000"/>
                      <w:spacing w:val="3"/>
                      <w:kern w:val="0"/>
                      <w:sz w:val="21"/>
                      <w:szCs w:val="21"/>
                      <w:lang w:val="en-US" w:eastAsia="en-US" w:bidi="ar-SA"/>
                    </w:rPr>
                    <w:t>手工采样方法的选择参照HJ494、HJ495和HJ/T91，测定方法按照相应排放标准中规定的污染物浓度测定方法标准执行</w:t>
                  </w:r>
                </w:p>
              </w:tc>
              <w:tc>
                <w:tcPr>
                  <w:tcW w:w="1417" w:type="dxa"/>
                  <w:vMerge w:val="restart"/>
                  <w:tcBorders>
                    <w:right w:val="nil"/>
                  </w:tcBorders>
                  <w:shd w:val="clear" w:color="auto" w:fill="FFFFFF"/>
                  <w:vAlign w:val="center"/>
                </w:tcPr>
                <w:p w14:paraId="5607759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snapToGrid w:val="0"/>
                      <w:color w:val="000000"/>
                      <w:spacing w:val="8"/>
                      <w:kern w:val="0"/>
                      <w:sz w:val="21"/>
                      <w:szCs w:val="21"/>
                      <w:lang w:val="en-US" w:eastAsia="en-US" w:bidi="ar-SA"/>
                    </w:rPr>
                    <w:t>委托有资质单</w:t>
                  </w:r>
                  <w:r>
                    <w:rPr>
                      <w:rFonts w:hint="default" w:ascii="Times New Roman" w:hAnsi="Times New Roman" w:eastAsia="宋体" w:cs="宋体"/>
                      <w:b w:val="0"/>
                      <w:snapToGrid w:val="0"/>
                      <w:color w:val="000000"/>
                      <w:spacing w:val="-3"/>
                      <w:kern w:val="0"/>
                      <w:sz w:val="21"/>
                      <w:szCs w:val="21"/>
                      <w:lang w:val="en-US" w:eastAsia="en-US" w:bidi="ar-SA"/>
                    </w:rPr>
                    <w:t>位监测，建立监</w:t>
                  </w:r>
                  <w:r>
                    <w:rPr>
                      <w:rFonts w:hint="default" w:ascii="Times New Roman" w:hAnsi="Times New Roman" w:eastAsia="宋体" w:cs="宋体"/>
                      <w:b w:val="0"/>
                      <w:snapToGrid w:val="0"/>
                      <w:color w:val="000000"/>
                      <w:spacing w:val="-4"/>
                      <w:kern w:val="0"/>
                      <w:sz w:val="21"/>
                      <w:szCs w:val="21"/>
                      <w:lang w:val="en-US" w:eastAsia="en-US" w:bidi="ar-SA"/>
                    </w:rPr>
                    <w:t>测数据库，记录</w:t>
                  </w:r>
                  <w:r>
                    <w:rPr>
                      <w:rFonts w:hint="default" w:ascii="Times New Roman" w:hAnsi="Times New Roman" w:eastAsia="宋体" w:cs="宋体"/>
                      <w:b w:val="0"/>
                      <w:snapToGrid w:val="0"/>
                      <w:color w:val="000000"/>
                      <w:spacing w:val="5"/>
                      <w:kern w:val="0"/>
                      <w:sz w:val="21"/>
                      <w:szCs w:val="21"/>
                      <w:lang w:val="en-US" w:eastAsia="en-US" w:bidi="ar-SA"/>
                    </w:rPr>
                    <w:t>存档</w:t>
                  </w:r>
                </w:p>
              </w:tc>
            </w:tr>
            <w:tr w14:paraId="5628A03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7" w:type="dxa"/>
                  <w:vMerge w:val="continue"/>
                  <w:tcBorders>
                    <w:left w:val="nil"/>
                  </w:tcBorders>
                  <w:shd w:val="clear" w:color="auto" w:fill="FFFFFF"/>
                  <w:vAlign w:val="center"/>
                </w:tcPr>
                <w:p w14:paraId="0DE4F83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p>
              </w:tc>
              <w:tc>
                <w:tcPr>
                  <w:tcW w:w="1417" w:type="dxa"/>
                  <w:shd w:val="clear" w:color="auto" w:fill="FFFFFF"/>
                  <w:vAlign w:val="center"/>
                </w:tcPr>
                <w:p w14:paraId="26341A7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Times New Roman"/>
                      <w:b w:val="0"/>
                      <w:snapToGrid w:val="0"/>
                      <w:color w:val="000000"/>
                      <w:kern w:val="0"/>
                      <w:sz w:val="21"/>
                      <w:szCs w:val="21"/>
                      <w:lang w:val="en-US" w:eastAsia="en-US" w:bidi="ar-SA"/>
                    </w:rPr>
                    <w:t>BOD</w:t>
                  </w:r>
                  <w:r>
                    <w:rPr>
                      <w:rFonts w:hint="default" w:ascii="Times New Roman" w:hAnsi="Times New Roman" w:eastAsia="宋体" w:cs="Times New Roman"/>
                      <w:b w:val="0"/>
                      <w:snapToGrid w:val="0"/>
                      <w:color w:val="000000"/>
                      <w:spacing w:val="7"/>
                      <w:kern w:val="0"/>
                      <w:position w:val="-1"/>
                      <w:sz w:val="21"/>
                      <w:szCs w:val="21"/>
                      <w:vertAlign w:val="subscript"/>
                      <w:lang w:val="en-US" w:eastAsia="en-US" w:bidi="ar-SA"/>
                    </w:rPr>
                    <w:t>5</w:t>
                  </w:r>
                </w:p>
              </w:tc>
              <w:tc>
                <w:tcPr>
                  <w:tcW w:w="1417" w:type="dxa"/>
                  <w:vMerge w:val="continue"/>
                  <w:shd w:val="clear" w:color="auto" w:fill="FFFFFF"/>
                  <w:vAlign w:val="center"/>
                </w:tcPr>
                <w:p w14:paraId="63F014F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p>
              </w:tc>
              <w:tc>
                <w:tcPr>
                  <w:tcW w:w="1417" w:type="dxa"/>
                  <w:shd w:val="clear" w:color="auto" w:fill="FFFFFF"/>
                  <w:vAlign w:val="center"/>
                </w:tcPr>
                <w:p w14:paraId="35F98C1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snapToGrid w:val="0"/>
                      <w:color w:val="000000"/>
                      <w:spacing w:val="-3"/>
                      <w:kern w:val="0"/>
                      <w:sz w:val="21"/>
                      <w:szCs w:val="21"/>
                      <w:lang w:val="en-US" w:eastAsia="en-US" w:bidi="ar-SA"/>
                    </w:rPr>
                    <w:t>每月</w:t>
                  </w:r>
                  <w:r>
                    <w:rPr>
                      <w:rFonts w:hint="default" w:ascii="Times New Roman" w:hAnsi="Times New Roman" w:eastAsia="宋体" w:cs="Times New Roman"/>
                      <w:b w:val="0"/>
                      <w:snapToGrid w:val="0"/>
                      <w:color w:val="000000"/>
                      <w:spacing w:val="-3"/>
                      <w:kern w:val="0"/>
                      <w:sz w:val="21"/>
                      <w:szCs w:val="21"/>
                      <w:lang w:val="en-US" w:eastAsia="en-US" w:bidi="ar-SA"/>
                    </w:rPr>
                    <w:t>1</w:t>
                  </w:r>
                  <w:r>
                    <w:rPr>
                      <w:rFonts w:hint="default" w:ascii="Times New Roman" w:hAnsi="Times New Roman" w:eastAsia="宋体" w:cs="宋体"/>
                      <w:b w:val="0"/>
                      <w:snapToGrid w:val="0"/>
                      <w:color w:val="000000"/>
                      <w:spacing w:val="-3"/>
                      <w:kern w:val="0"/>
                      <w:sz w:val="21"/>
                      <w:szCs w:val="21"/>
                      <w:lang w:val="en-US" w:eastAsia="en-US" w:bidi="ar-SA"/>
                    </w:rPr>
                    <w:t>次</w:t>
                  </w:r>
                </w:p>
              </w:tc>
              <w:tc>
                <w:tcPr>
                  <w:tcW w:w="1417" w:type="dxa"/>
                  <w:vMerge w:val="continue"/>
                  <w:shd w:val="clear" w:color="auto" w:fill="FFFFFF"/>
                  <w:vAlign w:val="center"/>
                </w:tcPr>
                <w:p w14:paraId="121DA49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p>
              </w:tc>
              <w:tc>
                <w:tcPr>
                  <w:tcW w:w="1417" w:type="dxa"/>
                  <w:vMerge w:val="continue"/>
                  <w:shd w:val="clear" w:color="auto" w:fill="FFFFFF"/>
                  <w:vAlign w:val="center"/>
                </w:tcPr>
                <w:p w14:paraId="4240113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p>
              </w:tc>
              <w:tc>
                <w:tcPr>
                  <w:tcW w:w="1417" w:type="dxa"/>
                  <w:vMerge w:val="continue"/>
                  <w:tcBorders>
                    <w:right w:val="nil"/>
                  </w:tcBorders>
                  <w:shd w:val="clear" w:color="auto" w:fill="FFFFFF"/>
                  <w:vAlign w:val="center"/>
                </w:tcPr>
                <w:p w14:paraId="17F98BF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p>
              </w:tc>
            </w:tr>
            <w:tr w14:paraId="26B7FE8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7" w:type="dxa"/>
                  <w:vMerge w:val="continue"/>
                  <w:tcBorders>
                    <w:left w:val="nil"/>
                  </w:tcBorders>
                  <w:shd w:val="clear" w:color="auto" w:fill="FFFFFF"/>
                  <w:vAlign w:val="center"/>
                </w:tcPr>
                <w:p w14:paraId="5B8A5D4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p>
              </w:tc>
              <w:tc>
                <w:tcPr>
                  <w:tcW w:w="1417" w:type="dxa"/>
                  <w:shd w:val="clear" w:color="auto" w:fill="FFFFFF"/>
                  <w:vAlign w:val="center"/>
                </w:tcPr>
                <w:p w14:paraId="07170E2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snapToGrid w:val="0"/>
                      <w:color w:val="000000"/>
                      <w:spacing w:val="8"/>
                      <w:kern w:val="0"/>
                      <w:sz w:val="21"/>
                      <w:szCs w:val="21"/>
                      <w:lang w:val="en-US" w:eastAsia="en-US" w:bidi="ar-SA"/>
                    </w:rPr>
                    <w:t>石油类、总</w:t>
                  </w:r>
                  <w:r>
                    <w:rPr>
                      <w:rFonts w:hint="default" w:ascii="Times New Roman" w:hAnsi="Times New Roman" w:eastAsia="宋体" w:cs="宋体"/>
                      <w:b w:val="0"/>
                      <w:snapToGrid w:val="0"/>
                      <w:color w:val="000000"/>
                      <w:spacing w:val="1"/>
                      <w:kern w:val="0"/>
                      <w:sz w:val="21"/>
                      <w:szCs w:val="21"/>
                      <w:lang w:val="en-US" w:eastAsia="en-US" w:bidi="ar-SA"/>
                    </w:rPr>
                    <w:t>锑</w:t>
                  </w:r>
                </w:p>
              </w:tc>
              <w:tc>
                <w:tcPr>
                  <w:tcW w:w="1417" w:type="dxa"/>
                  <w:vMerge w:val="continue"/>
                  <w:shd w:val="clear" w:color="auto" w:fill="FFFFFF"/>
                  <w:vAlign w:val="center"/>
                </w:tcPr>
                <w:p w14:paraId="0F8EE5F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p>
              </w:tc>
              <w:tc>
                <w:tcPr>
                  <w:tcW w:w="1417" w:type="dxa"/>
                  <w:shd w:val="clear" w:color="auto" w:fill="FFFFFF"/>
                  <w:vAlign w:val="center"/>
                </w:tcPr>
                <w:p w14:paraId="6466E3A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snapToGrid w:val="0"/>
                      <w:color w:val="000000"/>
                      <w:kern w:val="0"/>
                      <w:sz w:val="21"/>
                      <w:szCs w:val="21"/>
                      <w:lang w:val="en-US" w:eastAsia="en-US" w:bidi="ar-SA"/>
                    </w:rPr>
                    <w:t>每季度</w:t>
                  </w:r>
                  <w:r>
                    <w:rPr>
                      <w:rFonts w:hint="default" w:ascii="Times New Roman" w:hAnsi="Times New Roman" w:eastAsia="宋体" w:cs="Times New Roman"/>
                      <w:b w:val="0"/>
                      <w:snapToGrid w:val="0"/>
                      <w:color w:val="000000"/>
                      <w:kern w:val="0"/>
                      <w:sz w:val="21"/>
                      <w:szCs w:val="21"/>
                      <w:lang w:val="en-US" w:eastAsia="en-US" w:bidi="ar-SA"/>
                    </w:rPr>
                    <w:t>1</w:t>
                  </w:r>
                  <w:r>
                    <w:rPr>
                      <w:rFonts w:hint="default" w:ascii="Times New Roman" w:hAnsi="Times New Roman" w:eastAsia="宋体" w:cs="宋体"/>
                      <w:b w:val="0"/>
                      <w:snapToGrid w:val="0"/>
                      <w:color w:val="000000"/>
                      <w:kern w:val="0"/>
                      <w:sz w:val="21"/>
                      <w:szCs w:val="21"/>
                      <w:lang w:val="en-US" w:eastAsia="en-US" w:bidi="ar-SA"/>
                    </w:rPr>
                    <w:t>次</w:t>
                  </w:r>
                </w:p>
              </w:tc>
              <w:tc>
                <w:tcPr>
                  <w:tcW w:w="1417" w:type="dxa"/>
                  <w:vMerge w:val="continue"/>
                  <w:shd w:val="clear" w:color="auto" w:fill="FFFFFF"/>
                  <w:vAlign w:val="center"/>
                </w:tcPr>
                <w:p w14:paraId="1C1A8D7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p>
              </w:tc>
              <w:tc>
                <w:tcPr>
                  <w:tcW w:w="1417" w:type="dxa"/>
                  <w:vMerge w:val="continue"/>
                  <w:shd w:val="clear" w:color="auto" w:fill="FFFFFF"/>
                  <w:vAlign w:val="center"/>
                </w:tcPr>
                <w:p w14:paraId="6E29BE9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p>
              </w:tc>
              <w:tc>
                <w:tcPr>
                  <w:tcW w:w="1417" w:type="dxa"/>
                  <w:vMerge w:val="continue"/>
                  <w:tcBorders>
                    <w:right w:val="nil"/>
                  </w:tcBorders>
                  <w:shd w:val="clear" w:color="auto" w:fill="FFFFFF"/>
                  <w:vAlign w:val="center"/>
                </w:tcPr>
                <w:p w14:paraId="7D7B214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p>
              </w:tc>
            </w:tr>
            <w:tr w14:paraId="4900143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left w:val="nil"/>
                  </w:tcBorders>
                  <w:shd w:val="clear" w:color="auto" w:fill="FFFFFF"/>
                  <w:vAlign w:val="center"/>
                </w:tcPr>
                <w:p w14:paraId="495AA52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snapToGrid w:val="0"/>
                      <w:color w:val="000000"/>
                      <w:kern w:val="0"/>
                      <w:sz w:val="21"/>
                      <w:szCs w:val="21"/>
                      <w:lang w:val="en-US" w:eastAsia="en-US" w:bidi="ar-SA"/>
                    </w:rPr>
                    <w:t>雨水</w:t>
                  </w:r>
                  <w:r>
                    <w:rPr>
                      <w:rFonts w:hint="default" w:ascii="Times New Roman" w:hAnsi="Times New Roman" w:eastAsia="宋体" w:cs="宋体"/>
                      <w:b w:val="0"/>
                      <w:snapToGrid w:val="0"/>
                      <w:color w:val="000000"/>
                      <w:spacing w:val="4"/>
                      <w:kern w:val="0"/>
                      <w:sz w:val="21"/>
                      <w:szCs w:val="21"/>
                      <w:lang w:val="en-US" w:eastAsia="en-US" w:bidi="ar-SA"/>
                    </w:rPr>
                    <w:t>监测</w:t>
                  </w:r>
                </w:p>
              </w:tc>
              <w:tc>
                <w:tcPr>
                  <w:tcW w:w="1417" w:type="dxa"/>
                  <w:shd w:val="clear" w:color="auto" w:fill="FFFFFF"/>
                  <w:vAlign w:val="center"/>
                </w:tcPr>
                <w:p w14:paraId="2328E45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Times New Roman"/>
                      <w:b w:val="0"/>
                      <w:snapToGrid w:val="0"/>
                      <w:color w:val="000000"/>
                      <w:kern w:val="0"/>
                      <w:sz w:val="21"/>
                      <w:szCs w:val="21"/>
                      <w:lang w:val="en-US" w:eastAsia="en-US" w:bidi="ar-SA"/>
                    </w:rPr>
                    <w:t>COD</w:t>
                  </w:r>
                  <w:r>
                    <w:rPr>
                      <w:rFonts w:hint="default" w:ascii="Times New Roman" w:hAnsi="Times New Roman" w:eastAsia="宋体" w:cs="宋体"/>
                      <w:b w:val="0"/>
                      <w:snapToGrid w:val="0"/>
                      <w:color w:val="000000"/>
                      <w:spacing w:val="5"/>
                      <w:kern w:val="0"/>
                      <w:sz w:val="21"/>
                      <w:szCs w:val="21"/>
                      <w:lang w:val="en-US" w:eastAsia="en-US" w:bidi="ar-SA"/>
                    </w:rPr>
                    <w:t>、悬浮</w:t>
                  </w:r>
                  <w:r>
                    <w:rPr>
                      <w:rFonts w:hint="default" w:ascii="Times New Roman" w:hAnsi="Times New Roman" w:eastAsia="宋体" w:cs="宋体"/>
                      <w:b w:val="0"/>
                      <w:snapToGrid w:val="0"/>
                      <w:color w:val="000000"/>
                      <w:kern w:val="0"/>
                      <w:sz w:val="21"/>
                      <w:szCs w:val="21"/>
                      <w:lang w:val="en-US" w:eastAsia="en-US" w:bidi="ar-SA"/>
                    </w:rPr>
                    <w:t>物</w:t>
                  </w:r>
                </w:p>
              </w:tc>
              <w:tc>
                <w:tcPr>
                  <w:tcW w:w="1417" w:type="dxa"/>
                  <w:shd w:val="clear" w:color="auto" w:fill="FFFFFF"/>
                  <w:vAlign w:val="center"/>
                </w:tcPr>
                <w:p w14:paraId="6121870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snapToGrid w:val="0"/>
                      <w:color w:val="000000"/>
                      <w:kern w:val="0"/>
                      <w:sz w:val="21"/>
                      <w:szCs w:val="21"/>
                      <w:lang w:val="en-US" w:eastAsia="en-US" w:bidi="ar-SA"/>
                    </w:rPr>
                    <w:t>雨水</w:t>
                  </w:r>
                  <w:r>
                    <w:rPr>
                      <w:rFonts w:hint="default" w:ascii="Times New Roman" w:hAnsi="Times New Roman" w:eastAsia="宋体" w:cs="宋体"/>
                      <w:b w:val="0"/>
                      <w:snapToGrid w:val="0"/>
                      <w:color w:val="000000"/>
                      <w:spacing w:val="4"/>
                      <w:kern w:val="0"/>
                      <w:sz w:val="21"/>
                      <w:szCs w:val="21"/>
                      <w:lang w:val="en-US" w:eastAsia="en-US" w:bidi="ar-SA"/>
                    </w:rPr>
                    <w:t>排放</w:t>
                  </w:r>
                  <w:r>
                    <w:rPr>
                      <w:rFonts w:hint="default" w:ascii="Times New Roman" w:hAnsi="Times New Roman" w:eastAsia="宋体" w:cs="宋体"/>
                      <w:b w:val="0"/>
                      <w:snapToGrid w:val="0"/>
                      <w:color w:val="000000"/>
                      <w:kern w:val="0"/>
                      <w:sz w:val="21"/>
                      <w:szCs w:val="21"/>
                      <w:lang w:val="en-US" w:eastAsia="en-US" w:bidi="ar-SA"/>
                    </w:rPr>
                    <w:t>口</w:t>
                  </w:r>
                </w:p>
              </w:tc>
              <w:tc>
                <w:tcPr>
                  <w:tcW w:w="1417" w:type="dxa"/>
                  <w:shd w:val="clear" w:color="auto" w:fill="FFFFFF"/>
                  <w:vAlign w:val="center"/>
                </w:tcPr>
                <w:p w14:paraId="5991E0D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r>
                    <w:rPr>
                      <w:rFonts w:hint="default" w:ascii="Times New Roman" w:hAnsi="Times New Roman" w:eastAsia="宋体" w:cs="宋体"/>
                      <w:b w:val="0"/>
                      <w:snapToGrid w:val="0"/>
                      <w:color w:val="000000"/>
                      <w:spacing w:val="8"/>
                      <w:kern w:val="0"/>
                      <w:sz w:val="21"/>
                      <w:szCs w:val="21"/>
                      <w:lang w:val="en-US" w:eastAsia="en-US" w:bidi="ar-SA"/>
                    </w:rPr>
                    <w:t>每日监测一</w:t>
                  </w:r>
                  <w:r>
                    <w:rPr>
                      <w:rFonts w:hint="default" w:ascii="Times New Roman" w:hAnsi="Times New Roman" w:eastAsia="宋体" w:cs="宋体"/>
                      <w:b w:val="0"/>
                      <w:snapToGrid w:val="0"/>
                      <w:color w:val="000000"/>
                      <w:spacing w:val="7"/>
                      <w:kern w:val="0"/>
                      <w:sz w:val="21"/>
                      <w:szCs w:val="21"/>
                      <w:lang w:val="en-US" w:eastAsia="en-US" w:bidi="ar-SA"/>
                    </w:rPr>
                    <w:t>次（有雨水</w:t>
                  </w:r>
                  <w:r>
                    <w:rPr>
                      <w:rFonts w:hint="default" w:ascii="Times New Roman" w:hAnsi="Times New Roman" w:eastAsia="宋体" w:cs="宋体"/>
                      <w:b w:val="0"/>
                      <w:snapToGrid w:val="0"/>
                      <w:color w:val="000000"/>
                      <w:spacing w:val="5"/>
                      <w:kern w:val="0"/>
                      <w:sz w:val="21"/>
                      <w:szCs w:val="21"/>
                      <w:lang w:val="en-US" w:eastAsia="en-US" w:bidi="ar-SA"/>
                    </w:rPr>
                    <w:t>排放时）</w:t>
                  </w:r>
                </w:p>
              </w:tc>
              <w:tc>
                <w:tcPr>
                  <w:tcW w:w="1417" w:type="dxa"/>
                  <w:vMerge w:val="continue"/>
                  <w:shd w:val="clear" w:color="auto" w:fill="FFFFFF"/>
                  <w:vAlign w:val="center"/>
                </w:tcPr>
                <w:p w14:paraId="0D4D49D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p>
              </w:tc>
              <w:tc>
                <w:tcPr>
                  <w:tcW w:w="1417" w:type="dxa"/>
                  <w:vMerge w:val="continue"/>
                  <w:shd w:val="clear" w:color="auto" w:fill="FFFFFF"/>
                  <w:vAlign w:val="center"/>
                </w:tcPr>
                <w:p w14:paraId="043A659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p>
              </w:tc>
              <w:tc>
                <w:tcPr>
                  <w:tcW w:w="1417" w:type="dxa"/>
                  <w:vMerge w:val="continue"/>
                  <w:tcBorders>
                    <w:right w:val="nil"/>
                  </w:tcBorders>
                  <w:shd w:val="clear" w:color="auto" w:fill="FFFFFF"/>
                  <w:vAlign w:val="center"/>
                </w:tcPr>
                <w:p w14:paraId="4888CD9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b w:val="0"/>
                      <w:bCs/>
                      <w:snapToGrid w:val="0"/>
                      <w:color w:val="000000"/>
                      <w:spacing w:val="-2"/>
                      <w:kern w:val="0"/>
                      <w:sz w:val="24"/>
                      <w:szCs w:val="24"/>
                      <w:vertAlign w:val="baseline"/>
                      <w:lang w:val="en-US" w:eastAsia="en-US" w:bidi="ar-SA"/>
                    </w:rPr>
                  </w:pPr>
                </w:p>
              </w:tc>
            </w:tr>
          </w:tbl>
          <w:p w14:paraId="2471CAA6">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三、噪声</w:t>
            </w:r>
          </w:p>
          <w:p w14:paraId="77356978">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1、噪声源强分析</w:t>
            </w:r>
          </w:p>
          <w:p w14:paraId="398CA88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（1）噪声源强</w:t>
            </w:r>
          </w:p>
          <w:p w14:paraId="5B5D403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运营期噪声主要来自</w:t>
            </w:r>
            <w:r>
              <w:rPr>
                <w:rFonts w:hint="eastAsia" w:cs="Times New Roman"/>
                <w:color w:val="auto"/>
                <w:highlight w:val="none"/>
                <w:lang w:val="en-US" w:eastAsia="zh-CN"/>
              </w:rPr>
              <w:t>织造机</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磨毛机、加弹机、空气压缩机、</w:t>
            </w:r>
            <w:r>
              <w:rPr>
                <w:rFonts w:hint="default" w:ascii="Times New Roman" w:hAnsi="Times New Roman" w:cs="Times New Roman"/>
                <w:color w:val="auto"/>
                <w:highlight w:val="none"/>
                <w:lang w:val="en-US" w:eastAsia="zh-CN"/>
              </w:rPr>
              <w:t>风机</w:t>
            </w:r>
            <w:r>
              <w:rPr>
                <w:rFonts w:hint="default" w:ascii="Times New Roman" w:hAnsi="Times New Roman" w:cs="Times New Roman"/>
                <w:color w:val="auto"/>
                <w:highlight w:val="none"/>
              </w:rPr>
              <w:t>等，通过</w:t>
            </w:r>
            <w:r>
              <w:rPr>
                <w:rFonts w:hint="default" w:ascii="Times New Roman" w:hAnsi="Times New Roman" w:cs="Times New Roman"/>
                <w:color w:val="auto"/>
                <w:highlight w:val="none"/>
                <w:lang w:eastAsia="zh-CN"/>
              </w:rPr>
              <w:t>采取选用低噪设备、厂房隔声、基础减振等降噪措施</w:t>
            </w:r>
            <w:r>
              <w:rPr>
                <w:rFonts w:hint="default" w:ascii="Times New Roman" w:hAnsi="Times New Roman" w:cs="Times New Roman"/>
                <w:color w:val="auto"/>
                <w:highlight w:val="none"/>
              </w:rPr>
              <w:t>，可起到一定降噪效果。通过以上措施可以降低噪声约</w:t>
            </w:r>
            <w:r>
              <w:rPr>
                <w:rFonts w:hint="eastAsia" w:cs="Times New Roman"/>
                <w:color w:val="auto"/>
                <w:highlight w:val="none"/>
                <w:lang w:val="en-US" w:eastAsia="zh-CN"/>
              </w:rPr>
              <w:t>15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w:t>
            </w:r>
            <w:r>
              <w:rPr>
                <w:rFonts w:hint="eastAsia" w:cs="Times New Roman"/>
                <w:color w:val="auto"/>
                <w:highlight w:val="none"/>
                <w:lang w:val="en-US" w:eastAsia="zh-CN"/>
              </w:rPr>
              <w:t>0</w:t>
            </w:r>
            <w:r>
              <w:rPr>
                <w:rFonts w:hint="default" w:ascii="Times New Roman" w:hAnsi="Times New Roman" w:cs="Times New Roman"/>
                <w:color w:val="auto"/>
                <w:highlight w:val="none"/>
              </w:rPr>
              <w:t>dB（A）。根据类比资料分析，项目运营期主要噪声源，详见下表。</w:t>
            </w:r>
          </w:p>
          <w:p w14:paraId="4A974698">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表4-</w:t>
            </w:r>
            <w:r>
              <w:rPr>
                <w:rFonts w:hint="eastAsia" w:cs="Times New Roman"/>
                <w:b/>
                <w:color w:val="auto"/>
                <w:kern w:val="2"/>
                <w:sz w:val="24"/>
                <w:szCs w:val="24"/>
                <w:highlight w:val="none"/>
                <w:lang w:val="en-US" w:eastAsia="zh-CN" w:bidi="ar-SA"/>
              </w:rPr>
              <w:t>15</w:t>
            </w:r>
            <w:r>
              <w:rPr>
                <w:rFonts w:hint="default" w:ascii="Times New Roman" w:hAnsi="Times New Roman" w:eastAsia="宋体" w:cs="Times New Roman"/>
                <w:b/>
                <w:color w:val="auto"/>
                <w:kern w:val="2"/>
                <w:sz w:val="24"/>
                <w:szCs w:val="24"/>
                <w:highlight w:val="none"/>
                <w:lang w:val="en-US" w:eastAsia="zh-CN" w:bidi="ar-SA"/>
              </w:rPr>
              <w:t>项目运营期主要噪声源</w:t>
            </w:r>
            <w:r>
              <w:rPr>
                <w:rFonts w:hint="eastAsia" w:ascii="Times New Roman" w:hAnsi="Times New Roman" w:eastAsia="宋体" w:cs="Times New Roman"/>
                <w:b/>
                <w:color w:val="auto"/>
                <w:kern w:val="2"/>
                <w:sz w:val="24"/>
                <w:szCs w:val="24"/>
                <w:highlight w:val="none"/>
                <w:lang w:val="en-US" w:eastAsia="zh-CN" w:bidi="ar-SA"/>
              </w:rPr>
              <w:t>（室外声源）</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495"/>
              <w:gridCol w:w="1280"/>
              <w:gridCol w:w="736"/>
              <w:gridCol w:w="736"/>
              <w:gridCol w:w="742"/>
              <w:gridCol w:w="1644"/>
              <w:gridCol w:w="1645"/>
              <w:gridCol w:w="1169"/>
            </w:tblGrid>
            <w:tr w14:paraId="19D56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Merge w:val="restart"/>
                  <w:noWrap w:val="0"/>
                  <w:vAlign w:val="center"/>
                </w:tcPr>
                <w:p w14:paraId="55A4F7A8">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auto"/>
                      <w:sz w:val="21"/>
                      <w:szCs w:val="18"/>
                      <w:highlight w:val="none"/>
                    </w:rPr>
                  </w:pPr>
                  <w:r>
                    <w:rPr>
                      <w:rFonts w:hint="default"/>
                      <w:b/>
                      <w:bCs/>
                      <w:color w:val="auto"/>
                      <w:sz w:val="21"/>
                      <w:szCs w:val="18"/>
                      <w:highlight w:val="none"/>
                    </w:rPr>
                    <w:t>序号</w:t>
                  </w:r>
                </w:p>
              </w:tc>
              <w:tc>
                <w:tcPr>
                  <w:tcW w:w="751" w:type="pct"/>
                  <w:vMerge w:val="restart"/>
                  <w:noWrap w:val="0"/>
                  <w:vAlign w:val="center"/>
                </w:tcPr>
                <w:p w14:paraId="2FAED36E">
                  <w:pPr>
                    <w:keepNext w:val="0"/>
                    <w:keepLines w:val="0"/>
                    <w:suppressLineNumbers w:val="0"/>
                    <w:shd w:val="clear" w:color="auto" w:fill="auto"/>
                    <w:adjustRightInd w:val="0"/>
                    <w:snapToGrid w:val="0"/>
                    <w:spacing w:before="0" w:beforeAutospacing="0" w:after="0" w:afterAutospacing="0"/>
                    <w:ind w:left="0" w:right="0"/>
                    <w:jc w:val="center"/>
                    <w:rPr>
                      <w:rFonts w:hint="eastAsia"/>
                      <w:b/>
                      <w:bCs/>
                      <w:color w:val="auto"/>
                      <w:sz w:val="21"/>
                      <w:szCs w:val="18"/>
                      <w:highlight w:val="none"/>
                    </w:rPr>
                  </w:pPr>
                  <w:r>
                    <w:rPr>
                      <w:rFonts w:hint="default"/>
                      <w:b/>
                      <w:bCs/>
                      <w:color w:val="auto"/>
                      <w:sz w:val="21"/>
                      <w:szCs w:val="18"/>
                      <w:highlight w:val="none"/>
                    </w:rPr>
                    <w:t>声源</w:t>
                  </w:r>
                  <w:r>
                    <w:rPr>
                      <w:rFonts w:hint="eastAsia"/>
                      <w:b/>
                      <w:bCs/>
                      <w:color w:val="auto"/>
                      <w:sz w:val="21"/>
                      <w:szCs w:val="18"/>
                      <w:highlight w:val="none"/>
                    </w:rPr>
                    <w:t>名称</w:t>
                  </w:r>
                </w:p>
              </w:tc>
              <w:tc>
                <w:tcPr>
                  <w:tcW w:w="643" w:type="pct"/>
                  <w:vMerge w:val="restart"/>
                  <w:noWrap w:val="0"/>
                  <w:vAlign w:val="center"/>
                </w:tcPr>
                <w:p w14:paraId="53870C89">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auto"/>
                      <w:sz w:val="21"/>
                      <w:szCs w:val="18"/>
                      <w:highlight w:val="none"/>
                    </w:rPr>
                  </w:pPr>
                  <w:r>
                    <w:rPr>
                      <w:rFonts w:hint="eastAsia"/>
                      <w:b/>
                      <w:bCs/>
                      <w:color w:val="auto"/>
                      <w:sz w:val="21"/>
                      <w:szCs w:val="18"/>
                      <w:highlight w:val="none"/>
                    </w:rPr>
                    <w:t>型号</w:t>
                  </w:r>
                </w:p>
              </w:tc>
              <w:tc>
                <w:tcPr>
                  <w:tcW w:w="1113" w:type="pct"/>
                  <w:gridSpan w:val="3"/>
                  <w:noWrap w:val="0"/>
                  <w:vAlign w:val="center"/>
                </w:tcPr>
                <w:p w14:paraId="3C8C6262">
                  <w:pPr>
                    <w:keepNext w:val="0"/>
                    <w:keepLines w:val="0"/>
                    <w:suppressLineNumbers w:val="0"/>
                    <w:shd w:val="clear" w:color="auto" w:fill="auto"/>
                    <w:adjustRightInd w:val="0"/>
                    <w:snapToGrid w:val="0"/>
                    <w:spacing w:before="0" w:beforeAutospacing="0" w:after="0" w:afterAutospacing="0"/>
                    <w:ind w:left="0" w:right="0"/>
                    <w:jc w:val="center"/>
                    <w:rPr>
                      <w:rFonts w:hint="eastAsia"/>
                      <w:b/>
                      <w:bCs/>
                      <w:color w:val="auto"/>
                      <w:sz w:val="21"/>
                      <w:szCs w:val="18"/>
                      <w:highlight w:val="none"/>
                    </w:rPr>
                  </w:pPr>
                  <w:r>
                    <w:rPr>
                      <w:rFonts w:hint="eastAsia"/>
                      <w:b/>
                      <w:bCs/>
                      <w:color w:val="auto"/>
                      <w:sz w:val="21"/>
                      <w:szCs w:val="18"/>
                      <w:highlight w:val="none"/>
                    </w:rPr>
                    <w:t>空间相对位置/m</w:t>
                  </w:r>
                </w:p>
              </w:tc>
              <w:tc>
                <w:tcPr>
                  <w:tcW w:w="826" w:type="pct"/>
                  <w:noWrap w:val="0"/>
                  <w:vAlign w:val="center"/>
                </w:tcPr>
                <w:p w14:paraId="43655C83">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auto"/>
                      <w:sz w:val="21"/>
                      <w:szCs w:val="18"/>
                      <w:highlight w:val="none"/>
                    </w:rPr>
                  </w:pPr>
                  <w:r>
                    <w:rPr>
                      <w:rFonts w:hint="eastAsia"/>
                      <w:b/>
                      <w:bCs/>
                      <w:color w:val="auto"/>
                      <w:sz w:val="21"/>
                      <w:szCs w:val="18"/>
                      <w:highlight w:val="none"/>
                    </w:rPr>
                    <w:t>声源源强</w:t>
                  </w:r>
                </w:p>
              </w:tc>
              <w:tc>
                <w:tcPr>
                  <w:tcW w:w="827" w:type="pct"/>
                  <w:vMerge w:val="restart"/>
                  <w:noWrap w:val="0"/>
                  <w:vAlign w:val="center"/>
                </w:tcPr>
                <w:p w14:paraId="5983802C">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auto"/>
                      <w:sz w:val="21"/>
                      <w:szCs w:val="18"/>
                      <w:highlight w:val="none"/>
                    </w:rPr>
                  </w:pPr>
                  <w:r>
                    <w:rPr>
                      <w:rFonts w:hint="eastAsia"/>
                      <w:b/>
                      <w:bCs/>
                      <w:color w:val="auto"/>
                      <w:sz w:val="21"/>
                      <w:szCs w:val="18"/>
                      <w:highlight w:val="none"/>
                    </w:rPr>
                    <w:t>声源控制措施</w:t>
                  </w:r>
                </w:p>
              </w:tc>
              <w:tc>
                <w:tcPr>
                  <w:tcW w:w="587" w:type="pct"/>
                  <w:vMerge w:val="restart"/>
                  <w:noWrap w:val="0"/>
                  <w:vAlign w:val="center"/>
                </w:tcPr>
                <w:p w14:paraId="7F827683">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auto"/>
                      <w:sz w:val="21"/>
                      <w:szCs w:val="18"/>
                      <w:highlight w:val="none"/>
                    </w:rPr>
                  </w:pPr>
                  <w:r>
                    <w:rPr>
                      <w:rFonts w:hint="default"/>
                      <w:b/>
                      <w:bCs/>
                      <w:color w:val="auto"/>
                      <w:sz w:val="21"/>
                      <w:szCs w:val="18"/>
                      <w:highlight w:val="none"/>
                    </w:rPr>
                    <w:t>运行时段</w:t>
                  </w:r>
                </w:p>
              </w:tc>
            </w:tr>
            <w:tr w14:paraId="2879D4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Merge w:val="continue"/>
                  <w:noWrap w:val="0"/>
                  <w:vAlign w:val="center"/>
                </w:tcPr>
                <w:p w14:paraId="38B887FF">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auto"/>
                      <w:sz w:val="21"/>
                      <w:szCs w:val="18"/>
                      <w:highlight w:val="none"/>
                    </w:rPr>
                  </w:pPr>
                </w:p>
              </w:tc>
              <w:tc>
                <w:tcPr>
                  <w:tcW w:w="751" w:type="pct"/>
                  <w:vMerge w:val="continue"/>
                  <w:noWrap w:val="0"/>
                  <w:vAlign w:val="center"/>
                </w:tcPr>
                <w:p w14:paraId="55B47BE5">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auto"/>
                      <w:sz w:val="21"/>
                      <w:szCs w:val="18"/>
                      <w:highlight w:val="none"/>
                    </w:rPr>
                  </w:pPr>
                </w:p>
              </w:tc>
              <w:tc>
                <w:tcPr>
                  <w:tcW w:w="643" w:type="pct"/>
                  <w:vMerge w:val="continue"/>
                  <w:noWrap w:val="0"/>
                  <w:vAlign w:val="center"/>
                </w:tcPr>
                <w:p w14:paraId="2DB44F98">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auto"/>
                      <w:sz w:val="21"/>
                      <w:szCs w:val="18"/>
                      <w:highlight w:val="none"/>
                    </w:rPr>
                  </w:pPr>
                </w:p>
              </w:tc>
              <w:tc>
                <w:tcPr>
                  <w:tcW w:w="370" w:type="pct"/>
                  <w:noWrap w:val="0"/>
                  <w:vAlign w:val="center"/>
                </w:tcPr>
                <w:p w14:paraId="1E96FE40">
                  <w:pPr>
                    <w:keepNext w:val="0"/>
                    <w:keepLines w:val="0"/>
                    <w:suppressLineNumbers w:val="0"/>
                    <w:shd w:val="clear" w:color="auto" w:fill="auto"/>
                    <w:adjustRightInd w:val="0"/>
                    <w:snapToGrid w:val="0"/>
                    <w:spacing w:before="0" w:beforeAutospacing="0" w:after="0" w:afterAutospacing="0"/>
                    <w:ind w:left="0" w:right="0"/>
                    <w:jc w:val="center"/>
                    <w:rPr>
                      <w:rFonts w:hint="eastAsia"/>
                      <w:b/>
                      <w:bCs/>
                      <w:color w:val="auto"/>
                      <w:sz w:val="21"/>
                      <w:szCs w:val="18"/>
                      <w:highlight w:val="none"/>
                    </w:rPr>
                  </w:pPr>
                  <w:r>
                    <w:rPr>
                      <w:rFonts w:hint="eastAsia"/>
                      <w:b/>
                      <w:bCs/>
                      <w:color w:val="auto"/>
                      <w:sz w:val="21"/>
                      <w:szCs w:val="18"/>
                      <w:highlight w:val="none"/>
                    </w:rPr>
                    <w:t>X</w:t>
                  </w:r>
                </w:p>
              </w:tc>
              <w:tc>
                <w:tcPr>
                  <w:tcW w:w="370" w:type="pct"/>
                  <w:noWrap w:val="0"/>
                  <w:vAlign w:val="center"/>
                </w:tcPr>
                <w:p w14:paraId="675192FC">
                  <w:pPr>
                    <w:keepNext w:val="0"/>
                    <w:keepLines w:val="0"/>
                    <w:suppressLineNumbers w:val="0"/>
                    <w:shd w:val="clear" w:color="auto" w:fill="auto"/>
                    <w:adjustRightInd w:val="0"/>
                    <w:snapToGrid w:val="0"/>
                    <w:spacing w:before="0" w:beforeAutospacing="0" w:after="0" w:afterAutospacing="0"/>
                    <w:ind w:left="0" w:right="0"/>
                    <w:jc w:val="center"/>
                    <w:rPr>
                      <w:rFonts w:hint="eastAsia"/>
                      <w:b/>
                      <w:bCs/>
                      <w:color w:val="auto"/>
                      <w:sz w:val="21"/>
                      <w:szCs w:val="18"/>
                      <w:highlight w:val="none"/>
                    </w:rPr>
                  </w:pPr>
                  <w:r>
                    <w:rPr>
                      <w:rFonts w:hint="eastAsia"/>
                      <w:b/>
                      <w:bCs/>
                      <w:color w:val="auto"/>
                      <w:sz w:val="21"/>
                      <w:szCs w:val="18"/>
                      <w:highlight w:val="none"/>
                    </w:rPr>
                    <w:t>Y</w:t>
                  </w:r>
                </w:p>
              </w:tc>
              <w:tc>
                <w:tcPr>
                  <w:tcW w:w="373" w:type="pct"/>
                  <w:noWrap w:val="0"/>
                  <w:vAlign w:val="center"/>
                </w:tcPr>
                <w:p w14:paraId="19189819">
                  <w:pPr>
                    <w:keepNext w:val="0"/>
                    <w:keepLines w:val="0"/>
                    <w:suppressLineNumbers w:val="0"/>
                    <w:shd w:val="clear" w:color="auto" w:fill="auto"/>
                    <w:adjustRightInd w:val="0"/>
                    <w:snapToGrid w:val="0"/>
                    <w:spacing w:before="0" w:beforeAutospacing="0" w:after="0" w:afterAutospacing="0"/>
                    <w:ind w:left="0" w:right="0"/>
                    <w:jc w:val="center"/>
                    <w:rPr>
                      <w:rFonts w:hint="eastAsia"/>
                      <w:b/>
                      <w:bCs/>
                      <w:color w:val="auto"/>
                      <w:sz w:val="21"/>
                      <w:szCs w:val="18"/>
                      <w:highlight w:val="none"/>
                    </w:rPr>
                  </w:pPr>
                  <w:r>
                    <w:rPr>
                      <w:rFonts w:hint="eastAsia"/>
                      <w:b/>
                      <w:bCs/>
                      <w:color w:val="auto"/>
                      <w:sz w:val="21"/>
                      <w:szCs w:val="18"/>
                      <w:highlight w:val="none"/>
                    </w:rPr>
                    <w:t>Z</w:t>
                  </w:r>
                </w:p>
              </w:tc>
              <w:tc>
                <w:tcPr>
                  <w:tcW w:w="826" w:type="pct"/>
                  <w:noWrap w:val="0"/>
                  <w:vAlign w:val="center"/>
                </w:tcPr>
                <w:p w14:paraId="70B86B2F">
                  <w:pPr>
                    <w:keepNext w:val="0"/>
                    <w:keepLines w:val="0"/>
                    <w:suppressLineNumbers w:val="0"/>
                    <w:shd w:val="clear" w:color="auto" w:fill="auto"/>
                    <w:adjustRightInd w:val="0"/>
                    <w:snapToGrid w:val="0"/>
                    <w:spacing w:before="0" w:beforeAutospacing="0" w:after="0" w:afterAutospacing="0"/>
                    <w:ind w:left="0" w:right="0"/>
                    <w:jc w:val="center"/>
                    <w:rPr>
                      <w:rFonts w:hint="eastAsia"/>
                      <w:b/>
                      <w:bCs/>
                      <w:color w:val="auto"/>
                      <w:sz w:val="21"/>
                      <w:szCs w:val="18"/>
                      <w:highlight w:val="none"/>
                    </w:rPr>
                  </w:pPr>
                  <w:r>
                    <w:rPr>
                      <w:rFonts w:hint="eastAsia"/>
                      <w:b/>
                      <w:bCs/>
                      <w:color w:val="auto"/>
                      <w:sz w:val="21"/>
                      <w:szCs w:val="18"/>
                      <w:highlight w:val="none"/>
                    </w:rPr>
                    <w:t>声压级</w:t>
                  </w:r>
                  <w:r>
                    <w:rPr>
                      <w:rFonts w:hint="default"/>
                      <w:b/>
                      <w:bCs/>
                      <w:color w:val="auto"/>
                      <w:sz w:val="21"/>
                      <w:szCs w:val="18"/>
                      <w:highlight w:val="none"/>
                    </w:rPr>
                    <w:t>/dB（A）</w:t>
                  </w:r>
                </w:p>
              </w:tc>
              <w:tc>
                <w:tcPr>
                  <w:tcW w:w="827" w:type="pct"/>
                  <w:vMerge w:val="continue"/>
                  <w:noWrap w:val="0"/>
                  <w:vAlign w:val="center"/>
                </w:tcPr>
                <w:p w14:paraId="6AA62EF0">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auto"/>
                      <w:sz w:val="21"/>
                      <w:szCs w:val="18"/>
                      <w:highlight w:val="none"/>
                    </w:rPr>
                  </w:pPr>
                </w:p>
              </w:tc>
              <w:tc>
                <w:tcPr>
                  <w:tcW w:w="587" w:type="pct"/>
                  <w:vMerge w:val="continue"/>
                  <w:noWrap w:val="0"/>
                  <w:vAlign w:val="center"/>
                </w:tcPr>
                <w:p w14:paraId="6ABB0CB6">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auto"/>
                      <w:sz w:val="21"/>
                      <w:szCs w:val="18"/>
                      <w:highlight w:val="none"/>
                    </w:rPr>
                  </w:pPr>
                </w:p>
              </w:tc>
            </w:tr>
            <w:tr w14:paraId="70989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noWrap w:val="0"/>
                  <w:vAlign w:val="center"/>
                </w:tcPr>
                <w:p w14:paraId="79709238">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1"/>
                      <w:szCs w:val="18"/>
                      <w:highlight w:val="none"/>
                    </w:rPr>
                  </w:pPr>
                  <w:r>
                    <w:rPr>
                      <w:rFonts w:hint="eastAsia"/>
                      <w:color w:val="auto"/>
                      <w:sz w:val="21"/>
                      <w:szCs w:val="18"/>
                      <w:highlight w:val="none"/>
                    </w:rPr>
                    <w:t>1</w:t>
                  </w:r>
                </w:p>
              </w:tc>
              <w:tc>
                <w:tcPr>
                  <w:tcW w:w="751" w:type="pct"/>
                  <w:noWrap w:val="0"/>
                  <w:vAlign w:val="center"/>
                </w:tcPr>
                <w:p w14:paraId="506B4D64">
                  <w:pPr>
                    <w:keepNext w:val="0"/>
                    <w:keepLines w:val="0"/>
                    <w:suppressLineNumbers w:val="0"/>
                    <w:shd w:val="clear" w:color="auto" w:fill="auto"/>
                    <w:adjustRightInd w:val="0"/>
                    <w:snapToGrid w:val="0"/>
                    <w:spacing w:before="0" w:beforeAutospacing="0" w:after="0" w:afterAutospacing="0"/>
                    <w:ind w:left="0" w:right="0"/>
                    <w:jc w:val="center"/>
                    <w:rPr>
                      <w:rFonts w:hint="default" w:eastAsia="宋体"/>
                      <w:color w:val="auto"/>
                      <w:sz w:val="21"/>
                      <w:szCs w:val="18"/>
                      <w:highlight w:val="none"/>
                      <w:lang w:val="en-US" w:eastAsia="zh-CN"/>
                    </w:rPr>
                  </w:pPr>
                  <w:r>
                    <w:rPr>
                      <w:rFonts w:hint="eastAsia"/>
                      <w:color w:val="auto"/>
                      <w:sz w:val="21"/>
                      <w:szCs w:val="18"/>
                      <w:highlight w:val="none"/>
                    </w:rPr>
                    <w:t>风机</w:t>
                  </w:r>
                  <w:r>
                    <w:rPr>
                      <w:rFonts w:hint="eastAsia"/>
                      <w:color w:val="auto"/>
                      <w:sz w:val="21"/>
                      <w:szCs w:val="18"/>
                      <w:highlight w:val="none"/>
                      <w:lang w:val="en-US" w:eastAsia="zh-CN"/>
                    </w:rPr>
                    <w:t>1(DA001)</w:t>
                  </w:r>
                </w:p>
              </w:tc>
              <w:tc>
                <w:tcPr>
                  <w:tcW w:w="643" w:type="pct"/>
                  <w:noWrap w:val="0"/>
                  <w:vAlign w:val="center"/>
                </w:tcPr>
                <w:p w14:paraId="37889ADB">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1"/>
                      <w:szCs w:val="18"/>
                      <w:highlight w:val="none"/>
                    </w:rPr>
                  </w:pPr>
                  <w:r>
                    <w:rPr>
                      <w:rFonts w:hint="eastAsia"/>
                      <w:color w:val="auto"/>
                      <w:sz w:val="21"/>
                      <w:szCs w:val="18"/>
                      <w:highlight w:val="none"/>
                    </w:rPr>
                    <w:t>/</w:t>
                  </w:r>
                </w:p>
              </w:tc>
              <w:tc>
                <w:tcPr>
                  <w:tcW w:w="370" w:type="pct"/>
                  <w:noWrap w:val="0"/>
                  <w:vAlign w:val="center"/>
                </w:tcPr>
                <w:p w14:paraId="16835280">
                  <w:pPr>
                    <w:keepNext w:val="0"/>
                    <w:keepLines w:val="0"/>
                    <w:suppressLineNumbers w:val="0"/>
                    <w:shd w:val="clear" w:color="auto" w:fill="auto"/>
                    <w:adjustRightInd w:val="0"/>
                    <w:snapToGrid w:val="0"/>
                    <w:spacing w:before="0" w:beforeAutospacing="0" w:after="0" w:afterAutospacing="0"/>
                    <w:ind w:left="0" w:right="0"/>
                    <w:jc w:val="center"/>
                    <w:rPr>
                      <w:rFonts w:hint="default" w:eastAsia="宋体"/>
                      <w:color w:val="auto"/>
                      <w:sz w:val="21"/>
                      <w:szCs w:val="18"/>
                      <w:highlight w:val="none"/>
                      <w:lang w:val="en-US" w:eastAsia="zh-CN"/>
                    </w:rPr>
                  </w:pPr>
                  <w:r>
                    <w:rPr>
                      <w:rFonts w:hint="eastAsia"/>
                      <w:color w:val="auto"/>
                      <w:sz w:val="21"/>
                      <w:szCs w:val="18"/>
                      <w:highlight w:val="none"/>
                      <w:lang w:val="en-US" w:eastAsia="zh-CN"/>
                    </w:rPr>
                    <w:t>40</w:t>
                  </w:r>
                </w:p>
              </w:tc>
              <w:tc>
                <w:tcPr>
                  <w:tcW w:w="370" w:type="pct"/>
                  <w:noWrap w:val="0"/>
                  <w:vAlign w:val="center"/>
                </w:tcPr>
                <w:p w14:paraId="0C102542">
                  <w:pPr>
                    <w:keepNext w:val="0"/>
                    <w:keepLines w:val="0"/>
                    <w:suppressLineNumbers w:val="0"/>
                    <w:shd w:val="clear" w:color="auto" w:fill="auto"/>
                    <w:adjustRightInd w:val="0"/>
                    <w:snapToGrid w:val="0"/>
                    <w:spacing w:before="0" w:beforeAutospacing="0" w:after="0" w:afterAutospacing="0"/>
                    <w:ind w:left="0" w:right="0"/>
                    <w:jc w:val="center"/>
                    <w:rPr>
                      <w:rFonts w:hint="default" w:eastAsia="宋体"/>
                      <w:color w:val="auto"/>
                      <w:sz w:val="21"/>
                      <w:szCs w:val="18"/>
                      <w:highlight w:val="none"/>
                      <w:lang w:val="en-US" w:eastAsia="zh-CN"/>
                    </w:rPr>
                  </w:pPr>
                  <w:r>
                    <w:rPr>
                      <w:rFonts w:hint="eastAsia"/>
                      <w:color w:val="auto"/>
                      <w:sz w:val="21"/>
                      <w:szCs w:val="18"/>
                      <w:highlight w:val="none"/>
                      <w:lang w:val="en-US" w:eastAsia="zh-CN"/>
                    </w:rPr>
                    <w:t>55</w:t>
                  </w:r>
                </w:p>
              </w:tc>
              <w:tc>
                <w:tcPr>
                  <w:tcW w:w="373" w:type="pct"/>
                  <w:noWrap w:val="0"/>
                  <w:vAlign w:val="center"/>
                </w:tcPr>
                <w:p w14:paraId="591C3A56">
                  <w:pPr>
                    <w:keepNext w:val="0"/>
                    <w:keepLines w:val="0"/>
                    <w:suppressLineNumbers w:val="0"/>
                    <w:shd w:val="clear" w:color="auto" w:fill="auto"/>
                    <w:adjustRightInd w:val="0"/>
                    <w:snapToGrid w:val="0"/>
                    <w:spacing w:before="0" w:beforeAutospacing="0" w:after="0" w:afterAutospacing="0"/>
                    <w:ind w:left="0" w:right="0"/>
                    <w:jc w:val="center"/>
                    <w:rPr>
                      <w:rFonts w:hint="default" w:eastAsia="宋体"/>
                      <w:color w:val="auto"/>
                      <w:sz w:val="21"/>
                      <w:szCs w:val="18"/>
                      <w:highlight w:val="none"/>
                      <w:lang w:val="en-US" w:eastAsia="zh-CN"/>
                    </w:rPr>
                  </w:pPr>
                  <w:r>
                    <w:rPr>
                      <w:rFonts w:hint="eastAsia" w:eastAsia="宋体"/>
                      <w:color w:val="auto"/>
                      <w:sz w:val="21"/>
                      <w:szCs w:val="18"/>
                      <w:highlight w:val="none"/>
                      <w:lang w:val="en-US" w:eastAsia="zh-CN"/>
                    </w:rPr>
                    <w:t>1</w:t>
                  </w:r>
                </w:p>
              </w:tc>
              <w:tc>
                <w:tcPr>
                  <w:tcW w:w="826" w:type="pct"/>
                  <w:noWrap w:val="0"/>
                  <w:vAlign w:val="center"/>
                </w:tcPr>
                <w:p w14:paraId="29DB52FE">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1"/>
                      <w:szCs w:val="18"/>
                      <w:highlight w:val="none"/>
                      <w:lang w:val="en-US"/>
                    </w:rPr>
                  </w:pPr>
                  <w:r>
                    <w:rPr>
                      <w:rFonts w:hint="eastAsia"/>
                      <w:color w:val="auto"/>
                      <w:sz w:val="21"/>
                      <w:szCs w:val="18"/>
                      <w:highlight w:val="none"/>
                      <w:lang w:val="en-US" w:eastAsia="zh-CN"/>
                    </w:rPr>
                    <w:t>80</w:t>
                  </w:r>
                </w:p>
              </w:tc>
              <w:tc>
                <w:tcPr>
                  <w:tcW w:w="827" w:type="pct"/>
                  <w:noWrap w:val="0"/>
                  <w:vAlign w:val="center"/>
                </w:tcPr>
                <w:p w14:paraId="06C8E79C">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1"/>
                      <w:szCs w:val="18"/>
                      <w:highlight w:val="none"/>
                    </w:rPr>
                  </w:pPr>
                  <w:r>
                    <w:rPr>
                      <w:rFonts w:hint="default"/>
                      <w:color w:val="auto"/>
                      <w:sz w:val="21"/>
                      <w:szCs w:val="18"/>
                      <w:highlight w:val="none"/>
                    </w:rPr>
                    <w:t>安装减震垫</w:t>
                  </w:r>
                  <w:r>
                    <w:rPr>
                      <w:rFonts w:hint="eastAsia"/>
                      <w:color w:val="auto"/>
                      <w:sz w:val="21"/>
                      <w:szCs w:val="18"/>
                      <w:highlight w:val="none"/>
                    </w:rPr>
                    <w:t>、固定底座</w:t>
                  </w:r>
                </w:p>
              </w:tc>
              <w:tc>
                <w:tcPr>
                  <w:tcW w:w="587" w:type="pct"/>
                  <w:noWrap w:val="0"/>
                  <w:vAlign w:val="center"/>
                </w:tcPr>
                <w:p w14:paraId="32C7D297">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1"/>
                      <w:szCs w:val="18"/>
                      <w:highlight w:val="none"/>
                    </w:rPr>
                  </w:pPr>
                  <w:r>
                    <w:rPr>
                      <w:rFonts w:hint="eastAsia"/>
                      <w:color w:val="auto"/>
                      <w:sz w:val="21"/>
                      <w:szCs w:val="18"/>
                      <w:highlight w:val="none"/>
                      <w:lang w:val="en-US" w:eastAsia="zh-CN"/>
                    </w:rPr>
                    <w:t>24</w:t>
                  </w:r>
                  <w:r>
                    <w:rPr>
                      <w:rFonts w:hint="eastAsia"/>
                      <w:color w:val="auto"/>
                      <w:sz w:val="21"/>
                      <w:szCs w:val="18"/>
                      <w:highlight w:val="none"/>
                    </w:rPr>
                    <w:t>h</w:t>
                  </w:r>
                </w:p>
              </w:tc>
            </w:tr>
          </w:tbl>
          <w:p w14:paraId="33E5992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eastAsia" w:cs="宋体"/>
                <w:color w:val="auto"/>
                <w:kern w:val="0"/>
                <w:sz w:val="21"/>
                <w:szCs w:val="21"/>
                <w:highlight w:val="none"/>
                <w:lang w:bidi="ar"/>
              </w:rPr>
            </w:pPr>
            <w:r>
              <w:rPr>
                <w:rFonts w:hint="eastAsia" w:cs="宋体"/>
                <w:color w:val="auto"/>
                <w:kern w:val="0"/>
                <w:sz w:val="21"/>
                <w:szCs w:val="21"/>
                <w:highlight w:val="none"/>
                <w:lang w:bidi="ar"/>
              </w:rPr>
              <w:t>注：以厂界西南点地面为坐标原点（X=0，Y=0，Z=0）。</w:t>
            </w:r>
          </w:p>
          <w:p w14:paraId="17CC0E5C">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eastAsia" w:cs="宋体"/>
                <w:color w:val="auto"/>
                <w:kern w:val="0"/>
                <w:sz w:val="21"/>
                <w:szCs w:val="21"/>
                <w:highlight w:val="none"/>
                <w:lang w:bidi="ar"/>
              </w:rPr>
            </w:pPr>
          </w:p>
          <w:p w14:paraId="17619F16">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eastAsia" w:cs="宋体"/>
                <w:color w:val="auto"/>
                <w:kern w:val="0"/>
                <w:sz w:val="21"/>
                <w:szCs w:val="21"/>
                <w:highlight w:val="none"/>
                <w:lang w:bidi="ar"/>
              </w:rPr>
            </w:pPr>
          </w:p>
          <w:p w14:paraId="7C7182D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eastAsia" w:cs="宋体"/>
                <w:color w:val="auto"/>
                <w:kern w:val="0"/>
                <w:sz w:val="21"/>
                <w:szCs w:val="21"/>
                <w:highlight w:val="none"/>
                <w:lang w:bidi="ar"/>
              </w:rPr>
            </w:pPr>
          </w:p>
          <w:p w14:paraId="42D898EB">
            <w:pPr>
              <w:keepNext w:val="0"/>
              <w:keepLines w:val="0"/>
              <w:widowControl w:val="0"/>
              <w:suppressLineNumbers w:val="0"/>
              <w:bidi w:val="0"/>
              <w:adjustRightInd w:val="0"/>
              <w:snapToGrid w:val="0"/>
              <w:spacing w:before="0" w:beforeAutospacing="0" w:after="0" w:afterAutospacing="0" w:line="360" w:lineRule="auto"/>
              <w:ind w:left="0" w:right="0"/>
              <w:jc w:val="center"/>
              <w:rPr>
                <w:rFonts w:hint="default" w:ascii="Times New Roman" w:hAnsi="Times New Roman" w:eastAsia="宋体" w:cs="Times New Roman"/>
                <w:b/>
                <w:snapToGrid w:val="0"/>
                <w:color w:val="auto"/>
                <w:kern w:val="0"/>
                <w:sz w:val="21"/>
                <w:szCs w:val="21"/>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表4-</w:t>
            </w:r>
            <w:r>
              <w:rPr>
                <w:rFonts w:hint="eastAsia" w:cs="Times New Roman"/>
                <w:b/>
                <w:color w:val="auto"/>
                <w:kern w:val="2"/>
                <w:sz w:val="24"/>
                <w:szCs w:val="24"/>
                <w:highlight w:val="none"/>
                <w:lang w:val="en-US" w:eastAsia="zh-CN" w:bidi="ar-SA"/>
              </w:rPr>
              <w:t>16</w:t>
            </w:r>
            <w:r>
              <w:rPr>
                <w:rFonts w:hint="default" w:ascii="Times New Roman" w:hAnsi="Times New Roman" w:eastAsia="宋体" w:cs="Times New Roman"/>
                <w:b/>
                <w:color w:val="auto"/>
                <w:kern w:val="2"/>
                <w:sz w:val="24"/>
                <w:szCs w:val="24"/>
                <w:highlight w:val="none"/>
                <w:lang w:val="en-US" w:eastAsia="zh-CN" w:bidi="ar-SA"/>
              </w:rPr>
              <w:t xml:space="preserve"> 项目运营期主要噪声源</w:t>
            </w:r>
            <w:r>
              <w:rPr>
                <w:rFonts w:hint="eastAsia" w:ascii="Times New Roman" w:hAnsi="Times New Roman" w:eastAsia="宋体" w:cs="Times New Roman"/>
                <w:b/>
                <w:color w:val="auto"/>
                <w:kern w:val="2"/>
                <w:sz w:val="24"/>
                <w:szCs w:val="24"/>
                <w:highlight w:val="none"/>
                <w:lang w:val="en-US" w:eastAsia="zh-CN" w:bidi="ar-SA"/>
              </w:rPr>
              <w:t>（室内声源）</w:t>
            </w:r>
          </w:p>
          <w:tbl>
            <w:tblPr>
              <w:tblStyle w:val="26"/>
              <w:tblW w:w="9719" w:type="dxa"/>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718"/>
              <w:gridCol w:w="966"/>
              <w:gridCol w:w="481"/>
              <w:gridCol w:w="567"/>
              <w:gridCol w:w="454"/>
              <w:gridCol w:w="598"/>
              <w:gridCol w:w="598"/>
              <w:gridCol w:w="405"/>
              <w:gridCol w:w="469"/>
              <w:gridCol w:w="12"/>
              <w:gridCol w:w="598"/>
              <w:gridCol w:w="892"/>
              <w:gridCol w:w="481"/>
              <w:gridCol w:w="567"/>
              <w:gridCol w:w="892"/>
              <w:gridCol w:w="571"/>
            </w:tblGrid>
            <w:tr w14:paraId="771B27E1">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31" w:type="pct"/>
                  <w:vMerge w:val="restart"/>
                  <w:noWrap w:val="0"/>
                  <w:vAlign w:val="center"/>
                </w:tcPr>
                <w:p w14:paraId="500C2F1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p>
                <w:p w14:paraId="30678A7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序号</w:t>
                  </w:r>
                </w:p>
              </w:tc>
              <w:tc>
                <w:tcPr>
                  <w:tcW w:w="369" w:type="pct"/>
                  <w:vMerge w:val="restart"/>
                  <w:noWrap w:val="0"/>
                  <w:vAlign w:val="center"/>
                </w:tcPr>
                <w:p w14:paraId="30040FD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声源名称</w:t>
                  </w:r>
                </w:p>
              </w:tc>
              <w:tc>
                <w:tcPr>
                  <w:tcW w:w="496" w:type="pct"/>
                  <w:vMerge w:val="restart"/>
                  <w:noWrap w:val="0"/>
                  <w:vAlign w:val="center"/>
                </w:tcPr>
                <w:p w14:paraId="5310D8B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型号</w:t>
                  </w:r>
                </w:p>
              </w:tc>
              <w:tc>
                <w:tcPr>
                  <w:tcW w:w="247" w:type="pct"/>
                  <w:vMerge w:val="restart"/>
                  <w:noWrap w:val="0"/>
                  <w:vAlign w:val="center"/>
                </w:tcPr>
                <w:p w14:paraId="13A6A89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数量</w:t>
                  </w:r>
                </w:p>
              </w:tc>
              <w:tc>
                <w:tcPr>
                  <w:tcW w:w="291" w:type="pct"/>
                  <w:noWrap w:val="0"/>
                  <w:vAlign w:val="center"/>
                </w:tcPr>
                <w:p w14:paraId="5ABF511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声源源强</w:t>
                  </w:r>
                </w:p>
              </w:tc>
              <w:tc>
                <w:tcPr>
                  <w:tcW w:w="233" w:type="pct"/>
                  <w:vMerge w:val="restart"/>
                  <w:noWrap w:val="0"/>
                  <w:vAlign w:val="center"/>
                </w:tcPr>
                <w:p w14:paraId="3D5492F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声源控制措施</w:t>
                  </w:r>
                </w:p>
              </w:tc>
              <w:tc>
                <w:tcPr>
                  <w:tcW w:w="823" w:type="pct"/>
                  <w:gridSpan w:val="3"/>
                  <w:noWrap w:val="0"/>
                  <w:vAlign w:val="center"/>
                </w:tcPr>
                <w:p w14:paraId="18E65F1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空间相对位置/m</w:t>
                  </w:r>
                </w:p>
              </w:tc>
              <w:tc>
                <w:tcPr>
                  <w:tcW w:w="555" w:type="pct"/>
                  <w:gridSpan w:val="3"/>
                  <w:vMerge w:val="restart"/>
                  <w:noWrap w:val="0"/>
                  <w:vAlign w:val="center"/>
                </w:tcPr>
                <w:p w14:paraId="3CCFC63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距室内边界距离/m</w:t>
                  </w:r>
                </w:p>
              </w:tc>
              <w:tc>
                <w:tcPr>
                  <w:tcW w:w="458" w:type="pct"/>
                  <w:vMerge w:val="restart"/>
                  <w:noWrap w:val="0"/>
                  <w:vAlign w:val="center"/>
                </w:tcPr>
                <w:p w14:paraId="766DFA1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室内边界声压级/dB（A）</w:t>
                  </w:r>
                </w:p>
              </w:tc>
              <w:tc>
                <w:tcPr>
                  <w:tcW w:w="247" w:type="pct"/>
                  <w:vMerge w:val="restart"/>
                  <w:noWrap w:val="0"/>
                  <w:vAlign w:val="center"/>
                </w:tcPr>
                <w:p w14:paraId="035C669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运行时段</w:t>
                  </w:r>
                </w:p>
              </w:tc>
              <w:tc>
                <w:tcPr>
                  <w:tcW w:w="291" w:type="pct"/>
                  <w:vMerge w:val="restart"/>
                  <w:noWrap w:val="0"/>
                  <w:vAlign w:val="center"/>
                </w:tcPr>
                <w:p w14:paraId="5C9D17C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建筑物插入损失/dB（A）</w:t>
                  </w:r>
                </w:p>
              </w:tc>
              <w:tc>
                <w:tcPr>
                  <w:tcW w:w="752" w:type="pct"/>
                  <w:gridSpan w:val="2"/>
                  <w:noWrap w:val="0"/>
                  <w:vAlign w:val="center"/>
                </w:tcPr>
                <w:p w14:paraId="0C573F2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建筑物外噪声</w:t>
                  </w:r>
                </w:p>
              </w:tc>
            </w:tr>
            <w:tr w14:paraId="2B2EA57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1" w:type="pct"/>
                  <w:vMerge w:val="continue"/>
                  <w:noWrap w:val="0"/>
                  <w:vAlign w:val="center"/>
                </w:tcPr>
                <w:p w14:paraId="59B135F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p>
              </w:tc>
              <w:tc>
                <w:tcPr>
                  <w:tcW w:w="369" w:type="pct"/>
                  <w:vMerge w:val="continue"/>
                  <w:noWrap w:val="0"/>
                  <w:vAlign w:val="center"/>
                </w:tcPr>
                <w:p w14:paraId="41F38D3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p>
              </w:tc>
              <w:tc>
                <w:tcPr>
                  <w:tcW w:w="496" w:type="pct"/>
                  <w:vMerge w:val="continue"/>
                  <w:noWrap w:val="0"/>
                  <w:vAlign w:val="center"/>
                </w:tcPr>
                <w:p w14:paraId="5370884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p>
              </w:tc>
              <w:tc>
                <w:tcPr>
                  <w:tcW w:w="247" w:type="pct"/>
                  <w:vMerge w:val="continue"/>
                  <w:noWrap w:val="0"/>
                  <w:vAlign w:val="center"/>
                </w:tcPr>
                <w:p w14:paraId="6710AA4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p>
              </w:tc>
              <w:tc>
                <w:tcPr>
                  <w:tcW w:w="291" w:type="pct"/>
                  <w:noWrap w:val="0"/>
                  <w:vAlign w:val="center"/>
                </w:tcPr>
                <w:p w14:paraId="3BD704E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声压级/dB（A）</w:t>
                  </w:r>
                </w:p>
              </w:tc>
              <w:tc>
                <w:tcPr>
                  <w:tcW w:w="233" w:type="pct"/>
                  <w:vMerge w:val="continue"/>
                  <w:noWrap w:val="0"/>
                  <w:vAlign w:val="center"/>
                </w:tcPr>
                <w:p w14:paraId="27A4957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p>
              </w:tc>
              <w:tc>
                <w:tcPr>
                  <w:tcW w:w="307" w:type="pct"/>
                  <w:noWrap w:val="0"/>
                  <w:vAlign w:val="center"/>
                </w:tcPr>
                <w:p w14:paraId="6A4E75B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X</w:t>
                  </w:r>
                </w:p>
              </w:tc>
              <w:tc>
                <w:tcPr>
                  <w:tcW w:w="307" w:type="pct"/>
                  <w:noWrap w:val="0"/>
                  <w:vAlign w:val="center"/>
                </w:tcPr>
                <w:p w14:paraId="4545FAF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Y</w:t>
                  </w:r>
                </w:p>
              </w:tc>
              <w:tc>
                <w:tcPr>
                  <w:tcW w:w="208" w:type="pct"/>
                  <w:noWrap w:val="0"/>
                  <w:vAlign w:val="center"/>
                </w:tcPr>
                <w:p w14:paraId="25FED97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Z</w:t>
                  </w:r>
                </w:p>
              </w:tc>
              <w:tc>
                <w:tcPr>
                  <w:tcW w:w="555" w:type="pct"/>
                  <w:gridSpan w:val="3"/>
                  <w:vMerge w:val="continue"/>
                  <w:noWrap w:val="0"/>
                  <w:vAlign w:val="center"/>
                </w:tcPr>
                <w:p w14:paraId="28B3D48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p>
              </w:tc>
              <w:tc>
                <w:tcPr>
                  <w:tcW w:w="458" w:type="pct"/>
                  <w:vMerge w:val="continue"/>
                  <w:noWrap w:val="0"/>
                  <w:vAlign w:val="center"/>
                </w:tcPr>
                <w:p w14:paraId="7DC752B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p>
              </w:tc>
              <w:tc>
                <w:tcPr>
                  <w:tcW w:w="247" w:type="pct"/>
                  <w:vMerge w:val="continue"/>
                  <w:noWrap w:val="0"/>
                  <w:vAlign w:val="center"/>
                </w:tcPr>
                <w:p w14:paraId="03D9912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p>
              </w:tc>
              <w:tc>
                <w:tcPr>
                  <w:tcW w:w="291" w:type="pct"/>
                  <w:vMerge w:val="continue"/>
                  <w:noWrap w:val="0"/>
                  <w:vAlign w:val="center"/>
                </w:tcPr>
                <w:p w14:paraId="4A1C9A3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p>
              </w:tc>
              <w:tc>
                <w:tcPr>
                  <w:tcW w:w="458" w:type="pct"/>
                  <w:noWrap w:val="0"/>
                  <w:vAlign w:val="center"/>
                </w:tcPr>
                <w:p w14:paraId="580107A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声压级/dB（A）</w:t>
                  </w:r>
                </w:p>
              </w:tc>
              <w:tc>
                <w:tcPr>
                  <w:tcW w:w="293" w:type="pct"/>
                  <w:noWrap w:val="0"/>
                  <w:vAlign w:val="center"/>
                </w:tcPr>
                <w:p w14:paraId="51F055A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建筑物外距离</w:t>
                  </w:r>
                </w:p>
              </w:tc>
            </w:tr>
            <w:tr w14:paraId="14EFF58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vMerge w:val="restart"/>
                  <w:noWrap w:val="0"/>
                  <w:vAlign w:val="center"/>
                </w:tcPr>
                <w:p w14:paraId="6519717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369" w:type="pct"/>
                  <w:vMerge w:val="restart"/>
                  <w:noWrap w:val="0"/>
                  <w:vAlign w:val="center"/>
                </w:tcPr>
                <w:p w14:paraId="486E06E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电子喷水多臂织机</w:t>
                  </w:r>
                </w:p>
              </w:tc>
              <w:tc>
                <w:tcPr>
                  <w:tcW w:w="496" w:type="pct"/>
                  <w:vMerge w:val="restart"/>
                  <w:shd w:val="clear" w:color="auto" w:fill="auto"/>
                  <w:noWrap w:val="0"/>
                  <w:vAlign w:val="center"/>
                </w:tcPr>
                <w:p w14:paraId="76D12E4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290型</w:t>
                  </w:r>
                </w:p>
              </w:tc>
              <w:tc>
                <w:tcPr>
                  <w:tcW w:w="247" w:type="pct"/>
                  <w:vMerge w:val="restart"/>
                  <w:noWrap w:val="0"/>
                  <w:vAlign w:val="center"/>
                </w:tcPr>
                <w:p w14:paraId="349A279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800</w:t>
                  </w:r>
                </w:p>
              </w:tc>
              <w:tc>
                <w:tcPr>
                  <w:tcW w:w="291" w:type="pct"/>
                  <w:vMerge w:val="restart"/>
                  <w:noWrap w:val="0"/>
                  <w:vAlign w:val="center"/>
                </w:tcPr>
                <w:p w14:paraId="5512137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233" w:type="pct"/>
                  <w:vMerge w:val="restart"/>
                  <w:noWrap w:val="0"/>
                  <w:vAlign w:val="center"/>
                </w:tcPr>
                <w:p w14:paraId="43220E5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选用低噪声设备、安装减震垫、固定底座、厂房隔声等</w:t>
                  </w:r>
                </w:p>
              </w:tc>
              <w:tc>
                <w:tcPr>
                  <w:tcW w:w="307" w:type="pct"/>
                  <w:vMerge w:val="restart"/>
                  <w:noWrap w:val="0"/>
                  <w:vAlign w:val="center"/>
                </w:tcPr>
                <w:p w14:paraId="794C974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80~127</w:t>
                  </w:r>
                </w:p>
              </w:tc>
              <w:tc>
                <w:tcPr>
                  <w:tcW w:w="307" w:type="pct"/>
                  <w:vMerge w:val="restart"/>
                  <w:noWrap w:val="0"/>
                  <w:vAlign w:val="center"/>
                </w:tcPr>
                <w:p w14:paraId="137C0FE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15~188</w:t>
                  </w:r>
                </w:p>
              </w:tc>
              <w:tc>
                <w:tcPr>
                  <w:tcW w:w="208" w:type="pct"/>
                  <w:vMerge w:val="restart"/>
                  <w:noWrap w:val="0"/>
                  <w:vAlign w:val="center"/>
                </w:tcPr>
                <w:p w14:paraId="05E1A01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1" w:type="pct"/>
                  <w:shd w:val="clear" w:color="auto" w:fill="auto"/>
                  <w:noWrap w:val="0"/>
                  <w:vAlign w:val="center"/>
                </w:tcPr>
                <w:p w14:paraId="6D68591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313" w:type="pct"/>
                  <w:gridSpan w:val="2"/>
                  <w:noWrap w:val="0"/>
                  <w:vAlign w:val="center"/>
                </w:tcPr>
                <w:p w14:paraId="4851B3B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458" w:type="pct"/>
                  <w:noWrap w:val="0"/>
                  <w:vAlign w:val="center"/>
                </w:tcPr>
                <w:p w14:paraId="52CE6E1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75.3 </w:t>
                  </w:r>
                </w:p>
              </w:tc>
              <w:tc>
                <w:tcPr>
                  <w:tcW w:w="247" w:type="pct"/>
                  <w:vMerge w:val="restart"/>
                  <w:noWrap w:val="0"/>
                  <w:vAlign w:val="center"/>
                </w:tcPr>
                <w:p w14:paraId="472B14A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间断运行</w:t>
                  </w:r>
                </w:p>
              </w:tc>
              <w:tc>
                <w:tcPr>
                  <w:tcW w:w="291" w:type="pct"/>
                  <w:noWrap w:val="0"/>
                  <w:vAlign w:val="center"/>
                </w:tcPr>
                <w:p w14:paraId="0983357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1DC6344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60.3 </w:t>
                  </w:r>
                </w:p>
              </w:tc>
              <w:tc>
                <w:tcPr>
                  <w:tcW w:w="293" w:type="pct"/>
                  <w:vMerge w:val="restart"/>
                  <w:noWrap w:val="0"/>
                  <w:vAlign w:val="center"/>
                </w:tcPr>
                <w:p w14:paraId="52AD8FA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6711E73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31" w:type="pct"/>
                  <w:vMerge w:val="continue"/>
                  <w:noWrap w:val="0"/>
                  <w:vAlign w:val="center"/>
                </w:tcPr>
                <w:p w14:paraId="619AD45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noWrap w:val="0"/>
                  <w:vAlign w:val="center"/>
                </w:tcPr>
                <w:p w14:paraId="43A278B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noWrap w:val="0"/>
                  <w:vAlign w:val="center"/>
                </w:tcPr>
                <w:p w14:paraId="7F61CDF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noWrap w:val="0"/>
                  <w:vAlign w:val="center"/>
                </w:tcPr>
                <w:p w14:paraId="4AB2FB9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noWrap w:val="0"/>
                  <w:vAlign w:val="center"/>
                </w:tcPr>
                <w:p w14:paraId="3EC60A1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noWrap w:val="0"/>
                  <w:vAlign w:val="center"/>
                </w:tcPr>
                <w:p w14:paraId="2BCF4E0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3A15315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161521F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noWrap w:val="0"/>
                  <w:vAlign w:val="center"/>
                </w:tcPr>
                <w:p w14:paraId="44F20CB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1" w:type="pct"/>
                  <w:shd w:val="clear" w:color="auto" w:fill="auto"/>
                  <w:noWrap w:val="0"/>
                  <w:vAlign w:val="center"/>
                </w:tcPr>
                <w:p w14:paraId="0B9F40D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313" w:type="pct"/>
                  <w:gridSpan w:val="2"/>
                  <w:noWrap w:val="0"/>
                  <w:vAlign w:val="center"/>
                </w:tcPr>
                <w:p w14:paraId="6F3BA0A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4</w:t>
                  </w:r>
                </w:p>
              </w:tc>
              <w:tc>
                <w:tcPr>
                  <w:tcW w:w="458" w:type="pct"/>
                  <w:noWrap w:val="0"/>
                  <w:vAlign w:val="center"/>
                </w:tcPr>
                <w:p w14:paraId="2BFB8C1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 xml:space="preserve">63.3 </w:t>
                  </w:r>
                </w:p>
              </w:tc>
              <w:tc>
                <w:tcPr>
                  <w:tcW w:w="247" w:type="pct"/>
                  <w:vMerge w:val="continue"/>
                  <w:noWrap w:val="0"/>
                  <w:vAlign w:val="center"/>
                </w:tcPr>
                <w:p w14:paraId="690C6E4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noWrap w:val="0"/>
                  <w:vAlign w:val="center"/>
                </w:tcPr>
                <w:p w14:paraId="7AB7B7E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002AAE2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48.3 </w:t>
                  </w:r>
                </w:p>
              </w:tc>
              <w:tc>
                <w:tcPr>
                  <w:tcW w:w="293" w:type="pct"/>
                  <w:vMerge w:val="continue"/>
                  <w:noWrap w:val="0"/>
                  <w:vAlign w:val="center"/>
                </w:tcPr>
                <w:p w14:paraId="3C0F953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7A6DF18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31" w:type="pct"/>
                  <w:vMerge w:val="continue"/>
                  <w:noWrap w:val="0"/>
                  <w:vAlign w:val="center"/>
                </w:tcPr>
                <w:p w14:paraId="27D77DC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noWrap w:val="0"/>
                  <w:vAlign w:val="center"/>
                </w:tcPr>
                <w:p w14:paraId="1697ED6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noWrap w:val="0"/>
                  <w:vAlign w:val="center"/>
                </w:tcPr>
                <w:p w14:paraId="30A0237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noWrap w:val="0"/>
                  <w:vAlign w:val="center"/>
                </w:tcPr>
                <w:p w14:paraId="06D4F84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noWrap w:val="0"/>
                  <w:vAlign w:val="center"/>
                </w:tcPr>
                <w:p w14:paraId="1F5D183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noWrap w:val="0"/>
                  <w:vAlign w:val="center"/>
                </w:tcPr>
                <w:p w14:paraId="7D06BBB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18F7F71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2E2D982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noWrap w:val="0"/>
                  <w:vAlign w:val="center"/>
                </w:tcPr>
                <w:p w14:paraId="60C0BC8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1" w:type="pct"/>
                  <w:shd w:val="clear" w:color="auto" w:fill="auto"/>
                  <w:noWrap w:val="0"/>
                  <w:vAlign w:val="center"/>
                </w:tcPr>
                <w:p w14:paraId="5542BA8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313" w:type="pct"/>
                  <w:gridSpan w:val="2"/>
                  <w:noWrap w:val="0"/>
                  <w:vAlign w:val="center"/>
                </w:tcPr>
                <w:p w14:paraId="6C6EE38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458" w:type="pct"/>
                  <w:noWrap w:val="0"/>
                  <w:vAlign w:val="center"/>
                </w:tcPr>
                <w:p w14:paraId="37D6E96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74.8 </w:t>
                  </w:r>
                </w:p>
              </w:tc>
              <w:tc>
                <w:tcPr>
                  <w:tcW w:w="247" w:type="pct"/>
                  <w:vMerge w:val="continue"/>
                  <w:noWrap w:val="0"/>
                  <w:vAlign w:val="center"/>
                </w:tcPr>
                <w:p w14:paraId="46F0721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noWrap w:val="0"/>
                  <w:vAlign w:val="center"/>
                </w:tcPr>
                <w:p w14:paraId="6575E4D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2B90633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59.8 </w:t>
                  </w:r>
                </w:p>
              </w:tc>
              <w:tc>
                <w:tcPr>
                  <w:tcW w:w="293" w:type="pct"/>
                  <w:vMerge w:val="continue"/>
                  <w:noWrap w:val="0"/>
                  <w:vAlign w:val="center"/>
                </w:tcPr>
                <w:p w14:paraId="2E04CDE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4CEA7812">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31" w:type="pct"/>
                  <w:vMerge w:val="continue"/>
                  <w:noWrap w:val="0"/>
                  <w:vAlign w:val="center"/>
                </w:tcPr>
                <w:p w14:paraId="5664AC4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noWrap w:val="0"/>
                  <w:vAlign w:val="center"/>
                </w:tcPr>
                <w:p w14:paraId="5009EC2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noWrap w:val="0"/>
                  <w:vAlign w:val="center"/>
                </w:tcPr>
                <w:p w14:paraId="64D0413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noWrap w:val="0"/>
                  <w:vAlign w:val="center"/>
                </w:tcPr>
                <w:p w14:paraId="622259C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noWrap w:val="0"/>
                  <w:vAlign w:val="center"/>
                </w:tcPr>
                <w:p w14:paraId="2F05024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noWrap w:val="0"/>
                  <w:vAlign w:val="center"/>
                </w:tcPr>
                <w:p w14:paraId="7B27C26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4F957DA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1BAEE1E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noWrap w:val="0"/>
                  <w:vAlign w:val="center"/>
                </w:tcPr>
                <w:p w14:paraId="4737DF8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1" w:type="pct"/>
                  <w:shd w:val="clear" w:color="auto" w:fill="auto"/>
                  <w:noWrap w:val="0"/>
                  <w:vAlign w:val="center"/>
                </w:tcPr>
                <w:p w14:paraId="5FB2660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313" w:type="pct"/>
                  <w:gridSpan w:val="2"/>
                  <w:noWrap w:val="0"/>
                  <w:vAlign w:val="center"/>
                </w:tcPr>
                <w:p w14:paraId="2C87342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458" w:type="pct"/>
                  <w:noWrap w:val="0"/>
                  <w:vAlign w:val="center"/>
                </w:tcPr>
                <w:p w14:paraId="598CCEF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65.5 </w:t>
                  </w:r>
                </w:p>
              </w:tc>
              <w:tc>
                <w:tcPr>
                  <w:tcW w:w="247" w:type="pct"/>
                  <w:vMerge w:val="continue"/>
                  <w:noWrap w:val="0"/>
                  <w:vAlign w:val="center"/>
                </w:tcPr>
                <w:p w14:paraId="6346661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noWrap w:val="0"/>
                  <w:vAlign w:val="center"/>
                </w:tcPr>
                <w:p w14:paraId="77EE4A5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631EF4E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50.5 </w:t>
                  </w:r>
                </w:p>
              </w:tc>
              <w:tc>
                <w:tcPr>
                  <w:tcW w:w="293" w:type="pct"/>
                  <w:vMerge w:val="continue"/>
                  <w:noWrap w:val="0"/>
                  <w:vAlign w:val="center"/>
                </w:tcPr>
                <w:p w14:paraId="4C9B62B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32C0709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31" w:type="pct"/>
                  <w:vMerge w:val="restart"/>
                  <w:noWrap w:val="0"/>
                  <w:vAlign w:val="center"/>
                </w:tcPr>
                <w:p w14:paraId="6D38AE8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369" w:type="pct"/>
                  <w:vMerge w:val="restart"/>
                  <w:shd w:val="clear" w:color="auto" w:fill="auto"/>
                  <w:noWrap w:val="0"/>
                  <w:vAlign w:val="center"/>
                </w:tcPr>
                <w:p w14:paraId="61824A7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新型v1000型加弹机</w:t>
                  </w:r>
                </w:p>
              </w:tc>
              <w:tc>
                <w:tcPr>
                  <w:tcW w:w="496" w:type="pct"/>
                  <w:vMerge w:val="restart"/>
                  <w:shd w:val="clear" w:color="auto" w:fill="auto"/>
                  <w:noWrap w:val="0"/>
                  <w:vAlign w:val="center"/>
                </w:tcPr>
                <w:p w14:paraId="358AB27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1000型</w:t>
                  </w:r>
                </w:p>
              </w:tc>
              <w:tc>
                <w:tcPr>
                  <w:tcW w:w="247" w:type="pct"/>
                  <w:vMerge w:val="restart"/>
                  <w:noWrap w:val="0"/>
                  <w:vAlign w:val="center"/>
                </w:tcPr>
                <w:p w14:paraId="2E163B5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291" w:type="pct"/>
                  <w:vMerge w:val="restart"/>
                  <w:noWrap w:val="0"/>
                  <w:vAlign w:val="center"/>
                </w:tcPr>
                <w:p w14:paraId="6F7F170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233" w:type="pct"/>
                  <w:vMerge w:val="continue"/>
                  <w:noWrap w:val="0"/>
                  <w:vAlign w:val="center"/>
                </w:tcPr>
                <w:p w14:paraId="547109A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restart"/>
                  <w:noWrap w:val="0"/>
                  <w:vAlign w:val="center"/>
                </w:tcPr>
                <w:p w14:paraId="6C5D5DE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16~58</w:t>
                  </w:r>
                </w:p>
              </w:tc>
              <w:tc>
                <w:tcPr>
                  <w:tcW w:w="307" w:type="pct"/>
                  <w:vMerge w:val="restart"/>
                  <w:noWrap w:val="0"/>
                  <w:vAlign w:val="center"/>
                </w:tcPr>
                <w:p w14:paraId="1E4093B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106~140</w:t>
                  </w:r>
                </w:p>
              </w:tc>
              <w:tc>
                <w:tcPr>
                  <w:tcW w:w="208" w:type="pct"/>
                  <w:vMerge w:val="restart"/>
                  <w:noWrap w:val="0"/>
                  <w:vAlign w:val="center"/>
                </w:tcPr>
                <w:p w14:paraId="5B32431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241" w:type="pct"/>
                  <w:shd w:val="clear" w:color="auto" w:fill="auto"/>
                  <w:noWrap w:val="0"/>
                  <w:vAlign w:val="center"/>
                </w:tcPr>
                <w:p w14:paraId="7B06E6A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313" w:type="pct"/>
                  <w:gridSpan w:val="2"/>
                  <w:noWrap w:val="0"/>
                  <w:vAlign w:val="center"/>
                </w:tcPr>
                <w:p w14:paraId="56506E6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458" w:type="pct"/>
                  <w:shd w:val="clear" w:color="auto" w:fill="auto"/>
                  <w:noWrap w:val="0"/>
                  <w:vAlign w:val="center"/>
                </w:tcPr>
                <w:p w14:paraId="2BEE001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56.2 </w:t>
                  </w:r>
                </w:p>
              </w:tc>
              <w:tc>
                <w:tcPr>
                  <w:tcW w:w="247" w:type="pct"/>
                  <w:vMerge w:val="restart"/>
                  <w:noWrap w:val="0"/>
                  <w:vAlign w:val="center"/>
                </w:tcPr>
                <w:p w14:paraId="3322F7E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间断运行</w:t>
                  </w:r>
                </w:p>
              </w:tc>
              <w:tc>
                <w:tcPr>
                  <w:tcW w:w="291" w:type="pct"/>
                  <w:noWrap w:val="0"/>
                  <w:vAlign w:val="center"/>
                </w:tcPr>
                <w:p w14:paraId="6E90492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1494B7E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41.2 </w:t>
                  </w:r>
                </w:p>
              </w:tc>
              <w:tc>
                <w:tcPr>
                  <w:tcW w:w="293" w:type="pct"/>
                  <w:vMerge w:val="restart"/>
                  <w:noWrap w:val="0"/>
                  <w:vAlign w:val="center"/>
                </w:tcPr>
                <w:p w14:paraId="2918DBB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16F5EF6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31" w:type="pct"/>
                  <w:vMerge w:val="continue"/>
                  <w:noWrap w:val="0"/>
                  <w:vAlign w:val="center"/>
                </w:tcPr>
                <w:p w14:paraId="0017E9E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noWrap w:val="0"/>
                  <w:vAlign w:val="center"/>
                </w:tcPr>
                <w:p w14:paraId="77A49F2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noWrap w:val="0"/>
                  <w:vAlign w:val="center"/>
                </w:tcPr>
                <w:p w14:paraId="79E4A9A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noWrap w:val="0"/>
                  <w:vAlign w:val="center"/>
                </w:tcPr>
                <w:p w14:paraId="0E766CD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noWrap w:val="0"/>
                  <w:vAlign w:val="center"/>
                </w:tcPr>
                <w:p w14:paraId="35AFDA3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noWrap w:val="0"/>
                  <w:vAlign w:val="center"/>
                </w:tcPr>
                <w:p w14:paraId="5BE9817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59182FE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40874B2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noWrap w:val="0"/>
                  <w:vAlign w:val="center"/>
                </w:tcPr>
                <w:p w14:paraId="48E4FA0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1" w:type="pct"/>
                  <w:shd w:val="clear" w:color="auto" w:fill="auto"/>
                  <w:noWrap w:val="0"/>
                  <w:vAlign w:val="center"/>
                </w:tcPr>
                <w:p w14:paraId="3FA52BC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313" w:type="pct"/>
                  <w:gridSpan w:val="2"/>
                  <w:noWrap w:val="0"/>
                  <w:vAlign w:val="center"/>
                </w:tcPr>
                <w:p w14:paraId="4F2BB86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49</w:t>
                  </w:r>
                </w:p>
              </w:tc>
              <w:tc>
                <w:tcPr>
                  <w:tcW w:w="458" w:type="pct"/>
                  <w:shd w:val="clear" w:color="auto" w:fill="auto"/>
                  <w:noWrap w:val="0"/>
                  <w:vAlign w:val="center"/>
                </w:tcPr>
                <w:p w14:paraId="344CAB4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50.0 </w:t>
                  </w:r>
                </w:p>
              </w:tc>
              <w:tc>
                <w:tcPr>
                  <w:tcW w:w="247" w:type="pct"/>
                  <w:vMerge w:val="continue"/>
                  <w:noWrap w:val="0"/>
                  <w:vAlign w:val="center"/>
                </w:tcPr>
                <w:p w14:paraId="49317FA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noWrap w:val="0"/>
                  <w:vAlign w:val="center"/>
                </w:tcPr>
                <w:p w14:paraId="0EAAC5B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754351C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35.0 </w:t>
                  </w:r>
                </w:p>
              </w:tc>
              <w:tc>
                <w:tcPr>
                  <w:tcW w:w="293" w:type="pct"/>
                  <w:vMerge w:val="continue"/>
                  <w:noWrap w:val="0"/>
                  <w:vAlign w:val="center"/>
                </w:tcPr>
                <w:p w14:paraId="3A8DFC9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6DC44EA1">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31" w:type="pct"/>
                  <w:vMerge w:val="continue"/>
                  <w:noWrap w:val="0"/>
                  <w:vAlign w:val="center"/>
                </w:tcPr>
                <w:p w14:paraId="6D2761C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noWrap w:val="0"/>
                  <w:vAlign w:val="center"/>
                </w:tcPr>
                <w:p w14:paraId="5479954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noWrap w:val="0"/>
                  <w:vAlign w:val="center"/>
                </w:tcPr>
                <w:p w14:paraId="3C6CE5F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noWrap w:val="0"/>
                  <w:vAlign w:val="center"/>
                </w:tcPr>
                <w:p w14:paraId="3EF2315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noWrap w:val="0"/>
                  <w:vAlign w:val="center"/>
                </w:tcPr>
                <w:p w14:paraId="287D429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noWrap w:val="0"/>
                  <w:vAlign w:val="center"/>
                </w:tcPr>
                <w:p w14:paraId="690759A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1D31AA5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0D55BD6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noWrap w:val="0"/>
                  <w:vAlign w:val="center"/>
                </w:tcPr>
                <w:p w14:paraId="33F24A3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1" w:type="pct"/>
                  <w:shd w:val="clear" w:color="auto" w:fill="auto"/>
                  <w:noWrap w:val="0"/>
                  <w:vAlign w:val="center"/>
                </w:tcPr>
                <w:p w14:paraId="042DD96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313" w:type="pct"/>
                  <w:gridSpan w:val="2"/>
                  <w:noWrap w:val="0"/>
                  <w:vAlign w:val="center"/>
                </w:tcPr>
                <w:p w14:paraId="10EE164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458" w:type="pct"/>
                  <w:shd w:val="clear" w:color="auto" w:fill="auto"/>
                  <w:noWrap w:val="0"/>
                  <w:vAlign w:val="center"/>
                </w:tcPr>
                <w:p w14:paraId="38D2033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57.1 </w:t>
                  </w:r>
                </w:p>
              </w:tc>
              <w:tc>
                <w:tcPr>
                  <w:tcW w:w="247" w:type="pct"/>
                  <w:vMerge w:val="continue"/>
                  <w:noWrap w:val="0"/>
                  <w:vAlign w:val="center"/>
                </w:tcPr>
                <w:p w14:paraId="1ED996F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noWrap w:val="0"/>
                  <w:vAlign w:val="center"/>
                </w:tcPr>
                <w:p w14:paraId="4E2FB97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7C597CF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42.1 </w:t>
                  </w:r>
                </w:p>
              </w:tc>
              <w:tc>
                <w:tcPr>
                  <w:tcW w:w="293" w:type="pct"/>
                  <w:vMerge w:val="continue"/>
                  <w:noWrap w:val="0"/>
                  <w:vAlign w:val="center"/>
                </w:tcPr>
                <w:p w14:paraId="2920A86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7AD2A53C">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31" w:type="pct"/>
                  <w:vMerge w:val="continue"/>
                  <w:noWrap w:val="0"/>
                  <w:vAlign w:val="center"/>
                </w:tcPr>
                <w:p w14:paraId="1F4BDB5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noWrap w:val="0"/>
                  <w:vAlign w:val="center"/>
                </w:tcPr>
                <w:p w14:paraId="2901862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noWrap w:val="0"/>
                  <w:vAlign w:val="center"/>
                </w:tcPr>
                <w:p w14:paraId="06474B4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noWrap w:val="0"/>
                  <w:vAlign w:val="center"/>
                </w:tcPr>
                <w:p w14:paraId="0CF4600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noWrap w:val="0"/>
                  <w:vAlign w:val="center"/>
                </w:tcPr>
                <w:p w14:paraId="17ACD4B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noWrap w:val="0"/>
                  <w:vAlign w:val="center"/>
                </w:tcPr>
                <w:p w14:paraId="155CBE0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40D6446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26CE6C6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noWrap w:val="0"/>
                  <w:vAlign w:val="center"/>
                </w:tcPr>
                <w:p w14:paraId="2DDFEE7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1" w:type="pct"/>
                  <w:shd w:val="clear" w:color="auto" w:fill="auto"/>
                  <w:noWrap w:val="0"/>
                  <w:vAlign w:val="center"/>
                </w:tcPr>
                <w:p w14:paraId="3C98069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313" w:type="pct"/>
                  <w:gridSpan w:val="2"/>
                  <w:noWrap w:val="0"/>
                  <w:vAlign w:val="center"/>
                </w:tcPr>
                <w:p w14:paraId="360DEDC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c>
                <w:tcPr>
                  <w:tcW w:w="458" w:type="pct"/>
                  <w:shd w:val="clear" w:color="auto" w:fill="auto"/>
                  <w:noWrap w:val="0"/>
                  <w:vAlign w:val="center"/>
                </w:tcPr>
                <w:p w14:paraId="647D475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51.4 </w:t>
                  </w:r>
                </w:p>
              </w:tc>
              <w:tc>
                <w:tcPr>
                  <w:tcW w:w="247" w:type="pct"/>
                  <w:vMerge w:val="continue"/>
                  <w:noWrap w:val="0"/>
                  <w:vAlign w:val="center"/>
                </w:tcPr>
                <w:p w14:paraId="7DC0263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noWrap w:val="0"/>
                  <w:vAlign w:val="center"/>
                </w:tcPr>
                <w:p w14:paraId="6B2FED8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5F171D1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36.4 </w:t>
                  </w:r>
                </w:p>
              </w:tc>
              <w:tc>
                <w:tcPr>
                  <w:tcW w:w="293" w:type="pct"/>
                  <w:vMerge w:val="continue"/>
                  <w:noWrap w:val="0"/>
                  <w:vAlign w:val="center"/>
                </w:tcPr>
                <w:p w14:paraId="1819C63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7693535">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31" w:type="pct"/>
                  <w:vMerge w:val="restart"/>
                  <w:noWrap w:val="0"/>
                  <w:vAlign w:val="center"/>
                </w:tcPr>
                <w:p w14:paraId="7FE38AA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369" w:type="pct"/>
                  <w:vMerge w:val="restart"/>
                  <w:shd w:val="clear" w:color="auto" w:fill="auto"/>
                  <w:noWrap w:val="0"/>
                  <w:vAlign w:val="center"/>
                </w:tcPr>
                <w:p w14:paraId="1DF5CDE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高速整经机器</w:t>
                  </w:r>
                </w:p>
              </w:tc>
              <w:tc>
                <w:tcPr>
                  <w:tcW w:w="496" w:type="pct"/>
                  <w:vMerge w:val="restart"/>
                  <w:shd w:val="clear" w:color="auto" w:fill="auto"/>
                  <w:noWrap w:val="0"/>
                  <w:vAlign w:val="center"/>
                </w:tcPr>
                <w:p w14:paraId="71962FB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510型</w:t>
                  </w:r>
                </w:p>
              </w:tc>
              <w:tc>
                <w:tcPr>
                  <w:tcW w:w="247" w:type="pct"/>
                  <w:vMerge w:val="restart"/>
                  <w:noWrap w:val="0"/>
                  <w:vAlign w:val="center"/>
                </w:tcPr>
                <w:p w14:paraId="7F41063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91" w:type="pct"/>
                  <w:vMerge w:val="restart"/>
                  <w:noWrap w:val="0"/>
                  <w:vAlign w:val="center"/>
                </w:tcPr>
                <w:p w14:paraId="18D3F73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233" w:type="pct"/>
                  <w:vMerge w:val="continue"/>
                  <w:noWrap w:val="0"/>
                  <w:vAlign w:val="center"/>
                </w:tcPr>
                <w:p w14:paraId="3B5E132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restart"/>
                  <w:noWrap w:val="0"/>
                  <w:vAlign w:val="center"/>
                </w:tcPr>
                <w:p w14:paraId="13FA2AF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16~58</w:t>
                  </w:r>
                </w:p>
              </w:tc>
              <w:tc>
                <w:tcPr>
                  <w:tcW w:w="307" w:type="pct"/>
                  <w:vMerge w:val="restart"/>
                  <w:noWrap w:val="0"/>
                  <w:vAlign w:val="center"/>
                </w:tcPr>
                <w:p w14:paraId="2BC48CE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72~100</w:t>
                  </w:r>
                </w:p>
              </w:tc>
              <w:tc>
                <w:tcPr>
                  <w:tcW w:w="208" w:type="pct"/>
                  <w:vMerge w:val="restart"/>
                  <w:noWrap w:val="0"/>
                  <w:vAlign w:val="center"/>
                </w:tcPr>
                <w:p w14:paraId="7F96503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247" w:type="pct"/>
                  <w:gridSpan w:val="2"/>
                  <w:shd w:val="clear" w:color="auto" w:fill="auto"/>
                  <w:noWrap w:val="0"/>
                  <w:vAlign w:val="center"/>
                </w:tcPr>
                <w:p w14:paraId="6952CC6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307" w:type="pct"/>
                  <w:noWrap w:val="0"/>
                  <w:vAlign w:val="center"/>
                </w:tcPr>
                <w:p w14:paraId="486326F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458" w:type="pct"/>
                  <w:noWrap w:val="0"/>
                  <w:vAlign w:val="center"/>
                </w:tcPr>
                <w:p w14:paraId="0315F02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51.4 </w:t>
                  </w:r>
                </w:p>
              </w:tc>
              <w:tc>
                <w:tcPr>
                  <w:tcW w:w="247" w:type="pct"/>
                  <w:vMerge w:val="restart"/>
                  <w:noWrap w:val="0"/>
                  <w:vAlign w:val="center"/>
                </w:tcPr>
                <w:p w14:paraId="32897F1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间断运行</w:t>
                  </w:r>
                </w:p>
              </w:tc>
              <w:tc>
                <w:tcPr>
                  <w:tcW w:w="291" w:type="pct"/>
                  <w:noWrap w:val="0"/>
                  <w:vAlign w:val="center"/>
                </w:tcPr>
                <w:p w14:paraId="63A4BCD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480005D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36.4 </w:t>
                  </w:r>
                </w:p>
              </w:tc>
              <w:tc>
                <w:tcPr>
                  <w:tcW w:w="293" w:type="pct"/>
                  <w:vMerge w:val="restart"/>
                  <w:noWrap w:val="0"/>
                  <w:vAlign w:val="center"/>
                </w:tcPr>
                <w:p w14:paraId="036E5C0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6F94175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31" w:type="pct"/>
                  <w:vMerge w:val="continue"/>
                  <w:noWrap w:val="0"/>
                  <w:vAlign w:val="center"/>
                </w:tcPr>
                <w:p w14:paraId="7A87F8E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noWrap w:val="0"/>
                  <w:vAlign w:val="center"/>
                </w:tcPr>
                <w:p w14:paraId="4CA79B5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noWrap w:val="0"/>
                  <w:vAlign w:val="center"/>
                </w:tcPr>
                <w:p w14:paraId="6DBAD5F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noWrap w:val="0"/>
                  <w:vAlign w:val="center"/>
                </w:tcPr>
                <w:p w14:paraId="496EC42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noWrap w:val="0"/>
                  <w:vAlign w:val="center"/>
                </w:tcPr>
                <w:p w14:paraId="6E11F22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noWrap w:val="0"/>
                  <w:vAlign w:val="center"/>
                </w:tcPr>
                <w:p w14:paraId="7D9330C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2EE995F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0A73597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noWrap w:val="0"/>
                  <w:vAlign w:val="center"/>
                </w:tcPr>
                <w:p w14:paraId="7F53735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shd w:val="clear" w:color="auto" w:fill="auto"/>
                  <w:noWrap w:val="0"/>
                  <w:vAlign w:val="center"/>
                </w:tcPr>
                <w:p w14:paraId="6850CD2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307" w:type="pct"/>
                  <w:noWrap w:val="0"/>
                  <w:vAlign w:val="center"/>
                </w:tcPr>
                <w:p w14:paraId="6F0612F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center"/>
                </w:tcPr>
                <w:p w14:paraId="39466AE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 xml:space="preserve">53.6 </w:t>
                  </w:r>
                </w:p>
              </w:tc>
              <w:tc>
                <w:tcPr>
                  <w:tcW w:w="247" w:type="pct"/>
                  <w:vMerge w:val="continue"/>
                  <w:noWrap w:val="0"/>
                  <w:vAlign w:val="center"/>
                </w:tcPr>
                <w:p w14:paraId="2599DE3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noWrap w:val="0"/>
                  <w:vAlign w:val="center"/>
                </w:tcPr>
                <w:p w14:paraId="10B9AA9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362D90A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38.6 </w:t>
                  </w:r>
                </w:p>
              </w:tc>
              <w:tc>
                <w:tcPr>
                  <w:tcW w:w="293" w:type="pct"/>
                  <w:vMerge w:val="continue"/>
                  <w:noWrap w:val="0"/>
                  <w:vAlign w:val="center"/>
                </w:tcPr>
                <w:p w14:paraId="248F1EC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0E7F536C">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31" w:type="pct"/>
                  <w:vMerge w:val="continue"/>
                  <w:noWrap w:val="0"/>
                  <w:vAlign w:val="center"/>
                </w:tcPr>
                <w:p w14:paraId="7DD5922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noWrap w:val="0"/>
                  <w:vAlign w:val="center"/>
                </w:tcPr>
                <w:p w14:paraId="1956B2A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noWrap w:val="0"/>
                  <w:vAlign w:val="center"/>
                </w:tcPr>
                <w:p w14:paraId="30752F1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noWrap w:val="0"/>
                  <w:vAlign w:val="center"/>
                </w:tcPr>
                <w:p w14:paraId="3FB6348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noWrap w:val="0"/>
                  <w:vAlign w:val="center"/>
                </w:tcPr>
                <w:p w14:paraId="6390EE9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noWrap w:val="0"/>
                  <w:vAlign w:val="center"/>
                </w:tcPr>
                <w:p w14:paraId="5D3D399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4C20934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1B99963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noWrap w:val="0"/>
                  <w:vAlign w:val="center"/>
                </w:tcPr>
                <w:p w14:paraId="1369B44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shd w:val="clear" w:color="auto" w:fill="auto"/>
                  <w:noWrap w:val="0"/>
                  <w:vAlign w:val="center"/>
                </w:tcPr>
                <w:p w14:paraId="10B5A62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307" w:type="pct"/>
                  <w:noWrap w:val="0"/>
                  <w:vAlign w:val="center"/>
                </w:tcPr>
                <w:p w14:paraId="01AEC5C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p>
              </w:tc>
              <w:tc>
                <w:tcPr>
                  <w:tcW w:w="458" w:type="pct"/>
                  <w:noWrap w:val="0"/>
                  <w:vAlign w:val="center"/>
                </w:tcPr>
                <w:p w14:paraId="07EEF7A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 xml:space="preserve">52.3 </w:t>
                  </w:r>
                </w:p>
              </w:tc>
              <w:tc>
                <w:tcPr>
                  <w:tcW w:w="247" w:type="pct"/>
                  <w:vMerge w:val="continue"/>
                  <w:noWrap w:val="0"/>
                  <w:vAlign w:val="center"/>
                </w:tcPr>
                <w:p w14:paraId="6B026E2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noWrap w:val="0"/>
                  <w:vAlign w:val="center"/>
                </w:tcPr>
                <w:p w14:paraId="018FAC5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65F53F3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37.3 </w:t>
                  </w:r>
                </w:p>
              </w:tc>
              <w:tc>
                <w:tcPr>
                  <w:tcW w:w="293" w:type="pct"/>
                  <w:vMerge w:val="continue"/>
                  <w:noWrap w:val="0"/>
                  <w:vAlign w:val="center"/>
                </w:tcPr>
                <w:p w14:paraId="09C01E2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4C1E7E5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31" w:type="pct"/>
                  <w:vMerge w:val="continue"/>
                  <w:noWrap w:val="0"/>
                  <w:vAlign w:val="center"/>
                </w:tcPr>
                <w:p w14:paraId="0B2A611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noWrap w:val="0"/>
                  <w:vAlign w:val="center"/>
                </w:tcPr>
                <w:p w14:paraId="3677600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noWrap w:val="0"/>
                  <w:vAlign w:val="center"/>
                </w:tcPr>
                <w:p w14:paraId="50AC1B2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noWrap w:val="0"/>
                  <w:vAlign w:val="center"/>
                </w:tcPr>
                <w:p w14:paraId="0C95AED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noWrap w:val="0"/>
                  <w:vAlign w:val="center"/>
                </w:tcPr>
                <w:p w14:paraId="60197A6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noWrap w:val="0"/>
                  <w:vAlign w:val="center"/>
                </w:tcPr>
                <w:p w14:paraId="4279760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3B510C5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781FF0F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noWrap w:val="0"/>
                  <w:vAlign w:val="center"/>
                </w:tcPr>
                <w:p w14:paraId="7D42531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shd w:val="clear" w:color="auto" w:fill="auto"/>
                  <w:noWrap w:val="0"/>
                  <w:vAlign w:val="center"/>
                </w:tcPr>
                <w:p w14:paraId="3027545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307" w:type="pct"/>
                  <w:noWrap w:val="0"/>
                  <w:vAlign w:val="center"/>
                </w:tcPr>
                <w:p w14:paraId="2F762C5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w:t>
                  </w:r>
                </w:p>
              </w:tc>
              <w:tc>
                <w:tcPr>
                  <w:tcW w:w="458" w:type="pct"/>
                  <w:noWrap w:val="0"/>
                  <w:vAlign w:val="center"/>
                </w:tcPr>
                <w:p w14:paraId="0088BE9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41.9 </w:t>
                  </w:r>
                </w:p>
              </w:tc>
              <w:tc>
                <w:tcPr>
                  <w:tcW w:w="247" w:type="pct"/>
                  <w:vMerge w:val="continue"/>
                  <w:noWrap w:val="0"/>
                  <w:vAlign w:val="center"/>
                </w:tcPr>
                <w:p w14:paraId="3A6F9C7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noWrap w:val="0"/>
                  <w:vAlign w:val="center"/>
                </w:tcPr>
                <w:p w14:paraId="132AF4F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3ACD929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26.9 </w:t>
                  </w:r>
                </w:p>
              </w:tc>
              <w:tc>
                <w:tcPr>
                  <w:tcW w:w="293" w:type="pct"/>
                  <w:vMerge w:val="continue"/>
                  <w:noWrap w:val="0"/>
                  <w:vAlign w:val="center"/>
                </w:tcPr>
                <w:p w14:paraId="79C0F78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1EA93F17">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31" w:type="pct"/>
                  <w:vMerge w:val="restart"/>
                  <w:noWrap w:val="0"/>
                  <w:vAlign w:val="center"/>
                </w:tcPr>
                <w:p w14:paraId="0A67E21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369" w:type="pct"/>
                  <w:vMerge w:val="restart"/>
                  <w:shd w:val="clear" w:color="auto" w:fill="auto"/>
                  <w:noWrap w:val="0"/>
                  <w:vAlign w:val="center"/>
                </w:tcPr>
                <w:p w14:paraId="1975235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全自动穿综机</w:t>
                  </w:r>
                </w:p>
              </w:tc>
              <w:tc>
                <w:tcPr>
                  <w:tcW w:w="496" w:type="pct"/>
                  <w:vMerge w:val="restart"/>
                  <w:shd w:val="clear" w:color="auto" w:fill="auto"/>
                  <w:noWrap w:val="0"/>
                  <w:vAlign w:val="center"/>
                </w:tcPr>
                <w:p w14:paraId="4D74EB5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47" w:type="pct"/>
                  <w:vMerge w:val="restart"/>
                  <w:noWrap w:val="0"/>
                  <w:vAlign w:val="center"/>
                </w:tcPr>
                <w:p w14:paraId="26DA15C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91" w:type="pct"/>
                  <w:vMerge w:val="restart"/>
                  <w:noWrap w:val="0"/>
                  <w:vAlign w:val="center"/>
                </w:tcPr>
                <w:p w14:paraId="3117D1E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233" w:type="pct"/>
                  <w:vMerge w:val="continue"/>
                  <w:noWrap w:val="0"/>
                  <w:vAlign w:val="center"/>
                </w:tcPr>
                <w:p w14:paraId="36641A0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restart"/>
                  <w:noWrap w:val="0"/>
                  <w:vAlign w:val="center"/>
                </w:tcPr>
                <w:p w14:paraId="1FF85CC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17~25</w:t>
                  </w:r>
                </w:p>
              </w:tc>
              <w:tc>
                <w:tcPr>
                  <w:tcW w:w="307" w:type="pct"/>
                  <w:vMerge w:val="restart"/>
                  <w:noWrap w:val="0"/>
                  <w:vAlign w:val="center"/>
                </w:tcPr>
                <w:p w14:paraId="71C3723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100~111</w:t>
                  </w:r>
                </w:p>
              </w:tc>
              <w:tc>
                <w:tcPr>
                  <w:tcW w:w="208" w:type="pct"/>
                  <w:vMerge w:val="restart"/>
                  <w:noWrap w:val="0"/>
                  <w:vAlign w:val="center"/>
                </w:tcPr>
                <w:p w14:paraId="2B393D3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7" w:type="pct"/>
                  <w:gridSpan w:val="2"/>
                  <w:shd w:val="clear" w:color="auto" w:fill="auto"/>
                  <w:noWrap w:val="0"/>
                  <w:vAlign w:val="center"/>
                </w:tcPr>
                <w:p w14:paraId="0ADED80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307" w:type="pct"/>
                  <w:noWrap w:val="0"/>
                  <w:vAlign w:val="center"/>
                </w:tcPr>
                <w:p w14:paraId="4E4CB05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w:t>
                  </w:r>
                </w:p>
              </w:tc>
              <w:tc>
                <w:tcPr>
                  <w:tcW w:w="458" w:type="pct"/>
                  <w:noWrap w:val="0"/>
                  <w:vAlign w:val="center"/>
                </w:tcPr>
                <w:p w14:paraId="2864998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44.9 </w:t>
                  </w:r>
                </w:p>
              </w:tc>
              <w:tc>
                <w:tcPr>
                  <w:tcW w:w="247" w:type="pct"/>
                  <w:vMerge w:val="restart"/>
                  <w:noWrap w:val="0"/>
                  <w:vAlign w:val="center"/>
                </w:tcPr>
                <w:p w14:paraId="09F72B0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间断运行</w:t>
                  </w:r>
                </w:p>
              </w:tc>
              <w:tc>
                <w:tcPr>
                  <w:tcW w:w="291" w:type="pct"/>
                  <w:noWrap w:val="0"/>
                  <w:vAlign w:val="center"/>
                </w:tcPr>
                <w:p w14:paraId="6E2F1BB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3EC0BC1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29.9 </w:t>
                  </w:r>
                </w:p>
              </w:tc>
              <w:tc>
                <w:tcPr>
                  <w:tcW w:w="293" w:type="pct"/>
                  <w:vMerge w:val="restart"/>
                  <w:noWrap w:val="0"/>
                  <w:vAlign w:val="center"/>
                </w:tcPr>
                <w:p w14:paraId="218E638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1DAFB42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31" w:type="pct"/>
                  <w:vMerge w:val="continue"/>
                  <w:noWrap w:val="0"/>
                  <w:vAlign w:val="center"/>
                </w:tcPr>
                <w:p w14:paraId="23936B1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noWrap w:val="0"/>
                  <w:vAlign w:val="center"/>
                </w:tcPr>
                <w:p w14:paraId="1AD6CC9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noWrap w:val="0"/>
                  <w:vAlign w:val="center"/>
                </w:tcPr>
                <w:p w14:paraId="08908A4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noWrap w:val="0"/>
                  <w:vAlign w:val="center"/>
                </w:tcPr>
                <w:p w14:paraId="48725A4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noWrap w:val="0"/>
                  <w:vAlign w:val="center"/>
                </w:tcPr>
                <w:p w14:paraId="6944CCF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noWrap w:val="0"/>
                  <w:vAlign w:val="center"/>
                </w:tcPr>
                <w:p w14:paraId="5D4D013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024B62F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660B5A4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noWrap w:val="0"/>
                  <w:vAlign w:val="center"/>
                </w:tcPr>
                <w:p w14:paraId="0A48379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shd w:val="clear" w:color="auto" w:fill="auto"/>
                  <w:noWrap w:val="0"/>
                  <w:vAlign w:val="center"/>
                </w:tcPr>
                <w:p w14:paraId="21501B1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307" w:type="pct"/>
                  <w:noWrap w:val="0"/>
                  <w:vAlign w:val="center"/>
                </w:tcPr>
                <w:p w14:paraId="3FC221A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w:t>
                  </w:r>
                </w:p>
              </w:tc>
              <w:tc>
                <w:tcPr>
                  <w:tcW w:w="458" w:type="pct"/>
                  <w:noWrap w:val="0"/>
                  <w:vAlign w:val="center"/>
                </w:tcPr>
                <w:p w14:paraId="77C3A50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49.0 </w:t>
                  </w:r>
                </w:p>
              </w:tc>
              <w:tc>
                <w:tcPr>
                  <w:tcW w:w="247" w:type="pct"/>
                  <w:vMerge w:val="continue"/>
                  <w:noWrap w:val="0"/>
                  <w:vAlign w:val="center"/>
                </w:tcPr>
                <w:p w14:paraId="2EF689B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noWrap w:val="0"/>
                  <w:vAlign w:val="center"/>
                </w:tcPr>
                <w:p w14:paraId="524E55E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4D85DED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34.0 </w:t>
                  </w:r>
                </w:p>
              </w:tc>
              <w:tc>
                <w:tcPr>
                  <w:tcW w:w="293" w:type="pct"/>
                  <w:vMerge w:val="continue"/>
                  <w:noWrap w:val="0"/>
                  <w:vAlign w:val="center"/>
                </w:tcPr>
                <w:p w14:paraId="714E670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4D9D016C">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31" w:type="pct"/>
                  <w:vMerge w:val="continue"/>
                  <w:noWrap w:val="0"/>
                  <w:vAlign w:val="center"/>
                </w:tcPr>
                <w:p w14:paraId="334174E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noWrap w:val="0"/>
                  <w:vAlign w:val="center"/>
                </w:tcPr>
                <w:p w14:paraId="43BAFCE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noWrap w:val="0"/>
                  <w:vAlign w:val="center"/>
                </w:tcPr>
                <w:p w14:paraId="7AA79A4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noWrap w:val="0"/>
                  <w:vAlign w:val="center"/>
                </w:tcPr>
                <w:p w14:paraId="4807194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noWrap w:val="0"/>
                  <w:vAlign w:val="center"/>
                </w:tcPr>
                <w:p w14:paraId="57D7A81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noWrap w:val="0"/>
                  <w:vAlign w:val="center"/>
                </w:tcPr>
                <w:p w14:paraId="10C1211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72CF0CE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13D2DD7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noWrap w:val="0"/>
                  <w:vAlign w:val="center"/>
                </w:tcPr>
                <w:p w14:paraId="6AE0CB3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shd w:val="clear" w:color="auto" w:fill="auto"/>
                  <w:noWrap w:val="0"/>
                  <w:vAlign w:val="center"/>
                </w:tcPr>
                <w:p w14:paraId="0964B1B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307" w:type="pct"/>
                  <w:noWrap w:val="0"/>
                  <w:vAlign w:val="center"/>
                </w:tcPr>
                <w:p w14:paraId="23D8262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458" w:type="pct"/>
                  <w:noWrap w:val="0"/>
                  <w:vAlign w:val="center"/>
                </w:tcPr>
                <w:p w14:paraId="6FB38E5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56.3 </w:t>
                  </w:r>
                </w:p>
              </w:tc>
              <w:tc>
                <w:tcPr>
                  <w:tcW w:w="247" w:type="pct"/>
                  <w:vMerge w:val="continue"/>
                  <w:noWrap w:val="0"/>
                  <w:vAlign w:val="center"/>
                </w:tcPr>
                <w:p w14:paraId="2554659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noWrap w:val="0"/>
                  <w:vAlign w:val="center"/>
                </w:tcPr>
                <w:p w14:paraId="65688CB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73F072A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41.3 </w:t>
                  </w:r>
                </w:p>
              </w:tc>
              <w:tc>
                <w:tcPr>
                  <w:tcW w:w="293" w:type="pct"/>
                  <w:vMerge w:val="continue"/>
                  <w:noWrap w:val="0"/>
                  <w:vAlign w:val="center"/>
                </w:tcPr>
                <w:p w14:paraId="0468024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7842EC8D">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31" w:type="pct"/>
                  <w:vMerge w:val="continue"/>
                  <w:noWrap w:val="0"/>
                  <w:vAlign w:val="center"/>
                </w:tcPr>
                <w:p w14:paraId="61709CB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noWrap w:val="0"/>
                  <w:vAlign w:val="center"/>
                </w:tcPr>
                <w:p w14:paraId="570B060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noWrap w:val="0"/>
                  <w:vAlign w:val="center"/>
                </w:tcPr>
                <w:p w14:paraId="6F9838D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noWrap w:val="0"/>
                  <w:vAlign w:val="center"/>
                </w:tcPr>
                <w:p w14:paraId="48C5FD8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noWrap w:val="0"/>
                  <w:vAlign w:val="center"/>
                </w:tcPr>
                <w:p w14:paraId="69C3EF2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noWrap w:val="0"/>
                  <w:vAlign w:val="center"/>
                </w:tcPr>
                <w:p w14:paraId="770449E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5F14DBE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noWrap w:val="0"/>
                  <w:vAlign w:val="center"/>
                </w:tcPr>
                <w:p w14:paraId="3CE14E6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noWrap w:val="0"/>
                  <w:vAlign w:val="center"/>
                </w:tcPr>
                <w:p w14:paraId="4225C32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shd w:val="clear" w:color="auto" w:fill="auto"/>
                  <w:noWrap w:val="0"/>
                  <w:vAlign w:val="center"/>
                </w:tcPr>
                <w:p w14:paraId="07BF27C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307" w:type="pct"/>
                  <w:noWrap w:val="0"/>
                  <w:vAlign w:val="center"/>
                </w:tcPr>
                <w:p w14:paraId="6D39241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c>
                <w:tcPr>
                  <w:tcW w:w="458" w:type="pct"/>
                  <w:noWrap w:val="0"/>
                  <w:vAlign w:val="center"/>
                </w:tcPr>
                <w:p w14:paraId="3BA110D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39.3 </w:t>
                  </w:r>
                </w:p>
              </w:tc>
              <w:tc>
                <w:tcPr>
                  <w:tcW w:w="247" w:type="pct"/>
                  <w:vMerge w:val="continue"/>
                  <w:noWrap w:val="0"/>
                  <w:vAlign w:val="center"/>
                </w:tcPr>
                <w:p w14:paraId="69A4BC4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noWrap w:val="0"/>
                  <w:vAlign w:val="center"/>
                </w:tcPr>
                <w:p w14:paraId="1AEE171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noWrap w:val="0"/>
                  <w:vAlign w:val="bottom"/>
                </w:tcPr>
                <w:p w14:paraId="6880E36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24.3 </w:t>
                  </w:r>
                </w:p>
              </w:tc>
              <w:tc>
                <w:tcPr>
                  <w:tcW w:w="293" w:type="pct"/>
                  <w:vMerge w:val="continue"/>
                  <w:noWrap w:val="0"/>
                  <w:vAlign w:val="center"/>
                </w:tcPr>
                <w:p w14:paraId="2B64C95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01ECEF8D">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31" w:type="pct"/>
                  <w:vMerge w:val="restart"/>
                  <w:vAlign w:val="center"/>
                </w:tcPr>
                <w:p w14:paraId="408971D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369" w:type="pct"/>
                  <w:vMerge w:val="restart"/>
                  <w:shd w:val="clear" w:color="auto" w:fill="auto"/>
                  <w:vAlign w:val="center"/>
                </w:tcPr>
                <w:p w14:paraId="6E0002E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磨毛机</w:t>
                  </w:r>
                </w:p>
              </w:tc>
              <w:tc>
                <w:tcPr>
                  <w:tcW w:w="496" w:type="pct"/>
                  <w:vMerge w:val="restart"/>
                  <w:shd w:val="clear" w:color="auto" w:fill="auto"/>
                  <w:vAlign w:val="center"/>
                </w:tcPr>
                <w:p w14:paraId="202E8A3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815型</w:t>
                  </w:r>
                </w:p>
              </w:tc>
              <w:tc>
                <w:tcPr>
                  <w:tcW w:w="247" w:type="pct"/>
                  <w:vMerge w:val="restart"/>
                  <w:vAlign w:val="center"/>
                </w:tcPr>
                <w:p w14:paraId="6C8744E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91" w:type="pct"/>
                  <w:vMerge w:val="restart"/>
                  <w:vAlign w:val="center"/>
                </w:tcPr>
                <w:p w14:paraId="6723E36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233" w:type="pct"/>
                  <w:vMerge w:val="continue"/>
                  <w:vAlign w:val="center"/>
                </w:tcPr>
                <w:p w14:paraId="527E807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restart"/>
                  <w:vAlign w:val="center"/>
                </w:tcPr>
                <w:p w14:paraId="4A61DE7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w:t>
                  </w:r>
                </w:p>
              </w:tc>
              <w:tc>
                <w:tcPr>
                  <w:tcW w:w="307" w:type="pct"/>
                  <w:vMerge w:val="restart"/>
                  <w:vAlign w:val="center"/>
                </w:tcPr>
                <w:p w14:paraId="4C10F94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84</w:t>
                  </w:r>
                </w:p>
              </w:tc>
              <w:tc>
                <w:tcPr>
                  <w:tcW w:w="208" w:type="pct"/>
                  <w:vMerge w:val="restart"/>
                  <w:vAlign w:val="center"/>
                </w:tcPr>
                <w:p w14:paraId="7E6A642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7" w:type="pct"/>
                  <w:gridSpan w:val="2"/>
                  <w:vAlign w:val="center"/>
                </w:tcPr>
                <w:p w14:paraId="3EC4481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307" w:type="pct"/>
                  <w:vAlign w:val="center"/>
                </w:tcPr>
                <w:p w14:paraId="3058D04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w:t>
                  </w:r>
                </w:p>
              </w:tc>
              <w:tc>
                <w:tcPr>
                  <w:tcW w:w="458" w:type="pct"/>
                  <w:vAlign w:val="center"/>
                </w:tcPr>
                <w:p w14:paraId="124E84A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50.3 </w:t>
                  </w:r>
                </w:p>
              </w:tc>
              <w:tc>
                <w:tcPr>
                  <w:tcW w:w="247" w:type="pct"/>
                  <w:vMerge w:val="restart"/>
                  <w:vAlign w:val="center"/>
                </w:tcPr>
                <w:p w14:paraId="1063CD0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间断运行</w:t>
                  </w:r>
                </w:p>
              </w:tc>
              <w:tc>
                <w:tcPr>
                  <w:tcW w:w="291" w:type="pct"/>
                  <w:vAlign w:val="center"/>
                </w:tcPr>
                <w:p w14:paraId="0EFA6FF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668C1B3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35.3 </w:t>
                  </w:r>
                </w:p>
              </w:tc>
              <w:tc>
                <w:tcPr>
                  <w:tcW w:w="293" w:type="pct"/>
                  <w:vMerge w:val="restart"/>
                  <w:vAlign w:val="center"/>
                </w:tcPr>
                <w:p w14:paraId="22CA98C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025711B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31" w:type="pct"/>
                  <w:vMerge w:val="continue"/>
                  <w:vAlign w:val="center"/>
                </w:tcPr>
                <w:p w14:paraId="6782B8F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vAlign w:val="center"/>
                </w:tcPr>
                <w:p w14:paraId="524D749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vAlign w:val="center"/>
                </w:tcPr>
                <w:p w14:paraId="2159453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vAlign w:val="center"/>
                </w:tcPr>
                <w:p w14:paraId="6A7AFB6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vAlign w:val="center"/>
                </w:tcPr>
                <w:p w14:paraId="5558269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vAlign w:val="center"/>
                </w:tcPr>
                <w:p w14:paraId="789CCDB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3E1EDEC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0C2BE61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vAlign w:val="center"/>
                </w:tcPr>
                <w:p w14:paraId="1907382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vAlign w:val="center"/>
                </w:tcPr>
                <w:p w14:paraId="6E7FD82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307" w:type="pct"/>
                  <w:vAlign w:val="center"/>
                </w:tcPr>
                <w:p w14:paraId="2D1E05E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15</w:t>
                  </w:r>
                </w:p>
              </w:tc>
              <w:tc>
                <w:tcPr>
                  <w:tcW w:w="458" w:type="pct"/>
                  <w:vAlign w:val="center"/>
                </w:tcPr>
                <w:p w14:paraId="4477138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56.5 </w:t>
                  </w:r>
                </w:p>
              </w:tc>
              <w:tc>
                <w:tcPr>
                  <w:tcW w:w="247" w:type="pct"/>
                  <w:vMerge w:val="continue"/>
                  <w:vAlign w:val="center"/>
                </w:tcPr>
                <w:p w14:paraId="0A5F493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Align w:val="center"/>
                </w:tcPr>
                <w:p w14:paraId="7781A8A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2EE099F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41.5 </w:t>
                  </w:r>
                </w:p>
              </w:tc>
              <w:tc>
                <w:tcPr>
                  <w:tcW w:w="293" w:type="pct"/>
                  <w:vMerge w:val="continue"/>
                  <w:vAlign w:val="center"/>
                </w:tcPr>
                <w:p w14:paraId="033A005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6D75286F">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vMerge w:val="continue"/>
                  <w:vAlign w:val="center"/>
                </w:tcPr>
                <w:p w14:paraId="14D6995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vAlign w:val="center"/>
                </w:tcPr>
                <w:p w14:paraId="0EC1C9F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vAlign w:val="center"/>
                </w:tcPr>
                <w:p w14:paraId="2DAFE35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vAlign w:val="center"/>
                </w:tcPr>
                <w:p w14:paraId="494C564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vAlign w:val="center"/>
                </w:tcPr>
                <w:p w14:paraId="3FF9914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vAlign w:val="center"/>
                </w:tcPr>
                <w:p w14:paraId="0C0783E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75235A1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008D218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vAlign w:val="center"/>
                </w:tcPr>
                <w:p w14:paraId="420510D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vAlign w:val="center"/>
                </w:tcPr>
                <w:p w14:paraId="13F2E70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307" w:type="pct"/>
                  <w:vAlign w:val="center"/>
                </w:tcPr>
                <w:p w14:paraId="2D82632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w:t>
                  </w:r>
                </w:p>
              </w:tc>
              <w:tc>
                <w:tcPr>
                  <w:tcW w:w="458" w:type="pct"/>
                  <w:vAlign w:val="center"/>
                </w:tcPr>
                <w:p w14:paraId="58634A7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 xml:space="preserve">51.4 </w:t>
                  </w:r>
                </w:p>
              </w:tc>
              <w:tc>
                <w:tcPr>
                  <w:tcW w:w="247" w:type="pct"/>
                  <w:vMerge w:val="continue"/>
                  <w:vAlign w:val="center"/>
                </w:tcPr>
                <w:p w14:paraId="2141544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Align w:val="center"/>
                </w:tcPr>
                <w:p w14:paraId="0F85EEC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0BEE055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36.4 </w:t>
                  </w:r>
                </w:p>
              </w:tc>
              <w:tc>
                <w:tcPr>
                  <w:tcW w:w="293" w:type="pct"/>
                  <w:vMerge w:val="continue"/>
                  <w:vAlign w:val="center"/>
                </w:tcPr>
                <w:p w14:paraId="7401DF4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2E641BF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31" w:type="pct"/>
                  <w:vMerge w:val="continue"/>
                  <w:vAlign w:val="center"/>
                </w:tcPr>
                <w:p w14:paraId="4184813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vAlign w:val="center"/>
                </w:tcPr>
                <w:p w14:paraId="0B4746D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vAlign w:val="center"/>
                </w:tcPr>
                <w:p w14:paraId="3AE07FE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vAlign w:val="center"/>
                </w:tcPr>
                <w:p w14:paraId="69EA3F3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vAlign w:val="center"/>
                </w:tcPr>
                <w:p w14:paraId="0FC4C09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vAlign w:val="center"/>
                </w:tcPr>
                <w:p w14:paraId="6CFDFAD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2BD67D9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65EF791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vAlign w:val="center"/>
                </w:tcPr>
                <w:p w14:paraId="1479BE2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vAlign w:val="center"/>
                </w:tcPr>
                <w:p w14:paraId="1C94AFD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307" w:type="pct"/>
                  <w:vAlign w:val="center"/>
                </w:tcPr>
                <w:p w14:paraId="51CCE8B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92</w:t>
                  </w:r>
                </w:p>
              </w:tc>
              <w:tc>
                <w:tcPr>
                  <w:tcW w:w="458" w:type="pct"/>
                  <w:vAlign w:val="center"/>
                </w:tcPr>
                <w:p w14:paraId="650B760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 xml:space="preserve">40.1 </w:t>
                  </w:r>
                </w:p>
              </w:tc>
              <w:tc>
                <w:tcPr>
                  <w:tcW w:w="247" w:type="pct"/>
                  <w:vMerge w:val="continue"/>
                  <w:vAlign w:val="center"/>
                </w:tcPr>
                <w:p w14:paraId="2A3E65E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Align w:val="center"/>
                </w:tcPr>
                <w:p w14:paraId="0B56804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1305BF9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25.1 </w:t>
                  </w:r>
                </w:p>
              </w:tc>
              <w:tc>
                <w:tcPr>
                  <w:tcW w:w="293" w:type="pct"/>
                  <w:vMerge w:val="continue"/>
                  <w:vAlign w:val="center"/>
                </w:tcPr>
                <w:p w14:paraId="5D54F5E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0712403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31" w:type="pct"/>
                  <w:vMerge w:val="restart"/>
                  <w:vAlign w:val="center"/>
                </w:tcPr>
                <w:p w14:paraId="500732B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369" w:type="pct"/>
                  <w:vMerge w:val="restart"/>
                  <w:shd w:val="clear" w:color="auto" w:fill="auto"/>
                  <w:vAlign w:val="center"/>
                </w:tcPr>
                <w:p w14:paraId="5C26B03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退卷机</w:t>
                  </w:r>
                </w:p>
              </w:tc>
              <w:tc>
                <w:tcPr>
                  <w:tcW w:w="496" w:type="pct"/>
                  <w:vMerge w:val="restart"/>
                  <w:shd w:val="clear" w:color="auto" w:fill="auto"/>
                  <w:vAlign w:val="center"/>
                </w:tcPr>
                <w:p w14:paraId="0A225D2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47" w:type="pct"/>
                  <w:vMerge w:val="restart"/>
                  <w:vAlign w:val="center"/>
                </w:tcPr>
                <w:p w14:paraId="6896097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291" w:type="pct"/>
                  <w:vMerge w:val="restart"/>
                  <w:vAlign w:val="center"/>
                </w:tcPr>
                <w:p w14:paraId="0EF0CD2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233" w:type="pct"/>
                  <w:vMerge w:val="continue"/>
                  <w:vAlign w:val="center"/>
                </w:tcPr>
                <w:p w14:paraId="73163BE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restart"/>
                  <w:vAlign w:val="center"/>
                </w:tcPr>
                <w:p w14:paraId="32F5F0C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30~38</w:t>
                  </w:r>
                </w:p>
              </w:tc>
              <w:tc>
                <w:tcPr>
                  <w:tcW w:w="307" w:type="pct"/>
                  <w:vMerge w:val="restart"/>
                  <w:vAlign w:val="center"/>
                </w:tcPr>
                <w:p w14:paraId="47D5893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101~112</w:t>
                  </w:r>
                </w:p>
              </w:tc>
              <w:tc>
                <w:tcPr>
                  <w:tcW w:w="208" w:type="pct"/>
                  <w:vMerge w:val="restart"/>
                  <w:vAlign w:val="center"/>
                </w:tcPr>
                <w:p w14:paraId="1D6A3DF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7" w:type="pct"/>
                  <w:gridSpan w:val="2"/>
                  <w:vAlign w:val="center"/>
                </w:tcPr>
                <w:p w14:paraId="4CA3E5A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307" w:type="pct"/>
                  <w:vAlign w:val="center"/>
                </w:tcPr>
                <w:p w14:paraId="71FA4CB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458" w:type="pct"/>
                  <w:vAlign w:val="center"/>
                </w:tcPr>
                <w:p w14:paraId="2D7DE64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56.4 </w:t>
                  </w:r>
                </w:p>
              </w:tc>
              <w:tc>
                <w:tcPr>
                  <w:tcW w:w="247" w:type="pct"/>
                  <w:vMerge w:val="restart"/>
                  <w:vAlign w:val="center"/>
                </w:tcPr>
                <w:p w14:paraId="208A034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间断运行</w:t>
                  </w:r>
                </w:p>
              </w:tc>
              <w:tc>
                <w:tcPr>
                  <w:tcW w:w="291" w:type="pct"/>
                  <w:vAlign w:val="center"/>
                </w:tcPr>
                <w:p w14:paraId="671CE89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55784B7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41.4 </w:t>
                  </w:r>
                </w:p>
              </w:tc>
              <w:tc>
                <w:tcPr>
                  <w:tcW w:w="293" w:type="pct"/>
                  <w:vMerge w:val="restart"/>
                  <w:vAlign w:val="center"/>
                </w:tcPr>
                <w:p w14:paraId="506AACE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503D26E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31" w:type="pct"/>
                  <w:vMerge w:val="continue"/>
                  <w:vAlign w:val="center"/>
                </w:tcPr>
                <w:p w14:paraId="302DF84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vAlign w:val="center"/>
                </w:tcPr>
                <w:p w14:paraId="6A3B0DF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vAlign w:val="center"/>
                </w:tcPr>
                <w:p w14:paraId="6683692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vAlign w:val="center"/>
                </w:tcPr>
                <w:p w14:paraId="77CACD8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vAlign w:val="center"/>
                </w:tcPr>
                <w:p w14:paraId="722E0D2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vAlign w:val="center"/>
                </w:tcPr>
                <w:p w14:paraId="507AAB1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752DE6C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2BD1C05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vAlign w:val="center"/>
                </w:tcPr>
                <w:p w14:paraId="10A3CD8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vAlign w:val="center"/>
                </w:tcPr>
                <w:p w14:paraId="53DF7BD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307" w:type="pct"/>
                  <w:vAlign w:val="center"/>
                </w:tcPr>
                <w:p w14:paraId="7851109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w:t>
                  </w:r>
                </w:p>
              </w:tc>
              <w:tc>
                <w:tcPr>
                  <w:tcW w:w="458" w:type="pct"/>
                  <w:vAlign w:val="center"/>
                </w:tcPr>
                <w:p w14:paraId="084F4E2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48.6 </w:t>
                  </w:r>
                </w:p>
              </w:tc>
              <w:tc>
                <w:tcPr>
                  <w:tcW w:w="247" w:type="pct"/>
                  <w:vMerge w:val="continue"/>
                  <w:vAlign w:val="center"/>
                </w:tcPr>
                <w:p w14:paraId="0AF88A5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Align w:val="center"/>
                </w:tcPr>
                <w:p w14:paraId="663E382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5BE4B7A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33.6 </w:t>
                  </w:r>
                </w:p>
              </w:tc>
              <w:tc>
                <w:tcPr>
                  <w:tcW w:w="293" w:type="pct"/>
                  <w:vMerge w:val="continue"/>
                  <w:vAlign w:val="center"/>
                </w:tcPr>
                <w:p w14:paraId="72F5A33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6FFCED2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31" w:type="pct"/>
                  <w:vMerge w:val="continue"/>
                  <w:vAlign w:val="center"/>
                </w:tcPr>
                <w:p w14:paraId="58CE5F6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vAlign w:val="center"/>
                </w:tcPr>
                <w:p w14:paraId="7475246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vAlign w:val="center"/>
                </w:tcPr>
                <w:p w14:paraId="04BBF6F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vAlign w:val="center"/>
                </w:tcPr>
                <w:p w14:paraId="3AB3A3D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vAlign w:val="center"/>
                </w:tcPr>
                <w:p w14:paraId="137760B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vAlign w:val="center"/>
                </w:tcPr>
                <w:p w14:paraId="41329CB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5FAF2C1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375F2E4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vAlign w:val="center"/>
                </w:tcPr>
                <w:p w14:paraId="17EA00B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vAlign w:val="center"/>
                </w:tcPr>
                <w:p w14:paraId="08391DB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307" w:type="pct"/>
                  <w:vAlign w:val="center"/>
                </w:tcPr>
                <w:p w14:paraId="76BFFE5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458" w:type="pct"/>
                  <w:vAlign w:val="center"/>
                </w:tcPr>
                <w:p w14:paraId="1AA303D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44.9 </w:t>
                  </w:r>
                </w:p>
              </w:tc>
              <w:tc>
                <w:tcPr>
                  <w:tcW w:w="247" w:type="pct"/>
                  <w:vMerge w:val="continue"/>
                  <w:vAlign w:val="center"/>
                </w:tcPr>
                <w:p w14:paraId="0A9B4A1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Align w:val="center"/>
                </w:tcPr>
                <w:p w14:paraId="3E3270E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6AC1E50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29.9 </w:t>
                  </w:r>
                </w:p>
              </w:tc>
              <w:tc>
                <w:tcPr>
                  <w:tcW w:w="293" w:type="pct"/>
                  <w:vMerge w:val="continue"/>
                  <w:vAlign w:val="center"/>
                </w:tcPr>
                <w:p w14:paraId="3B39E9F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6E0D72D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31" w:type="pct"/>
                  <w:vMerge w:val="continue"/>
                  <w:vAlign w:val="center"/>
                </w:tcPr>
                <w:p w14:paraId="04707F6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vAlign w:val="center"/>
                </w:tcPr>
                <w:p w14:paraId="72ADEA7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vAlign w:val="center"/>
                </w:tcPr>
                <w:p w14:paraId="08AC19A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vAlign w:val="center"/>
                </w:tcPr>
                <w:p w14:paraId="02408EF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vAlign w:val="center"/>
                </w:tcPr>
                <w:p w14:paraId="00EDBBC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vAlign w:val="center"/>
                </w:tcPr>
                <w:p w14:paraId="39CD6CC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1C36BB4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22B9708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vAlign w:val="center"/>
                </w:tcPr>
                <w:p w14:paraId="189BA12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vAlign w:val="center"/>
                </w:tcPr>
                <w:p w14:paraId="6E09F03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307" w:type="pct"/>
                  <w:vAlign w:val="center"/>
                </w:tcPr>
                <w:p w14:paraId="4B6FDA4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w:t>
                  </w:r>
                </w:p>
              </w:tc>
              <w:tc>
                <w:tcPr>
                  <w:tcW w:w="458" w:type="pct"/>
                  <w:vAlign w:val="center"/>
                </w:tcPr>
                <w:p w14:paraId="1DD8703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 xml:space="preserve">39.5 </w:t>
                  </w:r>
                </w:p>
              </w:tc>
              <w:tc>
                <w:tcPr>
                  <w:tcW w:w="247" w:type="pct"/>
                  <w:vMerge w:val="continue"/>
                  <w:vAlign w:val="center"/>
                </w:tcPr>
                <w:p w14:paraId="5FCCD06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Align w:val="center"/>
                </w:tcPr>
                <w:p w14:paraId="246F9E9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26DCDCC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24.5 </w:t>
                  </w:r>
                </w:p>
              </w:tc>
              <w:tc>
                <w:tcPr>
                  <w:tcW w:w="293" w:type="pct"/>
                  <w:vMerge w:val="continue"/>
                  <w:vAlign w:val="center"/>
                </w:tcPr>
                <w:p w14:paraId="22CEA30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238F731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31" w:type="pct"/>
                  <w:vMerge w:val="restart"/>
                  <w:vAlign w:val="center"/>
                </w:tcPr>
                <w:p w14:paraId="7D15D83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369" w:type="pct"/>
                  <w:vMerge w:val="restart"/>
                  <w:shd w:val="clear" w:color="auto" w:fill="auto"/>
                  <w:vAlign w:val="center"/>
                </w:tcPr>
                <w:p w14:paraId="6D64DF9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打卷机</w:t>
                  </w:r>
                </w:p>
              </w:tc>
              <w:tc>
                <w:tcPr>
                  <w:tcW w:w="496" w:type="pct"/>
                  <w:vMerge w:val="restart"/>
                  <w:shd w:val="clear" w:color="auto" w:fill="auto"/>
                  <w:vAlign w:val="center"/>
                </w:tcPr>
                <w:p w14:paraId="4A87A12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47" w:type="pct"/>
                  <w:vMerge w:val="restart"/>
                  <w:vAlign w:val="center"/>
                </w:tcPr>
                <w:p w14:paraId="588B3FC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291" w:type="pct"/>
                  <w:vMerge w:val="restart"/>
                  <w:vAlign w:val="center"/>
                </w:tcPr>
                <w:p w14:paraId="7E8AB36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233" w:type="pct"/>
                  <w:vMerge w:val="continue"/>
                  <w:vAlign w:val="center"/>
                </w:tcPr>
                <w:p w14:paraId="7D9B86F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restart"/>
                  <w:vAlign w:val="center"/>
                </w:tcPr>
                <w:p w14:paraId="1D5F60D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49~60</w:t>
                  </w:r>
                </w:p>
              </w:tc>
              <w:tc>
                <w:tcPr>
                  <w:tcW w:w="307" w:type="pct"/>
                  <w:vMerge w:val="restart"/>
                  <w:vAlign w:val="center"/>
                </w:tcPr>
                <w:p w14:paraId="1CDA515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101~112</w:t>
                  </w:r>
                </w:p>
              </w:tc>
              <w:tc>
                <w:tcPr>
                  <w:tcW w:w="208" w:type="pct"/>
                  <w:vMerge w:val="restart"/>
                  <w:vAlign w:val="center"/>
                </w:tcPr>
                <w:p w14:paraId="75283AB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7" w:type="pct"/>
                  <w:gridSpan w:val="2"/>
                  <w:vAlign w:val="center"/>
                </w:tcPr>
                <w:p w14:paraId="01EBCEB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307" w:type="pct"/>
                  <w:vAlign w:val="center"/>
                </w:tcPr>
                <w:p w14:paraId="4B7FD95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458" w:type="pct"/>
                  <w:vAlign w:val="center"/>
                </w:tcPr>
                <w:p w14:paraId="6A5A6E8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54.1 </w:t>
                  </w:r>
                </w:p>
              </w:tc>
              <w:tc>
                <w:tcPr>
                  <w:tcW w:w="247" w:type="pct"/>
                  <w:vMerge w:val="restart"/>
                  <w:vAlign w:val="center"/>
                </w:tcPr>
                <w:p w14:paraId="1A65826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间断运行</w:t>
                  </w:r>
                </w:p>
              </w:tc>
              <w:tc>
                <w:tcPr>
                  <w:tcW w:w="291" w:type="pct"/>
                  <w:vAlign w:val="center"/>
                </w:tcPr>
                <w:p w14:paraId="4DFCE24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0104E22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39.1 </w:t>
                  </w:r>
                </w:p>
              </w:tc>
              <w:tc>
                <w:tcPr>
                  <w:tcW w:w="293" w:type="pct"/>
                  <w:vMerge w:val="restart"/>
                  <w:vAlign w:val="center"/>
                </w:tcPr>
                <w:p w14:paraId="309D255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5A09ABB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31" w:type="pct"/>
                  <w:vMerge w:val="continue"/>
                  <w:vAlign w:val="center"/>
                </w:tcPr>
                <w:p w14:paraId="0EE9E4B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vAlign w:val="center"/>
                </w:tcPr>
                <w:p w14:paraId="162DF42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vAlign w:val="center"/>
                </w:tcPr>
                <w:p w14:paraId="77BFCD0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vAlign w:val="center"/>
                </w:tcPr>
                <w:p w14:paraId="6AF2719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vAlign w:val="center"/>
                </w:tcPr>
                <w:p w14:paraId="30438C6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vAlign w:val="center"/>
                </w:tcPr>
                <w:p w14:paraId="6BA9A2B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06645FD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3323401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vAlign w:val="center"/>
                </w:tcPr>
                <w:p w14:paraId="605186E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vAlign w:val="center"/>
                </w:tcPr>
                <w:p w14:paraId="27FD5A7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307" w:type="pct"/>
                  <w:vAlign w:val="center"/>
                </w:tcPr>
                <w:p w14:paraId="3B17879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w:t>
                  </w:r>
                </w:p>
              </w:tc>
              <w:tc>
                <w:tcPr>
                  <w:tcW w:w="458" w:type="pct"/>
                  <w:vAlign w:val="center"/>
                </w:tcPr>
                <w:p w14:paraId="0B8E107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53.7 </w:t>
                  </w:r>
                </w:p>
              </w:tc>
              <w:tc>
                <w:tcPr>
                  <w:tcW w:w="247" w:type="pct"/>
                  <w:vMerge w:val="continue"/>
                  <w:vAlign w:val="center"/>
                </w:tcPr>
                <w:p w14:paraId="5B2F88E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Align w:val="center"/>
                </w:tcPr>
                <w:p w14:paraId="756A3AE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676AEAF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38.7 </w:t>
                  </w:r>
                </w:p>
              </w:tc>
              <w:tc>
                <w:tcPr>
                  <w:tcW w:w="293" w:type="pct"/>
                  <w:vMerge w:val="continue"/>
                  <w:vAlign w:val="center"/>
                </w:tcPr>
                <w:p w14:paraId="64E2C39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2A7611F1">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31" w:type="pct"/>
                  <w:vMerge w:val="continue"/>
                  <w:vAlign w:val="center"/>
                </w:tcPr>
                <w:p w14:paraId="75D60A6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vAlign w:val="center"/>
                </w:tcPr>
                <w:p w14:paraId="12807C4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vAlign w:val="center"/>
                </w:tcPr>
                <w:p w14:paraId="213D040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vAlign w:val="center"/>
                </w:tcPr>
                <w:p w14:paraId="52490F8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vAlign w:val="center"/>
                </w:tcPr>
                <w:p w14:paraId="4606942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vAlign w:val="center"/>
                </w:tcPr>
                <w:p w14:paraId="780E822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32CF3FF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486B8C4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vAlign w:val="center"/>
                </w:tcPr>
                <w:p w14:paraId="54BC89B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vAlign w:val="center"/>
                </w:tcPr>
                <w:p w14:paraId="2B18BB7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307" w:type="pct"/>
                  <w:vAlign w:val="center"/>
                </w:tcPr>
                <w:p w14:paraId="47D9E72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w:t>
                  </w:r>
                </w:p>
              </w:tc>
              <w:tc>
                <w:tcPr>
                  <w:tcW w:w="458" w:type="pct"/>
                  <w:vAlign w:val="center"/>
                </w:tcPr>
                <w:p w14:paraId="21D9EB2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55.7 </w:t>
                  </w:r>
                </w:p>
              </w:tc>
              <w:tc>
                <w:tcPr>
                  <w:tcW w:w="247" w:type="pct"/>
                  <w:vMerge w:val="continue"/>
                  <w:vAlign w:val="center"/>
                </w:tcPr>
                <w:p w14:paraId="5B333E1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Align w:val="center"/>
                </w:tcPr>
                <w:p w14:paraId="0469172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41C17FC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40.7 </w:t>
                  </w:r>
                </w:p>
              </w:tc>
              <w:tc>
                <w:tcPr>
                  <w:tcW w:w="293" w:type="pct"/>
                  <w:vMerge w:val="continue"/>
                  <w:vAlign w:val="center"/>
                </w:tcPr>
                <w:p w14:paraId="3DE8FD7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64B46858">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31" w:type="pct"/>
                  <w:vMerge w:val="continue"/>
                  <w:vAlign w:val="center"/>
                </w:tcPr>
                <w:p w14:paraId="4CB55CA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vAlign w:val="center"/>
                </w:tcPr>
                <w:p w14:paraId="2324DEF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vAlign w:val="center"/>
                </w:tcPr>
                <w:p w14:paraId="4469EEC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vAlign w:val="center"/>
                </w:tcPr>
                <w:p w14:paraId="6C027AF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vAlign w:val="center"/>
                </w:tcPr>
                <w:p w14:paraId="20253CF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vAlign w:val="center"/>
                </w:tcPr>
                <w:p w14:paraId="0193E3D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0BEA968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4F65EE7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vAlign w:val="center"/>
                </w:tcPr>
                <w:p w14:paraId="50C4F5C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vAlign w:val="center"/>
                </w:tcPr>
                <w:p w14:paraId="6265377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307" w:type="pct"/>
                  <w:vAlign w:val="center"/>
                </w:tcPr>
                <w:p w14:paraId="1A6463B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w:t>
                  </w:r>
                </w:p>
              </w:tc>
              <w:tc>
                <w:tcPr>
                  <w:tcW w:w="458" w:type="pct"/>
                  <w:vAlign w:val="center"/>
                </w:tcPr>
                <w:p w14:paraId="6A6F347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 xml:space="preserve">45.8 </w:t>
                  </w:r>
                </w:p>
              </w:tc>
              <w:tc>
                <w:tcPr>
                  <w:tcW w:w="247" w:type="pct"/>
                  <w:vMerge w:val="continue"/>
                  <w:vAlign w:val="center"/>
                </w:tcPr>
                <w:p w14:paraId="482E729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Align w:val="center"/>
                </w:tcPr>
                <w:p w14:paraId="3852610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13FFD7C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30.8 </w:t>
                  </w:r>
                </w:p>
              </w:tc>
              <w:tc>
                <w:tcPr>
                  <w:tcW w:w="293" w:type="pct"/>
                  <w:vMerge w:val="continue"/>
                  <w:vAlign w:val="center"/>
                </w:tcPr>
                <w:p w14:paraId="13AE78A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401E4A28">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31" w:type="pct"/>
                  <w:vMerge w:val="restart"/>
                  <w:vAlign w:val="center"/>
                </w:tcPr>
                <w:p w14:paraId="3A5125B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369" w:type="pct"/>
                  <w:vMerge w:val="restart"/>
                  <w:shd w:val="clear" w:color="auto" w:fill="auto"/>
                  <w:vAlign w:val="center"/>
                </w:tcPr>
                <w:p w14:paraId="46B7DDD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缝纫机</w:t>
                  </w:r>
                </w:p>
              </w:tc>
              <w:tc>
                <w:tcPr>
                  <w:tcW w:w="496" w:type="pct"/>
                  <w:vMerge w:val="restart"/>
                  <w:shd w:val="clear" w:color="auto" w:fill="auto"/>
                  <w:vAlign w:val="center"/>
                </w:tcPr>
                <w:p w14:paraId="2101E7F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47" w:type="pct"/>
                  <w:vMerge w:val="restart"/>
                  <w:vAlign w:val="center"/>
                </w:tcPr>
                <w:p w14:paraId="3FBF0D8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291" w:type="pct"/>
                  <w:vMerge w:val="restart"/>
                  <w:vAlign w:val="center"/>
                </w:tcPr>
                <w:p w14:paraId="07CADC3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233" w:type="pct"/>
                  <w:vMerge w:val="continue"/>
                  <w:vAlign w:val="center"/>
                </w:tcPr>
                <w:p w14:paraId="6823DAB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restart"/>
                  <w:vAlign w:val="center"/>
                </w:tcPr>
                <w:p w14:paraId="0940D69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21~68</w:t>
                  </w:r>
                </w:p>
              </w:tc>
              <w:tc>
                <w:tcPr>
                  <w:tcW w:w="307" w:type="pct"/>
                  <w:vMerge w:val="restart"/>
                  <w:vAlign w:val="center"/>
                </w:tcPr>
                <w:p w14:paraId="71C472C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122~136</w:t>
                  </w:r>
                </w:p>
              </w:tc>
              <w:tc>
                <w:tcPr>
                  <w:tcW w:w="208" w:type="pct"/>
                  <w:vMerge w:val="restart"/>
                  <w:vAlign w:val="center"/>
                </w:tcPr>
                <w:p w14:paraId="1862F37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247" w:type="pct"/>
                  <w:gridSpan w:val="2"/>
                  <w:shd w:val="clear" w:color="auto" w:fill="auto"/>
                  <w:vAlign w:val="center"/>
                </w:tcPr>
                <w:p w14:paraId="626ADA4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东</w:t>
                  </w:r>
                </w:p>
              </w:tc>
              <w:tc>
                <w:tcPr>
                  <w:tcW w:w="307" w:type="pct"/>
                  <w:vAlign w:val="center"/>
                </w:tcPr>
                <w:p w14:paraId="6C3FC3C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458" w:type="pct"/>
                  <w:vAlign w:val="center"/>
                </w:tcPr>
                <w:p w14:paraId="254AC01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49.2 </w:t>
                  </w:r>
                </w:p>
              </w:tc>
              <w:tc>
                <w:tcPr>
                  <w:tcW w:w="247" w:type="pct"/>
                  <w:vMerge w:val="restart"/>
                  <w:vAlign w:val="center"/>
                </w:tcPr>
                <w:p w14:paraId="7A9F177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间断运行</w:t>
                  </w:r>
                </w:p>
              </w:tc>
              <w:tc>
                <w:tcPr>
                  <w:tcW w:w="291" w:type="pct"/>
                  <w:vAlign w:val="center"/>
                </w:tcPr>
                <w:p w14:paraId="61C3892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68196F8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34.2 </w:t>
                  </w:r>
                </w:p>
              </w:tc>
              <w:tc>
                <w:tcPr>
                  <w:tcW w:w="293" w:type="pct"/>
                  <w:vMerge w:val="restart"/>
                  <w:vAlign w:val="center"/>
                </w:tcPr>
                <w:p w14:paraId="2E5384D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1FF8FDE2">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31" w:type="pct"/>
                  <w:vMerge w:val="continue"/>
                  <w:vAlign w:val="center"/>
                </w:tcPr>
                <w:p w14:paraId="6B2A0A5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vAlign w:val="center"/>
                </w:tcPr>
                <w:p w14:paraId="155A3E5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vAlign w:val="center"/>
                </w:tcPr>
                <w:p w14:paraId="147A48D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vAlign w:val="center"/>
                </w:tcPr>
                <w:p w14:paraId="3AB2029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vAlign w:val="center"/>
                </w:tcPr>
                <w:p w14:paraId="2FEFDAF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vAlign w:val="center"/>
                </w:tcPr>
                <w:p w14:paraId="0535CC5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655CA68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66ACB22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vAlign w:val="center"/>
                </w:tcPr>
                <w:p w14:paraId="32F3CD5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shd w:val="clear" w:color="auto" w:fill="auto"/>
                  <w:vAlign w:val="center"/>
                </w:tcPr>
                <w:p w14:paraId="795F6E3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南</w:t>
                  </w:r>
                </w:p>
              </w:tc>
              <w:tc>
                <w:tcPr>
                  <w:tcW w:w="307" w:type="pct"/>
                  <w:vAlign w:val="center"/>
                </w:tcPr>
                <w:p w14:paraId="59AD24F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w:t>
                  </w:r>
                </w:p>
              </w:tc>
              <w:tc>
                <w:tcPr>
                  <w:tcW w:w="458" w:type="pct"/>
                  <w:vAlign w:val="center"/>
                </w:tcPr>
                <w:p w14:paraId="14C490E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40.6 </w:t>
                  </w:r>
                </w:p>
              </w:tc>
              <w:tc>
                <w:tcPr>
                  <w:tcW w:w="247" w:type="pct"/>
                  <w:vMerge w:val="continue"/>
                  <w:vAlign w:val="center"/>
                </w:tcPr>
                <w:p w14:paraId="539ABCB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Align w:val="center"/>
                </w:tcPr>
                <w:p w14:paraId="2857428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1ADE9BB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25.6 </w:t>
                  </w:r>
                </w:p>
              </w:tc>
              <w:tc>
                <w:tcPr>
                  <w:tcW w:w="293" w:type="pct"/>
                  <w:vMerge w:val="continue"/>
                  <w:vAlign w:val="center"/>
                </w:tcPr>
                <w:p w14:paraId="62197C1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14D94B57">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31" w:type="pct"/>
                  <w:vMerge w:val="continue"/>
                  <w:vAlign w:val="center"/>
                </w:tcPr>
                <w:p w14:paraId="5DE8F2B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vAlign w:val="center"/>
                </w:tcPr>
                <w:p w14:paraId="0794B13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vAlign w:val="center"/>
                </w:tcPr>
                <w:p w14:paraId="2BBBA03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vAlign w:val="center"/>
                </w:tcPr>
                <w:p w14:paraId="3D9F5F4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vAlign w:val="center"/>
                </w:tcPr>
                <w:p w14:paraId="74C4193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vAlign w:val="center"/>
                </w:tcPr>
                <w:p w14:paraId="43B4B83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3AB9497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37CC998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vAlign w:val="center"/>
                </w:tcPr>
                <w:p w14:paraId="3780201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shd w:val="clear" w:color="auto" w:fill="auto"/>
                  <w:vAlign w:val="center"/>
                </w:tcPr>
                <w:p w14:paraId="170E5AB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西</w:t>
                  </w:r>
                </w:p>
              </w:tc>
              <w:tc>
                <w:tcPr>
                  <w:tcW w:w="307" w:type="pct"/>
                  <w:vAlign w:val="center"/>
                </w:tcPr>
                <w:p w14:paraId="330B032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458" w:type="pct"/>
                  <w:vAlign w:val="center"/>
                </w:tcPr>
                <w:p w14:paraId="68D200C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48.6 </w:t>
                  </w:r>
                </w:p>
              </w:tc>
              <w:tc>
                <w:tcPr>
                  <w:tcW w:w="247" w:type="pct"/>
                  <w:vMerge w:val="continue"/>
                  <w:vAlign w:val="center"/>
                </w:tcPr>
                <w:p w14:paraId="0F039A6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Align w:val="center"/>
                </w:tcPr>
                <w:p w14:paraId="5FDE3AE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220F1EC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33.6 </w:t>
                  </w:r>
                </w:p>
              </w:tc>
              <w:tc>
                <w:tcPr>
                  <w:tcW w:w="293" w:type="pct"/>
                  <w:vMerge w:val="continue"/>
                  <w:vAlign w:val="center"/>
                </w:tcPr>
                <w:p w14:paraId="74C94D0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1BAD1A4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31" w:type="pct"/>
                  <w:vMerge w:val="continue"/>
                  <w:vAlign w:val="center"/>
                </w:tcPr>
                <w:p w14:paraId="244F90E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vAlign w:val="center"/>
                </w:tcPr>
                <w:p w14:paraId="0FD5339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vAlign w:val="center"/>
                </w:tcPr>
                <w:p w14:paraId="6E9F1D8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vAlign w:val="center"/>
                </w:tcPr>
                <w:p w14:paraId="0242AD0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vAlign w:val="center"/>
                </w:tcPr>
                <w:p w14:paraId="64AF01C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vAlign w:val="center"/>
                </w:tcPr>
                <w:p w14:paraId="0BCA1CB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0F10763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35FDADE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vAlign w:val="center"/>
                </w:tcPr>
                <w:p w14:paraId="5C4A498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shd w:val="clear" w:color="auto" w:fill="auto"/>
                  <w:vAlign w:val="center"/>
                </w:tcPr>
                <w:p w14:paraId="031424F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北</w:t>
                  </w:r>
                </w:p>
              </w:tc>
              <w:tc>
                <w:tcPr>
                  <w:tcW w:w="307" w:type="pct"/>
                  <w:vAlign w:val="center"/>
                </w:tcPr>
                <w:p w14:paraId="16899F3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w:t>
                  </w:r>
                </w:p>
              </w:tc>
              <w:tc>
                <w:tcPr>
                  <w:tcW w:w="458" w:type="pct"/>
                  <w:vAlign w:val="center"/>
                </w:tcPr>
                <w:p w14:paraId="23C7716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45.9 </w:t>
                  </w:r>
                </w:p>
              </w:tc>
              <w:tc>
                <w:tcPr>
                  <w:tcW w:w="247" w:type="pct"/>
                  <w:vMerge w:val="continue"/>
                  <w:vAlign w:val="center"/>
                </w:tcPr>
                <w:p w14:paraId="34CD110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Align w:val="center"/>
                </w:tcPr>
                <w:p w14:paraId="24D0B47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47E30E6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30.9 </w:t>
                  </w:r>
                </w:p>
              </w:tc>
              <w:tc>
                <w:tcPr>
                  <w:tcW w:w="293" w:type="pct"/>
                  <w:vMerge w:val="continue"/>
                  <w:vAlign w:val="center"/>
                </w:tcPr>
                <w:p w14:paraId="34F78F1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67B6A17">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31" w:type="pct"/>
                  <w:vMerge w:val="restart"/>
                  <w:vAlign w:val="center"/>
                </w:tcPr>
                <w:p w14:paraId="09425AD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369" w:type="pct"/>
                  <w:vMerge w:val="restart"/>
                  <w:shd w:val="clear" w:color="auto" w:fill="auto"/>
                  <w:vAlign w:val="center"/>
                </w:tcPr>
                <w:p w14:paraId="6480AE3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空压机</w:t>
                  </w:r>
                </w:p>
              </w:tc>
              <w:tc>
                <w:tcPr>
                  <w:tcW w:w="496" w:type="pct"/>
                  <w:vMerge w:val="restart"/>
                  <w:shd w:val="clear" w:color="auto" w:fill="auto"/>
                  <w:vAlign w:val="center"/>
                </w:tcPr>
                <w:p w14:paraId="4F169B4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47" w:type="pct"/>
                  <w:vMerge w:val="restart"/>
                  <w:vAlign w:val="center"/>
                </w:tcPr>
                <w:p w14:paraId="0744F66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91" w:type="pct"/>
                  <w:vMerge w:val="restart"/>
                  <w:vAlign w:val="center"/>
                </w:tcPr>
                <w:p w14:paraId="14CC134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233" w:type="pct"/>
                  <w:vMerge w:val="continue"/>
                  <w:vAlign w:val="center"/>
                </w:tcPr>
                <w:p w14:paraId="1AC365E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restart"/>
                  <w:vAlign w:val="center"/>
                </w:tcPr>
                <w:p w14:paraId="6EB1069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w:t>
                  </w:r>
                </w:p>
              </w:tc>
              <w:tc>
                <w:tcPr>
                  <w:tcW w:w="307" w:type="pct"/>
                  <w:vMerge w:val="restart"/>
                  <w:vAlign w:val="center"/>
                </w:tcPr>
                <w:p w14:paraId="029C852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68</w:t>
                  </w:r>
                </w:p>
              </w:tc>
              <w:tc>
                <w:tcPr>
                  <w:tcW w:w="208" w:type="pct"/>
                  <w:vMerge w:val="restart"/>
                  <w:vAlign w:val="center"/>
                </w:tcPr>
                <w:p w14:paraId="39625BB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247" w:type="pct"/>
                  <w:gridSpan w:val="2"/>
                  <w:shd w:val="clear" w:color="auto" w:fill="auto"/>
                  <w:vAlign w:val="center"/>
                </w:tcPr>
                <w:p w14:paraId="322EE3F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东</w:t>
                  </w:r>
                </w:p>
              </w:tc>
              <w:tc>
                <w:tcPr>
                  <w:tcW w:w="307" w:type="pct"/>
                  <w:vAlign w:val="center"/>
                </w:tcPr>
                <w:p w14:paraId="63D95A5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w:t>
                  </w:r>
                </w:p>
              </w:tc>
              <w:tc>
                <w:tcPr>
                  <w:tcW w:w="458" w:type="pct"/>
                  <w:vAlign w:val="center"/>
                </w:tcPr>
                <w:p w14:paraId="00C0CA7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52.8 </w:t>
                  </w:r>
                </w:p>
              </w:tc>
              <w:tc>
                <w:tcPr>
                  <w:tcW w:w="247" w:type="pct"/>
                  <w:vMerge w:val="restart"/>
                  <w:vAlign w:val="center"/>
                </w:tcPr>
                <w:p w14:paraId="63C42BE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间断运行</w:t>
                  </w:r>
                </w:p>
              </w:tc>
              <w:tc>
                <w:tcPr>
                  <w:tcW w:w="291" w:type="pct"/>
                  <w:vAlign w:val="center"/>
                </w:tcPr>
                <w:p w14:paraId="4B0EC4F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6891D1D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37.8 </w:t>
                  </w:r>
                </w:p>
              </w:tc>
              <w:tc>
                <w:tcPr>
                  <w:tcW w:w="293" w:type="pct"/>
                  <w:vMerge w:val="restart"/>
                  <w:vAlign w:val="center"/>
                </w:tcPr>
                <w:p w14:paraId="411952E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4EB7A6C3">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31" w:type="pct"/>
                  <w:vMerge w:val="continue"/>
                  <w:vAlign w:val="center"/>
                </w:tcPr>
                <w:p w14:paraId="380535A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vAlign w:val="center"/>
                </w:tcPr>
                <w:p w14:paraId="2A15D5D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496" w:type="pct"/>
                  <w:vMerge w:val="continue"/>
                  <w:shd w:val="clear" w:color="auto" w:fill="auto"/>
                  <w:vAlign w:val="center"/>
                </w:tcPr>
                <w:p w14:paraId="6C703A0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vAlign w:val="center"/>
                </w:tcPr>
                <w:p w14:paraId="7C33BE9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vAlign w:val="center"/>
                </w:tcPr>
                <w:p w14:paraId="2700120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vAlign w:val="center"/>
                </w:tcPr>
                <w:p w14:paraId="4029DFD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302EF48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375C444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vAlign w:val="center"/>
                </w:tcPr>
                <w:p w14:paraId="480E258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shd w:val="clear" w:color="auto" w:fill="auto"/>
                  <w:vAlign w:val="center"/>
                </w:tcPr>
                <w:p w14:paraId="720A195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南</w:t>
                  </w:r>
                </w:p>
              </w:tc>
              <w:tc>
                <w:tcPr>
                  <w:tcW w:w="307" w:type="pct"/>
                  <w:vAlign w:val="center"/>
                </w:tcPr>
                <w:p w14:paraId="4324B7C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458" w:type="pct"/>
                  <w:vAlign w:val="center"/>
                </w:tcPr>
                <w:p w14:paraId="4059A39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67.9 </w:t>
                  </w:r>
                </w:p>
              </w:tc>
              <w:tc>
                <w:tcPr>
                  <w:tcW w:w="247" w:type="pct"/>
                  <w:vMerge w:val="continue"/>
                  <w:vAlign w:val="center"/>
                </w:tcPr>
                <w:p w14:paraId="66954AC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Align w:val="center"/>
                </w:tcPr>
                <w:p w14:paraId="616AE3C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213B580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 xml:space="preserve">52.9 </w:t>
                  </w:r>
                </w:p>
              </w:tc>
              <w:tc>
                <w:tcPr>
                  <w:tcW w:w="293" w:type="pct"/>
                  <w:vMerge w:val="continue"/>
                  <w:vAlign w:val="center"/>
                </w:tcPr>
                <w:p w14:paraId="219613C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206BC59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31" w:type="pct"/>
                  <w:vMerge w:val="continue"/>
                  <w:vAlign w:val="center"/>
                </w:tcPr>
                <w:p w14:paraId="54CF168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vAlign w:val="center"/>
                </w:tcPr>
                <w:p w14:paraId="4335D49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vAlign w:val="center"/>
                </w:tcPr>
                <w:p w14:paraId="25CD5D7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vAlign w:val="center"/>
                </w:tcPr>
                <w:p w14:paraId="6A4FF92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vAlign w:val="center"/>
                </w:tcPr>
                <w:p w14:paraId="4C36770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vAlign w:val="center"/>
                </w:tcPr>
                <w:p w14:paraId="0C075D1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4CD923F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0DBD0C9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vAlign w:val="center"/>
                </w:tcPr>
                <w:p w14:paraId="6B117DB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shd w:val="clear" w:color="auto" w:fill="auto"/>
                  <w:vAlign w:val="center"/>
                </w:tcPr>
                <w:p w14:paraId="27B0CD9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西</w:t>
                  </w:r>
                </w:p>
              </w:tc>
              <w:tc>
                <w:tcPr>
                  <w:tcW w:w="307" w:type="pct"/>
                  <w:vAlign w:val="center"/>
                </w:tcPr>
                <w:p w14:paraId="66281F3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458" w:type="pct"/>
                  <w:vAlign w:val="center"/>
                </w:tcPr>
                <w:p w14:paraId="181AD35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 xml:space="preserve">71.2 </w:t>
                  </w:r>
                </w:p>
              </w:tc>
              <w:tc>
                <w:tcPr>
                  <w:tcW w:w="247" w:type="pct"/>
                  <w:vMerge w:val="continue"/>
                  <w:vAlign w:val="center"/>
                </w:tcPr>
                <w:p w14:paraId="6564446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Align w:val="center"/>
                </w:tcPr>
                <w:p w14:paraId="253E537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4DD261E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 xml:space="preserve">56.2 </w:t>
                  </w:r>
                </w:p>
              </w:tc>
              <w:tc>
                <w:tcPr>
                  <w:tcW w:w="293" w:type="pct"/>
                  <w:vMerge w:val="continue"/>
                  <w:vAlign w:val="center"/>
                </w:tcPr>
                <w:p w14:paraId="0AD5D7F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40A98201">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31" w:type="pct"/>
                  <w:vMerge w:val="continue"/>
                  <w:vAlign w:val="center"/>
                </w:tcPr>
                <w:p w14:paraId="1AD4879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9" w:type="pct"/>
                  <w:vMerge w:val="continue"/>
                  <w:shd w:val="clear" w:color="auto" w:fill="auto"/>
                  <w:vAlign w:val="center"/>
                </w:tcPr>
                <w:p w14:paraId="1B90BD9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6" w:type="pct"/>
                  <w:vMerge w:val="continue"/>
                  <w:shd w:val="clear" w:color="auto" w:fill="auto"/>
                  <w:vAlign w:val="center"/>
                </w:tcPr>
                <w:p w14:paraId="7782E0E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vMerge w:val="continue"/>
                  <w:vAlign w:val="center"/>
                </w:tcPr>
                <w:p w14:paraId="65C95AA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Merge w:val="continue"/>
                  <w:vAlign w:val="center"/>
                </w:tcPr>
                <w:p w14:paraId="46D45CC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33" w:type="pct"/>
                  <w:vMerge w:val="continue"/>
                  <w:vAlign w:val="center"/>
                </w:tcPr>
                <w:p w14:paraId="32DE94D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0E499E9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07" w:type="pct"/>
                  <w:vMerge w:val="continue"/>
                  <w:vAlign w:val="center"/>
                </w:tcPr>
                <w:p w14:paraId="2EFCC5B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vMerge w:val="continue"/>
                  <w:vAlign w:val="center"/>
                </w:tcPr>
                <w:p w14:paraId="4400176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7" w:type="pct"/>
                  <w:gridSpan w:val="2"/>
                  <w:shd w:val="clear" w:color="auto" w:fill="auto"/>
                  <w:vAlign w:val="center"/>
                </w:tcPr>
                <w:p w14:paraId="251A211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北</w:t>
                  </w:r>
                </w:p>
              </w:tc>
              <w:tc>
                <w:tcPr>
                  <w:tcW w:w="307" w:type="pct"/>
                  <w:vAlign w:val="center"/>
                </w:tcPr>
                <w:p w14:paraId="500F1BA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97</w:t>
                  </w:r>
                </w:p>
              </w:tc>
              <w:tc>
                <w:tcPr>
                  <w:tcW w:w="458" w:type="pct"/>
                  <w:vAlign w:val="center"/>
                </w:tcPr>
                <w:p w14:paraId="5C11373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 xml:space="preserve">46.5 </w:t>
                  </w:r>
                </w:p>
              </w:tc>
              <w:tc>
                <w:tcPr>
                  <w:tcW w:w="247" w:type="pct"/>
                  <w:vMerge w:val="continue"/>
                  <w:vAlign w:val="center"/>
                </w:tcPr>
                <w:p w14:paraId="2498B1D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91" w:type="pct"/>
                  <w:vAlign w:val="center"/>
                </w:tcPr>
                <w:p w14:paraId="2E8F4F3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15</w:t>
                  </w:r>
                </w:p>
              </w:tc>
              <w:tc>
                <w:tcPr>
                  <w:tcW w:w="458" w:type="pct"/>
                  <w:vAlign w:val="bottom"/>
                </w:tcPr>
                <w:p w14:paraId="2C3DFA7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 xml:space="preserve">31.5 </w:t>
                  </w:r>
                </w:p>
              </w:tc>
              <w:tc>
                <w:tcPr>
                  <w:tcW w:w="293" w:type="pct"/>
                  <w:vMerge w:val="continue"/>
                  <w:vAlign w:val="center"/>
                </w:tcPr>
                <w:p w14:paraId="043A963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bl>
          <w:p w14:paraId="4259340E">
            <w:pPr>
              <w:keepNext w:val="0"/>
              <w:keepLines w:val="0"/>
              <w:suppressLineNumbers w:val="0"/>
              <w:spacing w:before="0" w:beforeAutospacing="0" w:after="0" w:afterAutospacing="0"/>
              <w:ind w:left="0" w:right="0"/>
              <w:rPr>
                <w:rFonts w:hint="eastAsia" w:ascii="Times New Roman" w:hAnsi="Times New Roman" w:eastAsia="宋体" w:cs="宋体"/>
                <w:b w:val="0"/>
                <w:bCs/>
                <w:color w:val="auto"/>
                <w:kern w:val="0"/>
                <w:sz w:val="21"/>
                <w:szCs w:val="21"/>
                <w:highlight w:val="none"/>
                <w:lang w:bidi="ar"/>
              </w:rPr>
            </w:pPr>
            <w:r>
              <w:rPr>
                <w:rFonts w:hint="eastAsia" w:ascii="Times New Roman" w:hAnsi="Times New Roman" w:eastAsia="宋体" w:cs="宋体"/>
                <w:b w:val="0"/>
                <w:bCs/>
                <w:color w:val="auto"/>
                <w:kern w:val="0"/>
                <w:sz w:val="21"/>
                <w:szCs w:val="21"/>
                <w:highlight w:val="none"/>
                <w:lang w:bidi="ar"/>
              </w:rPr>
              <w:t>注：以厂界西南点地面为坐标原点（</w:t>
            </w:r>
            <w:r>
              <w:rPr>
                <w:rFonts w:hint="default" w:ascii="Times New Roman" w:hAnsi="Times New Roman" w:eastAsia="宋体" w:cs="Times New Roman"/>
                <w:b w:val="0"/>
                <w:bCs/>
                <w:color w:val="auto"/>
                <w:kern w:val="0"/>
                <w:sz w:val="21"/>
                <w:szCs w:val="21"/>
                <w:highlight w:val="none"/>
                <w:lang w:bidi="ar"/>
              </w:rPr>
              <w:t>X=0，Y=0，Z=0</w:t>
            </w:r>
            <w:r>
              <w:rPr>
                <w:rFonts w:hint="eastAsia" w:ascii="Times New Roman" w:hAnsi="Times New Roman" w:eastAsia="宋体" w:cs="宋体"/>
                <w:b w:val="0"/>
                <w:bCs/>
                <w:color w:val="auto"/>
                <w:kern w:val="0"/>
                <w:sz w:val="21"/>
                <w:szCs w:val="21"/>
                <w:highlight w:val="none"/>
                <w:lang w:bidi="ar"/>
              </w:rPr>
              <w:t>）。</w:t>
            </w:r>
          </w:p>
          <w:p w14:paraId="715F7F88">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（2）预测模式</w:t>
            </w:r>
          </w:p>
          <w:p w14:paraId="317F8644">
            <w:pPr>
              <w:pStyle w:val="42"/>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本次评价采用《环境影响评价技术导则-声环境》（</w:t>
            </w:r>
            <w:r>
              <w:rPr>
                <w:rFonts w:hint="default" w:ascii="Times New Roman" w:hAnsi="Times New Roman" w:cs="Times New Roman"/>
                <w:color w:val="auto"/>
                <w:highlight w:val="none"/>
                <w:lang w:eastAsia="zh-CN"/>
              </w:rPr>
              <w:t>HJ2.4-2021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附录</w:t>
            </w:r>
            <w:r>
              <w:rPr>
                <w:rFonts w:hint="default" w:ascii="Times New Roman" w:hAnsi="Times New Roman" w:cs="Times New Roman"/>
                <w:color w:val="auto"/>
                <w:highlight w:val="none"/>
              </w:rPr>
              <w:t>中的预测模</w:t>
            </w:r>
            <w:r>
              <w:rPr>
                <w:rFonts w:hint="default" w:ascii="Times New Roman" w:hAnsi="Times New Roman" w:cs="Times New Roman"/>
                <w:color w:val="auto"/>
                <w:highlight w:val="none"/>
                <w:lang w:eastAsia="zh-CN"/>
              </w:rPr>
              <w:t>型，其计算公式</w:t>
            </w:r>
            <w:r>
              <w:rPr>
                <w:rFonts w:hint="default" w:ascii="Times New Roman" w:hAnsi="Times New Roman" w:cs="Times New Roman"/>
                <w:color w:val="auto"/>
                <w:highlight w:val="none"/>
              </w:rPr>
              <w:t>如下：</w:t>
            </w:r>
          </w:p>
          <w:p w14:paraId="66A1B08F">
            <w:pPr>
              <w:pStyle w:val="42"/>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①室内声源等效室外声源声功率级计算方法</w:t>
            </w:r>
          </w:p>
          <w:p w14:paraId="18B1F820">
            <w:pPr>
              <w:pStyle w:val="42"/>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室内声源可采用等效室外声源声功率级法进行计算</w:t>
            </w:r>
            <w:r>
              <w:rPr>
                <w:rFonts w:hint="default" w:ascii="Times New Roman" w:hAnsi="Times New Roman" w:cs="Times New Roman"/>
                <w:color w:val="auto"/>
                <w:highlight w:val="none"/>
                <w:lang w:eastAsia="zh-CN"/>
              </w:rPr>
              <w:t>，也可按下式计算</w:t>
            </w:r>
            <w:r>
              <w:rPr>
                <w:rFonts w:hint="default" w:ascii="Times New Roman" w:hAnsi="Times New Roman" w:cs="Times New Roman"/>
                <w:color w:val="auto"/>
                <w:highlight w:val="none"/>
              </w:rPr>
              <w:t>。</w:t>
            </w:r>
          </w:p>
          <w:p w14:paraId="02042D4C">
            <w:pPr>
              <w:pStyle w:val="42"/>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计算某一室内声源靠近围护结构处产生的倍频带声压级。公式如下：</w:t>
            </w:r>
          </w:p>
          <w:p w14:paraId="44E6A61B">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bCs/>
                <w:color w:val="auto"/>
                <w:highlight w:val="none"/>
              </w:rPr>
            </w:pPr>
            <w:r>
              <w:rPr>
                <w:rFonts w:hint="default" w:ascii="Times New Roman" w:hAnsi="Times New Roman" w:cs="Times New Roman"/>
                <w:bCs/>
                <w:color w:val="auto"/>
                <w:position w:val="-28"/>
                <w:highlight w:val="none"/>
              </w:rPr>
              <w:object>
                <v:shape id="_x0000_i1025" o:spt="75" type="#_x0000_t75" style="height:36.85pt;width:194.55pt;" o:ole="t" filled="f" o:preferrelative="t" stroked="f" coordsize="21600,21600">
                  <v:path/>
                  <v:fill on="f" focussize="0,0"/>
                  <v:stroke on="f"/>
                  <v:imagedata r:id="rId25" o:title=""/>
                  <o:lock v:ext="edit" aspectratio="t"/>
                  <w10:wrap type="none"/>
                  <w10:anchorlock/>
                </v:shape>
                <o:OLEObject Type="Embed" ProgID="Equation.KSEE3" ShapeID="_x0000_i1025" DrawAspect="Content" ObjectID="_1468075725" r:id="rId24">
                  <o:LockedField>false</o:LockedField>
                </o:OLEObject>
              </w:object>
            </w:r>
          </w:p>
          <w:p w14:paraId="692E0F2B">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式中：L</w:t>
            </w:r>
            <w:r>
              <w:rPr>
                <w:rFonts w:hint="default" w:ascii="Times New Roman" w:hAnsi="Times New Roman" w:cs="Times New Roman"/>
                <w:color w:val="auto"/>
                <w:highlight w:val="none"/>
                <w:vertAlign w:val="subscript"/>
                <w:lang w:eastAsia="zh-CN"/>
              </w:rPr>
              <w:t>p1</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靠近开口处（或窗户）室内某倍频带的声压级或A声级，dB；</w:t>
            </w:r>
          </w:p>
          <w:p w14:paraId="078A184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840" w:firstLineChars="35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Lw</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点声源声功率级（A计权或倍频带），dB；</w:t>
            </w:r>
          </w:p>
          <w:p w14:paraId="3607F28B">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840" w:firstLineChars="35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Q</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指向性因数；通常对无指向性声源，当声源放在房间中心时，Q=1；当放在一面墙的中心时，Q=2；当放在两面墙夹角处时，Q=4；当放在三面墙夹角处时，Q=8；</w:t>
            </w:r>
          </w:p>
          <w:p w14:paraId="5F75FA48">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840" w:firstLineChars="35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R</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房间常数，</w:t>
            </w:r>
            <w:r>
              <w:rPr>
                <w:rFonts w:hint="default" w:ascii="Times New Roman" w:hAnsi="Times New Roman" w:eastAsia="宋体" w:cs="Times New Roman"/>
                <w:color w:val="auto"/>
                <w:highlight w:val="none"/>
                <w:lang w:val="en-US" w:eastAsia="zh-CN"/>
              </w:rPr>
              <w:t>R=Sα/</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1-α</w:t>
            </w:r>
            <w:r>
              <w:rPr>
                <w:rFonts w:hint="default" w:ascii="Times New Roman" w:hAnsi="Times New Roman" w:cs="Times New Roman"/>
                <w:color w:val="auto"/>
                <w:highlight w:val="none"/>
                <w:lang w:val="en-US" w:eastAsia="zh-CN"/>
              </w:rPr>
              <w:t>），S</w:t>
            </w:r>
            <w:r>
              <w:rPr>
                <w:rFonts w:hint="default" w:ascii="Times New Roman" w:hAnsi="Times New Roman" w:cs="Times New Roman"/>
                <w:color w:val="auto"/>
                <w:highlight w:val="none"/>
                <w:lang w:eastAsia="zh-CN"/>
              </w:rPr>
              <w:t>为房间内表面面积，</w:t>
            </w:r>
            <w:r>
              <w:rPr>
                <w:rFonts w:hint="default" w:ascii="Times New Roman" w:hAnsi="Times New Roman" w:cs="Times New Roman"/>
                <w:color w:val="auto"/>
                <w:highlight w:val="none"/>
                <w:lang w:val="en-US" w:eastAsia="zh-CN"/>
              </w:rPr>
              <w:t>m²</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α</w:t>
            </w:r>
            <w:r>
              <w:rPr>
                <w:rFonts w:hint="default" w:ascii="Times New Roman" w:hAnsi="Times New Roman" w:cs="Times New Roman"/>
                <w:color w:val="auto"/>
                <w:highlight w:val="none"/>
                <w:lang w:eastAsia="zh-CN"/>
              </w:rPr>
              <w:t>为平均吸声系数；</w:t>
            </w:r>
          </w:p>
          <w:p w14:paraId="457C499A">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840" w:firstLineChars="35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r</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声源到靠近围护结构某点处的距离，m。</w:t>
            </w:r>
          </w:p>
          <w:p w14:paraId="2B799FFC">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B.</w:t>
            </w:r>
            <w:r>
              <w:rPr>
                <w:rFonts w:hint="default" w:ascii="Times New Roman" w:hAnsi="Times New Roman" w:cs="Times New Roman"/>
                <w:color w:val="auto"/>
                <w:highlight w:val="none"/>
                <w:lang w:eastAsia="zh-CN"/>
              </w:rPr>
              <w:t>计算出所有室内声源在围护结构处产生的i倍频带叠加声压级。</w:t>
            </w:r>
            <w:r>
              <w:rPr>
                <w:rFonts w:hint="default" w:ascii="Times New Roman" w:hAnsi="Times New Roman" w:cs="Times New Roman"/>
                <w:color w:val="auto"/>
                <w:highlight w:val="none"/>
              </w:rPr>
              <w:t>公式如下：</w:t>
            </w:r>
          </w:p>
          <w:p w14:paraId="52194761">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bCs/>
                <w:color w:val="auto"/>
                <w:highlight w:val="none"/>
              </w:rPr>
            </w:pPr>
            <w:r>
              <w:rPr>
                <w:rFonts w:hint="default" w:ascii="Times New Roman" w:hAnsi="Times New Roman" w:cs="Times New Roman"/>
                <w:bCs/>
                <w:color w:val="auto"/>
                <w:position w:val="-32"/>
                <w:highlight w:val="none"/>
              </w:rPr>
              <w:object>
                <v:shape id="_x0000_i1026" o:spt="75" type="#_x0000_t75" style="height:45.35pt;width:213.85pt;" o:ole="t" filled="f" o:preferrelative="t" stroked="f" coordsize="21600,21600">
                  <v:path/>
                  <v:fill on="f" focussize="0,0"/>
                  <v:stroke on="f"/>
                  <v:imagedata r:id="rId27" o:title=""/>
                  <o:lock v:ext="edit" aspectratio="t"/>
                  <w10:wrap type="none"/>
                  <w10:anchorlock/>
                </v:shape>
                <o:OLEObject Type="Embed" ProgID="Equation.KSEE3" ShapeID="_x0000_i1026" DrawAspect="Content" ObjectID="_1468075726" r:id="rId26">
                  <o:LockedField>false</o:LockedField>
                </o:OLEObject>
              </w:object>
            </w:r>
          </w:p>
          <w:p w14:paraId="3EED5C2E">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式中：</w:t>
            </w:r>
            <w:r>
              <w:rPr>
                <w:rFonts w:hint="default" w:ascii="Times New Roman" w:hAnsi="Times New Roman" w:cs="Times New Roman"/>
                <w:color w:val="auto"/>
                <w:highlight w:val="none"/>
                <w:lang w:val="en-US" w:eastAsia="zh-CN"/>
              </w:rPr>
              <w:t>L</w:t>
            </w:r>
            <w:r>
              <w:rPr>
                <w:rFonts w:hint="default" w:ascii="Times New Roman" w:hAnsi="Times New Roman" w:cs="Times New Roman"/>
                <w:color w:val="auto"/>
                <w:highlight w:val="none"/>
                <w:vertAlign w:val="subscript"/>
                <w:lang w:val="en-US" w:eastAsia="zh-CN"/>
              </w:rPr>
              <w:t>p1i</w:t>
            </w:r>
            <w:r>
              <w:rPr>
                <w:rFonts w:hint="default" w:ascii="Times New Roman" w:hAnsi="Times New Roman" w:cs="Times New Roman"/>
                <w:color w:val="auto"/>
                <w:highlight w:val="none"/>
                <w:lang w:val="en-US" w:eastAsia="zh-CN"/>
              </w:rPr>
              <w:t>（T）--</w:t>
            </w:r>
            <w:r>
              <w:rPr>
                <w:rFonts w:hint="default" w:ascii="Times New Roman" w:hAnsi="Times New Roman" w:cs="Times New Roman"/>
                <w:color w:val="auto"/>
                <w:highlight w:val="none"/>
                <w:lang w:eastAsia="zh-CN"/>
              </w:rPr>
              <w:t>靠近围护结构处室内</w:t>
            </w:r>
            <w:r>
              <w:rPr>
                <w:rFonts w:hint="default" w:ascii="Times New Roman" w:hAnsi="Times New Roman" w:cs="Times New Roman"/>
                <w:color w:val="auto"/>
                <w:highlight w:val="none"/>
                <w:lang w:val="en-US" w:eastAsia="zh-CN"/>
              </w:rPr>
              <w:t>n</w:t>
            </w:r>
            <w:r>
              <w:rPr>
                <w:rFonts w:hint="default" w:ascii="Times New Roman" w:hAnsi="Times New Roman" w:cs="Times New Roman"/>
                <w:color w:val="auto"/>
                <w:highlight w:val="none"/>
                <w:lang w:eastAsia="zh-CN"/>
              </w:rPr>
              <w:t>个声源i倍频带的叠加声压级，dB；</w:t>
            </w:r>
          </w:p>
          <w:p w14:paraId="1057E4B7">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1200" w:firstLineChars="5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L</w:t>
            </w:r>
            <w:r>
              <w:rPr>
                <w:rFonts w:hint="default" w:ascii="Times New Roman" w:hAnsi="Times New Roman" w:cs="Times New Roman"/>
                <w:color w:val="auto"/>
                <w:highlight w:val="none"/>
                <w:vertAlign w:val="subscript"/>
                <w:lang w:val="en-US" w:eastAsia="zh-CN"/>
              </w:rPr>
              <w:t>p1ij</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室内j声源i倍频带的声压级，dB；</w:t>
            </w:r>
          </w:p>
          <w:p w14:paraId="16ACEE8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1200" w:firstLineChars="5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n--</w:t>
            </w:r>
            <w:r>
              <w:rPr>
                <w:rFonts w:hint="default" w:ascii="Times New Roman" w:hAnsi="Times New Roman" w:cs="Times New Roman"/>
                <w:color w:val="auto"/>
                <w:highlight w:val="none"/>
                <w:lang w:eastAsia="zh-CN"/>
              </w:rPr>
              <w:t>室内声源总数。</w:t>
            </w:r>
          </w:p>
          <w:p w14:paraId="045F42E9">
            <w:pPr>
              <w:pStyle w:val="42"/>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C.在室内近似为扩散声场时，计算出靠近室外围护结构处的声压级。</w:t>
            </w:r>
            <w:r>
              <w:rPr>
                <w:rFonts w:hint="default" w:ascii="Times New Roman" w:hAnsi="Times New Roman" w:cs="Times New Roman"/>
                <w:color w:val="auto"/>
                <w:highlight w:val="none"/>
              </w:rPr>
              <w:t>公式如下：</w:t>
            </w:r>
          </w:p>
          <w:p w14:paraId="2B111FE6">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auto"/>
                <w:highlight w:val="none"/>
                <w:lang w:eastAsia="zh-CN"/>
              </w:rPr>
            </w:pPr>
            <w:r>
              <w:rPr>
                <w:rFonts w:hint="default" w:ascii="Times New Roman" w:hAnsi="Times New Roman" w:cs="Times New Roman"/>
                <w:bCs/>
                <w:color w:val="auto"/>
                <w:position w:val="-14"/>
                <w:highlight w:val="none"/>
              </w:rPr>
              <w:object>
                <v:shape id="_x0000_i1027" o:spt="75" type="#_x0000_t75" style="height:19.85pt;width:158.05pt;" o:ole="t" filled="f" o:preferrelative="t" stroked="f" coordsize="21600,21600">
                  <v:path/>
                  <v:fill on="f" focussize="0,0"/>
                  <v:stroke on="f"/>
                  <v:imagedata r:id="rId29" o:title=""/>
                  <o:lock v:ext="edit" aspectratio="t"/>
                  <w10:wrap type="none"/>
                  <w10:anchorlock/>
                </v:shape>
                <o:OLEObject Type="Embed" ProgID="Equation.KSEE3" ShapeID="_x0000_i1027" DrawAspect="Content" ObjectID="_1468075727" r:id="rId28">
                  <o:LockedField>false</o:LockedField>
                </o:OLEObject>
              </w:object>
            </w:r>
          </w:p>
          <w:p w14:paraId="11C3662E">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式中：</w:t>
            </w:r>
            <w:r>
              <w:rPr>
                <w:rFonts w:hint="default" w:ascii="Times New Roman" w:hAnsi="Times New Roman" w:cs="Times New Roman"/>
                <w:color w:val="auto"/>
                <w:highlight w:val="none"/>
                <w:lang w:val="en-US" w:eastAsia="zh-CN"/>
              </w:rPr>
              <w:t>L</w:t>
            </w:r>
            <w:r>
              <w:rPr>
                <w:rFonts w:hint="default" w:ascii="Times New Roman" w:hAnsi="Times New Roman" w:cs="Times New Roman"/>
                <w:color w:val="auto"/>
                <w:highlight w:val="none"/>
                <w:vertAlign w:val="subscript"/>
                <w:lang w:val="en-US" w:eastAsia="zh-CN"/>
              </w:rPr>
              <w:t>p2i</w:t>
            </w:r>
            <w:r>
              <w:rPr>
                <w:rFonts w:hint="default" w:ascii="Times New Roman" w:hAnsi="Times New Roman" w:cs="Times New Roman"/>
                <w:color w:val="auto"/>
                <w:highlight w:val="none"/>
                <w:lang w:val="en-US" w:eastAsia="zh-CN"/>
              </w:rPr>
              <w:t>（T）--</w:t>
            </w:r>
            <w:r>
              <w:rPr>
                <w:rFonts w:hint="default" w:ascii="Times New Roman" w:hAnsi="Times New Roman" w:cs="Times New Roman"/>
                <w:color w:val="auto"/>
                <w:highlight w:val="none"/>
                <w:lang w:eastAsia="zh-CN"/>
              </w:rPr>
              <w:t>靠近围护结构处室外N个声源i倍频带的叠加声压级，dB；</w:t>
            </w:r>
          </w:p>
          <w:p w14:paraId="34428D8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1200" w:firstLineChars="5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L</w:t>
            </w:r>
            <w:r>
              <w:rPr>
                <w:rFonts w:hint="default" w:ascii="Times New Roman" w:hAnsi="Times New Roman" w:cs="Times New Roman"/>
                <w:color w:val="auto"/>
                <w:highlight w:val="none"/>
                <w:vertAlign w:val="subscript"/>
                <w:lang w:val="en-US" w:eastAsia="zh-CN"/>
              </w:rPr>
              <w:t>p1i</w:t>
            </w:r>
            <w:r>
              <w:rPr>
                <w:rFonts w:hint="default" w:ascii="Times New Roman" w:hAnsi="Times New Roman" w:cs="Times New Roman"/>
                <w:color w:val="auto"/>
                <w:highlight w:val="none"/>
                <w:lang w:val="en-US" w:eastAsia="zh-CN"/>
              </w:rPr>
              <w:t>（T）--</w:t>
            </w:r>
            <w:r>
              <w:rPr>
                <w:rFonts w:hint="default" w:ascii="Times New Roman" w:hAnsi="Times New Roman" w:cs="Times New Roman"/>
                <w:color w:val="auto"/>
                <w:highlight w:val="none"/>
                <w:lang w:eastAsia="zh-CN"/>
              </w:rPr>
              <w:t>靠近围护结构处室内N个声源i倍频带的叠加声压级，dB；</w:t>
            </w:r>
          </w:p>
          <w:p w14:paraId="447890DC">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1200" w:firstLineChars="5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T</w:t>
            </w:r>
            <w:r>
              <w:rPr>
                <w:rFonts w:hint="default" w:ascii="Times New Roman" w:hAnsi="Times New Roman" w:cs="Times New Roman"/>
                <w:color w:val="auto"/>
                <w:highlight w:val="none"/>
                <w:vertAlign w:val="subscript"/>
                <w:lang w:eastAsia="zh-CN"/>
              </w:rPr>
              <w:t>Li</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围护结构i倍频带的隔声量，dB。</w:t>
            </w:r>
          </w:p>
          <w:p w14:paraId="08E05FC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D.将室外声源的声压级和透过面积换算成等效的室外声源，计算出中心位置位于透声面积（S）处的等效声源的倍频带声功率级。</w:t>
            </w:r>
            <w:r>
              <w:rPr>
                <w:rFonts w:hint="default" w:ascii="Times New Roman" w:hAnsi="Times New Roman" w:cs="Times New Roman"/>
                <w:color w:val="auto"/>
                <w:highlight w:val="none"/>
              </w:rPr>
              <w:t>公式如下：</w:t>
            </w:r>
          </w:p>
          <w:p w14:paraId="15C76806">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auto"/>
                <w:highlight w:val="none"/>
                <w:lang w:eastAsia="zh-CN"/>
              </w:rPr>
            </w:pPr>
            <w:r>
              <w:rPr>
                <w:rFonts w:hint="default" w:ascii="Times New Roman" w:hAnsi="Times New Roman" w:cs="Times New Roman"/>
                <w:bCs/>
                <w:color w:val="auto"/>
                <w:position w:val="-14"/>
                <w:highlight w:val="none"/>
              </w:rPr>
              <w:object>
                <v:shape id="_x0000_i1028" o:spt="75" type="#_x0000_t75" style="height:19.85pt;width:109.15pt;" o:ole="t" filled="f" o:preferrelative="t" stroked="f" coordsize="21600,21600">
                  <v:path/>
                  <v:fill on="f" focussize="0,0"/>
                  <v:stroke on="f"/>
                  <v:imagedata r:id="rId31" o:title=""/>
                  <o:lock v:ext="edit" aspectratio="t"/>
                  <w10:wrap type="none"/>
                  <w10:anchorlock/>
                </v:shape>
                <o:OLEObject Type="Embed" ProgID="Equation.KSEE3" ShapeID="_x0000_i1028" DrawAspect="Content" ObjectID="_1468075728" r:id="rId30">
                  <o:LockedField>false</o:LockedField>
                </o:OLEObject>
              </w:object>
            </w:r>
          </w:p>
          <w:p w14:paraId="360B83C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式中：Lw</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中心位置位于透声面积（S）处的等效声源的倍频带声功率级，dB；</w:t>
            </w:r>
          </w:p>
          <w:p w14:paraId="0A48C7F8">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1200" w:firstLineChars="5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L</w:t>
            </w:r>
            <w:r>
              <w:rPr>
                <w:rFonts w:hint="default" w:ascii="Times New Roman" w:hAnsi="Times New Roman" w:cs="Times New Roman"/>
                <w:color w:val="auto"/>
                <w:highlight w:val="none"/>
                <w:vertAlign w:val="subscript"/>
                <w:lang w:eastAsia="zh-CN"/>
              </w:rPr>
              <w:t>p2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靠近围护结构处室外声源的声压级，dB；</w:t>
            </w:r>
          </w:p>
          <w:p w14:paraId="4409FAF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1200" w:firstLineChars="5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S</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透声面积，</w:t>
            </w:r>
            <w:r>
              <w:rPr>
                <w:rFonts w:hint="default" w:ascii="Times New Roman" w:hAnsi="Times New Roman" w:cs="Times New Roman"/>
                <w:color w:val="auto"/>
                <w:highlight w:val="none"/>
                <w:lang w:val="en-US" w:eastAsia="zh-CN"/>
              </w:rPr>
              <w:t>m²</w:t>
            </w:r>
            <w:r>
              <w:rPr>
                <w:rFonts w:hint="default" w:ascii="Times New Roman" w:hAnsi="Times New Roman" w:cs="Times New Roman"/>
                <w:color w:val="auto"/>
                <w:highlight w:val="none"/>
                <w:lang w:eastAsia="zh-CN"/>
              </w:rPr>
              <w:t>。</w:t>
            </w:r>
          </w:p>
          <w:p w14:paraId="74AE789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然后按室外声源预测方法计算预测点处的A声级。</w:t>
            </w:r>
          </w:p>
          <w:p w14:paraId="1636A49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②室外声源在预测点产生的声级计算模型</w:t>
            </w:r>
          </w:p>
          <w:p w14:paraId="2C8705C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A.</w:t>
            </w:r>
            <w:r>
              <w:rPr>
                <w:rFonts w:hint="default" w:ascii="Times New Roman" w:hAnsi="Times New Roman" w:cs="Times New Roman"/>
                <w:color w:val="auto"/>
                <w:highlight w:val="none"/>
                <w:lang w:eastAsia="zh-CN"/>
              </w:rPr>
              <w:t>根据声源参考位置处的声压级、户外声传播衰减，计算预测点的声级，其</w:t>
            </w:r>
            <w:r>
              <w:rPr>
                <w:rFonts w:hint="default" w:ascii="Times New Roman" w:hAnsi="Times New Roman" w:cs="Times New Roman"/>
                <w:color w:val="auto"/>
                <w:highlight w:val="none"/>
              </w:rPr>
              <w:t>计算公式如下：</w:t>
            </w:r>
          </w:p>
          <w:p w14:paraId="27B7F100">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auto"/>
                <w:highlight w:val="none"/>
                <w:lang w:eastAsia="zh-CN"/>
              </w:rPr>
            </w:pPr>
            <w:r>
              <w:rPr>
                <w:rFonts w:hint="default" w:ascii="Times New Roman" w:hAnsi="Times New Roman" w:cs="Times New Roman"/>
                <w:bCs/>
                <w:color w:val="auto"/>
                <w:position w:val="-14"/>
                <w:highlight w:val="none"/>
              </w:rPr>
              <w:object>
                <v:shape id="_x0000_i1029" o:spt="75" type="#_x0000_t75" style="height:19.85pt;width:280.5pt;" o:ole="t" filled="f" o:preferrelative="t" stroked="f" coordsize="21600,21600">
                  <v:path/>
                  <v:fill on="f" focussize="0,0"/>
                  <v:stroke on="f"/>
                  <v:imagedata r:id="rId33" o:title=""/>
                  <o:lock v:ext="edit" aspectratio="t"/>
                  <w10:wrap type="none"/>
                  <w10:anchorlock/>
                </v:shape>
                <o:OLEObject Type="Embed" ProgID="Equation.KSEE3" ShapeID="_x0000_i1029" DrawAspect="Content" ObjectID="_1468075729" r:id="rId32">
                  <o:LockedField>false</o:LockedField>
                </o:OLEObject>
              </w:object>
            </w:r>
          </w:p>
          <w:p w14:paraId="7D7E0ED2">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式中：Lp（r）</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预测点处声压级，dB；</w:t>
            </w:r>
          </w:p>
          <w:p w14:paraId="31236053">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840" w:firstLineChars="35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Lp（r</w:t>
            </w:r>
            <w:r>
              <w:rPr>
                <w:rFonts w:hint="default" w:ascii="Times New Roman" w:hAnsi="Times New Roman" w:cs="Times New Roman"/>
                <w:color w:val="auto"/>
                <w:highlight w:val="none"/>
                <w:vertAlign w:val="subscript"/>
                <w:lang w:eastAsia="zh-CN"/>
              </w:rPr>
              <w:t>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参考位置r</w:t>
            </w:r>
            <w:r>
              <w:rPr>
                <w:rFonts w:hint="default" w:ascii="Times New Roman" w:hAnsi="Times New Roman" w:cs="Times New Roman"/>
                <w:color w:val="auto"/>
                <w:highlight w:val="none"/>
                <w:vertAlign w:val="subscript"/>
                <w:lang w:eastAsia="zh-CN"/>
              </w:rPr>
              <w:t>0</w:t>
            </w:r>
            <w:r>
              <w:rPr>
                <w:rFonts w:hint="default" w:ascii="Times New Roman" w:hAnsi="Times New Roman" w:cs="Times New Roman"/>
                <w:color w:val="auto"/>
                <w:highlight w:val="none"/>
                <w:lang w:eastAsia="zh-CN"/>
              </w:rPr>
              <w:t>处的声压级，dB；</w:t>
            </w:r>
          </w:p>
          <w:p w14:paraId="5153E087">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840" w:firstLineChars="35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D</w:t>
            </w:r>
            <w:r>
              <w:rPr>
                <w:rFonts w:hint="default" w:ascii="Times New Roman" w:hAnsi="Times New Roman" w:cs="Times New Roman"/>
                <w:color w:val="auto"/>
                <w:highlight w:val="none"/>
                <w:lang w:val="en-US" w:eastAsia="zh-CN"/>
              </w:rPr>
              <w:t>c--</w:t>
            </w:r>
            <w:r>
              <w:rPr>
                <w:rFonts w:hint="default" w:ascii="Times New Roman" w:hAnsi="Times New Roman" w:cs="Times New Roman"/>
                <w:color w:val="auto"/>
                <w:highlight w:val="none"/>
                <w:lang w:eastAsia="zh-CN"/>
              </w:rPr>
              <w:t>指向性校正，它描述点声源的等效连续声压级与产生声功率级Lw的全向点声源在规定方向的声级的偏差程度，dB；</w:t>
            </w:r>
          </w:p>
          <w:p w14:paraId="30236A3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840" w:firstLineChars="35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A</w:t>
            </w:r>
            <w:r>
              <w:rPr>
                <w:rFonts w:hint="default" w:ascii="Times New Roman" w:hAnsi="Times New Roman" w:cs="Times New Roman"/>
                <w:color w:val="auto"/>
                <w:highlight w:val="none"/>
                <w:vertAlign w:val="subscript"/>
                <w:lang w:eastAsia="zh-CN"/>
              </w:rPr>
              <w:t>div</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几何发散引起的衰减，dB；</w:t>
            </w:r>
          </w:p>
          <w:p w14:paraId="433FD53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840" w:firstLineChars="35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A</w:t>
            </w:r>
            <w:r>
              <w:rPr>
                <w:rFonts w:hint="default" w:ascii="Times New Roman" w:hAnsi="Times New Roman" w:cs="Times New Roman"/>
                <w:color w:val="auto"/>
                <w:highlight w:val="none"/>
                <w:vertAlign w:val="subscript"/>
                <w:lang w:eastAsia="zh-CN"/>
              </w:rPr>
              <w:t>atm</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大气吸收引起的衰减，dB；</w:t>
            </w:r>
          </w:p>
          <w:p w14:paraId="06F9866B">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840" w:firstLineChars="35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A</w:t>
            </w:r>
            <w:r>
              <w:rPr>
                <w:rFonts w:hint="default" w:ascii="Times New Roman" w:hAnsi="Times New Roman" w:cs="Times New Roman"/>
                <w:color w:val="auto"/>
                <w:highlight w:val="none"/>
                <w:vertAlign w:val="subscript"/>
                <w:lang w:eastAsia="zh-CN"/>
              </w:rPr>
              <w:t>gr</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地面效应引起的衰减，dB；</w:t>
            </w:r>
          </w:p>
          <w:p w14:paraId="559A8C7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840" w:firstLineChars="35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A</w:t>
            </w:r>
            <w:r>
              <w:rPr>
                <w:rFonts w:hint="default" w:ascii="Times New Roman" w:hAnsi="Times New Roman" w:cs="Times New Roman"/>
                <w:color w:val="auto"/>
                <w:highlight w:val="none"/>
                <w:vertAlign w:val="subscript"/>
                <w:lang w:eastAsia="zh-CN"/>
              </w:rPr>
              <w:t>bar</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障碍物屏蔽引起的衰减，dB；</w:t>
            </w:r>
          </w:p>
          <w:p w14:paraId="3F33AEF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840" w:firstLineChars="35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A</w:t>
            </w:r>
            <w:r>
              <w:rPr>
                <w:rFonts w:hint="default" w:ascii="Times New Roman" w:hAnsi="Times New Roman" w:cs="Times New Roman"/>
                <w:color w:val="auto"/>
                <w:highlight w:val="none"/>
                <w:vertAlign w:val="subscript"/>
                <w:lang w:eastAsia="zh-CN"/>
              </w:rPr>
              <w:t>misc</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其他多方面效应引起的衰减，dB。</w:t>
            </w:r>
          </w:p>
          <w:p w14:paraId="1FCDF417">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B.无指向性点声源几何发散衰减的基本公式是：</w:t>
            </w:r>
          </w:p>
          <w:p w14:paraId="43B56E9E">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color w:val="auto"/>
                <w:highlight w:val="none"/>
                <w:lang w:eastAsia="zh-CN"/>
              </w:rPr>
            </w:pPr>
            <w:r>
              <w:rPr>
                <w:rFonts w:hint="default" w:ascii="Times New Roman" w:hAnsi="Times New Roman" w:cs="Times New Roman"/>
                <w:bCs/>
                <w:color w:val="auto"/>
                <w:position w:val="-32"/>
                <w:highlight w:val="none"/>
              </w:rPr>
              <w:object>
                <v:shape id="_x0000_i1030" o:spt="75" type="#_x0000_t75" style="height:36.85pt;width:140.6pt;" o:ole="t" filled="f" o:preferrelative="t" stroked="f" coordsize="21600,21600">
                  <v:path/>
                  <v:fill on="f" focussize="0,0"/>
                  <v:stroke on="f"/>
                  <v:imagedata r:id="rId35" o:title=""/>
                  <o:lock v:ext="edit" aspectratio="t"/>
                  <w10:wrap type="none"/>
                  <w10:anchorlock/>
                </v:shape>
                <o:OLEObject Type="Embed" ProgID="Equation.KSEE3" ShapeID="_x0000_i1030" DrawAspect="Content" ObjectID="_1468075730" r:id="rId34">
                  <o:LockedField>false</o:LockedField>
                </o:OLEObject>
              </w:object>
            </w:r>
          </w:p>
          <w:p w14:paraId="442C2DD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式中：L</w:t>
            </w:r>
            <w:r>
              <w:rPr>
                <w:rFonts w:hint="default" w:ascii="Times New Roman" w:hAnsi="Times New Roman" w:cs="Times New Roman"/>
                <w:color w:val="auto"/>
                <w:highlight w:val="none"/>
                <w:vertAlign w:val="subscript"/>
                <w:lang w:eastAsia="zh-CN"/>
              </w:rPr>
              <w:t>p</w:t>
            </w:r>
            <w:r>
              <w:rPr>
                <w:rFonts w:hint="default" w:ascii="Times New Roman" w:hAnsi="Times New Roman" w:cs="Times New Roman"/>
                <w:color w:val="auto"/>
                <w:highlight w:val="none"/>
                <w:lang w:eastAsia="zh-CN"/>
              </w:rPr>
              <w:t>（r）</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预测点处声压级，dB；</w:t>
            </w:r>
          </w:p>
          <w:p w14:paraId="1444F4D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L</w:t>
            </w:r>
            <w:r>
              <w:rPr>
                <w:rFonts w:hint="default" w:ascii="Times New Roman" w:hAnsi="Times New Roman" w:cs="Times New Roman"/>
                <w:color w:val="auto"/>
                <w:highlight w:val="none"/>
                <w:vertAlign w:val="subscript"/>
                <w:lang w:eastAsia="zh-CN"/>
              </w:rPr>
              <w:t>p</w:t>
            </w:r>
            <w:r>
              <w:rPr>
                <w:rFonts w:hint="default" w:ascii="Times New Roman" w:hAnsi="Times New Roman" w:cs="Times New Roman"/>
                <w:color w:val="auto"/>
                <w:highlight w:val="none"/>
                <w:lang w:eastAsia="zh-CN"/>
              </w:rPr>
              <w:t>（r</w:t>
            </w:r>
            <w:r>
              <w:rPr>
                <w:rFonts w:hint="default" w:ascii="Times New Roman" w:hAnsi="Times New Roman" w:cs="Times New Roman"/>
                <w:color w:val="auto"/>
                <w:highlight w:val="none"/>
                <w:vertAlign w:val="subscript"/>
                <w:lang w:eastAsia="zh-CN"/>
              </w:rPr>
              <w:t>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参考位置r</w:t>
            </w:r>
            <w:r>
              <w:rPr>
                <w:rFonts w:hint="default" w:ascii="Times New Roman" w:hAnsi="Times New Roman" w:cs="Times New Roman"/>
                <w:color w:val="auto"/>
                <w:highlight w:val="none"/>
                <w:vertAlign w:val="subscript"/>
                <w:lang w:eastAsia="zh-CN"/>
              </w:rPr>
              <w:t>0</w:t>
            </w:r>
            <w:r>
              <w:rPr>
                <w:rFonts w:hint="default" w:ascii="Times New Roman" w:hAnsi="Times New Roman" w:cs="Times New Roman"/>
                <w:color w:val="auto"/>
                <w:highlight w:val="none"/>
                <w:lang w:eastAsia="zh-CN"/>
              </w:rPr>
              <w:t>处的声压级，dB；</w:t>
            </w:r>
          </w:p>
          <w:p w14:paraId="533ED20A">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r</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预测点距声源的距离；</w:t>
            </w:r>
          </w:p>
          <w:p w14:paraId="0A9E305E">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r</w:t>
            </w:r>
            <w:r>
              <w:rPr>
                <w:rFonts w:hint="default" w:ascii="Times New Roman" w:hAnsi="Times New Roman" w:cs="Times New Roman"/>
                <w:color w:val="auto"/>
                <w:highlight w:val="none"/>
                <w:vertAlign w:val="subscript"/>
                <w:lang w:eastAsia="zh-CN"/>
              </w:rPr>
              <w:t>0</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参考位置距声源的距离。</w:t>
            </w:r>
          </w:p>
          <w:p w14:paraId="7A3DB5A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C.点声源的几何发散衰减</w:t>
            </w:r>
            <w:r>
              <w:rPr>
                <w:rFonts w:hint="default" w:ascii="Times New Roman" w:hAnsi="Times New Roman" w:cs="Times New Roman"/>
                <w:color w:val="auto"/>
                <w:highlight w:val="none"/>
                <w:lang w:eastAsia="zh-CN"/>
              </w:rPr>
              <w:t>Adiv</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计算公式如下：</w:t>
            </w:r>
          </w:p>
          <w:p w14:paraId="528A25DA">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color w:val="auto"/>
                <w:highlight w:val="none"/>
                <w:lang w:eastAsia="zh-CN"/>
              </w:rPr>
            </w:pPr>
            <w:r>
              <w:rPr>
                <w:rFonts w:hint="default" w:ascii="Times New Roman" w:hAnsi="Times New Roman" w:cs="Times New Roman"/>
                <w:bCs/>
                <w:color w:val="auto"/>
                <w:position w:val="-32"/>
                <w:highlight w:val="none"/>
              </w:rPr>
              <w:object>
                <v:shape id="_x0000_i1031" o:spt="75" type="#_x0000_t75" style="height:36.85pt;width:96.7pt;" o:ole="t" filled="f" o:preferrelative="t" stroked="f" coordsize="21600,21600">
                  <v:path/>
                  <v:fill on="f" focussize="0,0"/>
                  <v:stroke on="f"/>
                  <v:imagedata r:id="rId37" o:title=""/>
                  <o:lock v:ext="edit" aspectratio="t"/>
                  <w10:wrap type="none"/>
                  <w10:anchorlock/>
                </v:shape>
                <o:OLEObject Type="Embed" ProgID="Equation.KSEE3" ShapeID="_x0000_i1031" DrawAspect="Content" ObjectID="_1468075731" r:id="rId36">
                  <o:LockedField>false</o:LockedField>
                </o:OLEObject>
              </w:object>
            </w:r>
          </w:p>
          <w:p w14:paraId="0A1F115E">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式中：A</w:t>
            </w:r>
            <w:r>
              <w:rPr>
                <w:rFonts w:hint="default" w:ascii="Times New Roman" w:hAnsi="Times New Roman" w:cs="Times New Roman"/>
                <w:color w:val="auto"/>
                <w:highlight w:val="none"/>
                <w:vertAlign w:val="subscript"/>
                <w:lang w:eastAsia="zh-CN"/>
              </w:rPr>
              <w:t>div</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几何发散引起的衰减，dB；</w:t>
            </w:r>
          </w:p>
          <w:p w14:paraId="2D4BF3E3">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r</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预测点距声源的距离；</w:t>
            </w:r>
          </w:p>
          <w:p w14:paraId="396E034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r</w:t>
            </w:r>
            <w:r>
              <w:rPr>
                <w:rFonts w:hint="default" w:ascii="Times New Roman" w:hAnsi="Times New Roman" w:cs="Times New Roman"/>
                <w:color w:val="auto"/>
                <w:highlight w:val="none"/>
                <w:vertAlign w:val="subscript"/>
                <w:lang w:eastAsia="zh-CN"/>
              </w:rPr>
              <w:t>0</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参考位置距声源的距离。</w:t>
            </w:r>
          </w:p>
          <w:p w14:paraId="3C93BCBA">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w:t>
            </w:r>
            <w:r>
              <w:rPr>
                <w:rFonts w:hint="default" w:ascii="Times New Roman" w:hAnsi="Times New Roman" w:cs="Times New Roman"/>
                <w:color w:val="auto"/>
                <w:highlight w:val="none"/>
                <w:lang w:eastAsia="zh-CN"/>
              </w:rPr>
              <w:t>障碍物屏蔽引起的衰减Abar</w:t>
            </w:r>
          </w:p>
          <w:p w14:paraId="1FB7D661">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位于声源和预测点之间的实体障碍物，如围墙、建筑物、土坡或地堑等起声屏障作用，从而引起声能量的较大衰减。在环境影响评价中，可将各种形式的屏障简化为具有一定高度的薄屏障。</w:t>
            </w:r>
          </w:p>
          <w:p w14:paraId="54AC4CE2">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屏障衰减Abar在单绕射（即薄屏障）情况，衰减最大取20dB；在双绕射（即厚屏障）情况，衰减最大取25dB。</w:t>
            </w:r>
          </w:p>
          <w:p w14:paraId="2BAF354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③噪声</w:t>
            </w:r>
            <w:r>
              <w:rPr>
                <w:rFonts w:hint="default" w:ascii="Times New Roman" w:hAnsi="Times New Roman" w:cs="Times New Roman"/>
                <w:color w:val="auto"/>
                <w:highlight w:val="none"/>
              </w:rPr>
              <w:t>贡献值计算公式如下：</w:t>
            </w:r>
          </w:p>
          <w:p w14:paraId="60A59B34">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bCs/>
                <w:color w:val="auto"/>
                <w:highlight w:val="none"/>
              </w:rPr>
            </w:pPr>
            <w:r>
              <w:rPr>
                <w:rFonts w:hint="default" w:ascii="Times New Roman" w:hAnsi="Times New Roman" w:cs="Times New Roman"/>
                <w:bCs/>
                <w:color w:val="auto"/>
                <w:position w:val="-34"/>
                <w:highlight w:val="none"/>
              </w:rPr>
              <w:object>
                <v:shape id="_x0000_i1032" o:spt="75" type="#_x0000_t75" style="height:48.2pt;width:254.55pt;" o:ole="t" filled="f" o:preferrelative="t" stroked="f" coordsize="21600,21600">
                  <v:path/>
                  <v:fill on="f" focussize="0,0"/>
                  <v:stroke on="f"/>
                  <v:imagedata r:id="rId39" o:title=""/>
                  <o:lock v:ext="edit" aspectratio="t"/>
                  <w10:wrap type="none"/>
                  <w10:anchorlock/>
                </v:shape>
                <o:OLEObject Type="Embed" ProgID="Equation.KSEE3" ShapeID="_x0000_i1032" DrawAspect="Content" ObjectID="_1468075732" r:id="rId38">
                  <o:LockedField>false</o:LockedField>
                </o:OLEObject>
              </w:object>
            </w:r>
          </w:p>
          <w:p w14:paraId="5F794DED">
            <w:pPr>
              <w:pStyle w:val="42"/>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式中：L</w:t>
            </w:r>
            <w:r>
              <w:rPr>
                <w:rFonts w:hint="default" w:ascii="Times New Roman" w:hAnsi="Times New Roman" w:cs="Times New Roman"/>
                <w:color w:val="auto"/>
                <w:highlight w:val="none"/>
                <w:vertAlign w:val="subscript"/>
                <w:lang w:val="en-US" w:eastAsia="zh-CN"/>
              </w:rPr>
              <w:t>eqg</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建设项目声源在预测点产生的</w:t>
            </w:r>
            <w:r>
              <w:rPr>
                <w:rFonts w:hint="default" w:ascii="Times New Roman" w:hAnsi="Times New Roman" w:cs="Times New Roman"/>
                <w:color w:val="auto"/>
                <w:highlight w:val="none"/>
              </w:rPr>
              <w:t>噪声</w:t>
            </w:r>
            <w:r>
              <w:rPr>
                <w:rFonts w:hint="default" w:ascii="Times New Roman" w:hAnsi="Times New Roman" w:cs="Times New Roman"/>
                <w:color w:val="auto"/>
                <w:highlight w:val="none"/>
                <w:lang w:eastAsia="zh-CN"/>
              </w:rPr>
              <w:t>贡献</w:t>
            </w:r>
            <w:r>
              <w:rPr>
                <w:rFonts w:hint="default" w:ascii="Times New Roman" w:hAnsi="Times New Roman" w:cs="Times New Roman"/>
                <w:color w:val="auto"/>
                <w:highlight w:val="none"/>
              </w:rPr>
              <w:t>值，dB；</w:t>
            </w:r>
          </w:p>
          <w:p w14:paraId="7172B3F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用于计算等效声级的时间</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s</w:t>
            </w:r>
            <w:r>
              <w:rPr>
                <w:rFonts w:hint="default" w:ascii="Times New Roman" w:hAnsi="Times New Roman" w:cs="Times New Roman"/>
                <w:color w:val="auto"/>
                <w:highlight w:val="none"/>
              </w:rPr>
              <w:t>；</w:t>
            </w:r>
          </w:p>
          <w:p w14:paraId="0E5CE8C7">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ti</w:t>
            </w:r>
            <w:r>
              <w:rPr>
                <w:rFonts w:hint="default" w:ascii="Times New Roman" w:hAnsi="Times New Roman" w:cs="Times New Roman"/>
                <w:color w:val="auto"/>
                <w:highlight w:val="none"/>
              </w:rPr>
              <w:t>—在</w:t>
            </w:r>
            <w:r>
              <w:rPr>
                <w:rFonts w:hint="default" w:ascii="Times New Roman" w:hAnsi="Times New Roman" w:cs="Times New Roman"/>
                <w:color w:val="auto"/>
                <w:highlight w:val="none"/>
                <w:lang w:val="en-US" w:eastAsia="zh-CN"/>
              </w:rPr>
              <w:t>T时段内</w:t>
            </w:r>
            <w:r>
              <w:rPr>
                <w:rFonts w:hint="default" w:ascii="Times New Roman" w:hAnsi="Times New Roman" w:cs="Times New Roman"/>
                <w:color w:val="auto"/>
                <w:highlight w:val="none"/>
              </w:rPr>
              <w:t>i声源</w:t>
            </w:r>
            <w:r>
              <w:rPr>
                <w:rFonts w:hint="default" w:ascii="Times New Roman" w:hAnsi="Times New Roman" w:cs="Times New Roman"/>
                <w:color w:val="auto"/>
                <w:highlight w:val="none"/>
                <w:lang w:val="en-US" w:eastAsia="zh-CN"/>
              </w:rPr>
              <w:t>工作时间，s</w:t>
            </w:r>
            <w:r>
              <w:rPr>
                <w:rFonts w:hint="default" w:ascii="Times New Roman" w:hAnsi="Times New Roman" w:cs="Times New Roman"/>
                <w:color w:val="auto"/>
                <w:highlight w:val="none"/>
                <w:lang w:eastAsia="zh-CN"/>
              </w:rPr>
              <w:t>；</w:t>
            </w:r>
          </w:p>
          <w:p w14:paraId="3C1C531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lang w:val="en-US" w:eastAsia="zh-CN"/>
              </w:rPr>
              <w:t>A</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—第i个室外声源在预测点产生的</w:t>
            </w:r>
            <w:r>
              <w:rPr>
                <w:rFonts w:hint="default" w:ascii="Times New Roman" w:hAnsi="Times New Roman" w:cs="Times New Roman"/>
                <w:color w:val="auto"/>
                <w:highlight w:val="none"/>
                <w:lang w:eastAsia="zh-CN"/>
              </w:rPr>
              <w:t>等效连续</w:t>
            </w:r>
            <w:r>
              <w:rPr>
                <w:rFonts w:hint="default" w:ascii="Times New Roman" w:hAnsi="Times New Roman" w:cs="Times New Roman"/>
                <w:color w:val="auto"/>
                <w:highlight w:val="none"/>
                <w:lang w:val="en-US" w:eastAsia="zh-CN"/>
              </w:rPr>
              <w:t>A声级</w:t>
            </w:r>
            <w:r>
              <w:rPr>
                <w:rFonts w:hint="default" w:ascii="Times New Roman" w:hAnsi="Times New Roman" w:cs="Times New Roman"/>
                <w:color w:val="auto"/>
                <w:highlight w:val="none"/>
              </w:rPr>
              <w:t>，dB</w:t>
            </w:r>
            <w:r>
              <w:rPr>
                <w:rFonts w:hint="default" w:ascii="Times New Roman" w:hAnsi="Times New Roman" w:cs="Times New Roman"/>
                <w:color w:val="auto"/>
                <w:highlight w:val="none"/>
                <w:lang w:eastAsia="zh-CN"/>
              </w:rPr>
              <w:t>；</w:t>
            </w:r>
          </w:p>
          <w:p w14:paraId="4F0DAC0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t</w:t>
            </w:r>
            <w:r>
              <w:rPr>
                <w:rFonts w:hint="default" w:ascii="Times New Roman" w:hAnsi="Times New Roman" w:cs="Times New Roman"/>
                <w:color w:val="auto"/>
                <w:highlight w:val="none"/>
                <w:vertAlign w:val="subscript"/>
                <w:lang w:val="en-US" w:eastAsia="zh-CN"/>
              </w:rPr>
              <w:t>j</w:t>
            </w:r>
            <w:r>
              <w:rPr>
                <w:rFonts w:hint="default" w:ascii="Times New Roman" w:hAnsi="Times New Roman" w:cs="Times New Roman"/>
                <w:color w:val="auto"/>
                <w:highlight w:val="none"/>
              </w:rPr>
              <w:t>—在</w:t>
            </w:r>
            <w:r>
              <w:rPr>
                <w:rFonts w:hint="default" w:ascii="Times New Roman" w:hAnsi="Times New Roman" w:cs="Times New Roman"/>
                <w:color w:val="auto"/>
                <w:highlight w:val="none"/>
                <w:lang w:val="en-US" w:eastAsia="zh-CN"/>
              </w:rPr>
              <w:t>T时段内j</w:t>
            </w:r>
            <w:r>
              <w:rPr>
                <w:rFonts w:hint="default" w:ascii="Times New Roman" w:hAnsi="Times New Roman" w:cs="Times New Roman"/>
                <w:color w:val="auto"/>
                <w:highlight w:val="none"/>
              </w:rPr>
              <w:t>声源</w:t>
            </w:r>
            <w:r>
              <w:rPr>
                <w:rFonts w:hint="default" w:ascii="Times New Roman" w:hAnsi="Times New Roman" w:cs="Times New Roman"/>
                <w:color w:val="auto"/>
                <w:highlight w:val="none"/>
                <w:lang w:val="en-US" w:eastAsia="zh-CN"/>
              </w:rPr>
              <w:t>工作时间，s</w:t>
            </w:r>
            <w:r>
              <w:rPr>
                <w:rFonts w:hint="default" w:ascii="Times New Roman" w:hAnsi="Times New Roman" w:cs="Times New Roman"/>
                <w:color w:val="auto"/>
                <w:highlight w:val="none"/>
                <w:lang w:eastAsia="zh-CN"/>
              </w:rPr>
              <w:t>；</w:t>
            </w:r>
          </w:p>
          <w:p w14:paraId="561D5A5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1200" w:firstLineChars="5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lang w:val="en-US" w:eastAsia="zh-CN"/>
              </w:rPr>
              <w:t>Aj</w:t>
            </w:r>
            <w:r>
              <w:rPr>
                <w:rFonts w:hint="default" w:ascii="Times New Roman" w:hAnsi="Times New Roman" w:cs="Times New Roman"/>
                <w:color w:val="auto"/>
                <w:highlight w:val="none"/>
              </w:rPr>
              <w:t>—第</w:t>
            </w:r>
            <w:r>
              <w:rPr>
                <w:rFonts w:hint="default" w:ascii="Times New Roman" w:hAnsi="Times New Roman" w:cs="Times New Roman"/>
                <w:color w:val="auto"/>
                <w:highlight w:val="none"/>
                <w:lang w:val="en-US" w:eastAsia="zh-CN"/>
              </w:rPr>
              <w:t>j</w:t>
            </w:r>
            <w:r>
              <w:rPr>
                <w:rFonts w:hint="default" w:ascii="Times New Roman" w:hAnsi="Times New Roman" w:cs="Times New Roman"/>
                <w:color w:val="auto"/>
                <w:highlight w:val="none"/>
              </w:rPr>
              <w:t>个</w:t>
            </w:r>
            <w:r>
              <w:rPr>
                <w:rFonts w:hint="default" w:ascii="Times New Roman" w:hAnsi="Times New Roman" w:cs="Times New Roman"/>
                <w:color w:val="auto"/>
                <w:highlight w:val="none"/>
                <w:lang w:eastAsia="zh-CN"/>
              </w:rPr>
              <w:t>等效</w:t>
            </w:r>
            <w:r>
              <w:rPr>
                <w:rFonts w:hint="default" w:ascii="Times New Roman" w:hAnsi="Times New Roman" w:cs="Times New Roman"/>
                <w:color w:val="auto"/>
                <w:highlight w:val="none"/>
              </w:rPr>
              <w:t>室外声源在预测点产生的</w:t>
            </w:r>
            <w:r>
              <w:rPr>
                <w:rFonts w:hint="default" w:ascii="Times New Roman" w:hAnsi="Times New Roman" w:cs="Times New Roman"/>
                <w:color w:val="auto"/>
                <w:highlight w:val="none"/>
                <w:lang w:eastAsia="zh-CN"/>
              </w:rPr>
              <w:t>等效连续</w:t>
            </w:r>
            <w:r>
              <w:rPr>
                <w:rFonts w:hint="default" w:ascii="Times New Roman" w:hAnsi="Times New Roman" w:cs="Times New Roman"/>
                <w:color w:val="auto"/>
                <w:highlight w:val="none"/>
                <w:lang w:val="en-US" w:eastAsia="zh-CN"/>
              </w:rPr>
              <w:t>A声级</w:t>
            </w:r>
            <w:r>
              <w:rPr>
                <w:rFonts w:hint="default" w:ascii="Times New Roman" w:hAnsi="Times New Roman" w:cs="Times New Roman"/>
                <w:color w:val="auto"/>
                <w:highlight w:val="none"/>
              </w:rPr>
              <w:t>，dB。</w:t>
            </w:r>
          </w:p>
          <w:p w14:paraId="377B8F86">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④噪声预测值</w:t>
            </w:r>
            <w:r>
              <w:rPr>
                <w:rFonts w:hint="default" w:ascii="Times New Roman" w:hAnsi="Times New Roman" w:cs="Times New Roman"/>
                <w:color w:val="auto"/>
                <w:highlight w:val="none"/>
              </w:rPr>
              <w:t>计算公式如下：</w:t>
            </w:r>
          </w:p>
          <w:p w14:paraId="01030E72">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bCs/>
                <w:color w:val="auto"/>
                <w:highlight w:val="none"/>
              </w:rPr>
            </w:pPr>
            <w:r>
              <w:rPr>
                <w:rFonts w:hint="default" w:ascii="Times New Roman" w:hAnsi="Times New Roman" w:cs="Times New Roman"/>
                <w:bCs/>
                <w:color w:val="auto"/>
                <w:position w:val="-10"/>
                <w:highlight w:val="none"/>
              </w:rPr>
              <w:object>
                <v:shape id="_x0000_i1033" o:spt="75" type="#_x0000_t75" style="height:22.7pt;width:178.25pt;" o:ole="t" filled="f" o:preferrelative="t" stroked="f" coordsize="21600,21600">
                  <v:path/>
                  <v:fill on="f" focussize="0,0"/>
                  <v:stroke on="f"/>
                  <v:imagedata r:id="rId41" o:title=""/>
                  <o:lock v:ext="edit" aspectratio="t"/>
                  <w10:wrap type="none"/>
                  <w10:anchorlock/>
                </v:shape>
                <o:OLEObject Type="Embed" ProgID="Equation.KSEE3" ShapeID="_x0000_i1033" DrawAspect="Content" ObjectID="_1468075733" r:id="rId40">
                  <o:LockedField>false</o:LockedField>
                </o:OLEObject>
              </w:object>
            </w:r>
          </w:p>
          <w:p w14:paraId="5CD3CAA4">
            <w:pPr>
              <w:pStyle w:val="42"/>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式中：</w:t>
            </w:r>
            <w:r>
              <w:rPr>
                <w:rFonts w:hint="default" w:ascii="Times New Roman" w:hAnsi="Times New Roman" w:cs="Times New Roman"/>
                <w:color w:val="auto"/>
                <w:highlight w:val="none"/>
                <w:lang w:val="en-US" w:eastAsia="zh-CN"/>
              </w:rPr>
              <w:t>L</w:t>
            </w:r>
            <w:r>
              <w:rPr>
                <w:rFonts w:hint="default" w:ascii="Times New Roman" w:hAnsi="Times New Roman" w:cs="Times New Roman"/>
                <w:color w:val="auto"/>
                <w:highlight w:val="none"/>
                <w:vertAlign w:val="subscript"/>
                <w:lang w:val="en-US" w:eastAsia="zh-CN"/>
              </w:rPr>
              <w:t>eq</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预测点的噪声预测值，</w:t>
            </w:r>
            <w:r>
              <w:rPr>
                <w:rFonts w:hint="default" w:ascii="Times New Roman" w:hAnsi="Times New Roman" w:cs="Times New Roman"/>
                <w:color w:val="auto"/>
                <w:highlight w:val="none"/>
              </w:rPr>
              <w:t>dB</w:t>
            </w:r>
            <w:r>
              <w:rPr>
                <w:rFonts w:hint="default" w:ascii="Times New Roman" w:hAnsi="Times New Roman" w:cs="Times New Roman"/>
                <w:color w:val="auto"/>
                <w:highlight w:val="none"/>
                <w:lang w:eastAsia="zh-CN"/>
              </w:rPr>
              <w:t>；</w:t>
            </w:r>
          </w:p>
          <w:p w14:paraId="5A9B6C5D">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1200" w:firstLineChars="5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lang w:val="en-US" w:eastAsia="zh-CN"/>
              </w:rPr>
              <w:t>eqg</w:t>
            </w:r>
            <w:r>
              <w:rPr>
                <w:rFonts w:hint="default" w:ascii="Times New Roman" w:hAnsi="Times New Roman" w:cs="Times New Roman"/>
                <w:color w:val="auto"/>
                <w:highlight w:val="none"/>
              </w:rPr>
              <w:t>—建设项目声源在预测点</w:t>
            </w:r>
            <w:r>
              <w:rPr>
                <w:rFonts w:hint="default" w:ascii="Times New Roman" w:hAnsi="Times New Roman" w:cs="Times New Roman"/>
                <w:color w:val="auto"/>
                <w:highlight w:val="none"/>
                <w:lang w:eastAsia="zh-CN"/>
              </w:rPr>
              <w:t>产生的噪声</w:t>
            </w:r>
            <w:r>
              <w:rPr>
                <w:rFonts w:hint="default" w:ascii="Times New Roman" w:hAnsi="Times New Roman" w:cs="Times New Roman"/>
                <w:color w:val="auto"/>
                <w:highlight w:val="none"/>
              </w:rPr>
              <w:t>贡献值，dB；</w:t>
            </w:r>
          </w:p>
          <w:p w14:paraId="78867AB7">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1200" w:firstLineChars="5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lang w:val="en-US" w:eastAsia="zh-CN"/>
              </w:rPr>
              <w:t>eqb</w:t>
            </w:r>
            <w:r>
              <w:rPr>
                <w:rFonts w:hint="default" w:ascii="Times New Roman" w:hAnsi="Times New Roman" w:cs="Times New Roman"/>
                <w:color w:val="auto"/>
                <w:highlight w:val="none"/>
              </w:rPr>
              <w:t>—预测点的背景</w:t>
            </w:r>
            <w:r>
              <w:rPr>
                <w:rFonts w:hint="default" w:ascii="Times New Roman" w:hAnsi="Times New Roman" w:cs="Times New Roman"/>
                <w:color w:val="auto"/>
                <w:highlight w:val="none"/>
                <w:lang w:eastAsia="zh-CN"/>
              </w:rPr>
              <w:t>噪声</w:t>
            </w:r>
            <w:r>
              <w:rPr>
                <w:rFonts w:hint="default" w:ascii="Times New Roman" w:hAnsi="Times New Roman" w:cs="Times New Roman"/>
                <w:color w:val="auto"/>
                <w:highlight w:val="none"/>
              </w:rPr>
              <w:t>值，dB。</w:t>
            </w:r>
          </w:p>
          <w:p w14:paraId="149298E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厂界贡献值预测结果</w:t>
            </w:r>
          </w:p>
          <w:p w14:paraId="78B99156">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厂界外50m范围内无声环境保护目标。</w:t>
            </w:r>
            <w:r>
              <w:rPr>
                <w:rFonts w:hint="default" w:ascii="Times New Roman" w:hAnsi="Times New Roman" w:cs="Times New Roman"/>
                <w:color w:val="auto"/>
                <w:highlight w:val="none"/>
                <w:lang w:eastAsia="zh-CN"/>
              </w:rPr>
              <w:t>项目按</w:t>
            </w:r>
            <w:r>
              <w:rPr>
                <w:rFonts w:hint="eastAsia" w:cs="Times New Roman"/>
                <w:color w:val="auto"/>
                <w:highlight w:val="none"/>
                <w:lang w:val="en-US" w:eastAsia="zh-CN"/>
              </w:rPr>
              <w:t>点</w:t>
            </w:r>
            <w:r>
              <w:rPr>
                <w:rFonts w:hint="default" w:ascii="Times New Roman" w:hAnsi="Times New Roman" w:cs="Times New Roman"/>
                <w:color w:val="auto"/>
                <w:highlight w:val="none"/>
                <w:lang w:eastAsia="zh-CN"/>
              </w:rPr>
              <w:t>声源处理，仅考虑</w:t>
            </w:r>
            <w:r>
              <w:rPr>
                <w:rFonts w:hint="default" w:ascii="Times New Roman" w:hAnsi="Times New Roman" w:cs="Times New Roman"/>
                <w:color w:val="auto"/>
                <w:highlight w:val="none"/>
                <w:lang w:val="en-US" w:eastAsia="zh-CN"/>
              </w:rPr>
              <w:t>几何发散衰减和</w:t>
            </w:r>
            <w:r>
              <w:rPr>
                <w:rFonts w:hint="default" w:ascii="Times New Roman" w:hAnsi="Times New Roman" w:cs="Times New Roman"/>
                <w:color w:val="auto"/>
                <w:highlight w:val="none"/>
                <w:lang w:eastAsia="zh-CN"/>
              </w:rPr>
              <w:t>障碍物屏蔽引起的衰减。</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声源对</w:t>
            </w:r>
            <w:r>
              <w:rPr>
                <w:rFonts w:hint="default" w:ascii="Times New Roman" w:hAnsi="Times New Roman" w:cs="Times New Roman"/>
                <w:color w:val="auto"/>
                <w:highlight w:val="none"/>
              </w:rPr>
              <w:t>厂界</w:t>
            </w:r>
            <w:r>
              <w:rPr>
                <w:rFonts w:hint="default" w:ascii="Times New Roman" w:hAnsi="Times New Roman" w:cs="Times New Roman"/>
                <w:color w:val="auto"/>
                <w:highlight w:val="none"/>
                <w:lang w:eastAsia="zh-CN"/>
              </w:rPr>
              <w:t>声环境影响预测结果，见下表</w:t>
            </w:r>
            <w:r>
              <w:rPr>
                <w:rFonts w:hint="default" w:ascii="Times New Roman" w:hAnsi="Times New Roman" w:cs="Times New Roman"/>
                <w:color w:val="auto"/>
                <w:highlight w:val="none"/>
              </w:rPr>
              <w:t>。</w:t>
            </w:r>
          </w:p>
          <w:p w14:paraId="7098F6CE">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17</w:t>
            </w:r>
            <w:r>
              <w:rPr>
                <w:rFonts w:hint="default" w:ascii="Times New Roman" w:hAnsi="Times New Roman" w:cs="Times New Roman"/>
                <w:color w:val="auto"/>
                <w:highlight w:val="none"/>
                <w:lang w:eastAsia="zh-CN"/>
              </w:rPr>
              <w:t>厂界</w:t>
            </w:r>
            <w:r>
              <w:rPr>
                <w:rFonts w:hint="default" w:ascii="Times New Roman" w:hAnsi="Times New Roman" w:cs="Times New Roman"/>
                <w:color w:val="auto"/>
                <w:highlight w:val="none"/>
              </w:rPr>
              <w:t>各预测点声环境影响预测结果</w:t>
            </w:r>
          </w:p>
          <w:tbl>
            <w:tblPr>
              <w:tblStyle w:val="26"/>
              <w:tblW w:w="96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1928"/>
              <w:gridCol w:w="1928"/>
              <w:gridCol w:w="1928"/>
              <w:gridCol w:w="1928"/>
            </w:tblGrid>
            <w:tr w14:paraId="0F147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928" w:type="dxa"/>
                  <w:noWrap w:val="0"/>
                  <w:vAlign w:val="center"/>
                </w:tcPr>
                <w:p w14:paraId="6BADC405">
                  <w:pPr>
                    <w:pStyle w:val="41"/>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color w:val="auto"/>
                      <w:sz w:val="21"/>
                      <w:szCs w:val="21"/>
                      <w:highlight w:val="none"/>
                    </w:rPr>
                  </w:pPr>
                  <w:r>
                    <w:rPr>
                      <w:rFonts w:hint="default"/>
                      <w:color w:val="auto"/>
                      <w:sz w:val="21"/>
                      <w:szCs w:val="21"/>
                      <w:highlight w:val="none"/>
                    </w:rPr>
                    <w:t>序号</w:t>
                  </w:r>
                </w:p>
              </w:tc>
              <w:tc>
                <w:tcPr>
                  <w:tcW w:w="1928" w:type="dxa"/>
                  <w:noWrap w:val="0"/>
                  <w:vAlign w:val="center"/>
                </w:tcPr>
                <w:p w14:paraId="2783AE2F">
                  <w:pPr>
                    <w:pStyle w:val="41"/>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color w:val="auto"/>
                      <w:sz w:val="21"/>
                      <w:szCs w:val="21"/>
                      <w:highlight w:val="none"/>
                    </w:rPr>
                  </w:pPr>
                  <w:r>
                    <w:rPr>
                      <w:rFonts w:hint="default"/>
                      <w:color w:val="auto"/>
                      <w:sz w:val="21"/>
                      <w:szCs w:val="21"/>
                      <w:highlight w:val="none"/>
                    </w:rPr>
                    <w:t>预测点</w:t>
                  </w:r>
                </w:p>
              </w:tc>
              <w:tc>
                <w:tcPr>
                  <w:tcW w:w="1928" w:type="dxa"/>
                  <w:noWrap w:val="0"/>
                  <w:vAlign w:val="center"/>
                </w:tcPr>
                <w:p w14:paraId="518D9736">
                  <w:pPr>
                    <w:pStyle w:val="41"/>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color w:val="auto"/>
                      <w:sz w:val="21"/>
                      <w:szCs w:val="21"/>
                      <w:highlight w:val="none"/>
                    </w:rPr>
                  </w:pPr>
                  <w:r>
                    <w:rPr>
                      <w:rFonts w:hint="default"/>
                      <w:color w:val="auto"/>
                      <w:sz w:val="21"/>
                      <w:szCs w:val="21"/>
                      <w:highlight w:val="none"/>
                    </w:rPr>
                    <w:t>单位</w:t>
                  </w:r>
                </w:p>
              </w:tc>
              <w:tc>
                <w:tcPr>
                  <w:tcW w:w="1928" w:type="dxa"/>
                  <w:noWrap w:val="0"/>
                  <w:vAlign w:val="center"/>
                </w:tcPr>
                <w:p w14:paraId="11DCBE0B">
                  <w:pPr>
                    <w:pStyle w:val="41"/>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eastAsia" w:eastAsia="宋体"/>
                      <w:color w:val="auto"/>
                      <w:sz w:val="21"/>
                      <w:szCs w:val="21"/>
                      <w:highlight w:val="none"/>
                      <w:lang w:eastAsia="zh-CN"/>
                    </w:rPr>
                  </w:pPr>
                  <w:r>
                    <w:rPr>
                      <w:rFonts w:hint="default"/>
                      <w:color w:val="auto"/>
                      <w:sz w:val="21"/>
                      <w:szCs w:val="21"/>
                      <w:highlight w:val="none"/>
                    </w:rPr>
                    <w:t>贡献值</w:t>
                  </w:r>
                  <w:r>
                    <w:rPr>
                      <w:rFonts w:hint="eastAsia"/>
                      <w:color w:val="auto"/>
                      <w:sz w:val="21"/>
                      <w:szCs w:val="21"/>
                      <w:highlight w:val="none"/>
                      <w:lang w:eastAsia="zh-CN"/>
                    </w:rPr>
                    <w:t>（</w:t>
                  </w:r>
                  <w:r>
                    <w:rPr>
                      <w:rFonts w:hint="eastAsia"/>
                      <w:color w:val="auto"/>
                      <w:sz w:val="21"/>
                      <w:szCs w:val="21"/>
                      <w:highlight w:val="none"/>
                      <w:lang w:val="en-US" w:eastAsia="zh-CN"/>
                    </w:rPr>
                    <w:t>昼间</w:t>
                  </w:r>
                  <w:r>
                    <w:rPr>
                      <w:rFonts w:hint="eastAsia"/>
                      <w:color w:val="auto"/>
                      <w:sz w:val="21"/>
                      <w:szCs w:val="21"/>
                      <w:highlight w:val="none"/>
                      <w:lang w:eastAsia="zh-CN"/>
                    </w:rPr>
                    <w:t>）</w:t>
                  </w:r>
                </w:p>
              </w:tc>
              <w:tc>
                <w:tcPr>
                  <w:tcW w:w="1928" w:type="dxa"/>
                  <w:noWrap w:val="0"/>
                  <w:vAlign w:val="center"/>
                </w:tcPr>
                <w:p w14:paraId="15E5F74E">
                  <w:pPr>
                    <w:pStyle w:val="41"/>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eastAsia" w:eastAsia="宋体"/>
                      <w:color w:val="auto"/>
                      <w:sz w:val="21"/>
                      <w:szCs w:val="21"/>
                      <w:highlight w:val="none"/>
                      <w:lang w:eastAsia="zh-CN"/>
                    </w:rPr>
                  </w:pPr>
                  <w:r>
                    <w:rPr>
                      <w:rFonts w:hint="default" w:ascii="Times New Roman" w:hAnsi="Times New Roman" w:eastAsia="宋体" w:cs="Times New Roman"/>
                      <w:color w:val="auto"/>
                      <w:sz w:val="21"/>
                      <w:szCs w:val="21"/>
                      <w:highlight w:val="none"/>
                    </w:rPr>
                    <w:t>贡献值</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夜间</w:t>
                  </w:r>
                  <w:r>
                    <w:rPr>
                      <w:rFonts w:hint="eastAsia" w:ascii="Times New Roman" w:hAnsi="Times New Roman" w:eastAsia="宋体" w:cs="Times New Roman"/>
                      <w:color w:val="auto"/>
                      <w:sz w:val="21"/>
                      <w:szCs w:val="21"/>
                      <w:highlight w:val="none"/>
                      <w:lang w:eastAsia="zh-CN"/>
                    </w:rPr>
                    <w:t>）</w:t>
                  </w:r>
                </w:p>
              </w:tc>
            </w:tr>
            <w:tr w14:paraId="56FF6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8" w:type="dxa"/>
                  <w:noWrap w:val="0"/>
                  <w:vAlign w:val="center"/>
                </w:tcPr>
                <w:p w14:paraId="287ADC28">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1928" w:type="dxa"/>
                  <w:noWrap w:val="0"/>
                  <w:vAlign w:val="center"/>
                </w:tcPr>
                <w:p w14:paraId="05C147B2">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厂界东</w:t>
                  </w:r>
                </w:p>
              </w:tc>
              <w:tc>
                <w:tcPr>
                  <w:tcW w:w="1928" w:type="dxa"/>
                  <w:noWrap w:val="0"/>
                  <w:vAlign w:val="center"/>
                </w:tcPr>
                <w:p w14:paraId="3670EBC1">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dB</w:t>
                  </w:r>
                  <w:r>
                    <w:rPr>
                      <w:rFonts w:hint="eastAsia"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rPr>
                    <w:t>A）</w:t>
                  </w:r>
                </w:p>
              </w:tc>
              <w:tc>
                <w:tcPr>
                  <w:tcW w:w="1928" w:type="dxa"/>
                  <w:noWrap w:val="0"/>
                  <w:vAlign w:val="center"/>
                </w:tcPr>
                <w:p w14:paraId="23E6F5A5">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48.4</w:t>
                  </w:r>
                </w:p>
              </w:tc>
              <w:tc>
                <w:tcPr>
                  <w:tcW w:w="1928" w:type="dxa"/>
                  <w:noWrap w:val="0"/>
                  <w:vAlign w:val="center"/>
                </w:tcPr>
                <w:p w14:paraId="69E44C0B">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leftChars="0" w:right="0" w:rightChars="0" w:firstLine="0" w:firstLineChars="0"/>
                    <w:textAlignment w:val="auto"/>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48.4</w:t>
                  </w:r>
                </w:p>
              </w:tc>
            </w:tr>
            <w:tr w14:paraId="59C67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8" w:type="dxa"/>
                  <w:noWrap w:val="0"/>
                  <w:vAlign w:val="center"/>
                </w:tcPr>
                <w:p w14:paraId="09B2C6A2">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w:t>
                  </w:r>
                </w:p>
              </w:tc>
              <w:tc>
                <w:tcPr>
                  <w:tcW w:w="1928" w:type="dxa"/>
                  <w:noWrap w:val="0"/>
                  <w:vAlign w:val="center"/>
                </w:tcPr>
                <w:p w14:paraId="38323867">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厂界南</w:t>
                  </w:r>
                </w:p>
              </w:tc>
              <w:tc>
                <w:tcPr>
                  <w:tcW w:w="1928" w:type="dxa"/>
                  <w:noWrap w:val="0"/>
                  <w:vAlign w:val="center"/>
                </w:tcPr>
                <w:p w14:paraId="56F53CD7">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dB</w:t>
                  </w:r>
                  <w:r>
                    <w:rPr>
                      <w:rFonts w:hint="eastAsia"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rPr>
                    <w:t>A）</w:t>
                  </w:r>
                </w:p>
              </w:tc>
              <w:tc>
                <w:tcPr>
                  <w:tcW w:w="1928" w:type="dxa"/>
                  <w:noWrap w:val="0"/>
                  <w:vAlign w:val="center"/>
                </w:tcPr>
                <w:p w14:paraId="1261427A">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47.8</w:t>
                  </w:r>
                </w:p>
              </w:tc>
              <w:tc>
                <w:tcPr>
                  <w:tcW w:w="1928" w:type="dxa"/>
                  <w:noWrap w:val="0"/>
                  <w:vAlign w:val="center"/>
                </w:tcPr>
                <w:p w14:paraId="5513EA65">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leftChars="0" w:right="0" w:rightChars="0" w:firstLine="0" w:firstLineChars="0"/>
                    <w:textAlignment w:val="auto"/>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47.8</w:t>
                  </w:r>
                </w:p>
              </w:tc>
            </w:tr>
            <w:tr w14:paraId="53C75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8" w:type="dxa"/>
                  <w:noWrap w:val="0"/>
                  <w:vAlign w:val="center"/>
                </w:tcPr>
                <w:p w14:paraId="5CB5D3FF">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1928" w:type="dxa"/>
                  <w:noWrap w:val="0"/>
                  <w:vAlign w:val="center"/>
                </w:tcPr>
                <w:p w14:paraId="2292A9A7">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厂界西</w:t>
                  </w:r>
                </w:p>
              </w:tc>
              <w:tc>
                <w:tcPr>
                  <w:tcW w:w="1928" w:type="dxa"/>
                  <w:noWrap w:val="0"/>
                  <w:vAlign w:val="center"/>
                </w:tcPr>
                <w:p w14:paraId="0B1EE46F">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dB</w:t>
                  </w:r>
                  <w:r>
                    <w:rPr>
                      <w:rFonts w:hint="eastAsia"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rPr>
                    <w:t>A）</w:t>
                  </w:r>
                </w:p>
              </w:tc>
              <w:tc>
                <w:tcPr>
                  <w:tcW w:w="1928" w:type="dxa"/>
                  <w:noWrap w:val="0"/>
                  <w:vAlign w:val="center"/>
                </w:tcPr>
                <w:p w14:paraId="52D190DF">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54.9</w:t>
                  </w:r>
                </w:p>
              </w:tc>
              <w:tc>
                <w:tcPr>
                  <w:tcW w:w="1928" w:type="dxa"/>
                  <w:noWrap w:val="0"/>
                  <w:vAlign w:val="center"/>
                </w:tcPr>
                <w:p w14:paraId="1D92084C">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leftChars="0" w:right="0" w:rightChars="0" w:firstLine="0" w:firstLineChars="0"/>
                    <w:textAlignment w:val="auto"/>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54.9</w:t>
                  </w:r>
                </w:p>
              </w:tc>
            </w:tr>
            <w:tr w14:paraId="60CB9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8" w:type="dxa"/>
                  <w:noWrap w:val="0"/>
                  <w:vAlign w:val="center"/>
                </w:tcPr>
                <w:p w14:paraId="440EA446">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w:t>
                  </w:r>
                </w:p>
              </w:tc>
              <w:tc>
                <w:tcPr>
                  <w:tcW w:w="1928" w:type="dxa"/>
                  <w:noWrap w:val="0"/>
                  <w:vAlign w:val="center"/>
                </w:tcPr>
                <w:p w14:paraId="280EB8F1">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厂界北</w:t>
                  </w:r>
                </w:p>
              </w:tc>
              <w:tc>
                <w:tcPr>
                  <w:tcW w:w="1928" w:type="dxa"/>
                  <w:noWrap w:val="0"/>
                  <w:vAlign w:val="center"/>
                </w:tcPr>
                <w:p w14:paraId="55250D19">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dB</w:t>
                  </w:r>
                  <w:r>
                    <w:rPr>
                      <w:rFonts w:hint="eastAsia"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rPr>
                    <w:t>A）</w:t>
                  </w:r>
                </w:p>
              </w:tc>
              <w:tc>
                <w:tcPr>
                  <w:tcW w:w="1928" w:type="dxa"/>
                  <w:noWrap w:val="0"/>
                  <w:vAlign w:val="center"/>
                </w:tcPr>
                <w:p w14:paraId="789AAF31">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47.1</w:t>
                  </w:r>
                </w:p>
              </w:tc>
              <w:tc>
                <w:tcPr>
                  <w:tcW w:w="1928" w:type="dxa"/>
                  <w:noWrap w:val="0"/>
                  <w:vAlign w:val="center"/>
                </w:tcPr>
                <w:p w14:paraId="12CF6730">
                  <w:pPr>
                    <w:pStyle w:val="38"/>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0" w:leftChars="0" w:right="0" w:rightChars="0" w:firstLine="0" w:firstLineChars="0"/>
                    <w:textAlignment w:val="auto"/>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47.1</w:t>
                  </w:r>
                </w:p>
              </w:tc>
            </w:tr>
          </w:tbl>
          <w:p w14:paraId="07C0961E">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由</w:t>
            </w:r>
            <w:r>
              <w:rPr>
                <w:rFonts w:hint="default" w:ascii="Times New Roman" w:hAnsi="Times New Roman" w:cs="Times New Roman"/>
                <w:color w:val="auto"/>
                <w:highlight w:val="none"/>
              </w:rPr>
              <w:t>上表可知，项目通过采取</w:t>
            </w:r>
            <w:r>
              <w:rPr>
                <w:rFonts w:hint="default" w:ascii="Times New Roman" w:hAnsi="Times New Roman" w:cs="Times New Roman"/>
                <w:color w:val="auto"/>
                <w:highlight w:val="none"/>
                <w:lang w:eastAsia="zh-CN"/>
              </w:rPr>
              <w:t>选用低噪设备、厂房隔声、基础减振</w:t>
            </w:r>
            <w:r>
              <w:rPr>
                <w:rFonts w:hint="default" w:ascii="Times New Roman" w:hAnsi="Times New Roman" w:cs="Times New Roman"/>
                <w:color w:val="auto"/>
                <w:highlight w:val="none"/>
              </w:rPr>
              <w:t>等降噪措施，厂界</w:t>
            </w:r>
            <w:r>
              <w:rPr>
                <w:rFonts w:hint="default" w:ascii="Times New Roman" w:hAnsi="Times New Roman" w:cs="Times New Roman"/>
                <w:color w:val="auto"/>
                <w:highlight w:val="none"/>
                <w:lang w:val="en-US" w:eastAsia="zh-CN"/>
              </w:rPr>
              <w:t>各预测点噪声贡献值</w:t>
            </w:r>
            <w:r>
              <w:rPr>
                <w:rFonts w:hint="default" w:ascii="Times New Roman" w:hAnsi="Times New Roman" w:cs="Times New Roman"/>
                <w:color w:val="auto"/>
                <w:highlight w:val="none"/>
              </w:rPr>
              <w:t>均满足《工业企业厂界环境噪声排放标准》（GB12348-2008）中</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类标准，即昼间6</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dB（A），</w:t>
            </w:r>
            <w:r>
              <w:rPr>
                <w:rFonts w:hint="eastAsia" w:cs="Times New Roman"/>
                <w:color w:val="auto"/>
                <w:highlight w:val="none"/>
                <w:lang w:val="en-US" w:eastAsia="zh-CN"/>
              </w:rPr>
              <w:t>夜间55</w:t>
            </w:r>
            <w:r>
              <w:rPr>
                <w:rFonts w:hint="default" w:ascii="Times New Roman" w:hAnsi="Times New Roman" w:cs="Times New Roman"/>
                <w:color w:val="auto"/>
                <w:highlight w:val="none"/>
              </w:rPr>
              <w:t>dB（A）对周围环境影响较小。</w:t>
            </w:r>
          </w:p>
          <w:p w14:paraId="673B4B6A">
            <w:pPr>
              <w:pStyle w:val="44"/>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2、噪声监测计划</w:t>
            </w:r>
          </w:p>
          <w:p w14:paraId="54948618">
            <w:pPr>
              <w:pStyle w:val="42"/>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eastAsia="zh-CN"/>
              </w:rPr>
              <w:t>根据</w:t>
            </w:r>
            <w:r>
              <w:rPr>
                <w:rFonts w:hint="eastAsia" w:cs="Times New Roman"/>
                <w:b w:val="0"/>
                <w:bCs w:val="0"/>
                <w:color w:val="auto"/>
                <w:highlight w:val="none"/>
                <w:lang w:val="en-US" w:eastAsia="zh-CN"/>
              </w:rPr>
              <w:t>《排污单位自行监测技术指南总则》（HJ819-2017）</w:t>
            </w:r>
            <w:r>
              <w:rPr>
                <w:rFonts w:hint="eastAsia"/>
                <w:color w:val="auto"/>
                <w:highlight w:val="none"/>
                <w:lang w:val="en-US" w:eastAsia="zh-CN"/>
              </w:rPr>
              <w:t>中</w:t>
            </w:r>
            <w:r>
              <w:rPr>
                <w:rFonts w:hint="default"/>
                <w:color w:val="auto"/>
                <w:highlight w:val="none"/>
                <w:lang w:eastAsia="zh-CN"/>
              </w:rPr>
              <w:t>要求</w:t>
            </w:r>
            <w:r>
              <w:rPr>
                <w:rFonts w:hint="default"/>
                <w:color w:val="auto"/>
                <w:highlight w:val="none"/>
              </w:rPr>
              <w:t>，排污单位应开展</w:t>
            </w:r>
            <w:r>
              <w:rPr>
                <w:rFonts w:hint="default"/>
                <w:color w:val="auto"/>
                <w:highlight w:val="none"/>
                <w:lang w:val="en-US" w:eastAsia="zh-CN"/>
              </w:rPr>
              <w:t>噪声</w:t>
            </w:r>
            <w:r>
              <w:rPr>
                <w:rFonts w:hint="default"/>
                <w:color w:val="auto"/>
                <w:highlight w:val="none"/>
              </w:rPr>
              <w:t>监测活动。噪声监测计划，见下表。</w:t>
            </w:r>
          </w:p>
          <w:p w14:paraId="384845E2">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18</w:t>
            </w:r>
            <w:r>
              <w:rPr>
                <w:rFonts w:hint="default" w:ascii="Times New Roman" w:hAnsi="Times New Roman" w:cs="Times New Roman"/>
                <w:color w:val="auto"/>
                <w:highlight w:val="none"/>
              </w:rPr>
              <w:t>噪声监测计划</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1668"/>
              <w:gridCol w:w="2311"/>
              <w:gridCol w:w="2311"/>
              <w:gridCol w:w="2245"/>
            </w:tblGrid>
            <w:tr w14:paraId="59E60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noWrap w:val="0"/>
                  <w:vAlign w:val="center"/>
                </w:tcPr>
                <w:p w14:paraId="72A448E1">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838" w:type="pct"/>
                  <w:noWrap w:val="0"/>
                  <w:vAlign w:val="center"/>
                </w:tcPr>
                <w:p w14:paraId="072207D5">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1161" w:type="pct"/>
                  <w:noWrap w:val="0"/>
                  <w:vAlign w:val="center"/>
                </w:tcPr>
                <w:p w14:paraId="122A42DB">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1161" w:type="pct"/>
                  <w:noWrap w:val="0"/>
                  <w:vAlign w:val="center"/>
                </w:tcPr>
                <w:p w14:paraId="2309575A">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监测项目</w:t>
                  </w:r>
                </w:p>
              </w:tc>
              <w:tc>
                <w:tcPr>
                  <w:tcW w:w="1128" w:type="pct"/>
                  <w:noWrap w:val="0"/>
                  <w:vAlign w:val="center"/>
                </w:tcPr>
                <w:p w14:paraId="4FF05F94">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监测频率</w:t>
                  </w:r>
                </w:p>
              </w:tc>
            </w:tr>
            <w:tr w14:paraId="69D22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noWrap w:val="0"/>
                  <w:vAlign w:val="center"/>
                </w:tcPr>
                <w:p w14:paraId="6AA3A5BA">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w:t>
                  </w:r>
                </w:p>
              </w:tc>
              <w:tc>
                <w:tcPr>
                  <w:tcW w:w="838" w:type="pct"/>
                  <w:noWrap w:val="0"/>
                  <w:vAlign w:val="center"/>
                </w:tcPr>
                <w:p w14:paraId="0694BC3A">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噪声</w:t>
                  </w:r>
                </w:p>
              </w:tc>
              <w:tc>
                <w:tcPr>
                  <w:tcW w:w="1161" w:type="pct"/>
                  <w:noWrap w:val="0"/>
                  <w:vAlign w:val="center"/>
                </w:tcPr>
                <w:p w14:paraId="2D9309A8">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厂界外1m</w:t>
                  </w:r>
                </w:p>
              </w:tc>
              <w:tc>
                <w:tcPr>
                  <w:tcW w:w="1161" w:type="pct"/>
                  <w:noWrap w:val="0"/>
                  <w:vAlign w:val="center"/>
                </w:tcPr>
                <w:p w14:paraId="19104EAE">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等效A声级</w:t>
                  </w:r>
                </w:p>
              </w:tc>
              <w:tc>
                <w:tcPr>
                  <w:tcW w:w="1128" w:type="pct"/>
                  <w:noWrap w:val="0"/>
                  <w:vAlign w:val="center"/>
                </w:tcPr>
                <w:p w14:paraId="49E15B8E">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1次/季</w:t>
                  </w:r>
                </w:p>
              </w:tc>
            </w:tr>
          </w:tbl>
          <w:p w14:paraId="49950A27">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四、固体废物</w:t>
            </w:r>
          </w:p>
          <w:p w14:paraId="1EE8C6D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运营期</w:t>
            </w:r>
            <w:r>
              <w:rPr>
                <w:rFonts w:hint="eastAsia" w:cs="Times New Roman"/>
                <w:color w:val="auto"/>
                <w:highlight w:val="none"/>
                <w:lang w:val="en-US" w:eastAsia="zh-CN"/>
              </w:rPr>
              <w:t>本项目</w:t>
            </w:r>
            <w:r>
              <w:rPr>
                <w:rFonts w:hint="default" w:ascii="Times New Roman" w:hAnsi="Times New Roman" w:cs="Times New Roman"/>
                <w:color w:val="auto"/>
                <w:highlight w:val="none"/>
                <w:lang w:val="en-US" w:eastAsia="zh-CN"/>
              </w:rPr>
              <w:t>产生的固废为一般固废、生活垃圾和危险废物。</w:t>
            </w:r>
          </w:p>
          <w:p w14:paraId="3B6AEFFC">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）生活垃圾</w:t>
            </w:r>
          </w:p>
          <w:p w14:paraId="463196C8">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生活垃圾主要来自员工办公</w:t>
            </w:r>
            <w:r>
              <w:rPr>
                <w:rFonts w:hint="default"/>
                <w:color w:val="auto"/>
                <w:highlight w:val="none"/>
              </w:rPr>
              <w:t>。项目</w:t>
            </w:r>
            <w:r>
              <w:rPr>
                <w:rFonts w:hint="default"/>
                <w:color w:val="auto"/>
                <w:highlight w:val="none"/>
                <w:lang w:eastAsia="zh-CN"/>
              </w:rPr>
              <w:t>劳动</w:t>
            </w:r>
            <w:r>
              <w:rPr>
                <w:rFonts w:hint="default"/>
                <w:color w:val="auto"/>
                <w:highlight w:val="none"/>
              </w:rPr>
              <w:t>定员为</w:t>
            </w:r>
            <w:r>
              <w:rPr>
                <w:rFonts w:hint="eastAsia"/>
                <w:color w:val="auto"/>
                <w:highlight w:val="none"/>
                <w:lang w:val="en-US" w:eastAsia="zh-CN"/>
              </w:rPr>
              <w:t>100</w:t>
            </w:r>
            <w:r>
              <w:rPr>
                <w:rFonts w:hint="default"/>
                <w:color w:val="auto"/>
                <w:highlight w:val="none"/>
              </w:rPr>
              <w:t>人</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垃圾产生量为</w:t>
            </w:r>
            <w:r>
              <w:rPr>
                <w:rFonts w:hint="default" w:ascii="Times New Roman" w:hAnsi="Times New Roman" w:cs="Times New Roman"/>
                <w:color w:val="auto"/>
                <w:highlight w:val="none"/>
                <w:lang w:val="en-US" w:eastAsia="zh-CN"/>
              </w:rPr>
              <w:t>0.5</w:t>
            </w:r>
            <w:r>
              <w:rPr>
                <w:rFonts w:hint="eastAsia" w:cs="Times New Roman"/>
                <w:color w:val="auto"/>
                <w:highlight w:val="none"/>
                <w:lang w:eastAsia="zh-CN"/>
              </w:rPr>
              <w:t>kg</w:t>
            </w:r>
            <w:r>
              <w:rPr>
                <w:rFonts w:hint="default" w:ascii="Times New Roman" w:hAnsi="Times New Roman" w:cs="Times New Roman"/>
                <w:color w:val="auto"/>
                <w:highlight w:val="none"/>
              </w:rPr>
              <w:t>/人·d，则产生量为</w:t>
            </w:r>
            <w:r>
              <w:rPr>
                <w:rFonts w:hint="eastAsia" w:cs="Times New Roman"/>
                <w:color w:val="auto"/>
                <w:highlight w:val="none"/>
                <w:lang w:val="en-US" w:eastAsia="zh-CN"/>
              </w:rPr>
              <w:t>15</w:t>
            </w:r>
            <w:r>
              <w:rPr>
                <w:rFonts w:hint="default" w:ascii="Times New Roman" w:hAnsi="Times New Roman" w:cs="Times New Roman"/>
                <w:color w:val="auto"/>
                <w:highlight w:val="none"/>
              </w:rPr>
              <w:t>t/a，分类收集后交由当地环卫部门</w:t>
            </w:r>
            <w:r>
              <w:rPr>
                <w:rFonts w:hint="default" w:ascii="Times New Roman" w:hAnsi="Times New Roman" w:cs="Times New Roman"/>
                <w:color w:val="auto"/>
                <w:highlight w:val="none"/>
                <w:lang w:eastAsia="zh-CN"/>
              </w:rPr>
              <w:t>统一清运</w:t>
            </w:r>
            <w:r>
              <w:rPr>
                <w:rFonts w:hint="default" w:ascii="Times New Roman" w:hAnsi="Times New Roman" w:cs="Times New Roman"/>
                <w:color w:val="auto"/>
                <w:highlight w:val="none"/>
              </w:rPr>
              <w:t>处理</w:t>
            </w:r>
            <w:r>
              <w:rPr>
                <w:rFonts w:hint="default" w:ascii="Times New Roman" w:hAnsi="Times New Roman" w:cs="Times New Roman"/>
                <w:color w:val="auto"/>
                <w:highlight w:val="none"/>
                <w:lang w:eastAsia="zh-CN"/>
              </w:rPr>
              <w:t>。</w:t>
            </w:r>
          </w:p>
          <w:p w14:paraId="51E4776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一般固废</w:t>
            </w:r>
          </w:p>
          <w:p w14:paraId="199CFC76">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一般固废包括</w:t>
            </w:r>
            <w:r>
              <w:rPr>
                <w:rFonts w:hint="eastAsia" w:ascii="Times New Roman" w:hAnsi="Times New Roman" w:eastAsia="宋体" w:cs="Times New Roman"/>
                <w:color w:val="auto"/>
                <w:highlight w:val="none"/>
                <w:lang w:val="en-US" w:eastAsia="zh-CN"/>
              </w:rPr>
              <w:t>废丝、废布料、废包装材料</w:t>
            </w:r>
            <w:r>
              <w:rPr>
                <w:rFonts w:hint="eastAsia" w:cs="Times New Roman"/>
                <w:color w:val="auto"/>
                <w:highlight w:val="none"/>
                <w:lang w:val="en-US" w:eastAsia="zh-CN"/>
              </w:rPr>
              <w:t>、污水处理站生化污泥</w:t>
            </w:r>
            <w:r>
              <w:rPr>
                <w:rFonts w:hint="eastAsia" w:ascii="Times New Roman" w:hAnsi="Times New Roman" w:eastAsia="宋体" w:cs="Times New Roman"/>
                <w:color w:val="auto"/>
                <w:highlight w:val="none"/>
                <w:lang w:val="en-US" w:eastAsia="zh-CN"/>
              </w:rPr>
              <w:t>等。</w:t>
            </w:r>
          </w:p>
          <w:p w14:paraId="6C2C1B2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①废</w:t>
            </w:r>
            <w:r>
              <w:rPr>
                <w:rFonts w:hint="eastAsia" w:ascii="Times New Roman" w:hAnsi="Times New Roman" w:eastAsia="宋体" w:cs="Times New Roman"/>
                <w:color w:val="auto"/>
                <w:highlight w:val="none"/>
                <w:lang w:val="en-US" w:eastAsia="zh-CN"/>
              </w:rPr>
              <w:t>丝</w:t>
            </w:r>
          </w:p>
          <w:p w14:paraId="562040EC">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en-US"/>
              </w:rPr>
              <w:t>本项目生产过程中会有废丝产生，约为原材料的</w:t>
            </w:r>
            <w:r>
              <w:rPr>
                <w:rFonts w:hint="eastAsia" w:ascii="Times New Roman" w:hAnsi="Times New Roman" w:eastAsia="宋体" w:cs="Times New Roman"/>
                <w:color w:val="auto"/>
                <w:highlight w:val="none"/>
                <w:lang w:val="en-US" w:eastAsia="zh-CN"/>
              </w:rPr>
              <w:t>0.5</w:t>
            </w:r>
            <w:r>
              <w:rPr>
                <w:rFonts w:hint="eastAsia" w:ascii="Times New Roman" w:hAnsi="Times New Roman" w:eastAsia="宋体" w:cs="Times New Roman"/>
                <w:color w:val="auto"/>
                <w:highlight w:val="none"/>
                <w:lang w:val="en-US" w:eastAsia="en-US"/>
              </w:rPr>
              <w:t>%，本项目年使用POY预取向丝</w:t>
            </w:r>
            <w:r>
              <w:rPr>
                <w:rFonts w:hint="eastAsia" w:ascii="Times New Roman" w:hAnsi="Times New Roman" w:eastAsia="宋体" w:cs="Times New Roman"/>
                <w:color w:val="auto"/>
                <w:highlight w:val="none"/>
                <w:lang w:val="en-US" w:eastAsia="zh-CN"/>
              </w:rPr>
              <w:t>120</w:t>
            </w:r>
            <w:r>
              <w:rPr>
                <w:rFonts w:hint="eastAsia" w:ascii="Times New Roman" w:hAnsi="Times New Roman" w:eastAsia="宋体" w:cs="Times New Roman"/>
                <w:color w:val="auto"/>
                <w:highlight w:val="none"/>
                <w:lang w:val="en-US" w:eastAsia="en-US"/>
              </w:rPr>
              <w:t>00t/a，则废丝年产生量约6</w:t>
            </w:r>
            <w:r>
              <w:rPr>
                <w:rFonts w:hint="eastAsia"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val="en-US" w:eastAsia="en-US"/>
              </w:rPr>
              <w:t>t/a，</w:t>
            </w:r>
            <w:r>
              <w:rPr>
                <w:rFonts w:hint="default" w:ascii="Times New Roman" w:hAnsi="Times New Roman" w:eastAsia="宋体" w:cs="Times New Roman"/>
                <w:color w:val="auto"/>
                <w:highlight w:val="none"/>
                <w:lang w:eastAsia="zh-CN"/>
              </w:rPr>
              <w:t>集中收集后外售。根据</w:t>
            </w:r>
            <w:r>
              <w:rPr>
                <w:rFonts w:hint="eastAsia" w:ascii="Times New Roman" w:hAnsi="Times New Roman" w:eastAsia="宋体" w:cs="Times New Roman"/>
                <w:color w:val="auto"/>
                <w:highlight w:val="none"/>
                <w:lang w:eastAsia="zh-CN"/>
              </w:rPr>
              <w:t>《固体废物分类与代码目录》（生态环境部公告2024年第4号）</w:t>
            </w:r>
            <w:r>
              <w:rPr>
                <w:rFonts w:hint="default" w:ascii="Times New Roman" w:hAnsi="Times New Roman" w:eastAsia="宋体" w:cs="Times New Roman"/>
                <w:color w:val="auto"/>
                <w:highlight w:val="none"/>
                <w:lang w:eastAsia="zh-CN"/>
              </w:rPr>
              <w:t>，该一般固体废物类别代码为</w:t>
            </w:r>
            <w:r>
              <w:rPr>
                <w:rFonts w:hint="eastAsia" w:ascii="Times New Roman" w:hAnsi="Times New Roman" w:eastAsia="宋体" w:cs="Times New Roman"/>
                <w:color w:val="auto"/>
                <w:highlight w:val="none"/>
                <w:lang w:val="en-US" w:eastAsia="zh-CN"/>
              </w:rPr>
              <w:t>SW14</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纺织皮革业废物</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，分类代码为</w:t>
            </w:r>
            <w:r>
              <w:rPr>
                <w:rFonts w:hint="eastAsia" w:ascii="Times New Roman" w:hAnsi="Times New Roman" w:eastAsia="宋体" w:cs="Times New Roman"/>
                <w:color w:val="auto"/>
                <w:highlight w:val="none"/>
                <w:lang w:val="en-US" w:eastAsia="zh-CN"/>
              </w:rPr>
              <w:t>181</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001</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S14</w:t>
            </w:r>
            <w:r>
              <w:rPr>
                <w:rFonts w:hint="default" w:ascii="Times New Roman" w:hAnsi="Times New Roman" w:eastAsia="宋体" w:cs="Times New Roman"/>
                <w:color w:val="auto"/>
                <w:highlight w:val="none"/>
                <w:lang w:eastAsia="zh-CN"/>
              </w:rPr>
              <w:t>。</w:t>
            </w:r>
          </w:p>
          <w:p w14:paraId="6B137D9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②</w:t>
            </w:r>
            <w:r>
              <w:rPr>
                <w:rFonts w:hint="eastAsia" w:ascii="Times New Roman" w:hAnsi="Times New Roman" w:eastAsia="宋体" w:cs="Times New Roman"/>
                <w:color w:val="auto"/>
                <w:highlight w:val="none"/>
                <w:lang w:val="en-US" w:eastAsia="zh-CN"/>
              </w:rPr>
              <w:t>废布料</w:t>
            </w:r>
          </w:p>
          <w:p w14:paraId="27E1C26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en-US"/>
              </w:rPr>
              <w:t>项目裁剪工序产生废布，据企业设计资料，本项目废</w:t>
            </w:r>
            <w:r>
              <w:rPr>
                <w:rFonts w:hint="eastAsia" w:cs="Times New Roman"/>
                <w:color w:val="auto"/>
                <w:highlight w:val="none"/>
                <w:lang w:val="en-US" w:eastAsia="zh-CN"/>
              </w:rPr>
              <w:t>布料</w:t>
            </w:r>
            <w:r>
              <w:rPr>
                <w:rFonts w:hint="eastAsia" w:ascii="Times New Roman" w:hAnsi="Times New Roman" w:eastAsia="宋体" w:cs="Times New Roman"/>
                <w:color w:val="auto"/>
                <w:highlight w:val="none"/>
                <w:lang w:val="en-US" w:eastAsia="en-US"/>
              </w:rPr>
              <w:t>年产生量约为5t/a，</w:t>
            </w:r>
            <w:r>
              <w:rPr>
                <w:rFonts w:hint="default" w:ascii="Times New Roman" w:hAnsi="Times New Roman" w:eastAsia="宋体" w:cs="Times New Roman"/>
                <w:color w:val="auto"/>
                <w:highlight w:val="none"/>
                <w:lang w:eastAsia="zh-CN"/>
              </w:rPr>
              <w:t>集中收集后外售</w:t>
            </w:r>
            <w:r>
              <w:rPr>
                <w:rFonts w:hint="eastAsia" w:ascii="Times New Roman" w:hAnsi="Times New Roman" w:eastAsia="宋体" w:cs="Times New Roman"/>
                <w:color w:val="auto"/>
                <w:highlight w:val="none"/>
                <w:lang w:val="en-US" w:eastAsia="en-US"/>
              </w:rPr>
              <w:t>物资公司回收利用</w:t>
            </w:r>
            <w:r>
              <w:rPr>
                <w:rFonts w:hint="default" w:ascii="Times New Roman" w:hAnsi="Times New Roman" w:eastAsia="宋体" w:cs="Times New Roman"/>
                <w:color w:val="auto"/>
                <w:highlight w:val="none"/>
                <w:lang w:eastAsia="zh-CN"/>
              </w:rPr>
              <w:t>。根据</w:t>
            </w:r>
            <w:r>
              <w:rPr>
                <w:rFonts w:hint="eastAsia" w:ascii="Times New Roman" w:hAnsi="Times New Roman" w:eastAsia="宋体" w:cs="Times New Roman"/>
                <w:color w:val="auto"/>
                <w:highlight w:val="none"/>
                <w:lang w:eastAsia="zh-CN"/>
              </w:rPr>
              <w:t>《固体废物分类与代码目录》（生态环境部公告2024年第4号）</w:t>
            </w:r>
            <w:r>
              <w:rPr>
                <w:rFonts w:hint="default" w:ascii="Times New Roman" w:hAnsi="Times New Roman" w:eastAsia="宋体" w:cs="Times New Roman"/>
                <w:color w:val="auto"/>
                <w:highlight w:val="none"/>
                <w:lang w:eastAsia="zh-CN"/>
              </w:rPr>
              <w:t>，该一般固体废物类别代码为</w:t>
            </w:r>
            <w:r>
              <w:rPr>
                <w:rFonts w:hint="eastAsia" w:ascii="Times New Roman" w:hAnsi="Times New Roman" w:eastAsia="宋体" w:cs="Times New Roman"/>
                <w:color w:val="auto"/>
                <w:highlight w:val="none"/>
                <w:lang w:val="en-US" w:eastAsia="zh-CN"/>
              </w:rPr>
              <w:t>SW17</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可再生类废物</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，分类代码为900-</w:t>
            </w:r>
            <w:r>
              <w:rPr>
                <w:rFonts w:hint="eastAsia" w:ascii="Times New Roman" w:hAnsi="Times New Roman" w:eastAsia="宋体" w:cs="Times New Roman"/>
                <w:color w:val="auto"/>
                <w:highlight w:val="none"/>
                <w:lang w:val="en-US" w:eastAsia="zh-CN"/>
              </w:rPr>
              <w:t>007</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S17</w:t>
            </w:r>
            <w:r>
              <w:rPr>
                <w:rFonts w:hint="default" w:ascii="Times New Roman" w:hAnsi="Times New Roman" w:eastAsia="宋体" w:cs="Times New Roman"/>
                <w:color w:val="auto"/>
                <w:highlight w:val="none"/>
                <w:lang w:eastAsia="zh-CN"/>
              </w:rPr>
              <w:t>。</w:t>
            </w:r>
          </w:p>
          <w:p w14:paraId="152EE86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③废包装材料</w:t>
            </w:r>
          </w:p>
          <w:p w14:paraId="0220559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en-US"/>
              </w:rPr>
              <w:t>生产过程中会有废POY包装袋、废纸板纸箱等一般废包装物产生，根据建设单位提供资料，本项目一般废包装物产生量约120t/a。</w:t>
            </w:r>
            <w:r>
              <w:rPr>
                <w:rFonts w:hint="default" w:ascii="Times New Roman" w:hAnsi="Times New Roman" w:eastAsia="宋体" w:cs="Times New Roman"/>
                <w:color w:val="auto"/>
                <w:highlight w:val="none"/>
                <w:lang w:val="en-US" w:eastAsia="zh-CN"/>
              </w:rPr>
              <w:t>根据</w:t>
            </w:r>
            <w:r>
              <w:rPr>
                <w:rFonts w:hint="eastAsia" w:ascii="Times New Roman" w:hAnsi="Times New Roman" w:eastAsia="宋体" w:cs="Times New Roman"/>
                <w:color w:val="auto"/>
                <w:highlight w:val="none"/>
                <w:lang w:val="en-US" w:eastAsia="zh-CN"/>
              </w:rPr>
              <w:t>《固体废物分类与代码目录》（生态环境部公告2024年第4号）</w:t>
            </w:r>
            <w:r>
              <w:rPr>
                <w:rFonts w:hint="default" w:ascii="Times New Roman" w:hAnsi="Times New Roman" w:eastAsia="宋体" w:cs="Times New Roman"/>
                <w:color w:val="auto"/>
                <w:highlight w:val="none"/>
                <w:lang w:val="en-US" w:eastAsia="zh-CN"/>
              </w:rPr>
              <w:t>，该一般固体废物类别代码为SW59（其他工业固体废物），分类代码为900-099-S59。</w:t>
            </w:r>
            <w:r>
              <w:rPr>
                <w:rFonts w:hint="eastAsia" w:ascii="Times New Roman" w:hAnsi="Times New Roman" w:eastAsia="宋体" w:cs="Times New Roman"/>
                <w:color w:val="auto"/>
                <w:highlight w:val="none"/>
                <w:lang w:val="en-US" w:eastAsia="zh-CN"/>
              </w:rPr>
              <w:t>收</w:t>
            </w:r>
            <w:r>
              <w:rPr>
                <w:rFonts w:hint="default" w:ascii="Times New Roman" w:hAnsi="Times New Roman" w:eastAsia="宋体" w:cs="Times New Roman"/>
                <w:color w:val="auto"/>
                <w:highlight w:val="none"/>
                <w:lang w:val="en-US" w:eastAsia="zh-CN"/>
              </w:rPr>
              <w:t>集后暂存于</w:t>
            </w:r>
            <w:r>
              <w:rPr>
                <w:rFonts w:hint="eastAsia" w:ascii="Times New Roman" w:hAnsi="Times New Roman" w:eastAsia="宋体" w:cs="Times New Roman"/>
                <w:color w:val="auto"/>
                <w:highlight w:val="none"/>
                <w:lang w:val="en-US" w:eastAsia="zh-CN"/>
              </w:rPr>
              <w:t>一般固废</w:t>
            </w:r>
            <w:r>
              <w:rPr>
                <w:rFonts w:hint="default" w:ascii="Times New Roman" w:hAnsi="Times New Roman" w:eastAsia="宋体" w:cs="Times New Roman"/>
                <w:color w:val="auto"/>
                <w:highlight w:val="none"/>
                <w:lang w:val="en-US" w:eastAsia="zh-CN"/>
              </w:rPr>
              <w:t>暂存间，</w:t>
            </w:r>
            <w:r>
              <w:rPr>
                <w:rFonts w:hint="default" w:ascii="Times New Roman" w:hAnsi="Times New Roman" w:eastAsia="宋体" w:cs="Times New Roman"/>
                <w:color w:val="auto"/>
                <w:highlight w:val="none"/>
                <w:lang w:eastAsia="zh-CN"/>
              </w:rPr>
              <w:t>定期外售</w:t>
            </w:r>
            <w:r>
              <w:rPr>
                <w:rFonts w:hint="default" w:ascii="Times New Roman" w:hAnsi="Times New Roman" w:eastAsia="宋体" w:cs="Times New Roman"/>
                <w:color w:val="auto"/>
                <w:highlight w:val="none"/>
                <w:lang w:val="en-US" w:eastAsia="zh-CN"/>
              </w:rPr>
              <w:t>。</w:t>
            </w:r>
          </w:p>
          <w:p w14:paraId="4B8555CA">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val="en-US" w:eastAsia="en-US"/>
              </w:rPr>
            </w:pPr>
            <w:r>
              <w:rPr>
                <w:rFonts w:hint="eastAsia" w:cs="Times New Roman"/>
                <w:color w:val="auto"/>
                <w:highlight w:val="none"/>
                <w:lang w:val="en-US" w:eastAsia="zh-CN"/>
              </w:rPr>
              <w:t>④污水处理站</w:t>
            </w:r>
            <w:bookmarkStart w:id="4" w:name="_GoBack"/>
            <w:r>
              <w:rPr>
                <w:rFonts w:hint="eastAsia" w:cs="Times New Roman"/>
                <w:color w:val="auto"/>
                <w:highlight w:val="none"/>
                <w:lang w:val="en-US" w:eastAsia="zh-CN"/>
              </w:rPr>
              <w:t>生化</w:t>
            </w:r>
            <w:bookmarkEnd w:id="4"/>
            <w:r>
              <w:rPr>
                <w:rFonts w:hint="eastAsia" w:cs="Times New Roman"/>
                <w:color w:val="auto"/>
                <w:highlight w:val="none"/>
                <w:lang w:val="en-US" w:eastAsia="zh-CN"/>
              </w:rPr>
              <w:t>污泥</w:t>
            </w:r>
          </w:p>
          <w:p w14:paraId="5B248C31">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eastAsia="宋体" w:cs="Times New Roman"/>
                <w:color w:val="auto"/>
                <w:kern w:val="0"/>
                <w:sz w:val="24"/>
                <w:szCs w:val="24"/>
                <w:highlight w:val="none"/>
                <w:lang w:val="en-US" w:eastAsia="en-US" w:bidi="ar"/>
              </w:rPr>
            </w:pPr>
            <w:r>
              <w:rPr>
                <w:rFonts w:hint="default" w:ascii="Times New Roman" w:hAnsi="Times New Roman" w:eastAsia="宋体" w:cs="Times New Roman"/>
                <w:color w:val="auto"/>
                <w:highlight w:val="none"/>
                <w:lang w:val="en-US" w:eastAsia="en-US"/>
              </w:rPr>
              <w:t>本项目生产废水处理过程中，机械格栅产生栅渣，混凝气浮池排出的浮渣、调节池、混凝气浮池、沉淀池排出</w:t>
            </w:r>
            <w:r>
              <w:rPr>
                <w:rFonts w:hint="default" w:ascii="宋体" w:hAnsi="宋体" w:eastAsia="宋体" w:cs="宋体"/>
                <w:snapToGrid w:val="0"/>
                <w:color w:val="000000"/>
                <w:spacing w:val="-3"/>
                <w:kern w:val="0"/>
                <w:sz w:val="24"/>
                <w:szCs w:val="24"/>
                <w:lang w:val="en-US" w:eastAsia="en-US" w:bidi="ar-SA"/>
              </w:rPr>
              <w:t>的污泥、生化沉淀池排出的剩余污泥经污泥脱水机脱水</w:t>
            </w:r>
            <w:r>
              <w:rPr>
                <w:rFonts w:hint="eastAsia" w:ascii="宋体" w:hAnsi="宋体" w:eastAsia="宋体" w:cs="宋体"/>
                <w:snapToGrid w:val="0"/>
                <w:color w:val="000000"/>
                <w:spacing w:val="-3"/>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
              </w:rPr>
              <w:t>拟建项目污水处理站</w:t>
            </w:r>
            <w:r>
              <w:rPr>
                <w:rFonts w:hint="eastAsia" w:ascii="Times New Roman" w:hAnsi="Times New Roman" w:eastAsia="宋体" w:cs="Times New Roman"/>
                <w:color w:val="auto"/>
                <w:kern w:val="0"/>
                <w:sz w:val="24"/>
                <w:szCs w:val="24"/>
                <w:lang w:val="en-US" w:eastAsia="zh-CN" w:bidi="ar"/>
              </w:rPr>
              <w:t>絮凝</w:t>
            </w:r>
            <w:r>
              <w:rPr>
                <w:rFonts w:hint="default" w:ascii="Times New Roman" w:hAnsi="Times New Roman" w:eastAsia="宋体" w:cs="Times New Roman"/>
                <w:color w:val="auto"/>
                <w:kern w:val="0"/>
                <w:sz w:val="24"/>
                <w:szCs w:val="24"/>
                <w:lang w:val="en-US" w:eastAsia="zh-CN" w:bidi="ar"/>
              </w:rPr>
              <w:t>沉淀</w:t>
            </w:r>
            <w:r>
              <w:rPr>
                <w:rFonts w:hint="eastAsia" w:ascii="Times New Roman" w:hAnsi="Times New Roman" w:eastAsia="宋体" w:cs="Times New Roman"/>
                <w:color w:val="auto"/>
                <w:kern w:val="0"/>
                <w:sz w:val="24"/>
                <w:szCs w:val="24"/>
                <w:lang w:val="en-US" w:eastAsia="zh-CN" w:bidi="ar"/>
              </w:rPr>
              <w:t>工序</w:t>
            </w:r>
            <w:r>
              <w:rPr>
                <w:rFonts w:hint="default" w:ascii="Times New Roman" w:hAnsi="Times New Roman" w:eastAsia="宋体" w:cs="Times New Roman"/>
                <w:color w:val="auto"/>
                <w:kern w:val="0"/>
                <w:sz w:val="24"/>
                <w:szCs w:val="24"/>
                <w:lang w:val="en-US" w:eastAsia="zh-CN" w:bidi="ar"/>
              </w:rPr>
              <w:t>产生污泥，根据设计资</w:t>
            </w:r>
            <w:r>
              <w:rPr>
                <w:rFonts w:hint="eastAsia" w:cs="Times New Roman"/>
                <w:color w:val="auto"/>
                <w:kern w:val="0"/>
                <w:sz w:val="24"/>
                <w:szCs w:val="24"/>
                <w:lang w:val="en-US" w:eastAsia="zh-CN" w:bidi="ar"/>
              </w:rPr>
              <w:t>料和</w:t>
            </w:r>
            <w:r>
              <w:rPr>
                <w:rFonts w:hint="default" w:ascii="Times New Roman" w:hAnsi="Times New Roman" w:eastAsia="宋体" w:cs="Times New Roman"/>
                <w:color w:val="auto"/>
                <w:kern w:val="0"/>
                <w:sz w:val="24"/>
                <w:szCs w:val="24"/>
                <w:lang w:val="en-US" w:eastAsia="zh-CN" w:bidi="ar"/>
              </w:rPr>
              <w:t>相关资料，</w:t>
            </w:r>
            <w:r>
              <w:rPr>
                <w:rFonts w:hint="eastAsia" w:ascii="Times New Roman" w:hAnsi="Times New Roman" w:eastAsia="宋体" w:cs="Times New Roman"/>
                <w:color w:val="auto"/>
                <w:kern w:val="0"/>
                <w:sz w:val="24"/>
                <w:szCs w:val="24"/>
                <w:lang w:val="en-US" w:eastAsia="zh-CN" w:bidi="ar"/>
              </w:rPr>
              <w:t>絮凝</w:t>
            </w:r>
            <w:r>
              <w:rPr>
                <w:rFonts w:hint="default" w:ascii="Times New Roman" w:hAnsi="Times New Roman" w:eastAsia="宋体" w:cs="Times New Roman"/>
                <w:color w:val="auto"/>
                <w:kern w:val="0"/>
                <w:sz w:val="24"/>
                <w:szCs w:val="24"/>
                <w:lang w:val="en-US" w:eastAsia="zh-CN" w:bidi="ar"/>
              </w:rPr>
              <w:t>沉淀处理产泥量可按废水处理量的</w:t>
            </w:r>
            <w:r>
              <w:rPr>
                <w:rFonts w:hint="eastAsia" w:cs="Times New Roman"/>
                <w:color w:val="auto"/>
                <w:kern w:val="0"/>
                <w:sz w:val="24"/>
                <w:szCs w:val="24"/>
                <w:lang w:val="en-US" w:eastAsia="zh-CN" w:bidi="ar"/>
              </w:rPr>
              <w:t>4%～6%</w:t>
            </w:r>
            <w:r>
              <w:rPr>
                <w:rFonts w:hint="default" w:ascii="Times New Roman" w:hAnsi="Times New Roman" w:eastAsia="宋体" w:cs="Times New Roman"/>
                <w:color w:val="auto"/>
                <w:kern w:val="0"/>
                <w:sz w:val="24"/>
                <w:szCs w:val="24"/>
                <w:lang w:val="en-US" w:eastAsia="zh-CN" w:bidi="ar"/>
              </w:rPr>
              <w:t>计算</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以6%计算</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，污泥含水率为99.6%</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99.7%</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以99.7%计算</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。本项目物化污泥经脱水处理</w:t>
            </w:r>
            <w:r>
              <w:rPr>
                <w:rFonts w:hint="eastAsia" w:ascii="Times New Roman" w:hAnsi="Times New Roman" w:eastAsia="宋体" w:cs="Times New Roman"/>
                <w:color w:val="auto"/>
                <w:kern w:val="0"/>
                <w:sz w:val="24"/>
                <w:szCs w:val="24"/>
                <w:lang w:val="en-US" w:eastAsia="zh-CN" w:bidi="ar"/>
              </w:rPr>
              <w:t>后</w:t>
            </w:r>
            <w:r>
              <w:rPr>
                <w:rFonts w:hint="default" w:ascii="Times New Roman" w:hAnsi="Times New Roman" w:eastAsia="宋体" w:cs="Times New Roman"/>
                <w:color w:val="auto"/>
                <w:kern w:val="0"/>
                <w:sz w:val="24"/>
                <w:szCs w:val="24"/>
                <w:lang w:val="en-US" w:eastAsia="zh-CN" w:bidi="ar"/>
              </w:rPr>
              <w:t>，含水率控制在60%左右</w:t>
            </w:r>
            <w:r>
              <w:rPr>
                <w:rFonts w:hint="eastAsia" w:ascii="Times New Roman" w:hAnsi="Times New Roman" w:eastAsia="宋体" w:cs="Times New Roman"/>
                <w:color w:val="auto"/>
                <w:kern w:val="0"/>
                <w:sz w:val="24"/>
                <w:szCs w:val="24"/>
                <w:lang w:val="en-US" w:eastAsia="zh-CN" w:bidi="ar"/>
              </w:rPr>
              <w:t>，污水处理站处理水量为</w:t>
            </w:r>
            <w:r>
              <w:rPr>
                <w:rFonts w:hint="eastAsia" w:ascii="Times New Roman" w:hAnsi="Times New Roman" w:eastAsia="宋体" w:cs="宋体"/>
                <w:color w:val="auto"/>
                <w:kern w:val="0"/>
                <w:sz w:val="24"/>
                <w:szCs w:val="24"/>
                <w:lang w:val="en-US" w:eastAsia="zh-CN" w:bidi="ar"/>
              </w:rPr>
              <w:t>481620</w:t>
            </w:r>
            <w:r>
              <w:rPr>
                <w:rFonts w:hint="eastAsia" w:ascii="Times New Roman" w:hAnsi="Times New Roman" w:eastAsia="宋体" w:cs="Times New Roman"/>
                <w:color w:val="auto"/>
                <w:kern w:val="0"/>
                <w:sz w:val="24"/>
                <w:szCs w:val="24"/>
                <w:lang w:val="en-US" w:eastAsia="zh-CN" w:bidi="ar"/>
              </w:rPr>
              <w:t>t/a，则</w:t>
            </w:r>
            <w:r>
              <w:rPr>
                <w:rFonts w:hint="default" w:ascii="Times New Roman" w:hAnsi="Times New Roman" w:eastAsia="宋体" w:cs="Times New Roman"/>
                <w:color w:val="auto"/>
                <w:kern w:val="0"/>
                <w:sz w:val="24"/>
                <w:szCs w:val="24"/>
                <w:lang w:val="en-US" w:eastAsia="zh-CN" w:bidi="ar"/>
              </w:rPr>
              <w:t>产生污泥约</w:t>
            </w:r>
            <w:r>
              <w:rPr>
                <w:rFonts w:hint="eastAsia" w:ascii="Times New Roman" w:hAnsi="Times New Roman" w:eastAsia="宋体" w:cs="Times New Roman"/>
                <w:color w:val="auto"/>
                <w:kern w:val="0"/>
                <w:sz w:val="24"/>
                <w:szCs w:val="24"/>
                <w:lang w:val="en-US" w:eastAsia="zh-CN" w:bidi="ar"/>
              </w:rPr>
              <w:t>216.73</w:t>
            </w:r>
            <w:r>
              <w:rPr>
                <w:rFonts w:hint="default" w:ascii="Times New Roman" w:hAnsi="Times New Roman" w:eastAsia="宋体" w:cs="Times New Roman"/>
                <w:color w:val="auto"/>
                <w:kern w:val="0"/>
                <w:sz w:val="24"/>
                <w:szCs w:val="24"/>
                <w:lang w:val="en-US" w:eastAsia="zh-CN" w:bidi="ar"/>
              </w:rPr>
              <w:t>/a（其中含水率</w:t>
            </w:r>
            <w:r>
              <w:rPr>
                <w:rFonts w:hint="eastAsia" w:ascii="Times New Roman" w:hAnsi="Times New Roman" w:eastAsia="宋体"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0%）。</w:t>
            </w:r>
            <w:r>
              <w:rPr>
                <w:rFonts w:hint="eastAsia" w:ascii="Times New Roman" w:hAnsi="Times New Roman" w:eastAsia="宋体" w:cs="Times New Roman"/>
                <w:color w:val="auto"/>
                <w:kern w:val="0"/>
                <w:sz w:val="24"/>
                <w:szCs w:val="24"/>
                <w:highlight w:val="none"/>
                <w:lang w:val="en-US" w:eastAsia="en-US" w:bidi="ar"/>
              </w:rPr>
              <w:t>根据《国家危险废物名录》(2025年)判定，“HW49其他废物-环境治理中“危废代码772-006-49采用物理、化学、物理化学或生物方法处理或处置毒性或感染性危险废物过程中产生的废水处理污泥、残渣(液)”属于危险废物，本项目生化处理的废水不包含毒性或感染性废水，经判定本项目生化过程产生的污泥不属于危险废物，属于一般固废，本项目生化过程产生的</w:t>
            </w:r>
            <w:r>
              <w:rPr>
                <w:rFonts w:hint="eastAsia" w:cs="Times New Roman"/>
                <w:color w:val="auto"/>
                <w:kern w:val="0"/>
                <w:sz w:val="24"/>
                <w:szCs w:val="24"/>
                <w:highlight w:val="none"/>
                <w:lang w:val="en-US" w:eastAsia="zh-CN" w:bidi="ar"/>
              </w:rPr>
              <w:t>污泥交由有处理能力的单位进行处置</w:t>
            </w:r>
            <w:r>
              <w:rPr>
                <w:rFonts w:hint="eastAsia" w:ascii="Times New Roman" w:hAnsi="Times New Roman" w:eastAsia="宋体" w:cs="Times New Roman"/>
                <w:color w:val="auto"/>
                <w:kern w:val="0"/>
                <w:sz w:val="24"/>
                <w:szCs w:val="24"/>
                <w:highlight w:val="none"/>
                <w:lang w:val="en-US" w:eastAsia="en-US" w:bidi="ar"/>
              </w:rPr>
              <w:t>。</w:t>
            </w:r>
          </w:p>
          <w:p w14:paraId="1BF1071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（3）危险废物</w:t>
            </w:r>
          </w:p>
          <w:p w14:paraId="1113683A">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en-US"/>
              </w:rPr>
              <w:t>危险废物为</w:t>
            </w:r>
            <w:r>
              <w:rPr>
                <w:rFonts w:hint="eastAsia" w:ascii="Times New Roman" w:hAnsi="Times New Roman" w:eastAsia="宋体" w:cs="Times New Roman"/>
                <w:color w:val="auto"/>
                <w:highlight w:val="none"/>
                <w:lang w:val="en-US" w:eastAsia="zh-CN"/>
              </w:rPr>
              <w:t>废油、废机油、机油桶、</w:t>
            </w:r>
            <w:r>
              <w:rPr>
                <w:rFonts w:hint="eastAsia" w:cs="Times New Roman"/>
                <w:color w:val="auto"/>
                <w:highlight w:val="none"/>
                <w:lang w:val="en-US" w:eastAsia="zh-CN"/>
              </w:rPr>
              <w:t>废油剂桶</w:t>
            </w:r>
            <w:r>
              <w:rPr>
                <w:rFonts w:hint="eastAsia" w:ascii="Times New Roman" w:hAnsi="Times New Roman" w:eastAsia="宋体" w:cs="Times New Roman"/>
                <w:color w:val="auto"/>
                <w:highlight w:val="none"/>
                <w:lang w:val="en-US" w:eastAsia="zh-CN"/>
              </w:rPr>
              <w:t>、废活性炭、废催化剂和废含油抹布和废含油手套</w:t>
            </w:r>
            <w:r>
              <w:rPr>
                <w:rFonts w:hint="default" w:ascii="Times New Roman" w:hAnsi="Times New Roman" w:eastAsia="宋体" w:cs="Times New Roman"/>
                <w:color w:val="auto"/>
                <w:highlight w:val="none"/>
                <w:lang w:val="en-US" w:eastAsia="zh-CN"/>
              </w:rPr>
              <w:t>。</w:t>
            </w:r>
          </w:p>
          <w:p w14:paraId="57C889C3">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①</w:t>
            </w:r>
            <w:r>
              <w:rPr>
                <w:rFonts w:hint="eastAsia" w:ascii="Times New Roman" w:hAnsi="Times New Roman" w:eastAsia="宋体" w:cs="Times New Roman"/>
                <w:color w:val="auto"/>
                <w:highlight w:val="none"/>
                <w:lang w:val="en-US" w:eastAsia="zh-CN"/>
              </w:rPr>
              <w:t>废油</w:t>
            </w:r>
          </w:p>
          <w:p w14:paraId="7454076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本项目加弹环节会产生废油，</w:t>
            </w:r>
            <w:r>
              <w:rPr>
                <w:rFonts w:hint="default" w:ascii="Times New Roman" w:hAnsi="Times New Roman" w:eastAsia="宋体" w:cs="Times New Roman"/>
                <w:color w:val="auto"/>
                <w:highlight w:val="none"/>
                <w:lang w:val="en-US" w:eastAsia="zh-CN"/>
              </w:rPr>
              <w:t>使用过程中</w:t>
            </w:r>
            <w:r>
              <w:rPr>
                <w:rFonts w:hint="eastAsia" w:ascii="Times New Roman" w:hAnsi="Times New Roman" w:eastAsia="宋体" w:cs="Times New Roman"/>
                <w:color w:val="auto"/>
                <w:highlight w:val="none"/>
                <w:lang w:val="en-US" w:eastAsia="zh-CN"/>
              </w:rPr>
              <w:t>油剂</w:t>
            </w:r>
            <w:r>
              <w:rPr>
                <w:rFonts w:hint="default" w:ascii="Times New Roman" w:hAnsi="Times New Roman" w:eastAsia="宋体" w:cs="Times New Roman"/>
                <w:color w:val="auto"/>
                <w:highlight w:val="none"/>
                <w:lang w:val="en-US" w:eastAsia="zh-CN"/>
              </w:rPr>
              <w:t>消耗量约占使用量的</w:t>
            </w:r>
            <w:r>
              <w:rPr>
                <w:rFonts w:hint="eastAsia" w:ascii="Times New Roman" w:hAnsi="Times New Roman" w:eastAsia="宋体" w:cs="Times New Roman"/>
                <w:color w:val="auto"/>
                <w:highlight w:val="none"/>
                <w:lang w:val="en-US" w:eastAsia="zh-CN"/>
              </w:rPr>
              <w:t>90</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，则</w:t>
            </w:r>
            <w:r>
              <w:rPr>
                <w:rFonts w:hint="default" w:ascii="Times New Roman" w:hAnsi="Times New Roman" w:eastAsia="宋体" w:cs="Times New Roman"/>
                <w:color w:val="auto"/>
                <w:highlight w:val="none"/>
                <w:lang w:val="en-US" w:eastAsia="en-US"/>
              </w:rPr>
              <w:t>预计废油产生量约为</w:t>
            </w:r>
            <w:r>
              <w:rPr>
                <w:rFonts w:hint="eastAsia" w:ascii="Times New Roman" w:hAnsi="Times New Roman" w:eastAsia="宋体" w:cs="Times New Roman"/>
                <w:color w:val="auto"/>
                <w:highlight w:val="none"/>
                <w:lang w:val="en-US" w:eastAsia="zh-CN"/>
              </w:rPr>
              <w:t>0.8</w:t>
            </w:r>
            <w:r>
              <w:rPr>
                <w:rFonts w:hint="default" w:ascii="Times New Roman" w:hAnsi="Times New Roman" w:eastAsia="宋体" w:cs="Times New Roman"/>
                <w:color w:val="auto"/>
                <w:highlight w:val="none"/>
                <w:lang w:val="en-US" w:eastAsia="en-US"/>
              </w:rPr>
              <w:t>t/a。根据《国家危险废物名录（2025年版）》，废油属于危险废物，危废类别为HW08废矿物油与含矿物油废物，废物代码为900-249-08（其他生产、销售、使用过程中产生的废矿物油及沾染矿物油的废弃包装物），危险特性为T，I，收集后暂存于厂区内的危废暂存间，定期</w:t>
            </w:r>
            <w:r>
              <w:rPr>
                <w:rFonts w:hint="eastAsia" w:cs="Times New Roman"/>
                <w:color w:val="auto"/>
                <w:highlight w:val="none"/>
                <w:lang w:val="en-US" w:eastAsia="zh-CN"/>
              </w:rPr>
              <w:t>交由</w:t>
            </w:r>
            <w:r>
              <w:rPr>
                <w:rFonts w:hint="default" w:ascii="Times New Roman" w:hAnsi="Times New Roman" w:eastAsia="宋体" w:cs="Times New Roman"/>
                <w:color w:val="auto"/>
                <w:highlight w:val="none"/>
                <w:lang w:val="en-US" w:eastAsia="en-US"/>
              </w:rPr>
              <w:t>相应资质的单位处置。</w:t>
            </w:r>
          </w:p>
          <w:p w14:paraId="770D805B">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②</w:t>
            </w:r>
            <w:r>
              <w:rPr>
                <w:rFonts w:hint="default" w:ascii="Times New Roman" w:hAnsi="Times New Roman" w:cs="Times New Roman"/>
                <w:color w:val="auto"/>
                <w:highlight w:val="none"/>
                <w:lang w:val="en-US" w:eastAsia="zh-CN"/>
              </w:rPr>
              <w:t>废</w:t>
            </w:r>
            <w:r>
              <w:rPr>
                <w:rFonts w:hint="eastAsia" w:cs="Times New Roman"/>
                <w:color w:val="auto"/>
                <w:highlight w:val="none"/>
                <w:lang w:val="en-US" w:eastAsia="zh-CN"/>
              </w:rPr>
              <w:t>机</w:t>
            </w:r>
            <w:r>
              <w:rPr>
                <w:rFonts w:hint="default" w:ascii="Times New Roman" w:hAnsi="Times New Roman" w:cs="Times New Roman"/>
                <w:color w:val="auto"/>
                <w:highlight w:val="none"/>
                <w:lang w:val="en-US" w:eastAsia="zh-CN"/>
              </w:rPr>
              <w:t>油</w:t>
            </w:r>
          </w:p>
          <w:p w14:paraId="27BEE03D">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项目生产设备保养检修时会产生一定量的废</w:t>
            </w:r>
            <w:r>
              <w:rPr>
                <w:rFonts w:hint="eastAsia" w:cs="Times New Roman"/>
                <w:color w:val="auto"/>
                <w:highlight w:val="none"/>
                <w:lang w:val="en-US" w:eastAsia="zh-CN"/>
              </w:rPr>
              <w:t>机油</w:t>
            </w:r>
            <w:r>
              <w:rPr>
                <w:rFonts w:hint="default" w:ascii="Times New Roman" w:hAnsi="Times New Roman" w:cs="Times New Roman"/>
                <w:color w:val="auto"/>
                <w:highlight w:val="none"/>
                <w:lang w:val="en-US" w:eastAsia="zh-CN"/>
              </w:rPr>
              <w:t>，根据《国家危险废物名录》（202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年版）可知：废</w:t>
            </w:r>
            <w:r>
              <w:rPr>
                <w:rFonts w:hint="eastAsia" w:cs="Times New Roman"/>
                <w:color w:val="auto"/>
                <w:highlight w:val="none"/>
                <w:lang w:val="en-US" w:eastAsia="zh-CN"/>
              </w:rPr>
              <w:t>机油</w:t>
            </w:r>
            <w:r>
              <w:rPr>
                <w:rFonts w:hint="default" w:ascii="Times New Roman" w:hAnsi="Times New Roman" w:cs="Times New Roman"/>
                <w:color w:val="auto"/>
                <w:highlight w:val="none"/>
                <w:lang w:val="en-US" w:eastAsia="zh-CN"/>
              </w:rPr>
              <w:t>属于危险废物</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废物类别为HW08废矿物油与含矿物油废物（非特定行业），废物代码为900-2</w:t>
            </w:r>
            <w:r>
              <w:rPr>
                <w:rFonts w:hint="eastAsia" w:cs="Times New Roman"/>
                <w:color w:val="auto"/>
                <w:highlight w:val="none"/>
                <w:lang w:val="en-US" w:eastAsia="zh-CN"/>
              </w:rPr>
              <w:t>14</w:t>
            </w:r>
            <w:r>
              <w:rPr>
                <w:rFonts w:hint="default" w:ascii="Times New Roman" w:hAnsi="Times New Roman" w:cs="Times New Roman"/>
                <w:color w:val="auto"/>
                <w:highlight w:val="none"/>
                <w:lang w:val="en-US" w:eastAsia="zh-CN"/>
              </w:rPr>
              <w:t>-08（车辆、轮船及其他机械维修过程中产生的废发动机油、制动器油、自动变速器油、齿轮油等废</w:t>
            </w:r>
            <w:r>
              <w:rPr>
                <w:rFonts w:hint="eastAsia" w:cs="Times New Roman"/>
                <w:color w:val="auto"/>
                <w:highlight w:val="none"/>
                <w:lang w:val="en-US" w:eastAsia="zh-CN"/>
              </w:rPr>
              <w:t>机油</w:t>
            </w:r>
            <w:r>
              <w:rPr>
                <w:rFonts w:hint="default" w:ascii="Times New Roman" w:hAnsi="Times New Roman" w:cs="Times New Roman"/>
                <w:color w:val="auto"/>
                <w:highlight w:val="none"/>
                <w:lang w:val="en-US" w:eastAsia="zh-CN"/>
              </w:rPr>
              <w:t>）根据建设单位提供资料，本项目</w:t>
            </w:r>
            <w:r>
              <w:rPr>
                <w:rFonts w:hint="eastAsia" w:cs="Times New Roman"/>
                <w:color w:val="auto"/>
                <w:highlight w:val="none"/>
                <w:lang w:val="en-US" w:eastAsia="zh-CN"/>
              </w:rPr>
              <w:t>机油</w:t>
            </w:r>
            <w:r>
              <w:rPr>
                <w:rFonts w:hint="default" w:ascii="Times New Roman" w:hAnsi="Times New Roman" w:cs="Times New Roman"/>
                <w:color w:val="auto"/>
                <w:highlight w:val="none"/>
                <w:lang w:val="en-US" w:eastAsia="zh-CN"/>
              </w:rPr>
              <w:t>使用量为</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t/a，使用过程中</w:t>
            </w:r>
            <w:r>
              <w:rPr>
                <w:rFonts w:hint="eastAsia" w:cs="Times New Roman"/>
                <w:color w:val="auto"/>
                <w:highlight w:val="none"/>
                <w:lang w:val="en-US" w:eastAsia="zh-CN"/>
              </w:rPr>
              <w:t>机油</w:t>
            </w:r>
            <w:r>
              <w:rPr>
                <w:rFonts w:hint="default" w:ascii="Times New Roman" w:hAnsi="Times New Roman" w:cs="Times New Roman"/>
                <w:color w:val="auto"/>
                <w:highlight w:val="none"/>
                <w:lang w:val="en-US" w:eastAsia="zh-CN"/>
              </w:rPr>
              <w:t>消耗量约占使用量的75%，项目废</w:t>
            </w:r>
            <w:r>
              <w:rPr>
                <w:rFonts w:hint="eastAsia" w:cs="Times New Roman"/>
                <w:color w:val="auto"/>
                <w:highlight w:val="none"/>
                <w:lang w:val="en-US" w:eastAsia="zh-CN"/>
              </w:rPr>
              <w:t>机油</w:t>
            </w:r>
            <w:r>
              <w:rPr>
                <w:rFonts w:hint="default" w:ascii="Times New Roman" w:hAnsi="Times New Roman" w:cs="Times New Roman"/>
                <w:color w:val="auto"/>
                <w:highlight w:val="none"/>
                <w:lang w:val="en-US" w:eastAsia="zh-CN"/>
              </w:rPr>
              <w:t>产生量约为</w:t>
            </w:r>
            <w:r>
              <w:rPr>
                <w:rFonts w:hint="eastAsia" w:cs="Times New Roman"/>
                <w:color w:val="auto"/>
                <w:highlight w:val="none"/>
                <w:lang w:val="en-US" w:eastAsia="zh-CN"/>
              </w:rPr>
              <w:t>0.5</w:t>
            </w:r>
            <w:r>
              <w:rPr>
                <w:rFonts w:hint="default" w:ascii="Times New Roman" w:hAnsi="Times New Roman" w:cs="Times New Roman"/>
                <w:color w:val="auto"/>
                <w:highlight w:val="none"/>
                <w:lang w:val="en-US" w:eastAsia="zh-CN"/>
              </w:rPr>
              <w:t>t/a，收集后暂存于危废暂存间，委托有资质单位处理。</w:t>
            </w:r>
          </w:p>
          <w:p w14:paraId="5B55D6FB">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③机油</w:t>
            </w:r>
            <w:r>
              <w:rPr>
                <w:rFonts w:hint="eastAsia" w:eastAsia="宋体" w:cs="Times New Roman"/>
                <w:color w:val="auto"/>
                <w:highlight w:val="none"/>
                <w:lang w:val="en-US" w:eastAsia="zh-CN"/>
              </w:rPr>
              <w:t>桶</w:t>
            </w:r>
          </w:p>
          <w:p w14:paraId="042D1AF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项目</w:t>
            </w:r>
            <w:r>
              <w:rPr>
                <w:rFonts w:hint="eastAsia" w:cs="Times New Roman"/>
                <w:color w:val="auto"/>
                <w:highlight w:val="none"/>
                <w:lang w:val="en-US" w:eastAsia="zh-CN"/>
              </w:rPr>
              <w:t>机油</w:t>
            </w:r>
            <w:r>
              <w:rPr>
                <w:rFonts w:hint="default" w:ascii="Times New Roman" w:hAnsi="Times New Roman" w:cs="Times New Roman"/>
                <w:color w:val="auto"/>
                <w:highlight w:val="none"/>
                <w:lang w:val="en-US" w:eastAsia="zh-CN"/>
              </w:rPr>
              <w:t>使用量为</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t/a，为桶装，</w:t>
            </w:r>
            <w:r>
              <w:rPr>
                <w:rFonts w:hint="eastAsia" w:cs="Times New Roman"/>
                <w:color w:val="auto"/>
                <w:highlight w:val="none"/>
                <w:lang w:val="en-US" w:eastAsia="zh-CN"/>
              </w:rPr>
              <w:t>17</w:t>
            </w:r>
            <w:r>
              <w:rPr>
                <w:rFonts w:hint="default" w:ascii="Times New Roman" w:hAnsi="Times New Roman" w:cs="Times New Roman"/>
                <w:color w:val="auto"/>
                <w:highlight w:val="none"/>
                <w:lang w:val="en-US" w:eastAsia="zh-CN"/>
              </w:rPr>
              <w:t>0kg/桶，</w:t>
            </w:r>
            <w:r>
              <w:rPr>
                <w:rFonts w:hint="eastAsia" w:ascii="Times New Roman" w:hAnsi="Times New Roman" w:cs="Times New Roman"/>
                <w:color w:val="auto"/>
                <w:highlight w:val="none"/>
                <w:lang w:val="en-US" w:eastAsia="zh-CN"/>
              </w:rPr>
              <w:t>共</w:t>
            </w:r>
            <w:r>
              <w:rPr>
                <w:rFonts w:hint="eastAsia" w:cs="Times New Roman"/>
                <w:color w:val="auto"/>
                <w:highlight w:val="none"/>
                <w:lang w:val="en-US" w:eastAsia="zh-CN"/>
              </w:rPr>
              <w:t>12</w:t>
            </w:r>
            <w:r>
              <w:rPr>
                <w:rFonts w:hint="default" w:ascii="Times New Roman" w:hAnsi="Times New Roman" w:cs="Times New Roman"/>
                <w:color w:val="auto"/>
                <w:highlight w:val="none"/>
                <w:lang w:val="en-US" w:eastAsia="zh-CN"/>
              </w:rPr>
              <w:t>桶，单个空桶重约为</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kg，则</w:t>
            </w:r>
            <w:r>
              <w:rPr>
                <w:rFonts w:hint="eastAsia" w:cs="Times New Roman"/>
                <w:color w:val="auto"/>
                <w:highlight w:val="none"/>
                <w:lang w:val="en-US" w:eastAsia="zh-CN"/>
              </w:rPr>
              <w:t>机油</w:t>
            </w:r>
            <w:r>
              <w:rPr>
                <w:rFonts w:hint="default" w:ascii="Times New Roman" w:hAnsi="Times New Roman" w:cs="Times New Roman"/>
                <w:color w:val="auto"/>
                <w:highlight w:val="none"/>
                <w:lang w:val="en-US" w:eastAsia="zh-CN"/>
              </w:rPr>
              <w:t>桶产生量为0.</w:t>
            </w:r>
            <w:r>
              <w:rPr>
                <w:rFonts w:hint="eastAsia" w:cs="Times New Roman"/>
                <w:color w:val="auto"/>
                <w:highlight w:val="none"/>
                <w:lang w:val="en-US" w:eastAsia="zh-CN"/>
              </w:rPr>
              <w:t>06</w:t>
            </w:r>
            <w:r>
              <w:rPr>
                <w:rFonts w:hint="default" w:ascii="Times New Roman" w:hAnsi="Times New Roman" w:cs="Times New Roman"/>
                <w:color w:val="auto"/>
                <w:highlight w:val="none"/>
                <w:lang w:val="en-US" w:eastAsia="zh-CN"/>
              </w:rPr>
              <w:t>t/a。</w:t>
            </w:r>
            <w:r>
              <w:rPr>
                <w:rFonts w:hint="eastAsia" w:cs="Times New Roman"/>
                <w:color w:val="auto"/>
                <w:highlight w:val="none"/>
                <w:lang w:val="en-US" w:eastAsia="zh-CN"/>
              </w:rPr>
              <w:t>机油</w:t>
            </w:r>
            <w:r>
              <w:rPr>
                <w:rFonts w:hint="default" w:ascii="Times New Roman" w:hAnsi="Times New Roman" w:cs="Times New Roman"/>
                <w:color w:val="auto"/>
                <w:highlight w:val="none"/>
                <w:lang w:val="en-US" w:eastAsia="zh-CN"/>
              </w:rPr>
              <w:t>桶</w:t>
            </w:r>
            <w:r>
              <w:rPr>
                <w:rFonts w:hint="eastAsia" w:cs="Times New Roman"/>
                <w:color w:val="auto"/>
                <w:highlight w:val="none"/>
                <w:lang w:val="en-US" w:eastAsia="zh-CN"/>
              </w:rPr>
              <w:t>定期</w:t>
            </w:r>
            <w:r>
              <w:rPr>
                <w:rFonts w:hint="default" w:ascii="Times New Roman" w:hAnsi="Times New Roman" w:cs="Times New Roman"/>
                <w:color w:val="auto"/>
                <w:highlight w:val="none"/>
                <w:lang w:val="en-US" w:eastAsia="zh-CN"/>
              </w:rPr>
              <w:t>委托有资质单位处理。根据《国家危险废物名录》（202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年版）可知：</w:t>
            </w:r>
            <w:r>
              <w:rPr>
                <w:rFonts w:hint="eastAsia" w:cs="Times New Roman"/>
                <w:color w:val="auto"/>
                <w:highlight w:val="none"/>
                <w:lang w:val="en-US" w:eastAsia="zh-CN"/>
              </w:rPr>
              <w:t>机油桶</w:t>
            </w:r>
            <w:r>
              <w:rPr>
                <w:rFonts w:hint="default" w:ascii="Times New Roman" w:hAnsi="Times New Roman" w:cs="Times New Roman"/>
                <w:color w:val="auto"/>
                <w:highlight w:val="none"/>
                <w:lang w:val="en-US" w:eastAsia="zh-CN"/>
              </w:rPr>
              <w:t>属于危险废物，废物类别为HW08废矿物油与含矿物油废物</w:t>
            </w:r>
            <w:r>
              <w:rPr>
                <w:rFonts w:hint="eastAsia" w:cs="Times New Roman"/>
                <w:color w:val="auto"/>
                <w:highlight w:val="none"/>
                <w:lang w:val="en-US" w:eastAsia="zh-CN"/>
              </w:rPr>
              <w:t>（非特定行业）</w:t>
            </w:r>
            <w:r>
              <w:rPr>
                <w:rFonts w:hint="default" w:ascii="Times New Roman" w:hAnsi="Times New Roman" w:cs="Times New Roman"/>
                <w:color w:val="auto"/>
                <w:highlight w:val="none"/>
                <w:lang w:val="en-US" w:eastAsia="zh-CN"/>
              </w:rPr>
              <w:t>，废物代码为900-249-08</w:t>
            </w:r>
            <w:r>
              <w:rPr>
                <w:rFonts w:hint="eastAsia" w:cs="Times New Roman"/>
                <w:color w:val="auto"/>
                <w:highlight w:val="none"/>
                <w:lang w:val="en-US" w:eastAsia="zh-CN"/>
              </w:rPr>
              <w:t>（其他生产、销售、使用过程中产生的废矿物油及沾染矿物油的废弃包装物）</w:t>
            </w:r>
            <w:r>
              <w:rPr>
                <w:rFonts w:hint="default" w:ascii="Times New Roman" w:hAnsi="Times New Roman" w:cs="Times New Roman"/>
                <w:color w:val="auto"/>
                <w:highlight w:val="none"/>
                <w:lang w:val="en-US" w:eastAsia="zh-CN"/>
              </w:rPr>
              <w:t>。</w:t>
            </w:r>
            <w:r>
              <w:rPr>
                <w:rFonts w:hint="eastAsia" w:cs="Times New Roman"/>
                <w:b w:val="0"/>
                <w:bCs w:val="0"/>
                <w:color w:val="auto"/>
                <w:kern w:val="2"/>
                <w:sz w:val="24"/>
                <w:szCs w:val="24"/>
                <w:highlight w:val="none"/>
                <w:lang w:val="en-US" w:eastAsia="zh-CN" w:bidi="ar-SA"/>
              </w:rPr>
              <w:t>包装完好的厂家回收，</w:t>
            </w:r>
            <w:r>
              <w:rPr>
                <w:rFonts w:hint="eastAsia" w:ascii="Times New Roman" w:hAnsi="Times New Roman" w:eastAsia="宋体" w:cs="Times New Roman"/>
                <w:b w:val="0"/>
                <w:bCs w:val="0"/>
                <w:color w:val="auto"/>
                <w:kern w:val="2"/>
                <w:sz w:val="24"/>
                <w:szCs w:val="24"/>
                <w:highlight w:val="none"/>
                <w:lang w:val="en-US" w:eastAsia="zh-CN" w:bidi="ar-SA"/>
              </w:rPr>
              <w:t>破损严重</w:t>
            </w:r>
            <w:r>
              <w:rPr>
                <w:rFonts w:hint="eastAsia" w:cs="Times New Roman"/>
                <w:b w:val="0"/>
                <w:bCs w:val="0"/>
                <w:color w:val="auto"/>
                <w:sz w:val="24"/>
                <w:szCs w:val="24"/>
                <w:highlight w:val="none"/>
                <w:lang w:val="en-US" w:eastAsia="zh-CN" w:bidi="ar-SA"/>
              </w:rPr>
              <w:t>的当作危废交由有资质单位处置。</w:t>
            </w:r>
          </w:p>
          <w:p w14:paraId="6B4D321B">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④</w:t>
            </w:r>
            <w:r>
              <w:rPr>
                <w:rFonts w:hint="eastAsia" w:ascii="Times New Roman" w:hAnsi="Times New Roman" w:cs="Times New Roman"/>
                <w:color w:val="auto"/>
                <w:highlight w:val="none"/>
                <w:lang w:val="en-US" w:eastAsia="zh-CN"/>
              </w:rPr>
              <w:t>废活性炭</w:t>
            </w:r>
          </w:p>
          <w:p w14:paraId="4CAB1D16">
            <w:pPr>
              <w:keepNext w:val="0"/>
              <w:keepLines w:val="0"/>
              <w:pageBreakBefore w:val="0"/>
              <w:widowControl w:val="0"/>
              <w:suppressLineNumbers w:val="0"/>
              <w:kinsoku/>
              <w:wordWrap/>
              <w:overflowPunct/>
              <w:topLinePunct w:val="0"/>
              <w:autoSpaceDE w:val="0"/>
              <w:autoSpaceDN w:val="0"/>
              <w:bidi w:val="0"/>
              <w:adjustRightInd w:val="0"/>
              <w:snapToGrid w:val="0"/>
              <w:spacing w:before="3" w:beforeAutospacing="0" w:after="0" w:afterAutospacing="0" w:line="359" w:lineRule="auto"/>
              <w:ind w:left="106" w:right="101" w:firstLine="480"/>
              <w:jc w:val="both"/>
              <w:textAlignment w:val="baseline"/>
              <w:rPr>
                <w:rFonts w:hint="default" w:ascii="宋体" w:hAnsi="宋体" w:eastAsia="宋体" w:cs="宋体"/>
                <w:snapToGrid w:val="0"/>
                <w:color w:val="000000"/>
                <w:spacing w:val="-1"/>
                <w:kern w:val="0"/>
                <w:sz w:val="24"/>
                <w:szCs w:val="24"/>
                <w:lang w:val="en-US" w:eastAsia="en-US" w:bidi="ar-SA"/>
              </w:rPr>
            </w:pPr>
            <w:r>
              <w:rPr>
                <w:rFonts w:hint="default" w:ascii="宋体" w:hAnsi="宋体" w:eastAsia="宋体" w:cs="宋体"/>
                <w:snapToGrid w:val="0"/>
                <w:color w:val="000000"/>
                <w:kern w:val="0"/>
                <w:sz w:val="24"/>
                <w:szCs w:val="24"/>
                <w:lang w:val="en-US" w:eastAsia="en-US" w:bidi="ar-SA"/>
              </w:rPr>
              <w:t>废活性炭：活性炭</w:t>
            </w:r>
            <w:r>
              <w:rPr>
                <w:rFonts w:hint="eastAsia" w:ascii="宋体" w:hAnsi="宋体" w:cs="宋体"/>
                <w:snapToGrid w:val="0"/>
                <w:color w:val="000000"/>
                <w:kern w:val="0"/>
                <w:sz w:val="24"/>
                <w:szCs w:val="24"/>
                <w:lang w:val="en-US" w:eastAsia="zh-CN" w:bidi="ar-SA"/>
              </w:rPr>
              <w:t>解析</w:t>
            </w:r>
            <w:r>
              <w:rPr>
                <w:rFonts w:hint="default" w:ascii="宋体" w:hAnsi="宋体" w:eastAsia="宋体" w:cs="宋体"/>
                <w:snapToGrid w:val="0"/>
                <w:color w:val="000000"/>
                <w:kern w:val="0"/>
                <w:sz w:val="24"/>
                <w:szCs w:val="24"/>
                <w:lang w:val="en-US" w:eastAsia="en-US" w:bidi="ar-SA"/>
              </w:rPr>
              <w:t>后重复利用。根据废气处理厂家提供的废气处理方案，本项</w:t>
            </w:r>
            <w:r>
              <w:rPr>
                <w:rFonts w:hint="default" w:ascii="宋体" w:hAnsi="宋体" w:eastAsia="宋体" w:cs="宋体"/>
                <w:snapToGrid w:val="0"/>
                <w:color w:val="000000"/>
                <w:spacing w:val="1"/>
                <w:kern w:val="0"/>
                <w:sz w:val="24"/>
                <w:szCs w:val="24"/>
                <w:lang w:val="en-US" w:eastAsia="en-US" w:bidi="ar-SA"/>
              </w:rPr>
              <w:t>目活性炭吸</w:t>
            </w:r>
            <w:r>
              <w:rPr>
                <w:rFonts w:hint="eastAsia" w:ascii="宋体" w:hAnsi="宋体" w:cs="宋体"/>
                <w:snapToGrid w:val="0"/>
                <w:color w:val="000000"/>
                <w:spacing w:val="1"/>
                <w:kern w:val="0"/>
                <w:sz w:val="24"/>
                <w:szCs w:val="24"/>
                <w:lang w:val="en-US" w:eastAsia="zh-CN" w:bidi="ar-SA"/>
              </w:rPr>
              <w:t>脱附</w:t>
            </w:r>
            <w:r>
              <w:rPr>
                <w:rFonts w:hint="default" w:ascii="宋体" w:hAnsi="宋体" w:eastAsia="宋体" w:cs="宋体"/>
                <w:snapToGrid w:val="0"/>
                <w:color w:val="000000"/>
                <w:spacing w:val="1"/>
                <w:kern w:val="0"/>
                <w:sz w:val="24"/>
                <w:szCs w:val="24"/>
                <w:lang w:val="en-US" w:eastAsia="en-US" w:bidi="ar-SA"/>
              </w:rPr>
              <w:t>装置设置</w:t>
            </w:r>
            <w:r>
              <w:rPr>
                <w:rFonts w:hint="eastAsia" w:eastAsia="宋体" w:cs="Times New Roman"/>
                <w:snapToGrid w:val="0"/>
                <w:color w:val="000000"/>
                <w:spacing w:val="1"/>
                <w:kern w:val="0"/>
                <w:sz w:val="24"/>
                <w:szCs w:val="24"/>
                <w:lang w:val="en-US" w:eastAsia="zh-CN" w:bidi="ar-SA"/>
              </w:rPr>
              <w:t>5</w:t>
            </w:r>
            <w:r>
              <w:rPr>
                <w:rFonts w:hint="default" w:ascii="宋体" w:hAnsi="宋体" w:eastAsia="宋体" w:cs="宋体"/>
                <w:snapToGrid w:val="0"/>
                <w:color w:val="000000"/>
                <w:spacing w:val="1"/>
                <w:kern w:val="0"/>
                <w:sz w:val="24"/>
                <w:szCs w:val="24"/>
                <w:lang w:val="en-US" w:eastAsia="en-US" w:bidi="ar-SA"/>
              </w:rPr>
              <w:t>个活性炭箱，工作时</w:t>
            </w:r>
            <w:r>
              <w:rPr>
                <w:rFonts w:hint="eastAsia" w:eastAsia="宋体" w:cs="Times New Roman"/>
                <w:snapToGrid w:val="0"/>
                <w:color w:val="000000"/>
                <w:spacing w:val="1"/>
                <w:kern w:val="0"/>
                <w:sz w:val="24"/>
                <w:szCs w:val="24"/>
                <w:lang w:val="en-US" w:eastAsia="zh-CN" w:bidi="ar-SA"/>
              </w:rPr>
              <w:t>4</w:t>
            </w:r>
            <w:r>
              <w:rPr>
                <w:rFonts w:hint="default" w:ascii="宋体" w:hAnsi="宋体" w:eastAsia="宋体" w:cs="宋体"/>
                <w:snapToGrid w:val="0"/>
                <w:color w:val="000000"/>
                <w:spacing w:val="1"/>
                <w:kern w:val="0"/>
                <w:sz w:val="24"/>
                <w:szCs w:val="24"/>
                <w:lang w:val="en-US" w:eastAsia="en-US" w:bidi="ar-SA"/>
              </w:rPr>
              <w:t>箱吸附，</w:t>
            </w:r>
            <w:r>
              <w:rPr>
                <w:rFonts w:hint="eastAsia" w:eastAsia="宋体" w:cs="Times New Roman"/>
                <w:snapToGrid w:val="0"/>
                <w:color w:val="000000"/>
                <w:spacing w:val="1"/>
                <w:kern w:val="0"/>
                <w:sz w:val="24"/>
                <w:szCs w:val="24"/>
                <w:lang w:val="en-US" w:eastAsia="zh-CN" w:bidi="ar-SA"/>
              </w:rPr>
              <w:t>1</w:t>
            </w:r>
            <w:r>
              <w:rPr>
                <w:rFonts w:hint="default" w:ascii="宋体" w:hAnsi="宋体" w:eastAsia="宋体" w:cs="宋体"/>
                <w:snapToGrid w:val="0"/>
                <w:color w:val="000000"/>
                <w:spacing w:val="1"/>
                <w:kern w:val="0"/>
                <w:sz w:val="24"/>
                <w:szCs w:val="24"/>
                <w:lang w:val="en-US" w:eastAsia="en-US" w:bidi="ar-SA"/>
              </w:rPr>
              <w:t>箱脱附。单个活性炭</w:t>
            </w:r>
            <w:r>
              <w:rPr>
                <w:rFonts w:hint="default" w:ascii="宋体" w:hAnsi="宋体" w:eastAsia="宋体" w:cs="宋体"/>
                <w:snapToGrid w:val="0"/>
                <w:color w:val="000000"/>
                <w:spacing w:val="-1"/>
                <w:kern w:val="0"/>
                <w:sz w:val="24"/>
                <w:szCs w:val="24"/>
                <w:lang w:val="en-US" w:eastAsia="en-US" w:bidi="ar-SA"/>
              </w:rPr>
              <w:t>箱填充</w:t>
            </w:r>
            <w:r>
              <w:rPr>
                <w:rFonts w:hint="default" w:ascii="Times New Roman" w:hAnsi="Times New Roman" w:eastAsia="Times New Roman" w:cs="Times New Roman"/>
                <w:snapToGrid w:val="0"/>
                <w:color w:val="000000"/>
                <w:spacing w:val="-1"/>
                <w:kern w:val="0"/>
                <w:sz w:val="24"/>
                <w:szCs w:val="24"/>
                <w:lang w:val="en-US" w:eastAsia="en-US" w:bidi="ar-SA"/>
              </w:rPr>
              <w:t>1t</w:t>
            </w:r>
            <w:r>
              <w:rPr>
                <w:rFonts w:hint="default" w:ascii="宋体" w:hAnsi="宋体" w:eastAsia="宋体" w:cs="宋体"/>
                <w:snapToGrid w:val="0"/>
                <w:color w:val="000000"/>
                <w:spacing w:val="-1"/>
                <w:kern w:val="0"/>
                <w:sz w:val="24"/>
                <w:szCs w:val="24"/>
                <w:lang w:val="en-US" w:eastAsia="en-US" w:bidi="ar-SA"/>
              </w:rPr>
              <w:t>的活性炭，则合计</w:t>
            </w:r>
            <w:r>
              <w:rPr>
                <w:rFonts w:hint="eastAsia" w:eastAsia="宋体" w:cs="Times New Roman"/>
                <w:snapToGrid w:val="0"/>
                <w:color w:val="000000"/>
                <w:spacing w:val="-1"/>
                <w:kern w:val="0"/>
                <w:sz w:val="24"/>
                <w:szCs w:val="24"/>
                <w:lang w:val="en-US" w:eastAsia="zh-CN" w:bidi="ar-SA"/>
              </w:rPr>
              <w:t>5</w:t>
            </w:r>
            <w:r>
              <w:rPr>
                <w:rFonts w:hint="default" w:ascii="宋体" w:hAnsi="宋体" w:eastAsia="宋体" w:cs="宋体"/>
                <w:snapToGrid w:val="0"/>
                <w:color w:val="000000"/>
                <w:spacing w:val="-1"/>
                <w:kern w:val="0"/>
                <w:sz w:val="24"/>
                <w:szCs w:val="24"/>
                <w:lang w:val="en-US" w:eastAsia="en-US" w:bidi="ar-SA"/>
              </w:rPr>
              <w:t>个活性炭共填充量为</w:t>
            </w:r>
            <w:r>
              <w:rPr>
                <w:rFonts w:hint="eastAsia" w:eastAsia="宋体" w:cs="Times New Roman"/>
                <w:snapToGrid w:val="0"/>
                <w:color w:val="000000"/>
                <w:spacing w:val="-1"/>
                <w:kern w:val="0"/>
                <w:sz w:val="24"/>
                <w:szCs w:val="24"/>
                <w:lang w:val="en-US" w:eastAsia="zh-CN" w:bidi="ar-SA"/>
              </w:rPr>
              <w:t>5</w:t>
            </w:r>
            <w:r>
              <w:rPr>
                <w:rFonts w:hint="default" w:ascii="Times New Roman" w:hAnsi="Times New Roman" w:eastAsia="Times New Roman" w:cs="Times New Roman"/>
                <w:snapToGrid w:val="0"/>
                <w:color w:val="000000"/>
                <w:spacing w:val="-1"/>
                <w:kern w:val="0"/>
                <w:sz w:val="24"/>
                <w:szCs w:val="24"/>
                <w:lang w:val="en-US" w:eastAsia="en-US" w:bidi="ar-SA"/>
              </w:rPr>
              <w:t>t</w:t>
            </w:r>
            <w:r>
              <w:rPr>
                <w:rFonts w:hint="default" w:ascii="宋体" w:hAnsi="宋体" w:eastAsia="宋体" w:cs="宋体"/>
                <w:snapToGrid w:val="0"/>
                <w:color w:val="000000"/>
                <w:spacing w:val="-1"/>
                <w:kern w:val="0"/>
                <w:sz w:val="24"/>
                <w:szCs w:val="24"/>
                <w:lang w:val="en-US" w:eastAsia="en-US" w:bidi="ar-SA"/>
              </w:rPr>
              <w:t>活性炭，活性炭经</w:t>
            </w:r>
            <w:r>
              <w:rPr>
                <w:rFonts w:hint="default" w:ascii="宋体" w:hAnsi="宋体" w:eastAsia="宋体" w:cs="宋体"/>
                <w:snapToGrid w:val="0"/>
                <w:color w:val="000000"/>
                <w:spacing w:val="-2"/>
                <w:kern w:val="0"/>
                <w:sz w:val="24"/>
                <w:szCs w:val="24"/>
                <w:lang w:val="en-US" w:eastAsia="en-US" w:bidi="ar-SA"/>
              </w:rPr>
              <w:t>过吸附</w:t>
            </w:r>
            <w:r>
              <w:rPr>
                <w:rFonts w:hint="default" w:ascii="Times New Roman" w:hAnsi="Times New Roman" w:eastAsia="Times New Roman" w:cs="Times New Roman"/>
                <w:snapToGrid w:val="0"/>
                <w:color w:val="000000"/>
                <w:spacing w:val="-2"/>
                <w:kern w:val="0"/>
                <w:sz w:val="24"/>
                <w:szCs w:val="24"/>
                <w:lang w:val="en-US" w:eastAsia="en-US" w:bidi="ar-SA"/>
              </w:rPr>
              <w:t>/</w:t>
            </w:r>
            <w:r>
              <w:rPr>
                <w:rFonts w:hint="default" w:ascii="宋体" w:hAnsi="宋体" w:eastAsia="宋体" w:cs="宋体"/>
                <w:snapToGrid w:val="0"/>
                <w:color w:val="000000"/>
                <w:spacing w:val="-2"/>
                <w:kern w:val="0"/>
                <w:sz w:val="24"/>
                <w:szCs w:val="24"/>
                <w:lang w:val="en-US" w:eastAsia="en-US" w:bidi="ar-SA"/>
              </w:rPr>
              <w:t>脱附后</w:t>
            </w:r>
            <w:r>
              <w:rPr>
                <w:rFonts w:hint="default" w:ascii="宋体" w:hAnsi="宋体" w:eastAsia="宋体" w:cs="宋体"/>
                <w:snapToGrid w:val="0"/>
                <w:color w:val="000000"/>
                <w:spacing w:val="-4"/>
                <w:kern w:val="0"/>
                <w:sz w:val="24"/>
                <w:szCs w:val="24"/>
                <w:lang w:val="en-US" w:eastAsia="en-US" w:bidi="ar-SA"/>
              </w:rPr>
              <w:t>性能会有所下降，一般</w:t>
            </w:r>
            <w:r>
              <w:rPr>
                <w:rFonts w:hint="eastAsia" w:eastAsia="宋体" w:cs="Times New Roman"/>
                <w:snapToGrid w:val="0"/>
                <w:color w:val="000000"/>
                <w:spacing w:val="-4"/>
                <w:kern w:val="0"/>
                <w:sz w:val="24"/>
                <w:szCs w:val="24"/>
                <w:lang w:val="en-US" w:eastAsia="zh-CN" w:bidi="ar-SA"/>
              </w:rPr>
              <w:t>3</w:t>
            </w:r>
            <w:r>
              <w:rPr>
                <w:rFonts w:hint="default" w:ascii="宋体" w:hAnsi="宋体" w:eastAsia="宋体" w:cs="宋体"/>
                <w:snapToGrid w:val="0"/>
                <w:color w:val="000000"/>
                <w:spacing w:val="-4"/>
                <w:kern w:val="0"/>
                <w:sz w:val="24"/>
                <w:szCs w:val="24"/>
                <w:lang w:val="en-US" w:eastAsia="en-US" w:bidi="ar-SA"/>
              </w:rPr>
              <w:t>年更换</w:t>
            </w:r>
            <w:r>
              <w:rPr>
                <w:rFonts w:hint="default" w:ascii="Times New Roman" w:hAnsi="Times New Roman" w:eastAsia="Times New Roman" w:cs="Times New Roman"/>
                <w:snapToGrid w:val="0"/>
                <w:color w:val="000000"/>
                <w:spacing w:val="-4"/>
                <w:kern w:val="0"/>
                <w:sz w:val="24"/>
                <w:szCs w:val="24"/>
                <w:lang w:val="en-US" w:eastAsia="en-US" w:bidi="ar-SA"/>
              </w:rPr>
              <w:t>1</w:t>
            </w:r>
            <w:r>
              <w:rPr>
                <w:rFonts w:hint="default" w:ascii="宋体" w:hAnsi="宋体" w:eastAsia="宋体" w:cs="宋体"/>
                <w:snapToGrid w:val="0"/>
                <w:color w:val="000000"/>
                <w:spacing w:val="-4"/>
                <w:kern w:val="0"/>
                <w:sz w:val="24"/>
                <w:szCs w:val="24"/>
                <w:lang w:val="en-US" w:eastAsia="en-US" w:bidi="ar-SA"/>
              </w:rPr>
              <w:t>次，更换的活性炭均为脱附完成后的废活性炭</w:t>
            </w:r>
            <w:r>
              <w:rPr>
                <w:rFonts w:hint="eastAsia" w:ascii="宋体" w:hAnsi="宋体" w:cs="宋体"/>
                <w:snapToGrid w:val="0"/>
                <w:color w:val="000000"/>
                <w:spacing w:val="-4"/>
                <w:kern w:val="0"/>
                <w:sz w:val="24"/>
                <w:szCs w:val="24"/>
                <w:lang w:val="en-US" w:eastAsia="zh-CN" w:bidi="ar-SA"/>
              </w:rPr>
              <w:t>（</w:t>
            </w:r>
            <w:r>
              <w:rPr>
                <w:rFonts w:hint="default" w:ascii="宋体" w:hAnsi="宋体" w:eastAsia="宋体" w:cs="宋体"/>
                <w:snapToGrid w:val="0"/>
                <w:color w:val="000000"/>
                <w:spacing w:val="-4"/>
                <w:kern w:val="0"/>
                <w:sz w:val="24"/>
                <w:szCs w:val="24"/>
                <w:lang w:val="en-US" w:eastAsia="en-US" w:bidi="ar-SA"/>
              </w:rPr>
              <w:t>不考虑</w:t>
            </w:r>
            <w:r>
              <w:rPr>
                <w:rFonts w:hint="default" w:ascii="宋体" w:hAnsi="宋体" w:eastAsia="宋体" w:cs="宋体"/>
                <w:snapToGrid w:val="0"/>
                <w:color w:val="000000"/>
                <w:spacing w:val="-2"/>
                <w:kern w:val="0"/>
                <w:sz w:val="24"/>
                <w:szCs w:val="24"/>
                <w:lang w:val="en-US" w:eastAsia="en-US" w:bidi="ar-SA"/>
              </w:rPr>
              <w:t>有机废气量</w:t>
            </w:r>
            <w:r>
              <w:rPr>
                <w:rFonts w:hint="eastAsia" w:ascii="宋体" w:hAnsi="宋体" w:cs="宋体"/>
                <w:snapToGrid w:val="0"/>
                <w:color w:val="000000"/>
                <w:spacing w:val="-2"/>
                <w:kern w:val="0"/>
                <w:sz w:val="24"/>
                <w:szCs w:val="24"/>
                <w:lang w:val="en-US" w:eastAsia="zh-CN" w:bidi="ar-SA"/>
              </w:rPr>
              <w:t>）</w:t>
            </w:r>
            <w:r>
              <w:rPr>
                <w:rFonts w:hint="default" w:ascii="宋体" w:hAnsi="宋体" w:eastAsia="宋体" w:cs="宋体"/>
                <w:snapToGrid w:val="0"/>
                <w:color w:val="000000"/>
                <w:spacing w:val="-2"/>
                <w:kern w:val="0"/>
                <w:sz w:val="24"/>
                <w:szCs w:val="24"/>
                <w:lang w:val="en-US" w:eastAsia="en-US" w:bidi="ar-SA"/>
              </w:rPr>
              <w:t>，因此更换活性炭产生量为</w:t>
            </w:r>
            <w:r>
              <w:rPr>
                <w:rFonts w:hint="eastAsia" w:ascii="Times New Roman" w:hAnsi="Times New Roman" w:eastAsia="Times New Roman" w:cs="Times New Roman"/>
                <w:snapToGrid w:val="0"/>
                <w:color w:val="000000"/>
                <w:spacing w:val="-2"/>
                <w:kern w:val="0"/>
                <w:sz w:val="24"/>
                <w:szCs w:val="24"/>
                <w:lang w:val="en-US" w:eastAsia="zh-CN" w:bidi="ar-SA"/>
              </w:rPr>
              <w:t>1.67</w:t>
            </w:r>
            <w:r>
              <w:rPr>
                <w:rFonts w:hint="default" w:ascii="Times New Roman" w:hAnsi="Times New Roman" w:eastAsia="Times New Roman" w:cs="Times New Roman"/>
                <w:snapToGrid w:val="0"/>
                <w:color w:val="000000"/>
                <w:spacing w:val="-2"/>
                <w:kern w:val="0"/>
                <w:sz w:val="24"/>
                <w:szCs w:val="24"/>
                <w:lang w:val="en-US" w:eastAsia="en-US" w:bidi="ar-SA"/>
              </w:rPr>
              <w:t>t/a</w:t>
            </w:r>
            <w:r>
              <w:rPr>
                <w:rFonts w:hint="default" w:ascii="宋体" w:hAnsi="宋体" w:eastAsia="宋体" w:cs="宋体"/>
                <w:snapToGrid w:val="0"/>
                <w:color w:val="000000"/>
                <w:spacing w:val="-2"/>
                <w:kern w:val="0"/>
                <w:sz w:val="24"/>
                <w:szCs w:val="24"/>
                <w:lang w:val="en-US" w:eastAsia="en-US" w:bidi="ar-SA"/>
              </w:rPr>
              <w:t>。经查《国家危险废物名录》，废活性炭属</w:t>
            </w:r>
            <w:r>
              <w:rPr>
                <w:rFonts w:hint="default" w:ascii="宋体" w:hAnsi="宋体" w:eastAsia="宋体" w:cs="宋体"/>
                <w:snapToGrid w:val="0"/>
                <w:color w:val="000000"/>
                <w:kern w:val="0"/>
                <w:sz w:val="24"/>
                <w:szCs w:val="24"/>
                <w:lang w:val="en-US" w:eastAsia="en-US" w:bidi="ar-SA"/>
              </w:rPr>
              <w:t>于危废固废，废物类别为</w:t>
            </w:r>
            <w:r>
              <w:rPr>
                <w:rFonts w:hint="default" w:ascii="Times New Roman" w:hAnsi="Times New Roman" w:eastAsia="Times New Roman" w:cs="Times New Roman"/>
                <w:snapToGrid w:val="0"/>
                <w:color w:val="000000"/>
                <w:kern w:val="0"/>
                <w:sz w:val="24"/>
                <w:szCs w:val="24"/>
                <w:lang w:val="en-US" w:eastAsia="en-US" w:bidi="ar-SA"/>
              </w:rPr>
              <w:t>HW49</w:t>
            </w:r>
            <w:r>
              <w:rPr>
                <w:rFonts w:hint="default" w:ascii="宋体" w:hAnsi="宋体" w:eastAsia="宋体" w:cs="宋体"/>
                <w:snapToGrid w:val="0"/>
                <w:color w:val="000000"/>
                <w:kern w:val="0"/>
                <w:sz w:val="24"/>
                <w:szCs w:val="24"/>
                <w:lang w:val="en-US" w:eastAsia="en-US" w:bidi="ar-SA"/>
              </w:rPr>
              <w:t>（其他废物</w:t>
            </w:r>
            <w:r>
              <w:rPr>
                <w:rFonts w:hint="default" w:ascii="宋体" w:hAnsi="宋体" w:eastAsia="宋体" w:cs="宋体"/>
                <w:snapToGrid w:val="0"/>
                <w:color w:val="000000"/>
                <w:spacing w:val="6"/>
                <w:kern w:val="0"/>
                <w:sz w:val="24"/>
                <w:szCs w:val="24"/>
                <w:lang w:val="en-US" w:eastAsia="en-US" w:bidi="ar-SA"/>
              </w:rPr>
              <w:t>），</w:t>
            </w:r>
            <w:r>
              <w:rPr>
                <w:rFonts w:hint="default" w:ascii="宋体" w:hAnsi="宋体" w:eastAsia="宋体" w:cs="宋体"/>
                <w:snapToGrid w:val="0"/>
                <w:color w:val="000000"/>
                <w:kern w:val="0"/>
                <w:sz w:val="24"/>
                <w:szCs w:val="24"/>
                <w:lang w:val="en-US" w:eastAsia="en-US" w:bidi="ar-SA"/>
              </w:rPr>
              <w:t>代码</w:t>
            </w:r>
            <w:r>
              <w:rPr>
                <w:rFonts w:hint="default" w:ascii="Times New Roman" w:hAnsi="Times New Roman" w:eastAsia="Times New Roman" w:cs="Times New Roman"/>
                <w:snapToGrid w:val="0"/>
                <w:color w:val="000000"/>
                <w:kern w:val="0"/>
                <w:sz w:val="24"/>
                <w:szCs w:val="24"/>
                <w:lang w:val="en-US" w:eastAsia="en-US" w:bidi="ar-SA"/>
              </w:rPr>
              <w:t>900-</w:t>
            </w:r>
            <w:r>
              <w:rPr>
                <w:rFonts w:hint="default" w:ascii="Times New Roman" w:hAnsi="Times New Roman" w:eastAsia="Times New Roman" w:cs="Times New Roman"/>
                <w:snapToGrid w:val="0"/>
                <w:color w:val="000000"/>
                <w:spacing w:val="-1"/>
                <w:kern w:val="0"/>
                <w:sz w:val="24"/>
                <w:szCs w:val="24"/>
                <w:lang w:val="en-US" w:eastAsia="en-US" w:bidi="ar-SA"/>
              </w:rPr>
              <w:t>039-49</w:t>
            </w:r>
            <w:r>
              <w:rPr>
                <w:rFonts w:hint="default" w:ascii="宋体" w:hAnsi="宋体" w:eastAsia="宋体" w:cs="宋体"/>
                <w:snapToGrid w:val="0"/>
                <w:color w:val="000000"/>
                <w:spacing w:val="-1"/>
                <w:kern w:val="0"/>
                <w:sz w:val="24"/>
                <w:szCs w:val="24"/>
                <w:lang w:val="en-US" w:eastAsia="en-US" w:bidi="ar-SA"/>
              </w:rPr>
              <w:t>，集中收集后暂存于危废暂存间，交由具有相应资质的单位处置。</w:t>
            </w:r>
          </w:p>
          <w:p w14:paraId="6B636F5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⑤</w:t>
            </w:r>
            <w:r>
              <w:rPr>
                <w:rFonts w:hint="eastAsia" w:ascii="Times New Roman" w:hAnsi="Times New Roman" w:eastAsia="宋体" w:cs="Times New Roman"/>
                <w:color w:val="auto"/>
                <w:highlight w:val="none"/>
                <w:lang w:val="en-US" w:eastAsia="zh-CN"/>
              </w:rPr>
              <w:t>废油剂桶</w:t>
            </w:r>
          </w:p>
          <w:p w14:paraId="4087047C">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eastAsia="宋体" w:cs="Times New Roman"/>
                <w:color w:val="auto"/>
                <w:highlight w:val="none"/>
                <w:lang w:val="en-US" w:eastAsia="en-US"/>
              </w:rPr>
            </w:pPr>
            <w:r>
              <w:rPr>
                <w:rFonts w:hint="eastAsia" w:ascii="Times New Roman" w:hAnsi="Times New Roman" w:eastAsia="宋体" w:cs="Times New Roman"/>
                <w:color w:val="auto"/>
                <w:highlight w:val="none"/>
                <w:lang w:val="en-US" w:eastAsia="zh-CN"/>
              </w:rPr>
              <w:t>本项目加弹生产过程中使用油剂，会有废油剂桶产生。本项目油剂使用总量约8t/a，塑料桶装，1t/桶，约8桶，单个空桶重约15kg，则废油剂桶产生量约0.12t/a，交由油剂供应商回收利用。</w:t>
            </w:r>
            <w:r>
              <w:rPr>
                <w:rFonts w:hint="eastAsia" w:ascii="Times New Roman" w:hAnsi="Times New Roman" w:eastAsia="宋体" w:cs="Times New Roman"/>
                <w:color w:val="auto"/>
                <w:highlight w:val="none"/>
                <w:lang w:val="en-US" w:eastAsia="en-US"/>
              </w:rPr>
              <w:t>对照《国家危险废物名录》（2025年版），属于危险废物，废物类别为HW49（其他废物），废物代码为900-041-49（含有或沾染毒性、感染性危险废物的废弃包装物、容器、过滤吸附介质），危险特性T/In，不能由油剂原料供应商回收利用，应收集后暂存于厂区内的危废暂存间，交于有资质单位处置。</w:t>
            </w:r>
          </w:p>
          <w:p w14:paraId="58F32D1D">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s="Times New Roman"/>
                <w:color w:val="auto"/>
                <w:highlight w:val="none"/>
                <w:lang w:val="en-US" w:eastAsia="zh-CN"/>
              </w:rPr>
            </w:pPr>
            <w:r>
              <w:rPr>
                <w:rFonts w:hint="eastAsia" w:cs="Times New Roman"/>
                <w:color w:val="auto"/>
                <w:highlight w:val="none"/>
                <w:lang w:val="en-US" w:eastAsia="zh-CN"/>
              </w:rPr>
              <w:t>⑥废催化剂</w:t>
            </w:r>
          </w:p>
          <w:p w14:paraId="6FEBF316">
            <w:pPr>
              <w:pStyle w:val="4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rPr>
              <w:t>项目</w:t>
            </w:r>
            <w:r>
              <w:rPr>
                <w:rFonts w:hint="eastAsia" w:ascii="Times New Roman" w:hAnsi="Times New Roman" w:eastAsia="宋体" w:cs="Times New Roman"/>
                <w:color w:val="auto"/>
                <w:lang w:val="en-US" w:eastAsia="zh-CN"/>
              </w:rPr>
              <w:t>设置1</w:t>
            </w:r>
            <w:r>
              <w:rPr>
                <w:rFonts w:hint="default" w:ascii="Times New Roman" w:hAnsi="Times New Roman" w:cs="Times New Roman"/>
                <w:color w:val="auto"/>
              </w:rPr>
              <w:t>套活性炭吸附脱附+催化燃烧设备，</w:t>
            </w:r>
            <w:r>
              <w:rPr>
                <w:rFonts w:hint="default" w:ascii="Times New Roman" w:hAnsi="Times New Roman" w:cs="Times New Roman"/>
                <w:color w:val="auto"/>
                <w:lang w:eastAsia="zh-CN"/>
              </w:rPr>
              <w:t>催化燃烧设备使用的催化剂是含有金属铂</w:t>
            </w:r>
            <w:r>
              <w:rPr>
                <w:rFonts w:hint="default" w:ascii="Times New Roman" w:hAnsi="Times New Roman" w:cs="Times New Roman"/>
                <w:color w:val="auto"/>
                <w:lang w:val="en-US" w:eastAsia="zh-CN"/>
              </w:rPr>
              <w:t>或钯系</w:t>
            </w:r>
            <w:r>
              <w:rPr>
                <w:rFonts w:hint="default" w:ascii="Times New Roman" w:hAnsi="Times New Roman" w:cs="Times New Roman"/>
                <w:color w:val="auto"/>
                <w:lang w:eastAsia="zh-CN"/>
              </w:rPr>
              <w:t>的固体催化剂，</w:t>
            </w:r>
            <w:r>
              <w:rPr>
                <w:rFonts w:hint="default" w:ascii="Times New Roman" w:hAnsi="Times New Roman" w:cs="Times New Roman"/>
                <w:color w:val="auto"/>
                <w:lang w:val="en-US" w:eastAsia="zh-CN"/>
              </w:rPr>
              <w:t>在废气处理过程中会产生废催化剂。</w:t>
            </w:r>
            <w:r>
              <w:rPr>
                <w:rFonts w:hint="default" w:ascii="Times New Roman" w:hAnsi="Times New Roman" w:cs="Times New Roman"/>
                <w:color w:val="auto"/>
                <w:lang w:eastAsia="zh-CN"/>
              </w:rPr>
              <w:t>催化剂约</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年更换一次，催化剂装填量约</w:t>
            </w:r>
            <w:r>
              <w:rPr>
                <w:rFonts w:hint="default" w:ascii="Times New Roman" w:hAnsi="Times New Roman" w:cs="Times New Roman"/>
                <w:color w:val="auto"/>
                <w:lang w:val="en-US" w:eastAsia="zh-CN"/>
              </w:rPr>
              <w:t>0.8t，则</w:t>
            </w:r>
            <w:r>
              <w:rPr>
                <w:rFonts w:hint="default" w:ascii="Times New Roman" w:hAnsi="Times New Roman" w:cs="Times New Roman"/>
                <w:color w:val="auto"/>
                <w:lang w:eastAsia="zh-CN"/>
              </w:rPr>
              <w:t>废催化剂</w:t>
            </w:r>
            <w:r>
              <w:rPr>
                <w:rFonts w:hint="default" w:ascii="Times New Roman" w:hAnsi="Times New Roman" w:cs="Times New Roman"/>
                <w:color w:val="auto"/>
                <w:lang w:val="en-US" w:eastAsia="zh-CN"/>
              </w:rPr>
              <w:t>的</w:t>
            </w:r>
            <w:r>
              <w:rPr>
                <w:rFonts w:hint="default" w:ascii="Times New Roman" w:hAnsi="Times New Roman" w:cs="Times New Roman"/>
                <w:color w:val="auto"/>
                <w:lang w:eastAsia="zh-CN"/>
              </w:rPr>
              <w:t>产生量约</w:t>
            </w:r>
            <w:r>
              <w:rPr>
                <w:rFonts w:hint="default" w:ascii="Times New Roman" w:hAnsi="Times New Roman" w:cs="Times New Roman"/>
                <w:color w:val="auto"/>
                <w:lang w:val="en-US" w:eastAsia="zh-CN"/>
              </w:rPr>
              <w:t>为0.</w:t>
            </w:r>
            <w:r>
              <w:rPr>
                <w:rFonts w:hint="eastAsia" w:cs="Times New Roman"/>
                <w:color w:val="auto"/>
                <w:lang w:val="en-US" w:eastAsia="zh-CN"/>
              </w:rPr>
              <w:t>2</w:t>
            </w:r>
            <w:r>
              <w:rPr>
                <w:rFonts w:hint="default" w:ascii="Times New Roman" w:hAnsi="Times New Roman" w:cs="Times New Roman"/>
                <w:color w:val="auto"/>
                <w:lang w:eastAsia="zh-CN"/>
              </w:rPr>
              <w:t>t/a。</w:t>
            </w:r>
            <w:r>
              <w:rPr>
                <w:rFonts w:hint="eastAsia" w:cs="Times New Roman"/>
                <w:color w:val="auto"/>
                <w:lang w:val="en-US" w:eastAsia="zh-CN"/>
              </w:rPr>
              <w:t>根据</w:t>
            </w:r>
            <w:r>
              <w:rPr>
                <w:rFonts w:hint="default" w:ascii="Times New Roman" w:hAnsi="Times New Roman" w:cs="Times New Roman"/>
                <w:color w:val="auto"/>
                <w:lang w:eastAsia="zh-CN"/>
              </w:rPr>
              <w:t>《国家危险废物名录》（202</w:t>
            </w:r>
            <w:r>
              <w:rPr>
                <w:rFonts w:hint="eastAsia" w:cs="Times New Roman"/>
                <w:color w:val="auto"/>
                <w:lang w:val="en-US" w:eastAsia="zh-CN"/>
              </w:rPr>
              <w:t>5</w:t>
            </w:r>
            <w:r>
              <w:rPr>
                <w:rFonts w:hint="default" w:ascii="Times New Roman" w:hAnsi="Times New Roman" w:cs="Times New Roman"/>
                <w:color w:val="auto"/>
                <w:lang w:eastAsia="zh-CN"/>
              </w:rPr>
              <w:t>年版），HW50废催化剂</w:t>
            </w:r>
            <w:r>
              <w:rPr>
                <w:rFonts w:hint="default" w:ascii="Times New Roman" w:hAnsi="Times New Roman" w:cs="Times New Roman"/>
                <w:color w:val="auto"/>
                <w:lang w:val="en-US" w:eastAsia="zh-CN"/>
              </w:rPr>
              <w:t>中</w:t>
            </w:r>
            <w:r>
              <w:rPr>
                <w:rFonts w:hint="eastAsia" w:ascii="宋体" w:hAnsi="宋体" w:eastAsia="宋体" w:cs="宋体"/>
                <w:color w:val="auto"/>
                <w:lang w:val="en-US" w:eastAsia="zh-CN"/>
              </w:rPr>
              <w:t>“</w:t>
            </w:r>
            <w:r>
              <w:rPr>
                <w:rFonts w:hint="default" w:ascii="Times New Roman" w:hAnsi="Times New Roman" w:cs="Times New Roman"/>
                <w:color w:val="auto"/>
                <w:lang w:val="en-US" w:eastAsia="zh-CN"/>
              </w:rPr>
              <w:t>环境治理业--烟气脱硝过程中产生的废钒钛系催化剂</w:t>
            </w:r>
            <w:r>
              <w:rPr>
                <w:rFonts w:hint="eastAsia" w:ascii="宋体" w:hAnsi="宋体" w:eastAsia="宋体" w:cs="宋体"/>
                <w:color w:val="auto"/>
                <w:lang w:val="en-US" w:eastAsia="zh-CN"/>
              </w:rPr>
              <w:t>”和“</w:t>
            </w:r>
            <w:r>
              <w:rPr>
                <w:rFonts w:hint="default" w:ascii="Times New Roman" w:hAnsi="Times New Roman" w:cs="Times New Roman"/>
                <w:color w:val="auto"/>
                <w:lang w:val="en-US" w:eastAsia="zh-CN"/>
              </w:rPr>
              <w:t>非特定行业--废液体催化剂、机动车和非道路移动机械尾气净化废催化剂</w:t>
            </w:r>
            <w:r>
              <w:rPr>
                <w:rFonts w:hint="eastAsia" w:ascii="宋体" w:hAnsi="宋体" w:eastAsia="宋体" w:cs="宋体"/>
                <w:color w:val="auto"/>
                <w:lang w:val="en-US" w:eastAsia="zh-CN"/>
              </w:rPr>
              <w:t>”</w:t>
            </w:r>
            <w:r>
              <w:rPr>
                <w:rFonts w:hint="default" w:ascii="Times New Roman" w:hAnsi="Times New Roman" w:cs="Times New Roman"/>
                <w:color w:val="auto"/>
                <w:lang w:eastAsia="zh-CN"/>
              </w:rPr>
              <w:t>属于危险废物，项目使用的催化剂是含有金属铂</w:t>
            </w:r>
            <w:r>
              <w:rPr>
                <w:rFonts w:hint="default" w:ascii="Times New Roman" w:hAnsi="Times New Roman" w:cs="Times New Roman"/>
                <w:color w:val="auto"/>
                <w:lang w:val="en-US" w:eastAsia="zh-CN"/>
              </w:rPr>
              <w:t>或钯系</w:t>
            </w:r>
            <w:r>
              <w:rPr>
                <w:rFonts w:hint="default" w:ascii="Times New Roman" w:hAnsi="Times New Roman" w:eastAsia="宋体" w:cs="Times New Roman"/>
                <w:color w:val="auto"/>
                <w:lang w:val="en-US" w:eastAsia="zh-CN"/>
              </w:rPr>
              <w:t>的固体催化剂，应属于危险废物。废物代码为772-007-50</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经收集后暂存于危险废物暂存间，定期委托有资质单位处理。</w:t>
            </w:r>
          </w:p>
          <w:p w14:paraId="2ABD8D4B">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⑦</w:t>
            </w:r>
            <w:r>
              <w:rPr>
                <w:rFonts w:hint="default" w:ascii="Times New Roman" w:hAnsi="Times New Roman" w:cs="Times New Roman"/>
                <w:color w:val="auto"/>
                <w:highlight w:val="none"/>
                <w:lang w:val="en-US" w:eastAsia="zh-CN"/>
              </w:rPr>
              <w:t>废含油手套、废抹布</w:t>
            </w:r>
          </w:p>
          <w:p w14:paraId="5C02534C">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设备维修过程中会使用手套和抹布，根据建设单位提供资料，废</w:t>
            </w:r>
            <w:r>
              <w:rPr>
                <w:rFonts w:hint="default" w:ascii="Times New Roman" w:hAnsi="Times New Roman" w:cs="Times New Roman"/>
                <w:color w:val="auto"/>
                <w:highlight w:val="none"/>
                <w:lang w:eastAsia="zh-CN"/>
              </w:rPr>
              <w:t>含油手套、</w:t>
            </w:r>
            <w:r>
              <w:rPr>
                <w:rFonts w:hint="default" w:ascii="Times New Roman" w:hAnsi="Times New Roman" w:cs="Times New Roman"/>
                <w:color w:val="auto"/>
                <w:highlight w:val="none"/>
                <w:lang w:val="en-US" w:eastAsia="zh-CN"/>
              </w:rPr>
              <w:t>废抹布产生量共计为0.01t/a，属于危险废物，根据《国家危险废物名录》（202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版），废物类别为HW49其他废物，废物代码为900-0</w:t>
            </w:r>
            <w:r>
              <w:rPr>
                <w:rFonts w:hint="eastAsia" w:ascii="Times New Roman" w:hAnsi="Times New Roman" w:cs="Times New Roman"/>
                <w:color w:val="auto"/>
                <w:highlight w:val="none"/>
                <w:lang w:val="en-US" w:eastAsia="zh-CN"/>
              </w:rPr>
              <w:t>41</w:t>
            </w:r>
            <w:r>
              <w:rPr>
                <w:rFonts w:hint="default" w:ascii="Times New Roman" w:hAnsi="Times New Roman" w:cs="Times New Roman"/>
                <w:color w:val="auto"/>
                <w:highlight w:val="none"/>
                <w:lang w:val="en-US" w:eastAsia="zh-CN"/>
              </w:rPr>
              <w:t>-49，收集后暂存于危废暂存间，委托有资质单位处置。</w:t>
            </w:r>
          </w:p>
          <w:p w14:paraId="13D3270D">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本项目</w:t>
            </w:r>
            <w:r>
              <w:rPr>
                <w:rFonts w:hint="default" w:ascii="Times New Roman" w:hAnsi="Times New Roman" w:cs="Times New Roman"/>
                <w:color w:val="auto"/>
                <w:highlight w:val="none"/>
              </w:rPr>
              <w:t>固废产生情况及处理措施详见下表。</w:t>
            </w:r>
          </w:p>
          <w:p w14:paraId="39B293C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19本项目</w:t>
            </w:r>
            <w:r>
              <w:rPr>
                <w:rFonts w:hint="default" w:ascii="Times New Roman" w:hAnsi="Times New Roman" w:cs="Times New Roman"/>
                <w:color w:val="auto"/>
                <w:highlight w:val="none"/>
              </w:rPr>
              <w:t>固废产生情况及处理措施</w:t>
            </w:r>
          </w:p>
          <w:tbl>
            <w:tblPr>
              <w:tblStyle w:val="26"/>
              <w:tblW w:w="98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503"/>
              <w:gridCol w:w="2233"/>
              <w:gridCol w:w="1641"/>
              <w:gridCol w:w="1429"/>
              <w:gridCol w:w="1045"/>
              <w:gridCol w:w="1977"/>
            </w:tblGrid>
            <w:tr w14:paraId="0A1CD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503" w:type="dxa"/>
                  <w:noWrap w:val="0"/>
                  <w:vAlign w:val="center"/>
                </w:tcPr>
                <w:p w14:paraId="0E340EBC">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2233" w:type="dxa"/>
                  <w:noWrap w:val="0"/>
                  <w:vAlign w:val="center"/>
                </w:tcPr>
                <w:p w14:paraId="521E4F7C">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废物名称</w:t>
                  </w:r>
                </w:p>
              </w:tc>
              <w:tc>
                <w:tcPr>
                  <w:tcW w:w="1641" w:type="dxa"/>
                  <w:noWrap w:val="0"/>
                  <w:vAlign w:val="center"/>
                </w:tcPr>
                <w:p w14:paraId="50D483A5">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产生环节</w:t>
                  </w:r>
                </w:p>
              </w:tc>
              <w:tc>
                <w:tcPr>
                  <w:tcW w:w="1429" w:type="dxa"/>
                  <w:noWrap w:val="0"/>
                  <w:vAlign w:val="center"/>
                </w:tcPr>
                <w:p w14:paraId="3C2A0FF4">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产生量（t/a）</w:t>
                  </w:r>
                </w:p>
              </w:tc>
              <w:tc>
                <w:tcPr>
                  <w:tcW w:w="1045" w:type="dxa"/>
                  <w:noWrap w:val="0"/>
                  <w:vAlign w:val="center"/>
                </w:tcPr>
                <w:p w14:paraId="1E8DE84D">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固废类别</w:t>
                  </w:r>
                </w:p>
              </w:tc>
              <w:tc>
                <w:tcPr>
                  <w:tcW w:w="1977" w:type="dxa"/>
                  <w:noWrap w:val="0"/>
                  <w:vAlign w:val="center"/>
                </w:tcPr>
                <w:p w14:paraId="3CD231B9">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处置措施</w:t>
                  </w:r>
                </w:p>
              </w:tc>
            </w:tr>
            <w:tr w14:paraId="53590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503" w:type="dxa"/>
                  <w:noWrap w:val="0"/>
                  <w:vAlign w:val="center"/>
                </w:tcPr>
                <w:p w14:paraId="1969B1A7">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w:t>
                  </w:r>
                </w:p>
              </w:tc>
              <w:tc>
                <w:tcPr>
                  <w:tcW w:w="2233" w:type="dxa"/>
                  <w:noWrap w:val="0"/>
                  <w:vAlign w:val="center"/>
                </w:tcPr>
                <w:p w14:paraId="2E2103F7">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生活垃圾</w:t>
                  </w:r>
                </w:p>
              </w:tc>
              <w:tc>
                <w:tcPr>
                  <w:tcW w:w="1641" w:type="dxa"/>
                  <w:noWrap w:val="0"/>
                  <w:vAlign w:val="center"/>
                </w:tcPr>
                <w:p w14:paraId="50963F72">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eastAsia"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员工办公</w:t>
                  </w:r>
                </w:p>
              </w:tc>
              <w:tc>
                <w:tcPr>
                  <w:tcW w:w="1429" w:type="dxa"/>
                  <w:noWrap w:val="0"/>
                  <w:vAlign w:val="center"/>
                </w:tcPr>
                <w:p w14:paraId="2C40D244">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w:t>
                  </w:r>
                </w:p>
              </w:tc>
              <w:tc>
                <w:tcPr>
                  <w:tcW w:w="1045" w:type="dxa"/>
                  <w:noWrap w:val="0"/>
                  <w:vAlign w:val="center"/>
                </w:tcPr>
                <w:p w14:paraId="263A0136">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生活垃圾</w:t>
                  </w:r>
                </w:p>
              </w:tc>
              <w:tc>
                <w:tcPr>
                  <w:tcW w:w="1977" w:type="dxa"/>
                  <w:noWrap w:val="0"/>
                  <w:vAlign w:val="center"/>
                </w:tcPr>
                <w:p w14:paraId="376804E4">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val="en-US" w:eastAsia="zh-CN"/>
                    </w:rPr>
                    <w:t>交</w:t>
                  </w:r>
                  <w:r>
                    <w:rPr>
                      <w:rFonts w:hint="default" w:ascii="Times New Roman" w:hAnsi="Times New Roman" w:cs="Times New Roman"/>
                      <w:b w:val="0"/>
                      <w:bCs/>
                      <w:color w:val="auto"/>
                      <w:sz w:val="21"/>
                      <w:szCs w:val="21"/>
                      <w:highlight w:val="none"/>
                      <w:lang w:eastAsia="zh-CN"/>
                    </w:rPr>
                    <w:t>由环卫部门清运</w:t>
                  </w:r>
                </w:p>
              </w:tc>
            </w:tr>
            <w:tr w14:paraId="56D1B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503" w:type="dxa"/>
                  <w:noWrap w:val="0"/>
                  <w:vAlign w:val="center"/>
                </w:tcPr>
                <w:p w14:paraId="104DF95B">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p>
              </w:tc>
              <w:tc>
                <w:tcPr>
                  <w:tcW w:w="2233" w:type="dxa"/>
                  <w:shd w:val="clear" w:color="auto" w:fill="auto"/>
                  <w:noWrap w:val="0"/>
                  <w:vAlign w:val="center"/>
                </w:tcPr>
                <w:p w14:paraId="3A271F7F">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废丝</w:t>
                  </w:r>
                </w:p>
              </w:tc>
              <w:tc>
                <w:tcPr>
                  <w:tcW w:w="1641" w:type="dxa"/>
                  <w:shd w:val="clear" w:color="auto" w:fill="auto"/>
                  <w:noWrap w:val="0"/>
                  <w:vAlign w:val="center"/>
                </w:tcPr>
                <w:p w14:paraId="45AAC561">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加弹、磨毛、检验</w:t>
                  </w:r>
                  <w:r>
                    <w:rPr>
                      <w:rFonts w:hint="eastAsia" w:ascii="Times New Roman" w:hAnsi="Times New Roman" w:eastAsia="宋体" w:cs="Times New Roman"/>
                      <w:b w:val="0"/>
                      <w:bCs w:val="0"/>
                      <w:color w:val="auto"/>
                      <w:sz w:val="21"/>
                      <w:szCs w:val="21"/>
                      <w:highlight w:val="none"/>
                      <w:lang w:val="en-US" w:eastAsia="zh-CN"/>
                    </w:rPr>
                    <w:t>工序</w:t>
                  </w:r>
                </w:p>
              </w:tc>
              <w:tc>
                <w:tcPr>
                  <w:tcW w:w="1429" w:type="dxa"/>
                  <w:noWrap w:val="0"/>
                  <w:vAlign w:val="center"/>
                </w:tcPr>
                <w:p w14:paraId="09113B94">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60</w:t>
                  </w:r>
                </w:p>
              </w:tc>
              <w:tc>
                <w:tcPr>
                  <w:tcW w:w="1045" w:type="dxa"/>
                  <w:vMerge w:val="restart"/>
                  <w:noWrap w:val="0"/>
                  <w:vAlign w:val="center"/>
                </w:tcPr>
                <w:p w14:paraId="3FF6AF3F">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一般工业固废</w:t>
                  </w:r>
                </w:p>
              </w:tc>
              <w:tc>
                <w:tcPr>
                  <w:tcW w:w="1977" w:type="dxa"/>
                  <w:vMerge w:val="restart"/>
                  <w:shd w:val="clear" w:color="auto" w:fill="auto"/>
                  <w:noWrap w:val="0"/>
                  <w:vAlign w:val="center"/>
                </w:tcPr>
                <w:p w14:paraId="230A09A6">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集中收集后定期外售</w:t>
                  </w:r>
                </w:p>
              </w:tc>
            </w:tr>
            <w:tr w14:paraId="72076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503" w:type="dxa"/>
                  <w:shd w:val="clear" w:color="auto" w:fill="auto"/>
                  <w:noWrap w:val="0"/>
                  <w:vAlign w:val="center"/>
                </w:tcPr>
                <w:p w14:paraId="470D3CCF">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3</w:t>
                  </w:r>
                </w:p>
              </w:tc>
              <w:tc>
                <w:tcPr>
                  <w:tcW w:w="2233" w:type="dxa"/>
                  <w:shd w:val="clear" w:color="auto" w:fill="auto"/>
                  <w:noWrap w:val="0"/>
                  <w:vAlign w:val="center"/>
                </w:tcPr>
                <w:p w14:paraId="201F0D8C">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废布料</w:t>
                  </w:r>
                </w:p>
              </w:tc>
              <w:tc>
                <w:tcPr>
                  <w:tcW w:w="1641" w:type="dxa"/>
                  <w:shd w:val="clear" w:color="auto" w:fill="auto"/>
                  <w:noWrap w:val="0"/>
                  <w:vAlign w:val="center"/>
                </w:tcPr>
                <w:p w14:paraId="2896ADA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剪裁、缝纫、检验</w:t>
                  </w:r>
                  <w:r>
                    <w:rPr>
                      <w:rFonts w:hint="eastAsia" w:ascii="Times New Roman" w:hAnsi="Times New Roman" w:eastAsia="宋体" w:cs="Times New Roman"/>
                      <w:b w:val="0"/>
                      <w:bCs w:val="0"/>
                      <w:color w:val="auto"/>
                      <w:sz w:val="21"/>
                      <w:szCs w:val="21"/>
                      <w:highlight w:val="none"/>
                      <w:lang w:val="en-US" w:eastAsia="zh-CN"/>
                    </w:rPr>
                    <w:t>工序</w:t>
                  </w:r>
                </w:p>
              </w:tc>
              <w:tc>
                <w:tcPr>
                  <w:tcW w:w="1429" w:type="dxa"/>
                  <w:noWrap w:val="0"/>
                  <w:vAlign w:val="center"/>
                </w:tcPr>
                <w:p w14:paraId="382DADB4">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5</w:t>
                  </w:r>
                </w:p>
              </w:tc>
              <w:tc>
                <w:tcPr>
                  <w:tcW w:w="1045" w:type="dxa"/>
                  <w:vMerge w:val="continue"/>
                  <w:noWrap w:val="0"/>
                  <w:vAlign w:val="center"/>
                </w:tcPr>
                <w:p w14:paraId="40BA514A">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eastAsia" w:cs="Times New Roman"/>
                      <w:b w:val="0"/>
                      <w:bCs/>
                      <w:color w:val="auto"/>
                      <w:sz w:val="21"/>
                      <w:szCs w:val="21"/>
                      <w:highlight w:val="none"/>
                      <w:lang w:val="en-US" w:eastAsia="zh-CN"/>
                    </w:rPr>
                  </w:pPr>
                </w:p>
              </w:tc>
              <w:tc>
                <w:tcPr>
                  <w:tcW w:w="1977" w:type="dxa"/>
                  <w:vMerge w:val="continue"/>
                  <w:noWrap w:val="0"/>
                  <w:vAlign w:val="center"/>
                </w:tcPr>
                <w:p w14:paraId="5D7FC126">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p>
              </w:tc>
            </w:tr>
            <w:tr w14:paraId="27AAC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503" w:type="dxa"/>
                  <w:shd w:val="clear" w:color="auto" w:fill="auto"/>
                  <w:noWrap w:val="0"/>
                  <w:vAlign w:val="center"/>
                </w:tcPr>
                <w:p w14:paraId="200F7F3E">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4</w:t>
                  </w:r>
                </w:p>
              </w:tc>
              <w:tc>
                <w:tcPr>
                  <w:tcW w:w="2233" w:type="dxa"/>
                  <w:shd w:val="clear" w:color="auto" w:fill="auto"/>
                  <w:noWrap w:val="0"/>
                  <w:vAlign w:val="center"/>
                </w:tcPr>
                <w:p w14:paraId="3D095364">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废包装材料</w:t>
                  </w:r>
                </w:p>
              </w:tc>
              <w:tc>
                <w:tcPr>
                  <w:tcW w:w="1641" w:type="dxa"/>
                  <w:shd w:val="clear" w:color="auto" w:fill="auto"/>
                  <w:noWrap w:val="0"/>
                  <w:vAlign w:val="center"/>
                </w:tcPr>
                <w:p w14:paraId="17DAC08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生产</w:t>
                  </w:r>
                </w:p>
              </w:tc>
              <w:tc>
                <w:tcPr>
                  <w:tcW w:w="1429" w:type="dxa"/>
                  <w:noWrap w:val="0"/>
                  <w:vAlign w:val="center"/>
                </w:tcPr>
                <w:p w14:paraId="41323186">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120</w:t>
                  </w:r>
                </w:p>
              </w:tc>
              <w:tc>
                <w:tcPr>
                  <w:tcW w:w="1045" w:type="dxa"/>
                  <w:vMerge w:val="continue"/>
                  <w:noWrap w:val="0"/>
                  <w:vAlign w:val="center"/>
                </w:tcPr>
                <w:p w14:paraId="46A7F3BA">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eastAsia" w:cs="Times New Roman"/>
                      <w:b w:val="0"/>
                      <w:bCs/>
                      <w:color w:val="auto"/>
                      <w:sz w:val="21"/>
                      <w:szCs w:val="21"/>
                      <w:highlight w:val="none"/>
                      <w:lang w:val="en-US" w:eastAsia="zh-CN"/>
                    </w:rPr>
                  </w:pPr>
                </w:p>
              </w:tc>
              <w:tc>
                <w:tcPr>
                  <w:tcW w:w="1977" w:type="dxa"/>
                  <w:vMerge w:val="continue"/>
                  <w:noWrap w:val="0"/>
                  <w:vAlign w:val="center"/>
                </w:tcPr>
                <w:p w14:paraId="754F1F1E">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p>
              </w:tc>
            </w:tr>
            <w:tr w14:paraId="20945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503" w:type="dxa"/>
                  <w:shd w:val="clear" w:color="auto" w:fill="auto"/>
                  <w:noWrap w:val="0"/>
                  <w:vAlign w:val="center"/>
                </w:tcPr>
                <w:p w14:paraId="4120A2BC">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bidi="ar-SA"/>
                    </w:rPr>
                    <w:t>5</w:t>
                  </w:r>
                </w:p>
              </w:tc>
              <w:tc>
                <w:tcPr>
                  <w:tcW w:w="2233" w:type="dxa"/>
                  <w:shd w:val="clear" w:color="auto" w:fill="auto"/>
                  <w:noWrap w:val="0"/>
                  <w:vAlign w:val="center"/>
                </w:tcPr>
                <w:p w14:paraId="4D4BC132">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bidi="ar-SA"/>
                    </w:rPr>
                    <w:t>污水处理站生化污泥</w:t>
                  </w:r>
                </w:p>
              </w:tc>
              <w:tc>
                <w:tcPr>
                  <w:tcW w:w="1641" w:type="dxa"/>
                  <w:shd w:val="clear" w:color="auto" w:fill="auto"/>
                  <w:noWrap w:val="0"/>
                  <w:vAlign w:val="center"/>
                </w:tcPr>
                <w:p w14:paraId="58BCBD00">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废水处理</w:t>
                  </w:r>
                </w:p>
              </w:tc>
              <w:tc>
                <w:tcPr>
                  <w:tcW w:w="1429" w:type="dxa"/>
                  <w:noWrap w:val="0"/>
                  <w:vAlign w:val="center"/>
                </w:tcPr>
                <w:p w14:paraId="4FE34EC6">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right="0"/>
                    <w:jc w:val="center"/>
                    <w:textAlignment w:val="auto"/>
                    <w:rPr>
                      <w:rFonts w:hint="default"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216.73</w:t>
                  </w:r>
                </w:p>
              </w:tc>
              <w:tc>
                <w:tcPr>
                  <w:tcW w:w="1045" w:type="dxa"/>
                  <w:vMerge w:val="continue"/>
                  <w:noWrap w:val="0"/>
                  <w:vAlign w:val="center"/>
                </w:tcPr>
                <w:p w14:paraId="0DFA6DA5">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p>
              </w:tc>
              <w:tc>
                <w:tcPr>
                  <w:tcW w:w="1977" w:type="dxa"/>
                  <w:shd w:val="clear" w:color="auto" w:fill="auto"/>
                  <w:noWrap w:val="0"/>
                  <w:vAlign w:val="center"/>
                </w:tcPr>
                <w:p w14:paraId="5A1E46F8">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交</w:t>
                  </w:r>
                  <w:r>
                    <w:rPr>
                      <w:rFonts w:hint="default" w:ascii="Times New Roman" w:hAnsi="Times New Roman" w:cs="Times New Roman"/>
                      <w:b w:val="0"/>
                      <w:bCs/>
                      <w:color w:val="auto"/>
                      <w:sz w:val="21"/>
                      <w:szCs w:val="21"/>
                      <w:highlight w:val="none"/>
                      <w:lang w:eastAsia="zh-CN"/>
                    </w:rPr>
                    <w:t>由</w:t>
                  </w:r>
                  <w:r>
                    <w:rPr>
                      <w:rFonts w:hint="eastAsia" w:ascii="Times New Roman" w:hAnsi="Times New Roman" w:eastAsia="宋体" w:cs="Times New Roman"/>
                      <w:b w:val="0"/>
                      <w:bCs w:val="0"/>
                      <w:color w:val="auto"/>
                      <w:sz w:val="21"/>
                      <w:szCs w:val="21"/>
                      <w:highlight w:val="none"/>
                      <w:lang w:val="en-US" w:eastAsia="zh-CN" w:bidi="ar-SA"/>
                    </w:rPr>
                    <w:t>有处理能力的单位进行处置</w:t>
                  </w:r>
                </w:p>
              </w:tc>
            </w:tr>
            <w:tr w14:paraId="3DF11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0" w:hRule="atLeast"/>
                <w:jc w:val="center"/>
              </w:trPr>
              <w:tc>
                <w:tcPr>
                  <w:tcW w:w="1503" w:type="dxa"/>
                  <w:shd w:val="clear" w:color="auto" w:fill="auto"/>
                  <w:noWrap w:val="0"/>
                  <w:vAlign w:val="center"/>
                </w:tcPr>
                <w:p w14:paraId="68DC34F6">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6</w:t>
                  </w:r>
                </w:p>
              </w:tc>
              <w:tc>
                <w:tcPr>
                  <w:tcW w:w="2233" w:type="dxa"/>
                  <w:shd w:val="clear" w:color="auto" w:fill="auto"/>
                  <w:noWrap w:val="0"/>
                  <w:vAlign w:val="center"/>
                </w:tcPr>
                <w:p w14:paraId="131BE40F">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废油</w:t>
                  </w:r>
                </w:p>
              </w:tc>
              <w:tc>
                <w:tcPr>
                  <w:tcW w:w="1641" w:type="dxa"/>
                  <w:shd w:val="clear" w:color="auto" w:fill="auto"/>
                  <w:noWrap w:val="0"/>
                  <w:vAlign w:val="center"/>
                </w:tcPr>
                <w:p w14:paraId="22FF45BE">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bidi="ar-SA"/>
                    </w:rPr>
                    <w:t>加弹工序</w:t>
                  </w:r>
                </w:p>
              </w:tc>
              <w:tc>
                <w:tcPr>
                  <w:tcW w:w="1429" w:type="dxa"/>
                  <w:noWrap w:val="0"/>
                  <w:vAlign w:val="center"/>
                </w:tcPr>
                <w:p w14:paraId="3A9272BD">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0.8</w:t>
                  </w:r>
                </w:p>
              </w:tc>
              <w:tc>
                <w:tcPr>
                  <w:tcW w:w="1045" w:type="dxa"/>
                  <w:vMerge w:val="restart"/>
                  <w:noWrap w:val="0"/>
                  <w:vAlign w:val="center"/>
                </w:tcPr>
                <w:p w14:paraId="6DC8121B">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危险废物</w:t>
                  </w:r>
                </w:p>
              </w:tc>
              <w:tc>
                <w:tcPr>
                  <w:tcW w:w="1977" w:type="dxa"/>
                  <w:vMerge w:val="restart"/>
                  <w:noWrap w:val="0"/>
                  <w:vAlign w:val="center"/>
                </w:tcPr>
                <w:p w14:paraId="5AC379D0">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eastAsia" w:cs="Times New Roman"/>
                      <w:b w:val="0"/>
                      <w:bCs w:val="0"/>
                      <w:color w:val="auto"/>
                      <w:sz w:val="21"/>
                      <w:szCs w:val="21"/>
                      <w:highlight w:val="none"/>
                      <w:lang w:val="en-US" w:eastAsia="zh-CN"/>
                    </w:rPr>
                    <w:t>收集后定期交由有资质单位处置</w:t>
                  </w:r>
                </w:p>
              </w:tc>
            </w:tr>
            <w:tr w14:paraId="388E4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503" w:type="dxa"/>
                  <w:shd w:val="clear" w:color="auto" w:fill="auto"/>
                  <w:noWrap w:val="0"/>
                  <w:vAlign w:val="center"/>
                </w:tcPr>
                <w:p w14:paraId="4F28B499">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7</w:t>
                  </w:r>
                </w:p>
              </w:tc>
              <w:tc>
                <w:tcPr>
                  <w:tcW w:w="2233" w:type="dxa"/>
                  <w:shd w:val="clear" w:color="auto" w:fill="auto"/>
                  <w:noWrap w:val="0"/>
                  <w:vAlign w:val="center"/>
                </w:tcPr>
                <w:p w14:paraId="62BF8D7A">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废机油</w:t>
                  </w:r>
                </w:p>
              </w:tc>
              <w:tc>
                <w:tcPr>
                  <w:tcW w:w="1641" w:type="dxa"/>
                  <w:shd w:val="clear" w:color="auto" w:fill="auto"/>
                  <w:noWrap w:val="0"/>
                  <w:vAlign w:val="center"/>
                </w:tcPr>
                <w:p w14:paraId="1C457B98">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bidi="ar-SA"/>
                    </w:rPr>
                    <w:t>设备维修</w:t>
                  </w:r>
                </w:p>
              </w:tc>
              <w:tc>
                <w:tcPr>
                  <w:tcW w:w="1429" w:type="dxa"/>
                  <w:noWrap w:val="0"/>
                  <w:vAlign w:val="center"/>
                </w:tcPr>
                <w:p w14:paraId="63943136">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0.5</w:t>
                  </w:r>
                </w:p>
              </w:tc>
              <w:tc>
                <w:tcPr>
                  <w:tcW w:w="1045" w:type="dxa"/>
                  <w:vMerge w:val="continue"/>
                  <w:noWrap w:val="0"/>
                  <w:vAlign w:val="center"/>
                </w:tcPr>
                <w:p w14:paraId="7ACE6A5C">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p>
              </w:tc>
              <w:tc>
                <w:tcPr>
                  <w:tcW w:w="1977" w:type="dxa"/>
                  <w:vMerge w:val="continue"/>
                  <w:shd w:val="clear" w:color="auto" w:fill="auto"/>
                  <w:noWrap w:val="0"/>
                  <w:vAlign w:val="center"/>
                </w:tcPr>
                <w:p w14:paraId="3ACBD09D">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F0A3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503" w:type="dxa"/>
                  <w:shd w:val="clear" w:color="auto" w:fill="auto"/>
                  <w:noWrap w:val="0"/>
                  <w:vAlign w:val="center"/>
                </w:tcPr>
                <w:p w14:paraId="1526E015">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8</w:t>
                  </w:r>
                </w:p>
              </w:tc>
              <w:tc>
                <w:tcPr>
                  <w:tcW w:w="2233" w:type="dxa"/>
                  <w:shd w:val="clear" w:color="auto" w:fill="auto"/>
                  <w:noWrap w:val="0"/>
                  <w:vAlign w:val="center"/>
                </w:tcPr>
                <w:p w14:paraId="3AE91095">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废活性炭</w:t>
                  </w:r>
                </w:p>
              </w:tc>
              <w:tc>
                <w:tcPr>
                  <w:tcW w:w="1641" w:type="dxa"/>
                  <w:shd w:val="clear" w:color="auto" w:fill="auto"/>
                  <w:noWrap w:val="0"/>
                  <w:vAlign w:val="center"/>
                </w:tcPr>
                <w:p w14:paraId="30EFA7CA">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废气治理</w:t>
                  </w:r>
                </w:p>
              </w:tc>
              <w:tc>
                <w:tcPr>
                  <w:tcW w:w="1429" w:type="dxa"/>
                  <w:noWrap w:val="0"/>
                  <w:vAlign w:val="center"/>
                </w:tcPr>
                <w:p w14:paraId="1552E364">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b w:val="0"/>
                      <w:bCs/>
                      <w:color w:val="auto"/>
                      <w:sz w:val="21"/>
                      <w:szCs w:val="21"/>
                      <w:highlight w:val="none"/>
                      <w:lang w:val="en-US" w:eastAsia="zh-CN" w:bidi="ar-SA"/>
                    </w:rPr>
                  </w:pPr>
                  <w:r>
                    <w:rPr>
                      <w:rFonts w:hint="eastAsia" w:cs="Times New Roman"/>
                      <w:b w:val="0"/>
                      <w:bCs/>
                      <w:color w:val="auto"/>
                      <w:highlight w:val="none"/>
                      <w:lang w:val="en-US" w:eastAsia="zh-CN"/>
                    </w:rPr>
                    <w:t>1.67</w:t>
                  </w:r>
                </w:p>
              </w:tc>
              <w:tc>
                <w:tcPr>
                  <w:tcW w:w="1045" w:type="dxa"/>
                  <w:vMerge w:val="continue"/>
                  <w:noWrap w:val="0"/>
                  <w:vAlign w:val="center"/>
                </w:tcPr>
                <w:p w14:paraId="38CE8F28">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p>
              </w:tc>
              <w:tc>
                <w:tcPr>
                  <w:tcW w:w="1977" w:type="dxa"/>
                  <w:vMerge w:val="continue"/>
                  <w:noWrap w:val="0"/>
                  <w:vAlign w:val="center"/>
                </w:tcPr>
                <w:p w14:paraId="5702194F">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2FF70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503" w:type="dxa"/>
                  <w:shd w:val="clear" w:color="auto" w:fill="auto"/>
                  <w:noWrap w:val="0"/>
                  <w:vAlign w:val="center"/>
                </w:tcPr>
                <w:p w14:paraId="01A7267C">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9</w:t>
                  </w:r>
                </w:p>
              </w:tc>
              <w:tc>
                <w:tcPr>
                  <w:tcW w:w="2233" w:type="dxa"/>
                  <w:shd w:val="clear" w:color="auto" w:fill="auto"/>
                  <w:noWrap w:val="0"/>
                  <w:vAlign w:val="center"/>
                </w:tcPr>
                <w:p w14:paraId="4A5DC0DB">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废催化剂</w:t>
                  </w:r>
                </w:p>
              </w:tc>
              <w:tc>
                <w:tcPr>
                  <w:tcW w:w="1641" w:type="dxa"/>
                  <w:shd w:val="clear" w:color="auto" w:fill="auto"/>
                  <w:noWrap w:val="0"/>
                  <w:vAlign w:val="center"/>
                </w:tcPr>
                <w:p w14:paraId="0242F908">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废气治理</w:t>
                  </w:r>
                </w:p>
              </w:tc>
              <w:tc>
                <w:tcPr>
                  <w:tcW w:w="1429" w:type="dxa"/>
                  <w:noWrap w:val="0"/>
                  <w:vAlign w:val="center"/>
                </w:tcPr>
                <w:p w14:paraId="4C630765">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cs="Times New Roman"/>
                      <w:b w:val="0"/>
                      <w:bCs/>
                      <w:color w:val="auto"/>
                      <w:highlight w:val="none"/>
                      <w:lang w:val="en-US" w:eastAsia="zh-CN"/>
                    </w:rPr>
                  </w:pPr>
                  <w:r>
                    <w:rPr>
                      <w:rFonts w:hint="eastAsia" w:cs="Times New Roman"/>
                      <w:b w:val="0"/>
                      <w:bCs/>
                      <w:color w:val="auto"/>
                      <w:highlight w:val="none"/>
                      <w:lang w:val="en-US" w:eastAsia="zh-CN"/>
                    </w:rPr>
                    <w:t>0.2</w:t>
                  </w:r>
                </w:p>
              </w:tc>
              <w:tc>
                <w:tcPr>
                  <w:tcW w:w="1045" w:type="dxa"/>
                  <w:vMerge w:val="continue"/>
                  <w:noWrap w:val="0"/>
                  <w:vAlign w:val="center"/>
                </w:tcPr>
                <w:p w14:paraId="06452637">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p>
              </w:tc>
              <w:tc>
                <w:tcPr>
                  <w:tcW w:w="1977" w:type="dxa"/>
                  <w:vMerge w:val="continue"/>
                  <w:noWrap w:val="0"/>
                  <w:vAlign w:val="center"/>
                </w:tcPr>
                <w:p w14:paraId="676D6A5D">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5A24B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503" w:type="dxa"/>
                  <w:shd w:val="clear" w:color="auto" w:fill="auto"/>
                  <w:vAlign w:val="center"/>
                </w:tcPr>
                <w:p w14:paraId="3DE240F1">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10</w:t>
                  </w:r>
                </w:p>
              </w:tc>
              <w:tc>
                <w:tcPr>
                  <w:tcW w:w="2233" w:type="dxa"/>
                  <w:shd w:val="clear" w:color="auto" w:fill="auto"/>
                  <w:vAlign w:val="center"/>
                </w:tcPr>
                <w:p w14:paraId="3EF1FEEA">
                  <w:pPr>
                    <w:keepNext w:val="0"/>
                    <w:keepLines w:val="0"/>
                    <w:widowControl w:val="0"/>
                    <w:suppressLineNumbers w:val="0"/>
                    <w:topLinePunct/>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机油桶</w:t>
                  </w:r>
                </w:p>
              </w:tc>
              <w:tc>
                <w:tcPr>
                  <w:tcW w:w="1641" w:type="dxa"/>
                  <w:shd w:val="clear" w:color="auto" w:fill="auto"/>
                  <w:vAlign w:val="center"/>
                </w:tcPr>
                <w:p w14:paraId="537E3B7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设备维修</w:t>
                  </w:r>
                </w:p>
              </w:tc>
              <w:tc>
                <w:tcPr>
                  <w:tcW w:w="1429" w:type="dxa"/>
                  <w:vAlign w:val="center"/>
                </w:tcPr>
                <w:p w14:paraId="3B1AECF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color w:val="auto"/>
                      <w:kern w:val="2"/>
                      <w:sz w:val="21"/>
                      <w:szCs w:val="24"/>
                      <w:highlight w:val="none"/>
                      <w:lang w:val="en-US" w:eastAsia="zh-CN" w:bidi="ar-SA"/>
                    </w:rPr>
                    <w:t>0.06</w:t>
                  </w:r>
                </w:p>
              </w:tc>
              <w:tc>
                <w:tcPr>
                  <w:tcW w:w="1045" w:type="dxa"/>
                  <w:vMerge w:val="continue"/>
                </w:tcPr>
                <w:p w14:paraId="0F49D46B">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p>
              </w:tc>
              <w:tc>
                <w:tcPr>
                  <w:tcW w:w="1977" w:type="dxa"/>
                  <w:vMerge w:val="restart"/>
                </w:tcPr>
                <w:p w14:paraId="1444309F">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包装完好的厂家回收</w:t>
                  </w:r>
                  <w:r>
                    <w:rPr>
                      <w:rFonts w:hint="eastAsia" w:ascii="Times New Roman" w:hAnsi="Times New Roman" w:eastAsia="宋体" w:cs="Times New Roman"/>
                      <w:b w:val="0"/>
                      <w:bCs/>
                      <w:color w:val="auto"/>
                      <w:sz w:val="21"/>
                      <w:szCs w:val="21"/>
                      <w:highlight w:val="none"/>
                      <w:lang w:val="en-US" w:eastAsia="zh-CN"/>
                    </w:rPr>
                    <w:t>，破损严重的</w:t>
                  </w:r>
                  <w:r>
                    <w:rPr>
                      <w:rFonts w:hint="eastAsia" w:cs="Times New Roman"/>
                      <w:b w:val="0"/>
                      <w:bCs/>
                      <w:color w:val="auto"/>
                      <w:sz w:val="21"/>
                      <w:szCs w:val="21"/>
                      <w:highlight w:val="none"/>
                      <w:lang w:val="en-US" w:eastAsia="zh-CN"/>
                    </w:rPr>
                    <w:t>当作</w:t>
                  </w:r>
                  <w:r>
                    <w:rPr>
                      <w:rFonts w:hint="eastAsia" w:ascii="Times New Roman" w:hAnsi="Times New Roman" w:eastAsia="宋体" w:cs="Times New Roman"/>
                      <w:b w:val="0"/>
                      <w:bCs/>
                      <w:color w:val="auto"/>
                      <w:sz w:val="21"/>
                      <w:szCs w:val="21"/>
                      <w:highlight w:val="none"/>
                      <w:lang w:val="en-US" w:eastAsia="zh-CN"/>
                    </w:rPr>
                    <w:t>危废交由有资质单位处置</w:t>
                  </w:r>
                </w:p>
              </w:tc>
            </w:tr>
            <w:tr w14:paraId="0E429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503" w:type="dxa"/>
                  <w:shd w:val="clear" w:color="auto" w:fill="auto"/>
                  <w:vAlign w:val="center"/>
                </w:tcPr>
                <w:p w14:paraId="44BC70BC">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bidi="ar-SA"/>
                    </w:rPr>
                    <w:t>11</w:t>
                  </w:r>
                </w:p>
              </w:tc>
              <w:tc>
                <w:tcPr>
                  <w:tcW w:w="2233" w:type="dxa"/>
                  <w:shd w:val="clear" w:color="auto" w:fill="auto"/>
                  <w:vAlign w:val="center"/>
                </w:tcPr>
                <w:p w14:paraId="570A82BE">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废油剂桶</w:t>
                  </w:r>
                </w:p>
              </w:tc>
              <w:tc>
                <w:tcPr>
                  <w:tcW w:w="1641" w:type="dxa"/>
                  <w:shd w:val="clear" w:color="auto" w:fill="auto"/>
                  <w:vAlign w:val="center"/>
                </w:tcPr>
                <w:p w14:paraId="335DD7A9">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加弹工序</w:t>
                  </w:r>
                </w:p>
              </w:tc>
              <w:tc>
                <w:tcPr>
                  <w:tcW w:w="1429" w:type="dxa"/>
                  <w:vAlign w:val="center"/>
                </w:tcPr>
                <w:p w14:paraId="33D0A41F">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0.12</w:t>
                  </w:r>
                </w:p>
              </w:tc>
              <w:tc>
                <w:tcPr>
                  <w:tcW w:w="1045" w:type="dxa"/>
                  <w:vMerge w:val="continue"/>
                </w:tcPr>
                <w:p w14:paraId="78DB0143">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p>
              </w:tc>
              <w:tc>
                <w:tcPr>
                  <w:tcW w:w="1977" w:type="dxa"/>
                  <w:vMerge w:val="continue"/>
                </w:tcPr>
                <w:p w14:paraId="7F6738C9">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p>
              </w:tc>
            </w:tr>
            <w:tr w14:paraId="4E082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503" w:type="dxa"/>
                  <w:shd w:val="clear" w:color="auto" w:fill="auto"/>
                  <w:vAlign w:val="center"/>
                </w:tcPr>
                <w:p w14:paraId="204BB16D">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bidi="ar-SA"/>
                    </w:rPr>
                    <w:t>12</w:t>
                  </w:r>
                </w:p>
              </w:tc>
              <w:tc>
                <w:tcPr>
                  <w:tcW w:w="2233" w:type="dxa"/>
                  <w:shd w:val="clear" w:color="auto" w:fill="auto"/>
                  <w:vAlign w:val="center"/>
                </w:tcPr>
                <w:p w14:paraId="6317B2E8">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废含油抹布和废含油手套</w:t>
                  </w:r>
                </w:p>
              </w:tc>
              <w:tc>
                <w:tcPr>
                  <w:tcW w:w="1641" w:type="dxa"/>
                  <w:shd w:val="clear" w:color="auto" w:fill="auto"/>
                  <w:vAlign w:val="center"/>
                </w:tcPr>
                <w:p w14:paraId="4C84B0BA">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设备维修</w:t>
                  </w:r>
                </w:p>
              </w:tc>
              <w:tc>
                <w:tcPr>
                  <w:tcW w:w="1429" w:type="dxa"/>
                  <w:vAlign w:val="center"/>
                </w:tcPr>
                <w:p w14:paraId="0F1E7B5C">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0.01</w:t>
                  </w:r>
                </w:p>
              </w:tc>
              <w:tc>
                <w:tcPr>
                  <w:tcW w:w="1045" w:type="dxa"/>
                  <w:vMerge w:val="continue"/>
                </w:tcPr>
                <w:p w14:paraId="68D96564">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p>
              </w:tc>
              <w:tc>
                <w:tcPr>
                  <w:tcW w:w="1977" w:type="dxa"/>
                </w:tcPr>
                <w:p w14:paraId="41A4E9E9">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收集后定期交由有资质单位处置</w:t>
                  </w:r>
                </w:p>
              </w:tc>
            </w:tr>
          </w:tbl>
          <w:p w14:paraId="5D915FCD">
            <w:pPr>
              <w:pStyle w:val="3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20</w:t>
            </w:r>
            <w:r>
              <w:rPr>
                <w:rFonts w:hint="eastAsia" w:cs="Times New Roman"/>
                <w:color w:val="auto"/>
                <w:highlight w:val="none"/>
                <w:lang w:eastAsia="zh-CN"/>
              </w:rPr>
              <w:t>本</w:t>
            </w:r>
            <w:r>
              <w:rPr>
                <w:rFonts w:hint="eastAsia" w:cs="Times New Roman"/>
                <w:color w:val="auto"/>
                <w:highlight w:val="none"/>
                <w:lang w:val="en-US" w:eastAsia="zh-CN"/>
              </w:rPr>
              <w:t>项目</w:t>
            </w:r>
            <w:r>
              <w:rPr>
                <w:rFonts w:hint="default" w:ascii="Times New Roman" w:hAnsi="Times New Roman" w:cs="Times New Roman"/>
                <w:color w:val="auto"/>
                <w:highlight w:val="none"/>
              </w:rPr>
              <w:t>危险废物成分及特性情况</w:t>
            </w:r>
          </w:p>
          <w:tbl>
            <w:tblPr>
              <w:tblStyle w:val="26"/>
              <w:tblW w:w="98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67"/>
              <w:gridCol w:w="1191"/>
              <w:gridCol w:w="1020"/>
              <w:gridCol w:w="1191"/>
              <w:gridCol w:w="680"/>
              <w:gridCol w:w="1304"/>
              <w:gridCol w:w="1020"/>
              <w:gridCol w:w="1020"/>
              <w:gridCol w:w="964"/>
            </w:tblGrid>
            <w:tr w14:paraId="64B9E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7" w:type="dxa"/>
                  <w:noWrap w:val="0"/>
                  <w:vAlign w:val="center"/>
                </w:tcPr>
                <w:p w14:paraId="3ED49418">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191" w:type="dxa"/>
                  <w:noWrap w:val="0"/>
                  <w:vAlign w:val="center"/>
                </w:tcPr>
                <w:p w14:paraId="72374A68">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废物名称</w:t>
                  </w:r>
                </w:p>
              </w:tc>
              <w:tc>
                <w:tcPr>
                  <w:tcW w:w="1020" w:type="dxa"/>
                  <w:noWrap w:val="0"/>
                  <w:vAlign w:val="center"/>
                </w:tcPr>
                <w:p w14:paraId="6BDFA0AD">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废物类别</w:t>
                  </w:r>
                </w:p>
              </w:tc>
              <w:tc>
                <w:tcPr>
                  <w:tcW w:w="1191" w:type="dxa"/>
                  <w:noWrap w:val="0"/>
                  <w:vAlign w:val="center"/>
                </w:tcPr>
                <w:p w14:paraId="7A1C77EC">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废物代码</w:t>
                  </w:r>
                </w:p>
              </w:tc>
              <w:tc>
                <w:tcPr>
                  <w:tcW w:w="680" w:type="dxa"/>
                  <w:noWrap w:val="0"/>
                  <w:vAlign w:val="center"/>
                </w:tcPr>
                <w:p w14:paraId="7D7F7A16">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形态</w:t>
                  </w:r>
                </w:p>
              </w:tc>
              <w:tc>
                <w:tcPr>
                  <w:tcW w:w="1304" w:type="dxa"/>
                  <w:noWrap w:val="0"/>
                  <w:vAlign w:val="center"/>
                </w:tcPr>
                <w:p w14:paraId="64362585">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主要成分</w:t>
                  </w:r>
                </w:p>
              </w:tc>
              <w:tc>
                <w:tcPr>
                  <w:tcW w:w="1020" w:type="dxa"/>
                  <w:noWrap w:val="0"/>
                  <w:vAlign w:val="center"/>
                </w:tcPr>
                <w:p w14:paraId="142A18C1">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有害成分</w:t>
                  </w:r>
                </w:p>
              </w:tc>
              <w:tc>
                <w:tcPr>
                  <w:tcW w:w="1020" w:type="dxa"/>
                  <w:noWrap w:val="0"/>
                  <w:vAlign w:val="center"/>
                </w:tcPr>
                <w:p w14:paraId="76C5F402">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产废周期</w:t>
                  </w:r>
                </w:p>
              </w:tc>
              <w:tc>
                <w:tcPr>
                  <w:tcW w:w="964" w:type="dxa"/>
                  <w:noWrap w:val="0"/>
                  <w:vAlign w:val="center"/>
                </w:tcPr>
                <w:p w14:paraId="279D22C1">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危险特性</w:t>
                  </w:r>
                </w:p>
              </w:tc>
            </w:tr>
            <w:tr w14:paraId="7F05B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7" w:type="dxa"/>
                  <w:shd w:val="clear" w:color="auto" w:fill="auto"/>
                  <w:noWrap w:val="0"/>
                  <w:vAlign w:val="center"/>
                </w:tcPr>
                <w:p w14:paraId="64C46D92">
                  <w:pPr>
                    <w:pStyle w:val="3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 w:val="0"/>
                      <w:bCs/>
                      <w:color w:val="auto"/>
                      <w:kern w:val="2"/>
                      <w:sz w:val="21"/>
                      <w:szCs w:val="20"/>
                      <w:highlight w:val="none"/>
                      <w:lang w:val="en-US" w:eastAsia="zh-CN" w:bidi="ar-SA"/>
                    </w:rPr>
                  </w:pPr>
                  <w:r>
                    <w:rPr>
                      <w:rFonts w:hint="eastAsia" w:cs="Times New Roman"/>
                      <w:b w:val="0"/>
                      <w:bCs/>
                      <w:color w:val="auto"/>
                      <w:szCs w:val="20"/>
                      <w:highlight w:val="none"/>
                      <w:lang w:val="en-US" w:eastAsia="zh-CN"/>
                    </w:rPr>
                    <w:t>1</w:t>
                  </w:r>
                </w:p>
              </w:tc>
              <w:tc>
                <w:tcPr>
                  <w:tcW w:w="1191" w:type="dxa"/>
                  <w:shd w:val="clear" w:color="auto" w:fill="auto"/>
                  <w:noWrap w:val="0"/>
                  <w:vAlign w:val="center"/>
                </w:tcPr>
                <w:p w14:paraId="5FA5BCCE">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废油</w:t>
                  </w:r>
                </w:p>
              </w:tc>
              <w:tc>
                <w:tcPr>
                  <w:tcW w:w="1020" w:type="dxa"/>
                  <w:noWrap w:val="0"/>
                  <w:vAlign w:val="center"/>
                </w:tcPr>
                <w:p w14:paraId="345C49D5">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HW</w:t>
                  </w:r>
                  <w:r>
                    <w:rPr>
                      <w:rFonts w:hint="eastAsia" w:ascii="Times New Roman" w:hAnsi="Times New Roman" w:eastAsia="宋体" w:cs="Times New Roman"/>
                      <w:b w:val="0"/>
                      <w:bCs w:val="0"/>
                      <w:color w:val="auto"/>
                      <w:sz w:val="21"/>
                      <w:szCs w:val="21"/>
                      <w:highlight w:val="none"/>
                      <w:lang w:val="en-US" w:eastAsia="zh-CN" w:bidi="ar-SA"/>
                    </w:rPr>
                    <w:t>08</w:t>
                  </w:r>
                </w:p>
              </w:tc>
              <w:tc>
                <w:tcPr>
                  <w:tcW w:w="1191" w:type="dxa"/>
                  <w:noWrap w:val="0"/>
                  <w:vAlign w:val="center"/>
                </w:tcPr>
                <w:p w14:paraId="07BBDC2C">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en-US" w:bidi="ar-SA"/>
                    </w:rPr>
                    <w:t>900-249-08</w:t>
                  </w:r>
                </w:p>
              </w:tc>
              <w:tc>
                <w:tcPr>
                  <w:tcW w:w="680" w:type="dxa"/>
                  <w:noWrap w:val="0"/>
                  <w:vAlign w:val="center"/>
                </w:tcPr>
                <w:p w14:paraId="41FAD813">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color w:val="auto"/>
                      <w:kern w:val="0"/>
                      <w:sz w:val="21"/>
                      <w:szCs w:val="20"/>
                      <w:highlight w:val="none"/>
                      <w:lang w:val="en-US" w:eastAsia="zh-CN" w:bidi="ar-SA"/>
                    </w:rPr>
                  </w:pPr>
                  <w:r>
                    <w:rPr>
                      <w:rFonts w:hint="eastAsia" w:cs="Times New Roman"/>
                      <w:b w:val="0"/>
                      <w:bCs/>
                      <w:color w:val="auto"/>
                      <w:kern w:val="0"/>
                      <w:sz w:val="21"/>
                      <w:szCs w:val="20"/>
                      <w:highlight w:val="none"/>
                      <w:lang w:val="en-US" w:eastAsia="zh-CN" w:bidi="ar-SA"/>
                    </w:rPr>
                    <w:t>液</w:t>
                  </w:r>
                  <w:r>
                    <w:rPr>
                      <w:rFonts w:hint="default" w:ascii="Times New Roman" w:hAnsi="Times New Roman" w:eastAsia="宋体" w:cs="Times New Roman"/>
                      <w:b w:val="0"/>
                      <w:bCs/>
                      <w:color w:val="auto"/>
                      <w:kern w:val="0"/>
                      <w:sz w:val="21"/>
                      <w:szCs w:val="20"/>
                      <w:highlight w:val="none"/>
                      <w:lang w:val="en-US" w:eastAsia="zh-CN" w:bidi="ar-SA"/>
                    </w:rPr>
                    <w:t>态</w:t>
                  </w:r>
                </w:p>
              </w:tc>
              <w:tc>
                <w:tcPr>
                  <w:tcW w:w="1304" w:type="dxa"/>
                  <w:noWrap w:val="0"/>
                  <w:vAlign w:val="center"/>
                </w:tcPr>
                <w:p w14:paraId="0DDC8292">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b w:val="0"/>
                      <w:bCs/>
                      <w:color w:val="auto"/>
                      <w:szCs w:val="20"/>
                      <w:highlight w:val="none"/>
                      <w:lang w:val="en-US"/>
                    </w:rPr>
                  </w:pPr>
                  <w:r>
                    <w:rPr>
                      <w:rFonts w:hint="eastAsia" w:cs="Times New Roman"/>
                      <w:b w:val="0"/>
                      <w:bCs w:val="0"/>
                      <w:color w:val="auto"/>
                      <w:sz w:val="21"/>
                      <w:szCs w:val="21"/>
                      <w:highlight w:val="none"/>
                      <w:lang w:val="en-US" w:eastAsia="zh-CN"/>
                    </w:rPr>
                    <w:t>油剂</w:t>
                  </w:r>
                </w:p>
              </w:tc>
              <w:tc>
                <w:tcPr>
                  <w:tcW w:w="1020" w:type="dxa"/>
                  <w:noWrap w:val="0"/>
                  <w:vAlign w:val="center"/>
                </w:tcPr>
                <w:p w14:paraId="0CB509AC">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b w:val="0"/>
                      <w:bCs/>
                      <w:color w:val="auto"/>
                      <w:szCs w:val="20"/>
                      <w:highlight w:val="none"/>
                      <w:lang w:val="en-US"/>
                    </w:rPr>
                  </w:pPr>
                  <w:r>
                    <w:rPr>
                      <w:rFonts w:hint="eastAsia" w:cs="Times New Roman"/>
                      <w:b w:val="0"/>
                      <w:bCs w:val="0"/>
                      <w:color w:val="auto"/>
                      <w:sz w:val="21"/>
                      <w:szCs w:val="21"/>
                      <w:highlight w:val="none"/>
                      <w:lang w:val="en-US" w:eastAsia="zh-CN"/>
                    </w:rPr>
                    <w:t>油剂</w:t>
                  </w:r>
                </w:p>
              </w:tc>
              <w:tc>
                <w:tcPr>
                  <w:tcW w:w="1020" w:type="dxa"/>
                  <w:noWrap w:val="0"/>
                  <w:vAlign w:val="center"/>
                </w:tcPr>
                <w:p w14:paraId="0A280FEC">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color w:val="auto"/>
                      <w:szCs w:val="20"/>
                      <w:highlight w:val="none"/>
                    </w:rPr>
                  </w:pPr>
                  <w:r>
                    <w:rPr>
                      <w:rFonts w:hint="eastAsia" w:cs="Times New Roman"/>
                      <w:b w:val="0"/>
                      <w:bCs/>
                      <w:color w:val="auto"/>
                      <w:szCs w:val="20"/>
                      <w:highlight w:val="none"/>
                      <w:lang w:val="en-US" w:eastAsia="zh-CN"/>
                    </w:rPr>
                    <w:t>3个月</w:t>
                  </w:r>
                </w:p>
              </w:tc>
              <w:tc>
                <w:tcPr>
                  <w:tcW w:w="964" w:type="dxa"/>
                  <w:noWrap w:val="0"/>
                  <w:vAlign w:val="center"/>
                </w:tcPr>
                <w:p w14:paraId="63DC4DCC">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color w:val="auto"/>
                      <w:szCs w:val="20"/>
                      <w:highlight w:val="none"/>
                    </w:rPr>
                  </w:pPr>
                  <w:r>
                    <w:rPr>
                      <w:rFonts w:hint="default" w:ascii="Times New Roman" w:hAnsi="Times New Roman" w:cs="Times New Roman"/>
                      <w:b w:val="0"/>
                      <w:bCs/>
                      <w:color w:val="auto"/>
                      <w:szCs w:val="20"/>
                      <w:highlight w:val="none"/>
                      <w:lang w:val="en-US" w:eastAsia="zh-CN"/>
                    </w:rPr>
                    <w:t>T/I</w:t>
                  </w:r>
                </w:p>
              </w:tc>
            </w:tr>
            <w:tr w14:paraId="7C511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7" w:type="dxa"/>
                  <w:shd w:val="clear" w:color="auto" w:fill="auto"/>
                  <w:noWrap w:val="0"/>
                  <w:vAlign w:val="center"/>
                </w:tcPr>
                <w:p w14:paraId="0F9F6A4D">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0"/>
                      <w:highlight w:val="none"/>
                      <w:lang w:val="en-US" w:eastAsia="zh-CN" w:bidi="ar-SA"/>
                    </w:rPr>
                  </w:pPr>
                  <w:r>
                    <w:rPr>
                      <w:rFonts w:hint="eastAsia" w:cs="Times New Roman"/>
                      <w:b w:val="0"/>
                      <w:bCs/>
                      <w:color w:val="auto"/>
                      <w:szCs w:val="20"/>
                      <w:highlight w:val="none"/>
                      <w:lang w:val="en-US" w:eastAsia="zh-CN"/>
                    </w:rPr>
                    <w:t>2</w:t>
                  </w:r>
                </w:p>
              </w:tc>
              <w:tc>
                <w:tcPr>
                  <w:tcW w:w="1191" w:type="dxa"/>
                  <w:shd w:val="clear" w:color="auto" w:fill="auto"/>
                  <w:noWrap w:val="0"/>
                  <w:vAlign w:val="center"/>
                </w:tcPr>
                <w:p w14:paraId="48413B75">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废机油</w:t>
                  </w:r>
                </w:p>
              </w:tc>
              <w:tc>
                <w:tcPr>
                  <w:tcW w:w="1020" w:type="dxa"/>
                  <w:noWrap w:val="0"/>
                  <w:vAlign w:val="center"/>
                </w:tcPr>
                <w:p w14:paraId="44C8F1C8">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HW08</w:t>
                  </w:r>
                </w:p>
              </w:tc>
              <w:tc>
                <w:tcPr>
                  <w:tcW w:w="1191" w:type="dxa"/>
                  <w:noWrap w:val="0"/>
                  <w:vAlign w:val="center"/>
                </w:tcPr>
                <w:p w14:paraId="3BA63BA5">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900-2</w:t>
                  </w:r>
                  <w:r>
                    <w:rPr>
                      <w:rFonts w:hint="eastAsia" w:ascii="Times New Roman" w:hAnsi="Times New Roman" w:eastAsia="宋体" w:cs="Times New Roman"/>
                      <w:b w:val="0"/>
                      <w:bCs w:val="0"/>
                      <w:color w:val="auto"/>
                      <w:sz w:val="21"/>
                      <w:szCs w:val="21"/>
                      <w:highlight w:val="none"/>
                      <w:lang w:val="en-US" w:eastAsia="zh-CN" w:bidi="ar-SA"/>
                    </w:rPr>
                    <w:t>14</w:t>
                  </w:r>
                  <w:r>
                    <w:rPr>
                      <w:rFonts w:hint="default" w:ascii="Times New Roman" w:hAnsi="Times New Roman" w:eastAsia="宋体" w:cs="Times New Roman"/>
                      <w:b w:val="0"/>
                      <w:bCs w:val="0"/>
                      <w:color w:val="auto"/>
                      <w:sz w:val="21"/>
                      <w:szCs w:val="21"/>
                      <w:highlight w:val="none"/>
                      <w:lang w:val="en-US" w:eastAsia="zh-CN" w:bidi="ar-SA"/>
                    </w:rPr>
                    <w:t>-08</w:t>
                  </w:r>
                </w:p>
              </w:tc>
              <w:tc>
                <w:tcPr>
                  <w:tcW w:w="680" w:type="dxa"/>
                  <w:noWrap w:val="0"/>
                  <w:vAlign w:val="center"/>
                </w:tcPr>
                <w:p w14:paraId="0C9BE710">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color w:val="auto"/>
                      <w:kern w:val="0"/>
                      <w:sz w:val="21"/>
                      <w:szCs w:val="20"/>
                      <w:highlight w:val="none"/>
                      <w:lang w:val="en-US" w:eastAsia="zh-CN" w:bidi="ar-SA"/>
                    </w:rPr>
                  </w:pPr>
                  <w:r>
                    <w:rPr>
                      <w:rFonts w:hint="eastAsia" w:cs="Times New Roman"/>
                      <w:b w:val="0"/>
                      <w:bCs/>
                      <w:color w:val="auto"/>
                      <w:kern w:val="0"/>
                      <w:sz w:val="21"/>
                      <w:szCs w:val="20"/>
                      <w:highlight w:val="none"/>
                      <w:lang w:val="en-US" w:eastAsia="zh-CN" w:bidi="ar-SA"/>
                    </w:rPr>
                    <w:t>液</w:t>
                  </w:r>
                  <w:r>
                    <w:rPr>
                      <w:rFonts w:hint="default" w:ascii="Times New Roman" w:hAnsi="Times New Roman" w:eastAsia="宋体" w:cs="Times New Roman"/>
                      <w:b w:val="0"/>
                      <w:bCs/>
                      <w:color w:val="auto"/>
                      <w:kern w:val="0"/>
                      <w:sz w:val="21"/>
                      <w:szCs w:val="20"/>
                      <w:highlight w:val="none"/>
                      <w:lang w:val="en-US" w:eastAsia="zh-CN" w:bidi="ar-SA"/>
                    </w:rPr>
                    <w:t>态</w:t>
                  </w:r>
                </w:p>
              </w:tc>
              <w:tc>
                <w:tcPr>
                  <w:tcW w:w="1304" w:type="dxa"/>
                  <w:noWrap w:val="0"/>
                  <w:vAlign w:val="center"/>
                </w:tcPr>
                <w:p w14:paraId="6F788E38">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b w:val="0"/>
                      <w:bCs/>
                      <w:color w:val="auto"/>
                      <w:highlight w:val="none"/>
                      <w:lang w:val="en-US" w:eastAsia="zh-CN"/>
                    </w:rPr>
                  </w:pPr>
                  <w:r>
                    <w:rPr>
                      <w:rFonts w:hint="eastAsia" w:cs="Times New Roman"/>
                      <w:b w:val="0"/>
                      <w:bCs w:val="0"/>
                      <w:color w:val="auto"/>
                      <w:sz w:val="21"/>
                      <w:szCs w:val="21"/>
                      <w:highlight w:val="none"/>
                      <w:lang w:val="en-US" w:eastAsia="zh-CN"/>
                    </w:rPr>
                    <w:t>机油</w:t>
                  </w:r>
                </w:p>
              </w:tc>
              <w:tc>
                <w:tcPr>
                  <w:tcW w:w="1020" w:type="dxa"/>
                  <w:noWrap w:val="0"/>
                  <w:vAlign w:val="center"/>
                </w:tcPr>
                <w:p w14:paraId="17599A1E">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b w:val="0"/>
                      <w:bCs/>
                      <w:color w:val="auto"/>
                      <w:szCs w:val="20"/>
                      <w:highlight w:val="none"/>
                      <w:lang w:val="en-US" w:eastAsia="zh-CN"/>
                    </w:rPr>
                  </w:pPr>
                  <w:r>
                    <w:rPr>
                      <w:rFonts w:hint="eastAsia" w:cs="Times New Roman"/>
                      <w:b w:val="0"/>
                      <w:bCs w:val="0"/>
                      <w:color w:val="auto"/>
                      <w:sz w:val="21"/>
                      <w:szCs w:val="21"/>
                      <w:highlight w:val="none"/>
                      <w:lang w:val="en-US" w:eastAsia="zh-CN"/>
                    </w:rPr>
                    <w:t>机油</w:t>
                  </w:r>
                </w:p>
              </w:tc>
              <w:tc>
                <w:tcPr>
                  <w:tcW w:w="1020" w:type="dxa"/>
                  <w:noWrap w:val="0"/>
                  <w:vAlign w:val="center"/>
                </w:tcPr>
                <w:p w14:paraId="2A313B1D">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color w:val="auto"/>
                      <w:szCs w:val="20"/>
                      <w:highlight w:val="none"/>
                      <w:lang w:val="en-US" w:eastAsia="zh-CN"/>
                    </w:rPr>
                  </w:pPr>
                  <w:r>
                    <w:rPr>
                      <w:rFonts w:hint="default" w:ascii="Times New Roman" w:hAnsi="Times New Roman" w:cs="Times New Roman"/>
                      <w:b w:val="0"/>
                      <w:bCs/>
                      <w:color w:val="auto"/>
                      <w:szCs w:val="20"/>
                      <w:highlight w:val="none"/>
                      <w:lang w:val="en-US" w:eastAsia="zh-CN"/>
                    </w:rPr>
                    <w:t>3个月</w:t>
                  </w:r>
                </w:p>
              </w:tc>
              <w:tc>
                <w:tcPr>
                  <w:tcW w:w="964" w:type="dxa"/>
                  <w:noWrap w:val="0"/>
                  <w:vAlign w:val="center"/>
                </w:tcPr>
                <w:p w14:paraId="2EDC387D">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color w:val="auto"/>
                      <w:szCs w:val="20"/>
                      <w:highlight w:val="none"/>
                      <w:lang w:val="en-US" w:eastAsia="zh-CN"/>
                    </w:rPr>
                  </w:pPr>
                  <w:r>
                    <w:rPr>
                      <w:rFonts w:hint="default" w:ascii="Times New Roman" w:hAnsi="Times New Roman" w:cs="Times New Roman"/>
                      <w:b w:val="0"/>
                      <w:bCs/>
                      <w:color w:val="auto"/>
                      <w:szCs w:val="20"/>
                      <w:highlight w:val="none"/>
                      <w:lang w:val="en-US" w:eastAsia="zh-CN"/>
                    </w:rPr>
                    <w:t>T/I</w:t>
                  </w:r>
                </w:p>
              </w:tc>
            </w:tr>
            <w:tr w14:paraId="7F620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7" w:type="dxa"/>
                  <w:shd w:val="clear" w:color="auto" w:fill="auto"/>
                  <w:noWrap w:val="0"/>
                  <w:vAlign w:val="center"/>
                </w:tcPr>
                <w:p w14:paraId="47619D03">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0"/>
                      <w:highlight w:val="none"/>
                      <w:lang w:val="en-US" w:eastAsia="zh-CN" w:bidi="ar-SA"/>
                    </w:rPr>
                  </w:pPr>
                  <w:r>
                    <w:rPr>
                      <w:rFonts w:hint="eastAsia" w:cs="Times New Roman"/>
                      <w:b w:val="0"/>
                      <w:bCs/>
                      <w:color w:val="auto"/>
                      <w:szCs w:val="20"/>
                      <w:highlight w:val="none"/>
                      <w:lang w:val="en-US" w:eastAsia="zh-CN"/>
                    </w:rPr>
                    <w:t>3</w:t>
                  </w:r>
                </w:p>
              </w:tc>
              <w:tc>
                <w:tcPr>
                  <w:tcW w:w="1191" w:type="dxa"/>
                  <w:shd w:val="clear" w:color="auto" w:fill="auto"/>
                  <w:noWrap w:val="0"/>
                  <w:vAlign w:val="center"/>
                </w:tcPr>
                <w:p w14:paraId="482C18EA">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废活性炭</w:t>
                  </w:r>
                </w:p>
              </w:tc>
              <w:tc>
                <w:tcPr>
                  <w:tcW w:w="1020" w:type="dxa"/>
                  <w:noWrap w:val="0"/>
                  <w:vAlign w:val="center"/>
                </w:tcPr>
                <w:p w14:paraId="7742AB75">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HW</w:t>
                  </w:r>
                  <w:r>
                    <w:rPr>
                      <w:rFonts w:hint="eastAsia" w:ascii="Times New Roman" w:hAnsi="Times New Roman" w:eastAsia="宋体" w:cs="Times New Roman"/>
                      <w:b w:val="0"/>
                      <w:bCs w:val="0"/>
                      <w:color w:val="auto"/>
                      <w:sz w:val="21"/>
                      <w:szCs w:val="21"/>
                      <w:highlight w:val="none"/>
                      <w:lang w:val="en-US" w:eastAsia="zh-CN" w:bidi="ar-SA"/>
                    </w:rPr>
                    <w:t>49</w:t>
                  </w:r>
                </w:p>
              </w:tc>
              <w:tc>
                <w:tcPr>
                  <w:tcW w:w="1191" w:type="dxa"/>
                  <w:noWrap w:val="0"/>
                  <w:vAlign w:val="center"/>
                </w:tcPr>
                <w:p w14:paraId="3527B917">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en-US" w:bidi="ar-SA"/>
                    </w:rPr>
                    <w:t>900-039-49</w:t>
                  </w:r>
                </w:p>
              </w:tc>
              <w:tc>
                <w:tcPr>
                  <w:tcW w:w="680" w:type="dxa"/>
                  <w:noWrap w:val="0"/>
                  <w:vAlign w:val="center"/>
                </w:tcPr>
                <w:p w14:paraId="06A3502D">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0"/>
                      <w:highlight w:val="none"/>
                      <w:lang w:val="en-US" w:eastAsia="zh-CN" w:bidi="ar-SA"/>
                    </w:rPr>
                  </w:pPr>
                  <w:r>
                    <w:rPr>
                      <w:rFonts w:hint="eastAsia" w:cs="Times New Roman"/>
                      <w:b w:val="0"/>
                      <w:bCs/>
                      <w:color w:val="auto"/>
                      <w:kern w:val="0"/>
                      <w:sz w:val="21"/>
                      <w:szCs w:val="20"/>
                      <w:highlight w:val="none"/>
                      <w:lang w:val="en-US" w:eastAsia="zh-CN" w:bidi="ar-SA"/>
                    </w:rPr>
                    <w:t>固</w:t>
                  </w:r>
                  <w:r>
                    <w:rPr>
                      <w:rFonts w:hint="default" w:ascii="Times New Roman" w:hAnsi="Times New Roman" w:eastAsia="宋体" w:cs="Times New Roman"/>
                      <w:b w:val="0"/>
                      <w:bCs/>
                      <w:color w:val="auto"/>
                      <w:kern w:val="0"/>
                      <w:sz w:val="21"/>
                      <w:szCs w:val="20"/>
                      <w:highlight w:val="none"/>
                      <w:lang w:val="en-US" w:eastAsia="zh-CN" w:bidi="ar-SA"/>
                    </w:rPr>
                    <w:t>态</w:t>
                  </w:r>
                </w:p>
              </w:tc>
              <w:tc>
                <w:tcPr>
                  <w:tcW w:w="1304" w:type="dxa"/>
                  <w:noWrap w:val="0"/>
                  <w:vAlign w:val="center"/>
                </w:tcPr>
                <w:p w14:paraId="262722F4">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活性炭</w:t>
                  </w:r>
                </w:p>
              </w:tc>
              <w:tc>
                <w:tcPr>
                  <w:tcW w:w="1020" w:type="dxa"/>
                  <w:noWrap w:val="0"/>
                  <w:vAlign w:val="center"/>
                </w:tcPr>
                <w:p w14:paraId="398F70DA">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b w:val="0"/>
                      <w:bCs w:val="0"/>
                      <w:color w:val="auto"/>
                      <w:szCs w:val="20"/>
                      <w:highlight w:val="none"/>
                      <w:lang w:val="en-US" w:eastAsia="zh-CN"/>
                    </w:rPr>
                  </w:pPr>
                  <w:r>
                    <w:rPr>
                      <w:rFonts w:hint="eastAsia" w:ascii="Times New Roman" w:hAnsi="Times New Roman" w:eastAsia="宋体" w:cs="Times New Roman"/>
                      <w:b w:val="0"/>
                      <w:bCs w:val="0"/>
                      <w:color w:val="auto"/>
                      <w:sz w:val="21"/>
                      <w:szCs w:val="21"/>
                      <w:highlight w:val="none"/>
                      <w:lang w:val="en-US" w:eastAsia="zh-CN" w:bidi="ar-SA"/>
                    </w:rPr>
                    <w:t>有机废气</w:t>
                  </w:r>
                </w:p>
              </w:tc>
              <w:tc>
                <w:tcPr>
                  <w:tcW w:w="1020" w:type="dxa"/>
                  <w:noWrap w:val="0"/>
                  <w:vAlign w:val="center"/>
                </w:tcPr>
                <w:p w14:paraId="3A8A73B7">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val="0"/>
                      <w:color w:val="auto"/>
                      <w:szCs w:val="20"/>
                      <w:highlight w:val="none"/>
                      <w:lang w:val="en-US" w:eastAsia="zh-CN"/>
                    </w:rPr>
                  </w:pPr>
                  <w:r>
                    <w:rPr>
                      <w:rFonts w:hint="eastAsia" w:cs="Times New Roman"/>
                      <w:b w:val="0"/>
                      <w:bCs/>
                      <w:color w:val="auto"/>
                      <w:szCs w:val="20"/>
                      <w:highlight w:val="none"/>
                      <w:lang w:val="en-US" w:eastAsia="zh-CN"/>
                    </w:rPr>
                    <w:t>1年</w:t>
                  </w:r>
                </w:p>
              </w:tc>
              <w:tc>
                <w:tcPr>
                  <w:tcW w:w="964" w:type="dxa"/>
                  <w:noWrap w:val="0"/>
                  <w:vAlign w:val="center"/>
                </w:tcPr>
                <w:p w14:paraId="4D497E4C">
                  <w:pPr>
                    <w:keepNext w:val="0"/>
                    <w:keepLines w:val="0"/>
                    <w:suppressLineNumbers w:val="0"/>
                    <w:bidi w:val="0"/>
                    <w:spacing w:before="0" w:beforeAutospacing="0" w:after="0" w:afterAutospacing="0"/>
                    <w:ind w:left="0" w:leftChars="0" w:right="0" w:rightChars="0"/>
                    <w:jc w:val="center"/>
                    <w:rPr>
                      <w:rFonts w:hint="default" w:cs="Times New Roman"/>
                      <w:b w:val="0"/>
                      <w:bCs w:val="0"/>
                      <w:color w:val="auto"/>
                      <w:szCs w:val="20"/>
                      <w:highlight w:val="none"/>
                      <w:lang w:val="en-US" w:eastAsia="zh-CN"/>
                    </w:rPr>
                  </w:pPr>
                  <w:r>
                    <w:rPr>
                      <w:rFonts w:hint="eastAsia" w:cs="Times New Roman"/>
                      <w:b w:val="0"/>
                      <w:bCs w:val="0"/>
                      <w:color w:val="auto"/>
                      <w:szCs w:val="20"/>
                      <w:highlight w:val="none"/>
                      <w:lang w:val="en-US" w:eastAsia="zh-CN"/>
                    </w:rPr>
                    <w:t>T</w:t>
                  </w:r>
                </w:p>
              </w:tc>
            </w:tr>
            <w:tr w14:paraId="4A3EA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7" w:type="dxa"/>
                  <w:shd w:val="clear" w:color="auto" w:fill="auto"/>
                  <w:noWrap w:val="0"/>
                  <w:vAlign w:val="center"/>
                </w:tcPr>
                <w:p w14:paraId="26C281F5">
                  <w:pPr>
                    <w:pStyle w:val="3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 w:val="0"/>
                      <w:bCs/>
                      <w:color w:val="auto"/>
                      <w:kern w:val="2"/>
                      <w:sz w:val="21"/>
                      <w:szCs w:val="20"/>
                      <w:highlight w:val="none"/>
                      <w:lang w:val="en-US" w:eastAsia="zh-CN" w:bidi="ar-SA"/>
                    </w:rPr>
                  </w:pPr>
                  <w:r>
                    <w:rPr>
                      <w:rFonts w:hint="eastAsia" w:cs="Times New Roman"/>
                      <w:b w:val="0"/>
                      <w:bCs/>
                      <w:color w:val="auto"/>
                      <w:szCs w:val="20"/>
                      <w:highlight w:val="none"/>
                      <w:lang w:val="en-US" w:eastAsia="zh-CN"/>
                    </w:rPr>
                    <w:t>4</w:t>
                  </w:r>
                </w:p>
              </w:tc>
              <w:tc>
                <w:tcPr>
                  <w:tcW w:w="1191" w:type="dxa"/>
                  <w:shd w:val="clear" w:color="auto" w:fill="auto"/>
                  <w:noWrap w:val="0"/>
                  <w:vAlign w:val="center"/>
                </w:tcPr>
                <w:p w14:paraId="148F01BA">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废催化剂</w:t>
                  </w:r>
                </w:p>
              </w:tc>
              <w:tc>
                <w:tcPr>
                  <w:tcW w:w="1020" w:type="dxa"/>
                  <w:noWrap w:val="0"/>
                  <w:vAlign w:val="center"/>
                </w:tcPr>
                <w:p w14:paraId="0BC942F4">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lang w:eastAsia="zh-CN"/>
                    </w:rPr>
                    <w:t>HW50</w:t>
                  </w:r>
                </w:p>
              </w:tc>
              <w:tc>
                <w:tcPr>
                  <w:tcW w:w="1191" w:type="dxa"/>
                  <w:noWrap w:val="0"/>
                  <w:vAlign w:val="center"/>
                </w:tcPr>
                <w:p w14:paraId="339EB232">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en-US" w:bidi="ar-SA"/>
                    </w:rPr>
                  </w:pPr>
                  <w:r>
                    <w:rPr>
                      <w:rFonts w:hint="default" w:ascii="Times New Roman" w:hAnsi="Times New Roman" w:eastAsia="宋体" w:cs="Times New Roman"/>
                      <w:b w:val="0"/>
                      <w:bCs/>
                      <w:color w:val="auto"/>
                      <w:lang w:val="en-US" w:eastAsia="zh-CN"/>
                    </w:rPr>
                    <w:t>772-007-50</w:t>
                  </w:r>
                </w:p>
              </w:tc>
              <w:tc>
                <w:tcPr>
                  <w:tcW w:w="680" w:type="dxa"/>
                  <w:noWrap w:val="0"/>
                  <w:vAlign w:val="center"/>
                </w:tcPr>
                <w:p w14:paraId="232533A8">
                  <w:pPr>
                    <w:keepNext w:val="0"/>
                    <w:keepLines w:val="0"/>
                    <w:suppressLineNumbers w:val="0"/>
                    <w:bidi w:val="0"/>
                    <w:spacing w:before="0" w:beforeAutospacing="0" w:after="0" w:afterAutospacing="0"/>
                    <w:ind w:left="0" w:leftChars="0" w:right="0" w:rightChars="0"/>
                    <w:jc w:val="center"/>
                    <w:rPr>
                      <w:rFonts w:hint="eastAsia" w:cs="Times New Roman"/>
                      <w:b w:val="0"/>
                      <w:bCs/>
                      <w:color w:val="auto"/>
                      <w:kern w:val="0"/>
                      <w:sz w:val="21"/>
                      <w:szCs w:val="20"/>
                      <w:highlight w:val="none"/>
                      <w:lang w:val="en-US" w:eastAsia="zh-CN" w:bidi="ar-SA"/>
                    </w:rPr>
                  </w:pPr>
                  <w:r>
                    <w:rPr>
                      <w:rFonts w:hint="eastAsia" w:cs="Times New Roman"/>
                      <w:b w:val="0"/>
                      <w:bCs/>
                      <w:color w:val="auto"/>
                      <w:kern w:val="0"/>
                      <w:sz w:val="21"/>
                      <w:szCs w:val="20"/>
                      <w:highlight w:val="none"/>
                      <w:lang w:val="en-US" w:eastAsia="zh-CN" w:bidi="ar-SA"/>
                    </w:rPr>
                    <w:t>固</w:t>
                  </w:r>
                  <w:r>
                    <w:rPr>
                      <w:rFonts w:hint="default" w:ascii="Times New Roman" w:hAnsi="Times New Roman" w:eastAsia="宋体" w:cs="Times New Roman"/>
                      <w:b w:val="0"/>
                      <w:bCs/>
                      <w:color w:val="auto"/>
                      <w:kern w:val="0"/>
                      <w:sz w:val="21"/>
                      <w:szCs w:val="20"/>
                      <w:highlight w:val="none"/>
                      <w:lang w:val="en-US" w:eastAsia="zh-CN" w:bidi="ar-SA"/>
                    </w:rPr>
                    <w:t>态</w:t>
                  </w:r>
                </w:p>
              </w:tc>
              <w:tc>
                <w:tcPr>
                  <w:tcW w:w="1304" w:type="dxa"/>
                  <w:noWrap w:val="0"/>
                  <w:vAlign w:val="center"/>
                </w:tcPr>
                <w:p w14:paraId="57F6BF8F">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活性炭</w:t>
                  </w:r>
                </w:p>
              </w:tc>
              <w:tc>
                <w:tcPr>
                  <w:tcW w:w="1020" w:type="dxa"/>
                  <w:noWrap w:val="0"/>
                  <w:vAlign w:val="center"/>
                </w:tcPr>
                <w:p w14:paraId="2C540472">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催化剂</w:t>
                  </w:r>
                </w:p>
              </w:tc>
              <w:tc>
                <w:tcPr>
                  <w:tcW w:w="1020" w:type="dxa"/>
                  <w:noWrap w:val="0"/>
                  <w:vAlign w:val="center"/>
                </w:tcPr>
                <w:p w14:paraId="4E63072C">
                  <w:pPr>
                    <w:pStyle w:val="38"/>
                    <w:keepNext w:val="0"/>
                    <w:keepLines w:val="0"/>
                    <w:suppressLineNumbers w:val="0"/>
                    <w:bidi w:val="0"/>
                    <w:spacing w:before="0" w:beforeAutospacing="0" w:after="0" w:afterAutospacing="0"/>
                    <w:ind w:left="0" w:leftChars="0" w:right="0" w:rightChars="0" w:firstLine="0" w:firstLineChars="0"/>
                    <w:rPr>
                      <w:rFonts w:hint="eastAsia" w:cs="Times New Roman"/>
                      <w:b w:val="0"/>
                      <w:bCs/>
                      <w:color w:val="auto"/>
                      <w:szCs w:val="20"/>
                      <w:highlight w:val="none"/>
                      <w:lang w:val="en-US" w:eastAsia="zh-CN"/>
                    </w:rPr>
                  </w:pPr>
                  <w:r>
                    <w:rPr>
                      <w:rFonts w:hint="eastAsia" w:cs="Times New Roman"/>
                      <w:b w:val="0"/>
                      <w:bCs/>
                      <w:color w:val="auto"/>
                      <w:szCs w:val="20"/>
                      <w:highlight w:val="none"/>
                      <w:lang w:val="en-US" w:eastAsia="zh-CN"/>
                    </w:rPr>
                    <w:t>1年</w:t>
                  </w:r>
                </w:p>
              </w:tc>
              <w:tc>
                <w:tcPr>
                  <w:tcW w:w="964" w:type="dxa"/>
                  <w:noWrap w:val="0"/>
                  <w:vAlign w:val="center"/>
                </w:tcPr>
                <w:p w14:paraId="7FE0C8FF">
                  <w:pPr>
                    <w:keepNext w:val="0"/>
                    <w:keepLines w:val="0"/>
                    <w:suppressLineNumbers w:val="0"/>
                    <w:bidi w:val="0"/>
                    <w:spacing w:before="0" w:beforeAutospacing="0" w:after="0" w:afterAutospacing="0"/>
                    <w:ind w:left="0" w:leftChars="0" w:right="0" w:rightChars="0"/>
                    <w:jc w:val="center"/>
                    <w:rPr>
                      <w:rFonts w:hint="eastAsia" w:cs="Times New Roman"/>
                      <w:b w:val="0"/>
                      <w:bCs w:val="0"/>
                      <w:color w:val="auto"/>
                      <w:szCs w:val="20"/>
                      <w:highlight w:val="none"/>
                      <w:lang w:val="en-US" w:eastAsia="zh-CN"/>
                    </w:rPr>
                  </w:pPr>
                  <w:r>
                    <w:rPr>
                      <w:rFonts w:hint="eastAsia" w:cs="Times New Roman"/>
                      <w:b w:val="0"/>
                      <w:bCs w:val="0"/>
                      <w:color w:val="auto"/>
                      <w:szCs w:val="20"/>
                      <w:highlight w:val="none"/>
                      <w:lang w:val="en-US" w:eastAsia="zh-CN"/>
                    </w:rPr>
                    <w:t>T</w:t>
                  </w:r>
                </w:p>
              </w:tc>
            </w:tr>
            <w:tr w14:paraId="5ABF8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7" w:type="dxa"/>
                  <w:shd w:val="clear" w:color="auto" w:fill="auto"/>
                  <w:noWrap w:val="0"/>
                  <w:vAlign w:val="center"/>
                </w:tcPr>
                <w:p w14:paraId="58525645">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0"/>
                      <w:highlight w:val="none"/>
                      <w:lang w:val="en-US" w:eastAsia="zh-CN" w:bidi="ar-SA"/>
                    </w:rPr>
                  </w:pPr>
                  <w:r>
                    <w:rPr>
                      <w:rFonts w:hint="eastAsia" w:cs="Times New Roman"/>
                      <w:b w:val="0"/>
                      <w:bCs/>
                      <w:color w:val="auto"/>
                      <w:szCs w:val="20"/>
                      <w:highlight w:val="none"/>
                      <w:lang w:val="en-US" w:eastAsia="zh-CN"/>
                    </w:rPr>
                    <w:t>5</w:t>
                  </w:r>
                </w:p>
              </w:tc>
              <w:tc>
                <w:tcPr>
                  <w:tcW w:w="1191" w:type="dxa"/>
                  <w:shd w:val="clear" w:color="auto" w:fill="auto"/>
                  <w:noWrap w:val="0"/>
                  <w:vAlign w:val="center"/>
                </w:tcPr>
                <w:p w14:paraId="53AF1C1B">
                  <w:pPr>
                    <w:keepNext w:val="0"/>
                    <w:keepLines w:val="0"/>
                    <w:widowControl w:val="0"/>
                    <w:suppressLineNumbers w:val="0"/>
                    <w:topLinePunct/>
                    <w:bidi w:val="0"/>
                    <w:adjustRightInd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机油桶</w:t>
                  </w:r>
                </w:p>
              </w:tc>
              <w:tc>
                <w:tcPr>
                  <w:tcW w:w="1020" w:type="dxa"/>
                  <w:noWrap w:val="0"/>
                  <w:vAlign w:val="center"/>
                </w:tcPr>
                <w:p w14:paraId="37C421D7">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HW</w:t>
                  </w:r>
                  <w:r>
                    <w:rPr>
                      <w:rFonts w:hint="eastAsia" w:ascii="Times New Roman" w:hAnsi="Times New Roman" w:eastAsia="宋体" w:cs="Times New Roman"/>
                      <w:b w:val="0"/>
                      <w:bCs w:val="0"/>
                      <w:color w:val="auto"/>
                      <w:sz w:val="21"/>
                      <w:szCs w:val="21"/>
                      <w:highlight w:val="none"/>
                      <w:lang w:val="en-US" w:eastAsia="zh-CN" w:bidi="ar-SA"/>
                    </w:rPr>
                    <w:t>08</w:t>
                  </w:r>
                </w:p>
              </w:tc>
              <w:tc>
                <w:tcPr>
                  <w:tcW w:w="1191" w:type="dxa"/>
                  <w:noWrap w:val="0"/>
                  <w:vAlign w:val="center"/>
                </w:tcPr>
                <w:p w14:paraId="2D31E009">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900-249-08</w:t>
                  </w:r>
                </w:p>
              </w:tc>
              <w:tc>
                <w:tcPr>
                  <w:tcW w:w="680" w:type="dxa"/>
                  <w:noWrap w:val="0"/>
                  <w:vAlign w:val="center"/>
                </w:tcPr>
                <w:p w14:paraId="328258F5">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0"/>
                      <w:highlight w:val="none"/>
                      <w:lang w:val="en-US" w:eastAsia="zh-CN" w:bidi="ar-SA"/>
                    </w:rPr>
                  </w:pPr>
                  <w:r>
                    <w:rPr>
                      <w:rFonts w:hint="default" w:ascii="Times New Roman" w:hAnsi="Times New Roman" w:eastAsia="宋体" w:cs="Times New Roman"/>
                      <w:b w:val="0"/>
                      <w:bCs w:val="0"/>
                      <w:color w:val="auto"/>
                      <w:kern w:val="0"/>
                      <w:sz w:val="21"/>
                      <w:szCs w:val="20"/>
                      <w:highlight w:val="none"/>
                      <w:lang w:val="en-US" w:eastAsia="zh-CN" w:bidi="ar-SA"/>
                    </w:rPr>
                    <w:t>固态</w:t>
                  </w:r>
                </w:p>
              </w:tc>
              <w:tc>
                <w:tcPr>
                  <w:tcW w:w="1304" w:type="dxa"/>
                  <w:noWrap w:val="0"/>
                  <w:vAlign w:val="center"/>
                </w:tcPr>
                <w:p w14:paraId="49347362">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sz w:val="21"/>
                      <w:szCs w:val="21"/>
                      <w:highlight w:val="none"/>
                      <w:lang w:val="en-US" w:eastAsia="zh-CN"/>
                    </w:rPr>
                    <w:t>机油</w:t>
                  </w:r>
                </w:p>
              </w:tc>
              <w:tc>
                <w:tcPr>
                  <w:tcW w:w="1020" w:type="dxa"/>
                  <w:noWrap w:val="0"/>
                  <w:vAlign w:val="center"/>
                </w:tcPr>
                <w:p w14:paraId="59EE3293">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cs="Times New Roman"/>
                      <w:b w:val="0"/>
                      <w:bCs w:val="0"/>
                      <w:color w:val="auto"/>
                      <w:szCs w:val="20"/>
                      <w:highlight w:val="none"/>
                      <w:lang w:val="en-US" w:eastAsia="zh-CN"/>
                    </w:rPr>
                  </w:pPr>
                  <w:r>
                    <w:rPr>
                      <w:rFonts w:hint="eastAsia" w:cs="Times New Roman"/>
                      <w:b w:val="0"/>
                      <w:bCs w:val="0"/>
                      <w:color w:val="auto"/>
                      <w:sz w:val="21"/>
                      <w:szCs w:val="21"/>
                      <w:highlight w:val="none"/>
                      <w:lang w:val="en-US" w:eastAsia="zh-CN"/>
                    </w:rPr>
                    <w:t>机油</w:t>
                  </w:r>
                </w:p>
              </w:tc>
              <w:tc>
                <w:tcPr>
                  <w:tcW w:w="1020" w:type="dxa"/>
                  <w:noWrap w:val="0"/>
                  <w:vAlign w:val="center"/>
                </w:tcPr>
                <w:p w14:paraId="61D47F92">
                  <w:pPr>
                    <w:pStyle w:val="38"/>
                    <w:keepNext w:val="0"/>
                    <w:keepLines w:val="0"/>
                    <w:suppressLineNumbers w:val="0"/>
                    <w:bidi w:val="0"/>
                    <w:spacing w:before="0" w:beforeAutospacing="0" w:after="0" w:afterAutospacing="0"/>
                    <w:ind w:left="0" w:leftChars="0" w:right="0" w:rightChars="0" w:firstLine="0" w:firstLineChars="0"/>
                    <w:rPr>
                      <w:rFonts w:hint="default" w:cs="Times New Roman"/>
                      <w:b w:val="0"/>
                      <w:bCs w:val="0"/>
                      <w:color w:val="auto"/>
                      <w:szCs w:val="20"/>
                      <w:highlight w:val="none"/>
                      <w:lang w:val="en-US" w:eastAsia="zh-CN"/>
                    </w:rPr>
                  </w:pPr>
                  <w:r>
                    <w:rPr>
                      <w:rFonts w:hint="eastAsia" w:cs="Times New Roman"/>
                      <w:b w:val="0"/>
                      <w:bCs w:val="0"/>
                      <w:color w:val="auto"/>
                      <w:szCs w:val="20"/>
                      <w:highlight w:val="none"/>
                      <w:lang w:val="en-US" w:eastAsia="zh-CN"/>
                    </w:rPr>
                    <w:t>3个月</w:t>
                  </w:r>
                </w:p>
              </w:tc>
              <w:tc>
                <w:tcPr>
                  <w:tcW w:w="964" w:type="dxa"/>
                  <w:noWrap w:val="0"/>
                  <w:vAlign w:val="center"/>
                </w:tcPr>
                <w:p w14:paraId="5D148A0F">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val="0"/>
                      <w:color w:val="auto"/>
                      <w:szCs w:val="20"/>
                      <w:highlight w:val="none"/>
                      <w:lang w:val="en-US" w:eastAsia="zh-CN"/>
                    </w:rPr>
                  </w:pPr>
                  <w:r>
                    <w:rPr>
                      <w:rFonts w:hint="default" w:ascii="Times New Roman" w:hAnsi="Times New Roman" w:cs="Times New Roman"/>
                      <w:b w:val="0"/>
                      <w:bCs w:val="0"/>
                      <w:color w:val="auto"/>
                      <w:szCs w:val="20"/>
                      <w:highlight w:val="none"/>
                      <w:lang w:val="en-US" w:eastAsia="zh-CN"/>
                    </w:rPr>
                    <w:t>T/I</w:t>
                  </w:r>
                  <w:r>
                    <w:rPr>
                      <w:rFonts w:hint="eastAsia" w:cs="Times New Roman"/>
                      <w:b w:val="0"/>
                      <w:bCs w:val="0"/>
                      <w:color w:val="auto"/>
                      <w:szCs w:val="20"/>
                      <w:highlight w:val="none"/>
                      <w:lang w:val="en-US" w:eastAsia="zh-CN"/>
                    </w:rPr>
                    <w:t>n</w:t>
                  </w:r>
                </w:p>
              </w:tc>
            </w:tr>
            <w:tr w14:paraId="283A6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7" w:type="dxa"/>
                  <w:shd w:val="clear" w:color="auto" w:fill="auto"/>
                  <w:noWrap w:val="0"/>
                  <w:vAlign w:val="center"/>
                </w:tcPr>
                <w:p w14:paraId="5C521C12">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0"/>
                      <w:highlight w:val="none"/>
                      <w:lang w:val="en-US" w:eastAsia="zh-CN" w:bidi="ar-SA"/>
                    </w:rPr>
                  </w:pPr>
                  <w:r>
                    <w:rPr>
                      <w:rFonts w:hint="eastAsia" w:cs="Times New Roman"/>
                      <w:b w:val="0"/>
                      <w:bCs/>
                      <w:color w:val="auto"/>
                      <w:szCs w:val="20"/>
                      <w:highlight w:val="none"/>
                      <w:lang w:val="en-US" w:eastAsia="zh-CN"/>
                    </w:rPr>
                    <w:t>6</w:t>
                  </w:r>
                </w:p>
              </w:tc>
              <w:tc>
                <w:tcPr>
                  <w:tcW w:w="1191" w:type="dxa"/>
                  <w:shd w:val="clear" w:color="auto" w:fill="auto"/>
                  <w:noWrap w:val="0"/>
                  <w:vAlign w:val="center"/>
                </w:tcPr>
                <w:p w14:paraId="5201A5E6">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bidi="ar-SA"/>
                    </w:rPr>
                    <w:t>废油剂桶</w:t>
                  </w:r>
                </w:p>
              </w:tc>
              <w:tc>
                <w:tcPr>
                  <w:tcW w:w="1020" w:type="dxa"/>
                  <w:noWrap w:val="0"/>
                  <w:vAlign w:val="center"/>
                </w:tcPr>
                <w:p w14:paraId="066FECEA">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HW49</w:t>
                  </w:r>
                </w:p>
              </w:tc>
              <w:tc>
                <w:tcPr>
                  <w:tcW w:w="1191" w:type="dxa"/>
                  <w:noWrap w:val="0"/>
                  <w:vAlign w:val="center"/>
                </w:tcPr>
                <w:p w14:paraId="36ECB05F">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900-041-49</w:t>
                  </w:r>
                </w:p>
              </w:tc>
              <w:tc>
                <w:tcPr>
                  <w:tcW w:w="680" w:type="dxa"/>
                  <w:noWrap w:val="0"/>
                  <w:vAlign w:val="center"/>
                </w:tcPr>
                <w:p w14:paraId="77D02615">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0"/>
                      <w:highlight w:val="none"/>
                      <w:lang w:val="en-US" w:eastAsia="zh-CN" w:bidi="ar-SA"/>
                    </w:rPr>
                  </w:pPr>
                  <w:r>
                    <w:rPr>
                      <w:rFonts w:hint="default" w:ascii="Times New Roman" w:hAnsi="Times New Roman" w:eastAsia="宋体" w:cs="Times New Roman"/>
                      <w:b w:val="0"/>
                      <w:bCs/>
                      <w:color w:val="auto"/>
                      <w:kern w:val="0"/>
                      <w:sz w:val="21"/>
                      <w:szCs w:val="20"/>
                      <w:highlight w:val="none"/>
                      <w:lang w:val="en-US" w:eastAsia="zh-CN" w:bidi="ar-SA"/>
                    </w:rPr>
                    <w:t>固态</w:t>
                  </w:r>
                </w:p>
              </w:tc>
              <w:tc>
                <w:tcPr>
                  <w:tcW w:w="1304" w:type="dxa"/>
                  <w:noWrap w:val="0"/>
                  <w:vAlign w:val="center"/>
                </w:tcPr>
                <w:p w14:paraId="0DA77D4F">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sz w:val="21"/>
                      <w:szCs w:val="21"/>
                      <w:highlight w:val="none"/>
                      <w:lang w:val="en-US" w:eastAsia="zh-CN"/>
                    </w:rPr>
                    <w:t>油剂</w:t>
                  </w:r>
                </w:p>
              </w:tc>
              <w:tc>
                <w:tcPr>
                  <w:tcW w:w="1020" w:type="dxa"/>
                  <w:noWrap w:val="0"/>
                  <w:vAlign w:val="center"/>
                </w:tcPr>
                <w:p w14:paraId="25775BC0">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cs="Times New Roman"/>
                      <w:b w:val="0"/>
                      <w:bCs w:val="0"/>
                      <w:color w:val="auto"/>
                      <w:szCs w:val="20"/>
                      <w:highlight w:val="none"/>
                      <w:lang w:val="en-US" w:eastAsia="zh-CN"/>
                    </w:rPr>
                  </w:pPr>
                  <w:r>
                    <w:rPr>
                      <w:rFonts w:hint="eastAsia" w:cs="Times New Roman"/>
                      <w:b w:val="0"/>
                      <w:bCs w:val="0"/>
                      <w:color w:val="auto"/>
                      <w:sz w:val="21"/>
                      <w:szCs w:val="21"/>
                      <w:highlight w:val="none"/>
                      <w:lang w:val="en-US" w:eastAsia="zh-CN"/>
                    </w:rPr>
                    <w:t>油剂</w:t>
                  </w:r>
                </w:p>
              </w:tc>
              <w:tc>
                <w:tcPr>
                  <w:tcW w:w="1020" w:type="dxa"/>
                  <w:noWrap w:val="0"/>
                  <w:vAlign w:val="center"/>
                </w:tcPr>
                <w:p w14:paraId="5B5A7B40">
                  <w:pPr>
                    <w:pStyle w:val="38"/>
                    <w:keepNext w:val="0"/>
                    <w:keepLines w:val="0"/>
                    <w:suppressLineNumbers w:val="0"/>
                    <w:bidi w:val="0"/>
                    <w:spacing w:before="0" w:beforeAutospacing="0" w:after="0" w:afterAutospacing="0"/>
                    <w:ind w:left="0" w:leftChars="0" w:right="0" w:rightChars="0" w:firstLine="0" w:firstLineChars="0"/>
                    <w:rPr>
                      <w:rFonts w:hint="default" w:cs="Times New Roman"/>
                      <w:b w:val="0"/>
                      <w:bCs w:val="0"/>
                      <w:color w:val="auto"/>
                      <w:szCs w:val="20"/>
                      <w:highlight w:val="none"/>
                      <w:lang w:val="en-US" w:eastAsia="zh-CN"/>
                    </w:rPr>
                  </w:pPr>
                  <w:r>
                    <w:rPr>
                      <w:rFonts w:hint="eastAsia" w:cs="Times New Roman"/>
                      <w:b w:val="0"/>
                      <w:bCs w:val="0"/>
                      <w:color w:val="auto"/>
                      <w:szCs w:val="20"/>
                      <w:highlight w:val="none"/>
                      <w:lang w:val="en-US" w:eastAsia="zh-CN"/>
                    </w:rPr>
                    <w:t>3个月</w:t>
                  </w:r>
                </w:p>
              </w:tc>
              <w:tc>
                <w:tcPr>
                  <w:tcW w:w="964" w:type="dxa"/>
                  <w:noWrap w:val="0"/>
                  <w:vAlign w:val="center"/>
                </w:tcPr>
                <w:p w14:paraId="3696FEAB">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val="0"/>
                      <w:color w:val="auto"/>
                      <w:szCs w:val="20"/>
                      <w:highlight w:val="none"/>
                      <w:lang w:val="en-US" w:eastAsia="zh-CN"/>
                    </w:rPr>
                  </w:pPr>
                  <w:r>
                    <w:rPr>
                      <w:rFonts w:hint="default" w:ascii="Times New Roman" w:hAnsi="Times New Roman" w:cs="Times New Roman"/>
                      <w:b w:val="0"/>
                      <w:bCs w:val="0"/>
                      <w:color w:val="auto"/>
                      <w:szCs w:val="20"/>
                      <w:highlight w:val="none"/>
                      <w:lang w:val="en-US" w:eastAsia="zh-CN"/>
                    </w:rPr>
                    <w:t>T/I</w:t>
                  </w:r>
                  <w:r>
                    <w:rPr>
                      <w:rFonts w:hint="eastAsia" w:cs="Times New Roman"/>
                      <w:b w:val="0"/>
                      <w:bCs w:val="0"/>
                      <w:color w:val="auto"/>
                      <w:szCs w:val="20"/>
                      <w:highlight w:val="none"/>
                      <w:lang w:val="en-US" w:eastAsia="zh-CN"/>
                    </w:rPr>
                    <w:t>n</w:t>
                  </w:r>
                </w:p>
              </w:tc>
            </w:tr>
            <w:tr w14:paraId="4D433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67" w:type="dxa"/>
                  <w:shd w:val="clear" w:color="auto" w:fill="auto"/>
                  <w:noWrap w:val="0"/>
                  <w:vAlign w:val="center"/>
                </w:tcPr>
                <w:p w14:paraId="51021362">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0"/>
                      <w:highlight w:val="none"/>
                      <w:lang w:val="en-US" w:eastAsia="zh-CN" w:bidi="ar-SA"/>
                    </w:rPr>
                  </w:pPr>
                  <w:r>
                    <w:rPr>
                      <w:rFonts w:hint="eastAsia" w:cs="Times New Roman"/>
                      <w:b w:val="0"/>
                      <w:bCs/>
                      <w:color w:val="auto"/>
                      <w:szCs w:val="20"/>
                      <w:highlight w:val="none"/>
                      <w:lang w:val="en-US" w:eastAsia="zh-CN"/>
                    </w:rPr>
                    <w:t>7</w:t>
                  </w:r>
                </w:p>
              </w:tc>
              <w:tc>
                <w:tcPr>
                  <w:tcW w:w="1191" w:type="dxa"/>
                  <w:shd w:val="clear" w:color="auto" w:fill="auto"/>
                  <w:noWrap w:val="0"/>
                  <w:vAlign w:val="center"/>
                </w:tcPr>
                <w:p w14:paraId="1F7F4F7D">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废含油抹布和废含油手套</w:t>
                  </w:r>
                </w:p>
              </w:tc>
              <w:tc>
                <w:tcPr>
                  <w:tcW w:w="1020" w:type="dxa"/>
                  <w:noWrap w:val="0"/>
                  <w:vAlign w:val="center"/>
                </w:tcPr>
                <w:p w14:paraId="236F4BF8">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HW49</w:t>
                  </w:r>
                </w:p>
              </w:tc>
              <w:tc>
                <w:tcPr>
                  <w:tcW w:w="1191" w:type="dxa"/>
                  <w:noWrap w:val="0"/>
                  <w:vAlign w:val="center"/>
                </w:tcPr>
                <w:p w14:paraId="12F9A224">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900-041-49</w:t>
                  </w:r>
                </w:p>
              </w:tc>
              <w:tc>
                <w:tcPr>
                  <w:tcW w:w="680" w:type="dxa"/>
                  <w:noWrap w:val="0"/>
                  <w:vAlign w:val="center"/>
                </w:tcPr>
                <w:p w14:paraId="4E58B917">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0"/>
                      <w:highlight w:val="none"/>
                      <w:lang w:val="en-US" w:eastAsia="zh-CN" w:bidi="ar-SA"/>
                    </w:rPr>
                  </w:pPr>
                  <w:r>
                    <w:rPr>
                      <w:rFonts w:hint="default" w:ascii="Times New Roman" w:hAnsi="Times New Roman" w:eastAsia="宋体" w:cs="Times New Roman"/>
                      <w:b w:val="0"/>
                      <w:bCs w:val="0"/>
                      <w:color w:val="auto"/>
                      <w:kern w:val="0"/>
                      <w:sz w:val="21"/>
                      <w:szCs w:val="20"/>
                      <w:highlight w:val="none"/>
                      <w:lang w:val="en-US" w:eastAsia="zh-CN" w:bidi="ar-SA"/>
                    </w:rPr>
                    <w:t>固态</w:t>
                  </w:r>
                </w:p>
              </w:tc>
              <w:tc>
                <w:tcPr>
                  <w:tcW w:w="1304" w:type="dxa"/>
                  <w:noWrap w:val="0"/>
                  <w:vAlign w:val="center"/>
                </w:tcPr>
                <w:p w14:paraId="1EC08445">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highlight w:val="none"/>
                      <w:lang w:val="en-US" w:eastAsia="zh-CN"/>
                    </w:rPr>
                  </w:pPr>
                  <w:r>
                    <w:rPr>
                      <w:rFonts w:hint="eastAsia" w:cs="Times New Roman"/>
                      <w:b w:val="0"/>
                      <w:bCs w:val="0"/>
                      <w:color w:val="auto"/>
                      <w:sz w:val="21"/>
                      <w:szCs w:val="21"/>
                      <w:highlight w:val="none"/>
                      <w:lang w:val="en-US" w:eastAsia="zh-CN"/>
                    </w:rPr>
                    <w:t>机油</w:t>
                  </w:r>
                </w:p>
              </w:tc>
              <w:tc>
                <w:tcPr>
                  <w:tcW w:w="1020" w:type="dxa"/>
                  <w:noWrap w:val="0"/>
                  <w:vAlign w:val="center"/>
                </w:tcPr>
                <w:p w14:paraId="018D4B64">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highlight w:val="none"/>
                      <w:lang w:val="en-US" w:eastAsia="zh-CN"/>
                    </w:rPr>
                  </w:pPr>
                  <w:r>
                    <w:rPr>
                      <w:rFonts w:hint="eastAsia" w:cs="Times New Roman"/>
                      <w:b w:val="0"/>
                      <w:bCs w:val="0"/>
                      <w:color w:val="auto"/>
                      <w:sz w:val="21"/>
                      <w:szCs w:val="21"/>
                      <w:highlight w:val="none"/>
                      <w:lang w:val="en-US" w:eastAsia="zh-CN"/>
                    </w:rPr>
                    <w:t>机油</w:t>
                  </w:r>
                </w:p>
              </w:tc>
              <w:tc>
                <w:tcPr>
                  <w:tcW w:w="1020" w:type="dxa"/>
                  <w:noWrap w:val="0"/>
                  <w:vAlign w:val="center"/>
                </w:tcPr>
                <w:p w14:paraId="0DF6A359">
                  <w:pPr>
                    <w:pStyle w:val="38"/>
                    <w:keepNext w:val="0"/>
                    <w:keepLines w:val="0"/>
                    <w:suppressLineNumbers w:val="0"/>
                    <w:bidi w:val="0"/>
                    <w:spacing w:before="0" w:beforeAutospacing="0" w:after="0" w:afterAutospacing="0"/>
                    <w:ind w:left="0" w:leftChars="0" w:right="0" w:rightChars="0" w:firstLine="0" w:firstLineChars="0"/>
                    <w:rPr>
                      <w:rFonts w:hint="default" w:cs="Times New Roman"/>
                      <w:b w:val="0"/>
                      <w:bCs w:val="0"/>
                      <w:color w:val="auto"/>
                      <w:szCs w:val="20"/>
                      <w:highlight w:val="none"/>
                      <w:lang w:val="en-US" w:eastAsia="zh-CN"/>
                    </w:rPr>
                  </w:pPr>
                  <w:r>
                    <w:rPr>
                      <w:rFonts w:hint="eastAsia" w:cs="Times New Roman"/>
                      <w:b w:val="0"/>
                      <w:bCs w:val="0"/>
                      <w:color w:val="auto"/>
                      <w:szCs w:val="20"/>
                      <w:highlight w:val="none"/>
                      <w:lang w:val="en-US" w:eastAsia="zh-CN"/>
                    </w:rPr>
                    <w:t>半年</w:t>
                  </w:r>
                </w:p>
              </w:tc>
              <w:tc>
                <w:tcPr>
                  <w:tcW w:w="964" w:type="dxa"/>
                  <w:noWrap w:val="0"/>
                  <w:vAlign w:val="center"/>
                </w:tcPr>
                <w:p w14:paraId="428F1629">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val="0"/>
                      <w:color w:val="auto"/>
                      <w:szCs w:val="20"/>
                      <w:highlight w:val="none"/>
                      <w:lang w:val="en-US" w:eastAsia="zh-CN"/>
                    </w:rPr>
                  </w:pPr>
                  <w:r>
                    <w:rPr>
                      <w:rFonts w:hint="default" w:ascii="Times New Roman" w:hAnsi="Times New Roman" w:cs="Times New Roman"/>
                      <w:b w:val="0"/>
                      <w:bCs w:val="0"/>
                      <w:color w:val="auto"/>
                      <w:szCs w:val="20"/>
                      <w:highlight w:val="none"/>
                      <w:lang w:val="en-US" w:eastAsia="zh-CN"/>
                    </w:rPr>
                    <w:t>T/I</w:t>
                  </w:r>
                  <w:r>
                    <w:rPr>
                      <w:rFonts w:hint="eastAsia" w:cs="Times New Roman"/>
                      <w:b w:val="0"/>
                      <w:bCs w:val="0"/>
                      <w:color w:val="auto"/>
                      <w:szCs w:val="20"/>
                      <w:highlight w:val="none"/>
                      <w:lang w:val="en-US" w:eastAsia="zh-CN"/>
                    </w:rPr>
                    <w:t>n</w:t>
                  </w:r>
                </w:p>
              </w:tc>
            </w:tr>
          </w:tbl>
          <w:p w14:paraId="19A2F530">
            <w:pPr>
              <w:pStyle w:val="3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21</w:t>
            </w:r>
            <w:r>
              <w:rPr>
                <w:rFonts w:hint="eastAsia" w:cs="Times New Roman"/>
                <w:color w:val="auto"/>
                <w:highlight w:val="none"/>
                <w:lang w:eastAsia="zh-CN"/>
              </w:rPr>
              <w:t>本</w:t>
            </w:r>
            <w:r>
              <w:rPr>
                <w:rFonts w:hint="eastAsia" w:cs="Times New Roman"/>
                <w:color w:val="auto"/>
                <w:highlight w:val="none"/>
                <w:lang w:val="en-US" w:eastAsia="zh-CN"/>
              </w:rPr>
              <w:t>项目</w:t>
            </w:r>
            <w:r>
              <w:rPr>
                <w:rFonts w:hint="default" w:ascii="Times New Roman" w:hAnsi="Times New Roman" w:cs="Times New Roman"/>
                <w:color w:val="auto"/>
                <w:highlight w:val="none"/>
              </w:rPr>
              <w:t>危险废物暂存场所基本情况</w:t>
            </w:r>
          </w:p>
          <w:tbl>
            <w:tblPr>
              <w:tblStyle w:val="26"/>
              <w:tblW w:w="98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72"/>
              <w:gridCol w:w="561"/>
              <w:gridCol w:w="1872"/>
              <w:gridCol w:w="561"/>
              <w:gridCol w:w="1419"/>
              <w:gridCol w:w="1328"/>
              <w:gridCol w:w="946"/>
              <w:gridCol w:w="602"/>
              <w:gridCol w:w="906"/>
              <w:gridCol w:w="586"/>
            </w:tblGrid>
            <w:tr w14:paraId="79DC1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72" w:type="dxa"/>
                  <w:vMerge w:val="restart"/>
                  <w:noWrap w:val="0"/>
                  <w:vAlign w:val="center"/>
                </w:tcPr>
                <w:p w14:paraId="1BDD7D9A">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561" w:type="dxa"/>
                  <w:vMerge w:val="restart"/>
                  <w:noWrap w:val="0"/>
                  <w:vAlign w:val="center"/>
                </w:tcPr>
                <w:p w14:paraId="757434FB">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场所</w:t>
                  </w:r>
                </w:p>
                <w:p w14:paraId="1C382A92">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1872" w:type="dxa"/>
                  <w:vMerge w:val="restart"/>
                  <w:noWrap w:val="0"/>
                  <w:vAlign w:val="center"/>
                </w:tcPr>
                <w:p w14:paraId="6AFED460">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废物</w:t>
                  </w:r>
                </w:p>
                <w:p w14:paraId="14E87859">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561" w:type="dxa"/>
                  <w:vMerge w:val="restart"/>
                  <w:noWrap w:val="0"/>
                  <w:vAlign w:val="center"/>
                </w:tcPr>
                <w:p w14:paraId="22598653">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场所位置</w:t>
                  </w:r>
                </w:p>
              </w:tc>
              <w:tc>
                <w:tcPr>
                  <w:tcW w:w="2747" w:type="dxa"/>
                  <w:gridSpan w:val="2"/>
                  <w:noWrap w:val="0"/>
                  <w:vAlign w:val="center"/>
                </w:tcPr>
                <w:p w14:paraId="16DC6863">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坐标</w:t>
                  </w:r>
                </w:p>
              </w:tc>
              <w:tc>
                <w:tcPr>
                  <w:tcW w:w="946" w:type="dxa"/>
                  <w:vMerge w:val="restart"/>
                  <w:noWrap w:val="0"/>
                  <w:vAlign w:val="center"/>
                </w:tcPr>
                <w:p w14:paraId="2B480C7A">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占地面积（</w:t>
                  </w:r>
                  <w:r>
                    <w:rPr>
                      <w:rFonts w:hint="default" w:ascii="Times New Roman" w:hAnsi="Times New Roman" w:cs="Times New Roman"/>
                      <w:color w:val="auto"/>
                      <w:highlight w:val="none"/>
                      <w:lang w:eastAsia="zh-CN"/>
                    </w:rPr>
                    <w:t>m²</w:t>
                  </w:r>
                  <w:r>
                    <w:rPr>
                      <w:rFonts w:hint="default" w:ascii="Times New Roman" w:hAnsi="Times New Roman" w:cs="Times New Roman"/>
                      <w:color w:val="auto"/>
                      <w:highlight w:val="none"/>
                    </w:rPr>
                    <w:t>）</w:t>
                  </w:r>
                </w:p>
              </w:tc>
              <w:tc>
                <w:tcPr>
                  <w:tcW w:w="602" w:type="dxa"/>
                  <w:vMerge w:val="restart"/>
                  <w:noWrap w:val="0"/>
                  <w:vAlign w:val="center"/>
                </w:tcPr>
                <w:p w14:paraId="400AF4F9">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贮存</w:t>
                  </w:r>
                </w:p>
                <w:p w14:paraId="5E141147">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方式</w:t>
                  </w:r>
                </w:p>
              </w:tc>
              <w:tc>
                <w:tcPr>
                  <w:tcW w:w="906" w:type="dxa"/>
                  <w:vMerge w:val="restart"/>
                  <w:noWrap w:val="0"/>
                  <w:vAlign w:val="center"/>
                </w:tcPr>
                <w:p w14:paraId="516610D0">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贮存能力（t/a）</w:t>
                  </w:r>
                </w:p>
              </w:tc>
              <w:tc>
                <w:tcPr>
                  <w:tcW w:w="586" w:type="dxa"/>
                  <w:vMerge w:val="restart"/>
                  <w:noWrap w:val="0"/>
                  <w:vAlign w:val="center"/>
                </w:tcPr>
                <w:p w14:paraId="009E0075">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贮存</w:t>
                  </w:r>
                </w:p>
                <w:p w14:paraId="49CBEB46">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周期</w:t>
                  </w:r>
                </w:p>
              </w:tc>
            </w:tr>
            <w:tr w14:paraId="516ED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72" w:type="dxa"/>
                  <w:vMerge w:val="continue"/>
                  <w:noWrap w:val="0"/>
                  <w:vAlign w:val="center"/>
                </w:tcPr>
                <w:p w14:paraId="3D68428E">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Cs w:val="20"/>
                      <w:highlight w:val="none"/>
                    </w:rPr>
                  </w:pPr>
                </w:p>
              </w:tc>
              <w:tc>
                <w:tcPr>
                  <w:tcW w:w="561" w:type="dxa"/>
                  <w:vMerge w:val="continue"/>
                  <w:noWrap w:val="0"/>
                  <w:vAlign w:val="center"/>
                </w:tcPr>
                <w:p w14:paraId="42C3391F">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Cs w:val="20"/>
                      <w:highlight w:val="none"/>
                    </w:rPr>
                  </w:pPr>
                </w:p>
              </w:tc>
              <w:tc>
                <w:tcPr>
                  <w:tcW w:w="1872" w:type="dxa"/>
                  <w:vMerge w:val="continue"/>
                  <w:noWrap w:val="0"/>
                  <w:vAlign w:val="center"/>
                </w:tcPr>
                <w:p w14:paraId="4C1D126A">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Cs w:val="20"/>
                      <w:highlight w:val="none"/>
                    </w:rPr>
                  </w:pPr>
                </w:p>
              </w:tc>
              <w:tc>
                <w:tcPr>
                  <w:tcW w:w="561" w:type="dxa"/>
                  <w:vMerge w:val="continue"/>
                  <w:noWrap w:val="0"/>
                  <w:vAlign w:val="center"/>
                </w:tcPr>
                <w:p w14:paraId="4845EB37">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Cs w:val="20"/>
                      <w:highlight w:val="none"/>
                    </w:rPr>
                  </w:pPr>
                </w:p>
              </w:tc>
              <w:tc>
                <w:tcPr>
                  <w:tcW w:w="1419" w:type="dxa"/>
                  <w:noWrap w:val="0"/>
                  <w:vAlign w:val="center"/>
                </w:tcPr>
                <w:p w14:paraId="64A35565">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经度</w:t>
                  </w:r>
                </w:p>
              </w:tc>
              <w:tc>
                <w:tcPr>
                  <w:tcW w:w="1328" w:type="dxa"/>
                  <w:noWrap w:val="0"/>
                  <w:vAlign w:val="center"/>
                </w:tcPr>
                <w:p w14:paraId="7A468DA3">
                  <w:pPr>
                    <w:pStyle w:val="41"/>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纬度</w:t>
                  </w:r>
                </w:p>
              </w:tc>
              <w:tc>
                <w:tcPr>
                  <w:tcW w:w="946" w:type="dxa"/>
                  <w:vMerge w:val="continue"/>
                  <w:noWrap w:val="0"/>
                  <w:vAlign w:val="center"/>
                </w:tcPr>
                <w:p w14:paraId="561D343C">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Cs w:val="20"/>
                      <w:highlight w:val="none"/>
                    </w:rPr>
                  </w:pPr>
                </w:p>
              </w:tc>
              <w:tc>
                <w:tcPr>
                  <w:tcW w:w="602" w:type="dxa"/>
                  <w:vMerge w:val="continue"/>
                  <w:noWrap w:val="0"/>
                  <w:vAlign w:val="center"/>
                </w:tcPr>
                <w:p w14:paraId="40EE6DF2">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Cs w:val="20"/>
                      <w:highlight w:val="none"/>
                    </w:rPr>
                  </w:pPr>
                </w:p>
              </w:tc>
              <w:tc>
                <w:tcPr>
                  <w:tcW w:w="906" w:type="dxa"/>
                  <w:vMerge w:val="continue"/>
                  <w:noWrap w:val="0"/>
                  <w:vAlign w:val="center"/>
                </w:tcPr>
                <w:p w14:paraId="30C797F7">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Cs w:val="20"/>
                      <w:highlight w:val="none"/>
                    </w:rPr>
                  </w:pPr>
                </w:p>
              </w:tc>
              <w:tc>
                <w:tcPr>
                  <w:tcW w:w="586" w:type="dxa"/>
                  <w:vMerge w:val="continue"/>
                  <w:noWrap w:val="0"/>
                  <w:vAlign w:val="center"/>
                </w:tcPr>
                <w:p w14:paraId="239C419D">
                  <w:pPr>
                    <w:pStyle w:val="38"/>
                    <w:keepNext w:val="0"/>
                    <w:keepLines w:val="0"/>
                    <w:suppressLineNumbers w:val="0"/>
                    <w:bidi w:val="0"/>
                    <w:spacing w:before="0" w:beforeAutospacing="0" w:after="0" w:afterAutospacing="0"/>
                    <w:ind w:left="0" w:right="0"/>
                    <w:rPr>
                      <w:rFonts w:hint="default" w:ascii="Times New Roman" w:hAnsi="Times New Roman" w:cs="Times New Roman"/>
                      <w:color w:val="auto"/>
                      <w:szCs w:val="20"/>
                      <w:highlight w:val="none"/>
                    </w:rPr>
                  </w:pPr>
                </w:p>
              </w:tc>
            </w:tr>
            <w:tr w14:paraId="1C513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72" w:type="dxa"/>
                  <w:vMerge w:val="restart"/>
                  <w:noWrap w:val="0"/>
                  <w:vAlign w:val="center"/>
                </w:tcPr>
                <w:p w14:paraId="4DA6FAE9">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r>
                    <w:rPr>
                      <w:rFonts w:hint="default" w:ascii="Times New Roman" w:hAnsi="Times New Roman" w:cs="Times New Roman"/>
                      <w:b w:val="0"/>
                      <w:bCs/>
                      <w:color w:val="auto"/>
                      <w:szCs w:val="20"/>
                      <w:highlight w:val="none"/>
                    </w:rPr>
                    <w:t>1</w:t>
                  </w:r>
                </w:p>
              </w:tc>
              <w:tc>
                <w:tcPr>
                  <w:tcW w:w="561" w:type="dxa"/>
                  <w:vMerge w:val="restart"/>
                  <w:noWrap w:val="0"/>
                  <w:vAlign w:val="center"/>
                </w:tcPr>
                <w:p w14:paraId="70D918C5">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r>
                    <w:rPr>
                      <w:rFonts w:hint="default" w:ascii="Times New Roman" w:hAnsi="Times New Roman" w:cs="Times New Roman"/>
                      <w:b w:val="0"/>
                      <w:bCs/>
                      <w:color w:val="auto"/>
                      <w:szCs w:val="20"/>
                      <w:highlight w:val="none"/>
                    </w:rPr>
                    <w:t>危废暂存间</w:t>
                  </w:r>
                </w:p>
              </w:tc>
              <w:tc>
                <w:tcPr>
                  <w:tcW w:w="1872" w:type="dxa"/>
                  <w:shd w:val="clear" w:color="auto" w:fill="auto"/>
                  <w:noWrap w:val="0"/>
                  <w:vAlign w:val="center"/>
                </w:tcPr>
                <w:p w14:paraId="60FA3D91">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废油</w:t>
                  </w:r>
                </w:p>
              </w:tc>
              <w:tc>
                <w:tcPr>
                  <w:tcW w:w="561" w:type="dxa"/>
                  <w:vMerge w:val="restart"/>
                  <w:noWrap w:val="0"/>
                  <w:vAlign w:val="center"/>
                </w:tcPr>
                <w:p w14:paraId="4C19D1D3">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lang w:val="en-US" w:eastAsia="zh-CN"/>
                    </w:rPr>
                  </w:pPr>
                  <w:r>
                    <w:rPr>
                      <w:rFonts w:hint="eastAsia" w:cs="Times New Roman"/>
                      <w:b w:val="0"/>
                      <w:bCs/>
                      <w:color w:val="auto"/>
                      <w:szCs w:val="20"/>
                      <w:highlight w:val="none"/>
                      <w:lang w:val="en-US" w:eastAsia="zh-CN"/>
                    </w:rPr>
                    <w:t>厂区西南侧</w:t>
                  </w:r>
                </w:p>
              </w:tc>
              <w:tc>
                <w:tcPr>
                  <w:tcW w:w="1419" w:type="dxa"/>
                  <w:vMerge w:val="restart"/>
                  <w:noWrap w:val="0"/>
                  <w:vAlign w:val="center"/>
                </w:tcPr>
                <w:p w14:paraId="15D6416E">
                  <w:pPr>
                    <w:pStyle w:val="38"/>
                    <w:keepNext w:val="0"/>
                    <w:keepLines w:val="0"/>
                    <w:suppressLineNumbers w:val="0"/>
                    <w:bidi w:val="0"/>
                    <w:spacing w:before="0" w:beforeAutospacing="0" w:after="0" w:afterAutospacing="0"/>
                    <w:ind w:left="0" w:right="0"/>
                    <w:rPr>
                      <w:rFonts w:hint="default"/>
                      <w:b w:val="0"/>
                      <w:bCs/>
                      <w:lang w:val="en-US" w:eastAsia="zh-CN"/>
                    </w:rPr>
                  </w:pPr>
                  <w:r>
                    <w:rPr>
                      <w:rFonts w:hint="default"/>
                      <w:b w:val="0"/>
                      <w:bCs/>
                      <w:lang w:val="en-US" w:eastAsia="zh-CN"/>
                    </w:rPr>
                    <w:t>117.866001</w:t>
                  </w:r>
                  <w:r>
                    <w:rPr>
                      <w:rFonts w:hint="default" w:ascii="Times New Roman" w:hAnsi="Times New Roman" w:eastAsia="宋体" w:cs="Times New Roman"/>
                      <w:b w:val="0"/>
                      <w:bCs/>
                      <w:color w:val="auto"/>
                      <w:szCs w:val="20"/>
                      <w:highlight w:val="none"/>
                    </w:rPr>
                    <w:t>°</w:t>
                  </w:r>
                </w:p>
              </w:tc>
              <w:tc>
                <w:tcPr>
                  <w:tcW w:w="1328" w:type="dxa"/>
                  <w:vMerge w:val="restart"/>
                  <w:noWrap w:val="0"/>
                  <w:vAlign w:val="center"/>
                </w:tcPr>
                <w:p w14:paraId="2E679260">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r>
                    <w:rPr>
                      <w:rFonts w:hint="default"/>
                      <w:b w:val="0"/>
                      <w:bCs/>
                      <w:lang w:val="en-US" w:eastAsia="zh-CN"/>
                    </w:rPr>
                    <w:t>33.110042</w:t>
                  </w:r>
                  <w:r>
                    <w:rPr>
                      <w:rFonts w:hint="default" w:ascii="Times New Roman" w:hAnsi="Times New Roman" w:cs="Times New Roman"/>
                      <w:b w:val="0"/>
                      <w:bCs/>
                      <w:color w:val="auto"/>
                      <w:szCs w:val="20"/>
                      <w:highlight w:val="none"/>
                    </w:rPr>
                    <w:t>°</w:t>
                  </w:r>
                </w:p>
              </w:tc>
              <w:tc>
                <w:tcPr>
                  <w:tcW w:w="946" w:type="dxa"/>
                  <w:vMerge w:val="restart"/>
                  <w:noWrap w:val="0"/>
                  <w:vAlign w:val="center"/>
                </w:tcPr>
                <w:p w14:paraId="0EF0D20A">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lang w:val="en-US" w:eastAsia="zh-CN"/>
                    </w:rPr>
                  </w:pPr>
                  <w:r>
                    <w:rPr>
                      <w:rFonts w:hint="eastAsia" w:cs="Times New Roman"/>
                      <w:b w:val="0"/>
                      <w:bCs/>
                      <w:color w:val="auto"/>
                      <w:szCs w:val="20"/>
                      <w:highlight w:val="none"/>
                      <w:lang w:val="en-US" w:eastAsia="zh-CN"/>
                    </w:rPr>
                    <w:t>25</w:t>
                  </w:r>
                </w:p>
              </w:tc>
              <w:tc>
                <w:tcPr>
                  <w:tcW w:w="602" w:type="dxa"/>
                  <w:noWrap w:val="0"/>
                  <w:vAlign w:val="center"/>
                </w:tcPr>
                <w:p w14:paraId="6BFEB4FF">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0"/>
                      <w:highlight w:val="none"/>
                      <w:lang w:val="en-US" w:eastAsia="zh-CN" w:bidi="ar-SA"/>
                    </w:rPr>
                  </w:pPr>
                  <w:r>
                    <w:rPr>
                      <w:rFonts w:hint="default" w:ascii="Times New Roman" w:hAnsi="Times New Roman" w:cs="Times New Roman"/>
                      <w:b w:val="0"/>
                      <w:bCs/>
                      <w:color w:val="auto"/>
                      <w:szCs w:val="20"/>
                      <w:highlight w:val="none"/>
                    </w:rPr>
                    <w:t>桶装</w:t>
                  </w:r>
                </w:p>
              </w:tc>
              <w:tc>
                <w:tcPr>
                  <w:tcW w:w="906" w:type="dxa"/>
                  <w:vMerge w:val="restart"/>
                  <w:noWrap w:val="0"/>
                  <w:vAlign w:val="center"/>
                </w:tcPr>
                <w:p w14:paraId="2669420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25</w:t>
                  </w:r>
                </w:p>
              </w:tc>
              <w:tc>
                <w:tcPr>
                  <w:tcW w:w="586" w:type="dxa"/>
                  <w:shd w:val="clear" w:color="auto" w:fill="auto"/>
                  <w:noWrap w:val="0"/>
                  <w:vAlign w:val="center"/>
                </w:tcPr>
                <w:p w14:paraId="1C3B97BD">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0"/>
                      <w:highlight w:val="none"/>
                      <w:lang w:val="en-US" w:eastAsia="zh-CN" w:bidi="ar-SA"/>
                    </w:rPr>
                  </w:pPr>
                  <w:r>
                    <w:rPr>
                      <w:rFonts w:hint="eastAsia" w:cs="Times New Roman"/>
                      <w:b w:val="0"/>
                      <w:bCs/>
                      <w:color w:val="auto"/>
                      <w:szCs w:val="20"/>
                      <w:highlight w:val="none"/>
                      <w:lang w:val="en-US" w:eastAsia="zh-CN"/>
                    </w:rPr>
                    <w:t>3个月</w:t>
                  </w:r>
                </w:p>
              </w:tc>
            </w:tr>
            <w:tr w14:paraId="7D6B8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72" w:type="dxa"/>
                  <w:vMerge w:val="continue"/>
                  <w:noWrap w:val="0"/>
                  <w:vAlign w:val="center"/>
                </w:tcPr>
                <w:p w14:paraId="1A5976C7">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p>
              </w:tc>
              <w:tc>
                <w:tcPr>
                  <w:tcW w:w="561" w:type="dxa"/>
                  <w:vMerge w:val="continue"/>
                  <w:noWrap w:val="0"/>
                  <w:vAlign w:val="center"/>
                </w:tcPr>
                <w:p w14:paraId="41C0D459">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p>
              </w:tc>
              <w:tc>
                <w:tcPr>
                  <w:tcW w:w="1872" w:type="dxa"/>
                  <w:shd w:val="clear" w:color="auto" w:fill="auto"/>
                  <w:noWrap w:val="0"/>
                  <w:vAlign w:val="center"/>
                </w:tcPr>
                <w:p w14:paraId="19A242BE">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废机油</w:t>
                  </w:r>
                </w:p>
              </w:tc>
              <w:tc>
                <w:tcPr>
                  <w:tcW w:w="561" w:type="dxa"/>
                  <w:vMerge w:val="continue"/>
                  <w:noWrap w:val="0"/>
                  <w:vAlign w:val="center"/>
                </w:tcPr>
                <w:p w14:paraId="430D29C5">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lang w:val="en-US" w:eastAsia="zh-CN"/>
                    </w:rPr>
                  </w:pPr>
                </w:p>
              </w:tc>
              <w:tc>
                <w:tcPr>
                  <w:tcW w:w="1419" w:type="dxa"/>
                  <w:vMerge w:val="continue"/>
                  <w:noWrap w:val="0"/>
                  <w:vAlign w:val="center"/>
                </w:tcPr>
                <w:p w14:paraId="6B225322">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p>
              </w:tc>
              <w:tc>
                <w:tcPr>
                  <w:tcW w:w="1328" w:type="dxa"/>
                  <w:vMerge w:val="continue"/>
                  <w:noWrap w:val="0"/>
                  <w:vAlign w:val="center"/>
                </w:tcPr>
                <w:p w14:paraId="0CFA9D5C">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p>
              </w:tc>
              <w:tc>
                <w:tcPr>
                  <w:tcW w:w="946" w:type="dxa"/>
                  <w:vMerge w:val="continue"/>
                  <w:noWrap w:val="0"/>
                  <w:vAlign w:val="center"/>
                </w:tcPr>
                <w:p w14:paraId="2529B7F6">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lang w:val="en-US" w:eastAsia="zh-CN"/>
                    </w:rPr>
                  </w:pPr>
                </w:p>
              </w:tc>
              <w:tc>
                <w:tcPr>
                  <w:tcW w:w="602" w:type="dxa"/>
                  <w:noWrap w:val="0"/>
                  <w:vAlign w:val="center"/>
                </w:tcPr>
                <w:p w14:paraId="05205EBB">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r>
                    <w:rPr>
                      <w:rFonts w:hint="default" w:ascii="Times New Roman" w:hAnsi="Times New Roman" w:cs="Times New Roman"/>
                      <w:b w:val="0"/>
                      <w:bCs/>
                      <w:color w:val="auto"/>
                      <w:szCs w:val="20"/>
                      <w:highlight w:val="none"/>
                    </w:rPr>
                    <w:t>桶装</w:t>
                  </w:r>
                </w:p>
              </w:tc>
              <w:tc>
                <w:tcPr>
                  <w:tcW w:w="906" w:type="dxa"/>
                  <w:vMerge w:val="continue"/>
                  <w:noWrap w:val="0"/>
                  <w:vAlign w:val="center"/>
                </w:tcPr>
                <w:p w14:paraId="1DD07C75">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p>
              </w:tc>
              <w:tc>
                <w:tcPr>
                  <w:tcW w:w="586" w:type="dxa"/>
                  <w:shd w:val="clear" w:color="auto" w:fill="auto"/>
                  <w:noWrap w:val="0"/>
                  <w:vAlign w:val="center"/>
                </w:tcPr>
                <w:p w14:paraId="2EC63471">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0"/>
                      <w:highlight w:val="none"/>
                      <w:lang w:val="en-US" w:eastAsia="zh-CN" w:bidi="ar-SA"/>
                    </w:rPr>
                  </w:pPr>
                  <w:r>
                    <w:rPr>
                      <w:rFonts w:hint="default" w:ascii="Times New Roman" w:hAnsi="Times New Roman" w:cs="Times New Roman"/>
                      <w:b w:val="0"/>
                      <w:bCs/>
                      <w:color w:val="auto"/>
                      <w:szCs w:val="20"/>
                      <w:highlight w:val="none"/>
                      <w:lang w:val="en-US" w:eastAsia="zh-CN"/>
                    </w:rPr>
                    <w:t>3个月</w:t>
                  </w:r>
                </w:p>
              </w:tc>
            </w:tr>
            <w:tr w14:paraId="50354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72" w:type="dxa"/>
                  <w:vMerge w:val="continue"/>
                  <w:noWrap w:val="0"/>
                  <w:vAlign w:val="center"/>
                </w:tcPr>
                <w:p w14:paraId="499B3727">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p>
              </w:tc>
              <w:tc>
                <w:tcPr>
                  <w:tcW w:w="561" w:type="dxa"/>
                  <w:vMerge w:val="continue"/>
                  <w:noWrap w:val="0"/>
                  <w:vAlign w:val="center"/>
                </w:tcPr>
                <w:p w14:paraId="75429609">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p>
              </w:tc>
              <w:tc>
                <w:tcPr>
                  <w:tcW w:w="1872" w:type="dxa"/>
                  <w:shd w:val="clear" w:color="auto" w:fill="auto"/>
                  <w:noWrap w:val="0"/>
                  <w:vAlign w:val="center"/>
                </w:tcPr>
                <w:p w14:paraId="65A73AF8">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废活性炭</w:t>
                  </w:r>
                </w:p>
              </w:tc>
              <w:tc>
                <w:tcPr>
                  <w:tcW w:w="561" w:type="dxa"/>
                  <w:vMerge w:val="continue"/>
                  <w:noWrap w:val="0"/>
                  <w:vAlign w:val="center"/>
                </w:tcPr>
                <w:p w14:paraId="27D40100">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lang w:val="en-US" w:eastAsia="zh-CN"/>
                    </w:rPr>
                  </w:pPr>
                </w:p>
              </w:tc>
              <w:tc>
                <w:tcPr>
                  <w:tcW w:w="1419" w:type="dxa"/>
                  <w:vMerge w:val="continue"/>
                  <w:noWrap w:val="0"/>
                  <w:vAlign w:val="center"/>
                </w:tcPr>
                <w:p w14:paraId="6A5E5078">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p>
              </w:tc>
              <w:tc>
                <w:tcPr>
                  <w:tcW w:w="1328" w:type="dxa"/>
                  <w:vMerge w:val="continue"/>
                  <w:noWrap w:val="0"/>
                  <w:vAlign w:val="center"/>
                </w:tcPr>
                <w:p w14:paraId="5132C87C">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p>
              </w:tc>
              <w:tc>
                <w:tcPr>
                  <w:tcW w:w="946" w:type="dxa"/>
                  <w:vMerge w:val="continue"/>
                  <w:noWrap w:val="0"/>
                  <w:vAlign w:val="center"/>
                </w:tcPr>
                <w:p w14:paraId="204C9B46">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lang w:val="en-US" w:eastAsia="zh-CN"/>
                    </w:rPr>
                  </w:pPr>
                </w:p>
              </w:tc>
              <w:tc>
                <w:tcPr>
                  <w:tcW w:w="602" w:type="dxa"/>
                  <w:noWrap w:val="0"/>
                  <w:vAlign w:val="center"/>
                </w:tcPr>
                <w:p w14:paraId="70124D29">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r>
                    <w:rPr>
                      <w:rFonts w:hint="default" w:ascii="Times New Roman" w:hAnsi="Times New Roman" w:cs="Times New Roman"/>
                      <w:b w:val="0"/>
                      <w:bCs/>
                      <w:color w:val="auto"/>
                      <w:szCs w:val="20"/>
                      <w:highlight w:val="none"/>
                    </w:rPr>
                    <w:t>桶装</w:t>
                  </w:r>
                </w:p>
              </w:tc>
              <w:tc>
                <w:tcPr>
                  <w:tcW w:w="906" w:type="dxa"/>
                  <w:vMerge w:val="continue"/>
                  <w:noWrap w:val="0"/>
                  <w:vAlign w:val="center"/>
                </w:tcPr>
                <w:p w14:paraId="33F20A62">
                  <w:pPr>
                    <w:pStyle w:val="38"/>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Cs w:val="20"/>
                      <w:highlight w:val="none"/>
                    </w:rPr>
                  </w:pPr>
                </w:p>
              </w:tc>
              <w:tc>
                <w:tcPr>
                  <w:tcW w:w="586" w:type="dxa"/>
                  <w:shd w:val="clear" w:color="auto" w:fill="auto"/>
                  <w:noWrap w:val="0"/>
                  <w:vAlign w:val="center"/>
                </w:tcPr>
                <w:p w14:paraId="19687312">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Cs w:val="20"/>
                      <w:highlight w:val="none"/>
                      <w:lang w:val="en-US" w:eastAsia="zh-CN"/>
                    </w:rPr>
                    <w:t>3个月</w:t>
                  </w:r>
                </w:p>
              </w:tc>
            </w:tr>
            <w:tr w14:paraId="4C98D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72" w:type="dxa"/>
                  <w:vMerge w:val="continue"/>
                  <w:noWrap w:val="0"/>
                  <w:vAlign w:val="center"/>
                </w:tcPr>
                <w:p w14:paraId="1C0DBA9C">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b w:val="0"/>
                      <w:bCs/>
                      <w:color w:val="auto"/>
                      <w:highlight w:val="none"/>
                    </w:rPr>
                  </w:pPr>
                </w:p>
              </w:tc>
              <w:tc>
                <w:tcPr>
                  <w:tcW w:w="561" w:type="dxa"/>
                  <w:vMerge w:val="continue"/>
                  <w:noWrap w:val="0"/>
                  <w:vAlign w:val="center"/>
                </w:tcPr>
                <w:p w14:paraId="4BF87558">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b w:val="0"/>
                      <w:bCs/>
                      <w:color w:val="auto"/>
                      <w:highlight w:val="none"/>
                    </w:rPr>
                  </w:pPr>
                </w:p>
              </w:tc>
              <w:tc>
                <w:tcPr>
                  <w:tcW w:w="1872" w:type="dxa"/>
                  <w:shd w:val="clear" w:color="auto" w:fill="auto"/>
                  <w:noWrap w:val="0"/>
                  <w:vAlign w:val="center"/>
                </w:tcPr>
                <w:p w14:paraId="3ACECC45">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bidi="ar-SA"/>
                    </w:rPr>
                    <w:t>废催化剂</w:t>
                  </w:r>
                </w:p>
              </w:tc>
              <w:tc>
                <w:tcPr>
                  <w:tcW w:w="561" w:type="dxa"/>
                  <w:vMerge w:val="continue"/>
                  <w:noWrap w:val="0"/>
                  <w:vAlign w:val="center"/>
                </w:tcPr>
                <w:p w14:paraId="5C90B02D">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1419" w:type="dxa"/>
                  <w:vMerge w:val="continue"/>
                  <w:noWrap w:val="0"/>
                  <w:vAlign w:val="center"/>
                </w:tcPr>
                <w:p w14:paraId="5680278B">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1328" w:type="dxa"/>
                  <w:vMerge w:val="continue"/>
                  <w:noWrap w:val="0"/>
                  <w:vAlign w:val="center"/>
                </w:tcPr>
                <w:p w14:paraId="76EBD819">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946" w:type="dxa"/>
                  <w:vMerge w:val="continue"/>
                  <w:noWrap w:val="0"/>
                  <w:vAlign w:val="center"/>
                </w:tcPr>
                <w:p w14:paraId="1A38CA5E">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602" w:type="dxa"/>
                  <w:noWrap w:val="0"/>
                  <w:vAlign w:val="center"/>
                </w:tcPr>
                <w:p w14:paraId="405550C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Cs w:val="20"/>
                      <w:highlight w:val="none"/>
                    </w:rPr>
                    <w:t>桶装</w:t>
                  </w:r>
                </w:p>
              </w:tc>
              <w:tc>
                <w:tcPr>
                  <w:tcW w:w="906" w:type="dxa"/>
                  <w:vMerge w:val="continue"/>
                  <w:noWrap w:val="0"/>
                  <w:vAlign w:val="center"/>
                </w:tcPr>
                <w:p w14:paraId="2B2B70D8">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586" w:type="dxa"/>
                  <w:shd w:val="clear" w:color="auto" w:fill="auto"/>
                  <w:noWrap w:val="0"/>
                  <w:vAlign w:val="center"/>
                </w:tcPr>
                <w:p w14:paraId="3B1B9DEC">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0"/>
                      <w:highlight w:val="none"/>
                      <w:lang w:val="en-US" w:eastAsia="zh-CN" w:bidi="ar-SA"/>
                    </w:rPr>
                  </w:pPr>
                  <w:r>
                    <w:rPr>
                      <w:rFonts w:hint="eastAsia" w:cs="Times New Roman"/>
                      <w:b w:val="0"/>
                      <w:bCs/>
                      <w:color w:val="auto"/>
                      <w:szCs w:val="20"/>
                      <w:highlight w:val="none"/>
                      <w:lang w:val="en-US" w:eastAsia="zh-CN"/>
                    </w:rPr>
                    <w:t>3个月</w:t>
                  </w:r>
                </w:p>
              </w:tc>
            </w:tr>
            <w:tr w14:paraId="1C637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72" w:type="dxa"/>
                  <w:vMerge w:val="continue"/>
                  <w:noWrap w:val="0"/>
                  <w:vAlign w:val="center"/>
                </w:tcPr>
                <w:p w14:paraId="31631A1E">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b w:val="0"/>
                      <w:bCs/>
                      <w:color w:val="auto"/>
                      <w:highlight w:val="none"/>
                    </w:rPr>
                  </w:pPr>
                </w:p>
              </w:tc>
              <w:tc>
                <w:tcPr>
                  <w:tcW w:w="561" w:type="dxa"/>
                  <w:vMerge w:val="continue"/>
                  <w:noWrap w:val="0"/>
                  <w:vAlign w:val="center"/>
                </w:tcPr>
                <w:p w14:paraId="59D643F6">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b w:val="0"/>
                      <w:bCs/>
                      <w:color w:val="auto"/>
                      <w:highlight w:val="none"/>
                    </w:rPr>
                  </w:pPr>
                </w:p>
              </w:tc>
              <w:tc>
                <w:tcPr>
                  <w:tcW w:w="1872" w:type="dxa"/>
                  <w:shd w:val="clear" w:color="auto" w:fill="auto"/>
                  <w:noWrap w:val="0"/>
                  <w:vAlign w:val="center"/>
                </w:tcPr>
                <w:p w14:paraId="3920D8A9">
                  <w:pPr>
                    <w:keepNext w:val="0"/>
                    <w:keepLines w:val="0"/>
                    <w:widowControl w:val="0"/>
                    <w:suppressLineNumbers w:val="0"/>
                    <w:topLinePunct/>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机油桶</w:t>
                  </w:r>
                </w:p>
              </w:tc>
              <w:tc>
                <w:tcPr>
                  <w:tcW w:w="561" w:type="dxa"/>
                  <w:vMerge w:val="continue"/>
                  <w:noWrap w:val="0"/>
                  <w:vAlign w:val="center"/>
                </w:tcPr>
                <w:p w14:paraId="00A946B1">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1419" w:type="dxa"/>
                  <w:vMerge w:val="continue"/>
                  <w:noWrap w:val="0"/>
                  <w:vAlign w:val="center"/>
                </w:tcPr>
                <w:p w14:paraId="40226A01">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1328" w:type="dxa"/>
                  <w:vMerge w:val="continue"/>
                  <w:noWrap w:val="0"/>
                  <w:vAlign w:val="center"/>
                </w:tcPr>
                <w:p w14:paraId="27F6B2F7">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946" w:type="dxa"/>
                  <w:vMerge w:val="continue"/>
                  <w:noWrap w:val="0"/>
                  <w:vAlign w:val="center"/>
                </w:tcPr>
                <w:p w14:paraId="01425A19">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602" w:type="dxa"/>
                  <w:noWrap w:val="0"/>
                  <w:vAlign w:val="center"/>
                </w:tcPr>
                <w:p w14:paraId="176E165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cs="Times New Roman"/>
                      <w:b w:val="0"/>
                      <w:bCs/>
                      <w:color w:val="auto"/>
                      <w:szCs w:val="20"/>
                      <w:highlight w:val="none"/>
                    </w:rPr>
                  </w:pPr>
                  <w:r>
                    <w:rPr>
                      <w:rFonts w:hint="default" w:ascii="Times New Roman" w:hAnsi="Times New Roman" w:cs="Times New Roman"/>
                      <w:b w:val="0"/>
                      <w:bCs/>
                      <w:color w:val="auto"/>
                      <w:szCs w:val="20"/>
                      <w:highlight w:val="none"/>
                    </w:rPr>
                    <w:t>桶装</w:t>
                  </w:r>
                </w:p>
              </w:tc>
              <w:tc>
                <w:tcPr>
                  <w:tcW w:w="906" w:type="dxa"/>
                  <w:vMerge w:val="continue"/>
                  <w:noWrap w:val="0"/>
                  <w:vAlign w:val="center"/>
                </w:tcPr>
                <w:p w14:paraId="24304E1C">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586" w:type="dxa"/>
                  <w:shd w:val="clear" w:color="auto" w:fill="auto"/>
                  <w:noWrap w:val="0"/>
                  <w:vAlign w:val="center"/>
                </w:tcPr>
                <w:p w14:paraId="2043F383">
                  <w:pPr>
                    <w:pStyle w:val="3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val="0"/>
                      <w:color w:val="auto"/>
                      <w:szCs w:val="20"/>
                      <w:highlight w:val="none"/>
                      <w:lang w:val="en-US" w:eastAsia="zh-CN"/>
                    </w:rPr>
                    <w:t>3个月</w:t>
                  </w:r>
                </w:p>
              </w:tc>
            </w:tr>
            <w:tr w14:paraId="201A6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72" w:type="dxa"/>
                  <w:vMerge w:val="continue"/>
                </w:tcPr>
                <w:p w14:paraId="11EA7834">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b w:val="0"/>
                      <w:bCs/>
                      <w:color w:val="auto"/>
                      <w:highlight w:val="none"/>
                    </w:rPr>
                  </w:pPr>
                </w:p>
              </w:tc>
              <w:tc>
                <w:tcPr>
                  <w:tcW w:w="561" w:type="dxa"/>
                  <w:vMerge w:val="continue"/>
                </w:tcPr>
                <w:p w14:paraId="1E242F79">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b w:val="0"/>
                      <w:bCs/>
                      <w:color w:val="auto"/>
                      <w:highlight w:val="none"/>
                    </w:rPr>
                  </w:pPr>
                </w:p>
              </w:tc>
              <w:tc>
                <w:tcPr>
                  <w:tcW w:w="1872" w:type="dxa"/>
                  <w:shd w:val="clear" w:color="auto" w:fill="auto"/>
                  <w:vAlign w:val="center"/>
                </w:tcPr>
                <w:p w14:paraId="248FFC1C">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bidi="ar-SA"/>
                    </w:rPr>
                    <w:t>废油剂桶</w:t>
                  </w:r>
                </w:p>
              </w:tc>
              <w:tc>
                <w:tcPr>
                  <w:tcW w:w="561" w:type="dxa"/>
                  <w:vMerge w:val="continue"/>
                </w:tcPr>
                <w:p w14:paraId="3F25DB19">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1419" w:type="dxa"/>
                  <w:vMerge w:val="continue"/>
                </w:tcPr>
                <w:p w14:paraId="08518A62">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1328" w:type="dxa"/>
                  <w:vMerge w:val="continue"/>
                </w:tcPr>
                <w:p w14:paraId="0D3C8D0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946" w:type="dxa"/>
                  <w:vMerge w:val="continue"/>
                </w:tcPr>
                <w:p w14:paraId="2F3BC121">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602" w:type="dxa"/>
                  <w:vAlign w:val="center"/>
                </w:tcPr>
                <w:p w14:paraId="066591A4">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Cs w:val="20"/>
                      <w:highlight w:val="none"/>
                    </w:rPr>
                    <w:t>桶装</w:t>
                  </w:r>
                </w:p>
              </w:tc>
              <w:tc>
                <w:tcPr>
                  <w:tcW w:w="906" w:type="dxa"/>
                  <w:vMerge w:val="continue"/>
                </w:tcPr>
                <w:p w14:paraId="1A9A3600">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586" w:type="dxa"/>
                  <w:shd w:val="clear" w:color="auto" w:fill="auto"/>
                  <w:vAlign w:val="center"/>
                </w:tcPr>
                <w:p w14:paraId="52C0C2C4">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val="0"/>
                      <w:color w:val="auto"/>
                      <w:szCs w:val="20"/>
                      <w:highlight w:val="none"/>
                      <w:lang w:val="en-US" w:eastAsia="zh-CN"/>
                    </w:rPr>
                    <w:t>3个月</w:t>
                  </w:r>
                </w:p>
              </w:tc>
            </w:tr>
            <w:tr w14:paraId="6025B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72" w:type="dxa"/>
                  <w:vMerge w:val="continue"/>
                </w:tcPr>
                <w:p w14:paraId="0F65944A">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b w:val="0"/>
                      <w:bCs/>
                      <w:color w:val="auto"/>
                      <w:highlight w:val="none"/>
                    </w:rPr>
                  </w:pPr>
                </w:p>
              </w:tc>
              <w:tc>
                <w:tcPr>
                  <w:tcW w:w="561" w:type="dxa"/>
                  <w:vMerge w:val="continue"/>
                </w:tcPr>
                <w:p w14:paraId="7FF7C9A6">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b w:val="0"/>
                      <w:bCs/>
                      <w:color w:val="auto"/>
                      <w:highlight w:val="none"/>
                    </w:rPr>
                  </w:pPr>
                </w:p>
              </w:tc>
              <w:tc>
                <w:tcPr>
                  <w:tcW w:w="1872" w:type="dxa"/>
                  <w:shd w:val="clear" w:color="auto" w:fill="auto"/>
                  <w:vAlign w:val="center"/>
                </w:tcPr>
                <w:p w14:paraId="69618FD6">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废含油抹布和废含油手套</w:t>
                  </w:r>
                </w:p>
              </w:tc>
              <w:tc>
                <w:tcPr>
                  <w:tcW w:w="561" w:type="dxa"/>
                  <w:vMerge w:val="continue"/>
                </w:tcPr>
                <w:p w14:paraId="6920B5D2">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1419" w:type="dxa"/>
                  <w:vMerge w:val="continue"/>
                </w:tcPr>
                <w:p w14:paraId="71FA7DC9">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1328" w:type="dxa"/>
                  <w:vMerge w:val="continue"/>
                </w:tcPr>
                <w:p w14:paraId="5EAB691F">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946" w:type="dxa"/>
                  <w:vMerge w:val="continue"/>
                </w:tcPr>
                <w:p w14:paraId="2A31F6D6">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602" w:type="dxa"/>
                  <w:vAlign w:val="center"/>
                </w:tcPr>
                <w:p w14:paraId="4C16C5C6">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Cs w:val="20"/>
                      <w:highlight w:val="none"/>
                    </w:rPr>
                    <w:t>桶装</w:t>
                  </w:r>
                </w:p>
              </w:tc>
              <w:tc>
                <w:tcPr>
                  <w:tcW w:w="906" w:type="dxa"/>
                  <w:vMerge w:val="continue"/>
                </w:tcPr>
                <w:p w14:paraId="3D081AD2">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bidi="ar-SA"/>
                    </w:rPr>
                  </w:pPr>
                </w:p>
              </w:tc>
              <w:tc>
                <w:tcPr>
                  <w:tcW w:w="586" w:type="dxa"/>
                  <w:shd w:val="clear" w:color="auto" w:fill="auto"/>
                  <w:vAlign w:val="center"/>
                </w:tcPr>
                <w:p w14:paraId="48D999B3">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val="0"/>
                      <w:color w:val="auto"/>
                      <w:szCs w:val="20"/>
                      <w:highlight w:val="none"/>
                      <w:lang w:val="en-US" w:eastAsia="zh-CN"/>
                    </w:rPr>
                    <w:t>半年</w:t>
                  </w:r>
                </w:p>
              </w:tc>
            </w:tr>
          </w:tbl>
          <w:p w14:paraId="3AA71619">
            <w:pPr>
              <w:keepNext w:val="0"/>
              <w:keepLines w:val="0"/>
              <w:suppressLineNumbers w:val="0"/>
              <w:shd w:val="clear" w:color="auto" w:fill="auto"/>
              <w:topLinePunct/>
              <w:adjustRightInd w:val="0"/>
              <w:snapToGrid w:val="0"/>
              <w:spacing w:before="120" w:beforeLines="50" w:beforeAutospacing="0" w:after="0" w:afterAutospacing="0"/>
              <w:ind w:left="0" w:right="0"/>
              <w:jc w:val="center"/>
              <w:rPr>
                <w:rFonts w:hint="eastAsia" w:eastAsia="宋体"/>
                <w:b/>
                <w:color w:val="auto"/>
                <w:sz w:val="24"/>
                <w:highlight w:val="none"/>
                <w:lang w:eastAsia="zh-CN"/>
              </w:rPr>
            </w:pPr>
            <w:r>
              <w:rPr>
                <w:rFonts w:hint="eastAsia"/>
                <w:b/>
                <w:color w:val="auto"/>
                <w:sz w:val="24"/>
                <w:highlight w:val="none"/>
              </w:rPr>
              <w:t>表4-</w:t>
            </w:r>
            <w:r>
              <w:rPr>
                <w:rFonts w:hint="eastAsia"/>
                <w:b/>
                <w:color w:val="auto"/>
                <w:sz w:val="24"/>
                <w:highlight w:val="none"/>
                <w:lang w:val="en-US" w:eastAsia="zh-CN"/>
              </w:rPr>
              <w:t>22</w:t>
            </w:r>
            <w:r>
              <w:rPr>
                <w:rFonts w:hint="eastAsia"/>
                <w:b/>
                <w:color w:val="auto"/>
                <w:sz w:val="24"/>
                <w:highlight w:val="none"/>
              </w:rPr>
              <w:t>项目危险废物暂存场所</w:t>
            </w:r>
            <w:r>
              <w:rPr>
                <w:rFonts w:hint="eastAsia"/>
                <w:b/>
                <w:color w:val="auto"/>
                <w:sz w:val="24"/>
                <w:highlight w:val="none"/>
                <w:lang w:val="en-US" w:eastAsia="zh-CN"/>
              </w:rPr>
              <w:t>可用性分析</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79"/>
              <w:gridCol w:w="1241"/>
              <w:gridCol w:w="1830"/>
              <w:gridCol w:w="1107"/>
              <w:gridCol w:w="1125"/>
              <w:gridCol w:w="2102"/>
              <w:gridCol w:w="1756"/>
            </w:tblGrid>
            <w:tr w14:paraId="0B24C7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91" w:type="pct"/>
                  <w:noWrap w:val="0"/>
                  <w:vAlign w:val="center"/>
                </w:tcPr>
                <w:p w14:paraId="58F0FCD3">
                  <w:pPr>
                    <w:pStyle w:val="59"/>
                    <w:keepNext w:val="0"/>
                    <w:keepLines w:val="0"/>
                    <w:pageBreakBefore w:val="0"/>
                    <w:widowControl w:val="0"/>
                    <w:suppressLineNumbers w:val="0"/>
                    <w:shd w:val="clear" w:color="auto" w:fill="auto"/>
                    <w:kinsoku/>
                    <w:wordWrap/>
                    <w:overflowPunct/>
                    <w:topLinePunct/>
                    <w:autoSpaceDN/>
                    <w:bidi w:val="0"/>
                    <w:adjustRightInd w:val="0"/>
                    <w:snapToGrid w:val="0"/>
                    <w:spacing w:before="0" w:beforeAutospacing="0" w:after="0" w:afterAutospacing="0"/>
                    <w:ind w:left="0" w:right="0"/>
                    <w:textAlignment w:val="auto"/>
                    <w:rPr>
                      <w:rFonts w:hint="default"/>
                      <w:color w:val="auto"/>
                      <w:sz w:val="21"/>
                      <w:szCs w:val="21"/>
                      <w:highlight w:val="none"/>
                    </w:rPr>
                  </w:pPr>
                  <w:r>
                    <w:rPr>
                      <w:rFonts w:hint="default"/>
                      <w:color w:val="auto"/>
                      <w:sz w:val="21"/>
                      <w:szCs w:val="21"/>
                      <w:highlight w:val="none"/>
                    </w:rPr>
                    <w:t>序号</w:t>
                  </w:r>
                </w:p>
              </w:tc>
              <w:tc>
                <w:tcPr>
                  <w:tcW w:w="624" w:type="pct"/>
                  <w:noWrap w:val="0"/>
                  <w:vAlign w:val="center"/>
                </w:tcPr>
                <w:p w14:paraId="42CDCE90">
                  <w:pPr>
                    <w:pStyle w:val="59"/>
                    <w:keepNext w:val="0"/>
                    <w:keepLines w:val="0"/>
                    <w:pageBreakBefore w:val="0"/>
                    <w:widowControl w:val="0"/>
                    <w:suppressLineNumbers w:val="0"/>
                    <w:shd w:val="clear" w:color="auto" w:fill="auto"/>
                    <w:kinsoku/>
                    <w:wordWrap/>
                    <w:overflowPunct/>
                    <w:topLinePunct/>
                    <w:autoSpaceDN/>
                    <w:bidi w:val="0"/>
                    <w:adjustRightInd w:val="0"/>
                    <w:snapToGrid w:val="0"/>
                    <w:spacing w:before="0" w:beforeAutospacing="0" w:after="0" w:afterAutospacing="0"/>
                    <w:ind w:left="0" w:right="0"/>
                    <w:textAlignment w:val="auto"/>
                    <w:rPr>
                      <w:rFonts w:hint="default"/>
                      <w:color w:val="auto"/>
                      <w:sz w:val="21"/>
                      <w:szCs w:val="21"/>
                      <w:highlight w:val="none"/>
                    </w:rPr>
                  </w:pPr>
                  <w:r>
                    <w:rPr>
                      <w:color w:val="auto"/>
                      <w:sz w:val="21"/>
                      <w:szCs w:val="21"/>
                      <w:highlight w:val="none"/>
                    </w:rPr>
                    <w:t>场所名称</w:t>
                  </w:r>
                </w:p>
              </w:tc>
              <w:tc>
                <w:tcPr>
                  <w:tcW w:w="920" w:type="pct"/>
                  <w:noWrap w:val="0"/>
                  <w:vAlign w:val="center"/>
                </w:tcPr>
                <w:p w14:paraId="7D0E35AC">
                  <w:pPr>
                    <w:pStyle w:val="59"/>
                    <w:keepNext w:val="0"/>
                    <w:keepLines w:val="0"/>
                    <w:pageBreakBefore w:val="0"/>
                    <w:widowControl w:val="0"/>
                    <w:suppressLineNumbers w:val="0"/>
                    <w:shd w:val="clear" w:color="auto" w:fill="auto"/>
                    <w:kinsoku/>
                    <w:wordWrap/>
                    <w:overflowPunct/>
                    <w:topLinePunct/>
                    <w:autoSpaceDN/>
                    <w:bidi w:val="0"/>
                    <w:adjustRightInd w:val="0"/>
                    <w:snapToGrid w:val="0"/>
                    <w:spacing w:before="0" w:beforeAutospacing="0" w:after="0" w:afterAutospacing="0"/>
                    <w:ind w:left="0" w:right="0"/>
                    <w:textAlignment w:val="auto"/>
                    <w:rPr>
                      <w:color w:val="auto"/>
                      <w:sz w:val="21"/>
                      <w:szCs w:val="21"/>
                      <w:highlight w:val="none"/>
                    </w:rPr>
                  </w:pPr>
                  <w:r>
                    <w:rPr>
                      <w:color w:val="auto"/>
                      <w:sz w:val="21"/>
                      <w:szCs w:val="21"/>
                      <w:highlight w:val="none"/>
                    </w:rPr>
                    <w:t>废物名称</w:t>
                  </w:r>
                </w:p>
              </w:tc>
              <w:tc>
                <w:tcPr>
                  <w:tcW w:w="556" w:type="pct"/>
                  <w:shd w:val="clear" w:color="auto" w:fill="auto"/>
                  <w:noWrap w:val="0"/>
                  <w:vAlign w:val="center"/>
                </w:tcPr>
                <w:p w14:paraId="45692574">
                  <w:pPr>
                    <w:pStyle w:val="59"/>
                    <w:keepNext w:val="0"/>
                    <w:keepLines w:val="0"/>
                    <w:pageBreakBefore w:val="0"/>
                    <w:widowControl w:val="0"/>
                    <w:suppressLineNumbers w:val="0"/>
                    <w:shd w:val="clear" w:color="auto" w:fill="auto"/>
                    <w:kinsoku/>
                    <w:wordWrap/>
                    <w:overflowPunct/>
                    <w:topLinePunct/>
                    <w:autoSpaceDN/>
                    <w:bidi w:val="0"/>
                    <w:adjustRightInd w:val="0"/>
                    <w:snapToGrid w:val="0"/>
                    <w:spacing w:before="0" w:beforeAutospacing="0" w:after="0" w:afterAutospacing="0"/>
                    <w:ind w:left="0" w:right="0"/>
                    <w:textAlignment w:val="auto"/>
                    <w:rPr>
                      <w:rFonts w:ascii="Times New Roman" w:hAnsi="Times New Roman" w:eastAsia="宋体" w:cs="Times New Roman"/>
                      <w:b/>
                      <w:bCs/>
                      <w:color w:val="auto"/>
                      <w:kern w:val="2"/>
                      <w:sz w:val="21"/>
                      <w:szCs w:val="21"/>
                      <w:highlight w:val="none"/>
                      <w:lang w:val="en-US" w:eastAsia="zh-CN" w:bidi="ar-SA"/>
                    </w:rPr>
                  </w:pPr>
                  <w:r>
                    <w:rPr>
                      <w:color w:val="auto"/>
                      <w:sz w:val="21"/>
                      <w:szCs w:val="21"/>
                      <w:highlight w:val="none"/>
                    </w:rPr>
                    <w:t>贮存周期</w:t>
                  </w:r>
                </w:p>
              </w:tc>
              <w:tc>
                <w:tcPr>
                  <w:tcW w:w="565" w:type="pct"/>
                  <w:shd w:val="clear" w:color="auto" w:fill="auto"/>
                  <w:noWrap w:val="0"/>
                  <w:vAlign w:val="center"/>
                </w:tcPr>
                <w:p w14:paraId="6E87913B">
                  <w:pPr>
                    <w:pStyle w:val="59"/>
                    <w:keepNext w:val="0"/>
                    <w:keepLines w:val="0"/>
                    <w:pageBreakBefore w:val="0"/>
                    <w:widowControl w:val="0"/>
                    <w:suppressLineNumbers w:val="0"/>
                    <w:shd w:val="clear" w:color="auto" w:fill="auto"/>
                    <w:kinsoku/>
                    <w:wordWrap/>
                    <w:overflowPunct/>
                    <w:topLinePunct/>
                    <w:autoSpaceDN/>
                    <w:bidi w:val="0"/>
                    <w:adjustRightInd w:val="0"/>
                    <w:snapToGrid w:val="0"/>
                    <w:spacing w:before="0" w:beforeAutospacing="0" w:after="0" w:afterAutospacing="0"/>
                    <w:ind w:left="0" w:right="0"/>
                    <w:textAlignment w:val="auto"/>
                    <w:rPr>
                      <w:rFonts w:hint="eastAsia" w:ascii="Times New Roman" w:hAnsi="Times New Roman" w:eastAsia="宋体" w:cs="Times New Roman"/>
                      <w:b/>
                      <w:bCs/>
                      <w:color w:val="auto"/>
                      <w:kern w:val="2"/>
                      <w:sz w:val="21"/>
                      <w:szCs w:val="21"/>
                      <w:highlight w:val="none"/>
                      <w:lang w:val="en-US" w:eastAsia="zh-CN" w:bidi="ar-SA"/>
                    </w:rPr>
                  </w:pPr>
                  <w:r>
                    <w:rPr>
                      <w:color w:val="auto"/>
                      <w:sz w:val="21"/>
                      <w:szCs w:val="21"/>
                      <w:highlight w:val="none"/>
                    </w:rPr>
                    <w:t>贮存方式</w:t>
                  </w:r>
                </w:p>
              </w:tc>
              <w:tc>
                <w:tcPr>
                  <w:tcW w:w="1057" w:type="pct"/>
                  <w:noWrap w:val="0"/>
                  <w:vAlign w:val="center"/>
                </w:tcPr>
                <w:p w14:paraId="740211AC">
                  <w:pPr>
                    <w:pStyle w:val="59"/>
                    <w:keepNext w:val="0"/>
                    <w:keepLines w:val="0"/>
                    <w:pageBreakBefore w:val="0"/>
                    <w:widowControl w:val="0"/>
                    <w:suppressLineNumbers w:val="0"/>
                    <w:shd w:val="clear" w:color="auto" w:fill="auto"/>
                    <w:kinsoku/>
                    <w:wordWrap/>
                    <w:overflowPunct/>
                    <w:topLinePunct/>
                    <w:autoSpaceDN/>
                    <w:bidi w:val="0"/>
                    <w:adjustRightInd w:val="0"/>
                    <w:snapToGrid w:val="0"/>
                    <w:spacing w:before="0" w:beforeAutospacing="0" w:after="0" w:afterAutospacing="0"/>
                    <w:ind w:left="0" w:right="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最大贮存量（t）</w:t>
                  </w:r>
                </w:p>
              </w:tc>
              <w:tc>
                <w:tcPr>
                  <w:tcW w:w="883" w:type="pct"/>
                  <w:noWrap w:val="0"/>
                  <w:vAlign w:val="center"/>
                </w:tcPr>
                <w:p w14:paraId="605EB7D0">
                  <w:pPr>
                    <w:pStyle w:val="59"/>
                    <w:keepNext w:val="0"/>
                    <w:keepLines w:val="0"/>
                    <w:pageBreakBefore w:val="0"/>
                    <w:widowControl w:val="0"/>
                    <w:suppressLineNumbers w:val="0"/>
                    <w:shd w:val="clear" w:color="auto" w:fill="auto"/>
                    <w:kinsoku/>
                    <w:wordWrap/>
                    <w:overflowPunct/>
                    <w:topLinePunct/>
                    <w:autoSpaceDN/>
                    <w:bidi w:val="0"/>
                    <w:adjustRightInd w:val="0"/>
                    <w:snapToGrid w:val="0"/>
                    <w:spacing w:before="0" w:beforeAutospacing="0" w:after="0" w:afterAutospacing="0"/>
                    <w:ind w:left="0" w:right="0"/>
                    <w:textAlignment w:val="auto"/>
                    <w:rPr>
                      <w:color w:val="auto"/>
                      <w:sz w:val="21"/>
                      <w:szCs w:val="21"/>
                      <w:highlight w:val="none"/>
                    </w:rPr>
                  </w:pPr>
                  <w:r>
                    <w:rPr>
                      <w:rFonts w:hint="eastAsia"/>
                      <w:color w:val="auto"/>
                      <w:sz w:val="21"/>
                      <w:szCs w:val="21"/>
                      <w:highlight w:val="none"/>
                      <w:lang w:val="en-US" w:eastAsia="zh-CN"/>
                    </w:rPr>
                    <w:t>分区</w:t>
                  </w:r>
                  <w:r>
                    <w:rPr>
                      <w:color w:val="auto"/>
                      <w:sz w:val="21"/>
                      <w:szCs w:val="21"/>
                      <w:highlight w:val="none"/>
                    </w:rPr>
                    <w:t>面积（㎡）</w:t>
                  </w:r>
                </w:p>
              </w:tc>
            </w:tr>
            <w:tr w14:paraId="5F237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91" w:type="pct"/>
                  <w:shd w:val="clear" w:color="auto" w:fill="auto"/>
                  <w:noWrap w:val="0"/>
                  <w:vAlign w:val="center"/>
                </w:tcPr>
                <w:p w14:paraId="593E95C3">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Cs w:val="20"/>
                      <w:highlight w:val="none"/>
                      <w:lang w:val="en-US" w:eastAsia="zh-CN"/>
                    </w:rPr>
                    <w:t>1</w:t>
                  </w:r>
                </w:p>
              </w:tc>
              <w:tc>
                <w:tcPr>
                  <w:tcW w:w="624" w:type="pct"/>
                  <w:vMerge w:val="restart"/>
                  <w:noWrap w:val="0"/>
                  <w:vAlign w:val="center"/>
                </w:tcPr>
                <w:p w14:paraId="0FC80A88">
                  <w:pPr>
                    <w:keepNext w:val="0"/>
                    <w:keepLines w:val="0"/>
                    <w:pageBreakBefore w:val="0"/>
                    <w:widowControl w:val="0"/>
                    <w:suppressLineNumbers w:val="0"/>
                    <w:shd w:val="clear" w:color="auto" w:fill="auto"/>
                    <w:kinsoku/>
                    <w:wordWrap/>
                    <w:overflowPunct/>
                    <w:topLinePunct/>
                    <w:autoSpaceDN/>
                    <w:bidi w:val="0"/>
                    <w:adjustRightInd w:val="0"/>
                    <w:snapToGrid w:val="0"/>
                    <w:spacing w:before="0" w:beforeAutospacing="0" w:after="0" w:afterAutospacing="0"/>
                    <w:ind w:left="0" w:right="0"/>
                    <w:jc w:val="center"/>
                    <w:textAlignment w:val="auto"/>
                    <w:rPr>
                      <w:rFonts w:hint="default"/>
                      <w:color w:val="auto"/>
                      <w:sz w:val="21"/>
                      <w:szCs w:val="21"/>
                      <w:highlight w:val="none"/>
                    </w:rPr>
                  </w:pPr>
                  <w:r>
                    <w:rPr>
                      <w:rFonts w:hint="default" w:ascii="Times New Roman" w:hAnsi="Times New Roman" w:cs="Times New Roman"/>
                      <w:b w:val="0"/>
                      <w:bCs/>
                      <w:color w:val="auto"/>
                      <w:szCs w:val="20"/>
                      <w:highlight w:val="none"/>
                    </w:rPr>
                    <w:t>危废暂存间</w:t>
                  </w:r>
                </w:p>
              </w:tc>
              <w:tc>
                <w:tcPr>
                  <w:tcW w:w="920" w:type="pct"/>
                  <w:shd w:val="clear" w:color="auto" w:fill="auto"/>
                  <w:noWrap w:val="0"/>
                  <w:vAlign w:val="center"/>
                </w:tcPr>
                <w:p w14:paraId="67005358">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废油</w:t>
                  </w:r>
                </w:p>
              </w:tc>
              <w:tc>
                <w:tcPr>
                  <w:tcW w:w="556" w:type="pct"/>
                  <w:shd w:val="clear" w:color="auto" w:fill="auto"/>
                  <w:noWrap w:val="0"/>
                  <w:vAlign w:val="center"/>
                </w:tcPr>
                <w:p w14:paraId="079E1F6D">
                  <w:pPr>
                    <w:pStyle w:val="38"/>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s="Times New Roman"/>
                      <w:b w:val="0"/>
                      <w:bCs/>
                      <w:color w:val="auto"/>
                      <w:szCs w:val="20"/>
                      <w:highlight w:val="none"/>
                      <w:lang w:val="en-US" w:eastAsia="zh-CN"/>
                    </w:rPr>
                    <w:t>3个月</w:t>
                  </w:r>
                </w:p>
              </w:tc>
              <w:tc>
                <w:tcPr>
                  <w:tcW w:w="565" w:type="pct"/>
                  <w:shd w:val="clear" w:color="auto" w:fill="auto"/>
                  <w:noWrap w:val="0"/>
                  <w:vAlign w:val="center"/>
                </w:tcPr>
                <w:p w14:paraId="3A8868D4">
                  <w:pPr>
                    <w:pStyle w:val="38"/>
                    <w:keepNext w:val="0"/>
                    <w:keepLines w:val="0"/>
                    <w:suppressLineNumbers w:val="0"/>
                    <w:bidi w:val="0"/>
                    <w:spacing w:before="0" w:beforeAutospacing="0" w:after="0" w:afterAutospacing="0"/>
                    <w:ind w:left="0" w:right="0"/>
                    <w:rPr>
                      <w:rFonts w:hint="eastAsia"/>
                      <w:b w:val="0"/>
                      <w:bCs/>
                      <w:color w:val="auto"/>
                      <w:highlight w:val="none"/>
                      <w:lang w:val="en-US" w:eastAsia="zh-CN"/>
                    </w:rPr>
                  </w:pPr>
                  <w:r>
                    <w:rPr>
                      <w:rFonts w:hint="eastAsia"/>
                      <w:b w:val="0"/>
                      <w:bCs/>
                      <w:color w:val="auto"/>
                      <w:highlight w:val="none"/>
                      <w:lang w:val="en-US" w:eastAsia="zh-CN"/>
                    </w:rPr>
                    <w:t>密闭桶装</w:t>
                  </w:r>
                </w:p>
              </w:tc>
              <w:tc>
                <w:tcPr>
                  <w:tcW w:w="1057" w:type="pct"/>
                  <w:shd w:val="clear" w:color="auto" w:fill="auto"/>
                  <w:noWrap w:val="0"/>
                  <w:vAlign w:val="center"/>
                </w:tcPr>
                <w:p w14:paraId="63551492">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Cs w:val="20"/>
                      <w:highlight w:val="none"/>
                      <w:lang w:val="en-US" w:eastAsia="zh-CN"/>
                    </w:rPr>
                  </w:pPr>
                  <w:r>
                    <w:rPr>
                      <w:rFonts w:hint="eastAsia" w:ascii="Times New Roman" w:hAnsi="Times New Roman" w:eastAsia="宋体" w:cs="Times New Roman"/>
                      <w:b w:val="0"/>
                      <w:bCs/>
                      <w:color w:val="auto"/>
                      <w:szCs w:val="20"/>
                      <w:highlight w:val="none"/>
                      <w:lang w:val="en-US" w:eastAsia="zh-CN"/>
                    </w:rPr>
                    <w:t>0.2</w:t>
                  </w:r>
                </w:p>
              </w:tc>
              <w:tc>
                <w:tcPr>
                  <w:tcW w:w="883" w:type="pct"/>
                  <w:noWrap w:val="0"/>
                  <w:vAlign w:val="center"/>
                </w:tcPr>
                <w:p w14:paraId="22D22DA9">
                  <w:pPr>
                    <w:keepNext w:val="0"/>
                    <w:keepLines w:val="0"/>
                    <w:widowControl/>
                    <w:suppressLineNumbers w:val="0"/>
                    <w:spacing w:before="0" w:beforeAutospacing="0" w:after="0" w:afterAutospacing="0"/>
                    <w:ind w:left="0" w:right="0"/>
                    <w:jc w:val="center"/>
                    <w:textAlignment w:val="center"/>
                    <w:rPr>
                      <w:rFonts w:hint="default"/>
                      <w:b w:val="0"/>
                      <w:bCs/>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BCDD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91" w:type="pct"/>
                  <w:shd w:val="clear" w:color="auto" w:fill="auto"/>
                  <w:noWrap w:val="0"/>
                  <w:vAlign w:val="center"/>
                </w:tcPr>
                <w:p w14:paraId="326AD055">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Cs w:val="20"/>
                      <w:highlight w:val="none"/>
                      <w:lang w:val="en-US" w:eastAsia="zh-CN"/>
                    </w:rPr>
                    <w:t>2</w:t>
                  </w:r>
                </w:p>
              </w:tc>
              <w:tc>
                <w:tcPr>
                  <w:tcW w:w="624" w:type="pct"/>
                  <w:vMerge w:val="continue"/>
                  <w:noWrap w:val="0"/>
                  <w:vAlign w:val="center"/>
                </w:tcPr>
                <w:p w14:paraId="5C8619DF">
                  <w:pPr>
                    <w:keepNext w:val="0"/>
                    <w:keepLines w:val="0"/>
                    <w:pageBreakBefore w:val="0"/>
                    <w:widowControl w:val="0"/>
                    <w:suppressLineNumbers w:val="0"/>
                    <w:shd w:val="clear" w:color="auto" w:fill="auto"/>
                    <w:kinsoku/>
                    <w:wordWrap/>
                    <w:overflowPunct/>
                    <w:topLinePunct/>
                    <w:autoSpaceDN/>
                    <w:bidi w:val="0"/>
                    <w:adjustRightInd w:val="0"/>
                    <w:snapToGrid w:val="0"/>
                    <w:spacing w:before="0" w:beforeAutospacing="0" w:after="0" w:afterAutospacing="0"/>
                    <w:ind w:left="0" w:right="0"/>
                    <w:jc w:val="center"/>
                    <w:textAlignment w:val="auto"/>
                    <w:rPr>
                      <w:rFonts w:hint="default"/>
                      <w:color w:val="auto"/>
                      <w:sz w:val="21"/>
                      <w:szCs w:val="21"/>
                      <w:highlight w:val="none"/>
                    </w:rPr>
                  </w:pPr>
                </w:p>
              </w:tc>
              <w:tc>
                <w:tcPr>
                  <w:tcW w:w="920" w:type="pct"/>
                  <w:shd w:val="clear" w:color="auto" w:fill="auto"/>
                  <w:noWrap w:val="0"/>
                  <w:vAlign w:val="center"/>
                </w:tcPr>
                <w:p w14:paraId="01D109A0">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废机油</w:t>
                  </w:r>
                </w:p>
              </w:tc>
              <w:tc>
                <w:tcPr>
                  <w:tcW w:w="556" w:type="pct"/>
                  <w:shd w:val="clear" w:color="auto" w:fill="auto"/>
                  <w:noWrap w:val="0"/>
                  <w:vAlign w:val="center"/>
                </w:tcPr>
                <w:p w14:paraId="038E2760">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Cs w:val="20"/>
                      <w:highlight w:val="none"/>
                      <w:lang w:val="en-US" w:eastAsia="zh-CN"/>
                    </w:rPr>
                  </w:pPr>
                  <w:r>
                    <w:rPr>
                      <w:rFonts w:hint="default" w:ascii="Times New Roman" w:hAnsi="Times New Roman" w:eastAsia="宋体" w:cs="Times New Roman"/>
                      <w:b w:val="0"/>
                      <w:bCs/>
                      <w:color w:val="auto"/>
                      <w:szCs w:val="20"/>
                      <w:highlight w:val="none"/>
                      <w:lang w:val="en-US" w:eastAsia="zh-CN"/>
                    </w:rPr>
                    <w:t>3个月</w:t>
                  </w:r>
                </w:p>
              </w:tc>
              <w:tc>
                <w:tcPr>
                  <w:tcW w:w="565" w:type="pct"/>
                  <w:shd w:val="clear" w:color="auto" w:fill="auto"/>
                  <w:noWrap w:val="0"/>
                  <w:vAlign w:val="center"/>
                </w:tcPr>
                <w:p w14:paraId="006C9411">
                  <w:pPr>
                    <w:pStyle w:val="3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 w:val="0"/>
                      <w:bCs/>
                      <w:color w:val="auto"/>
                      <w:szCs w:val="20"/>
                      <w:highlight w:val="none"/>
                      <w:lang w:val="en-US" w:eastAsia="zh-CN"/>
                    </w:rPr>
                  </w:pPr>
                  <w:r>
                    <w:rPr>
                      <w:rFonts w:hint="eastAsia" w:ascii="Times New Roman" w:hAnsi="Times New Roman" w:eastAsia="宋体" w:cs="Times New Roman"/>
                      <w:b w:val="0"/>
                      <w:bCs/>
                      <w:color w:val="auto"/>
                      <w:szCs w:val="20"/>
                      <w:highlight w:val="none"/>
                      <w:lang w:val="en-US" w:eastAsia="zh-CN"/>
                    </w:rPr>
                    <w:t>密闭桶装</w:t>
                  </w:r>
                </w:p>
              </w:tc>
              <w:tc>
                <w:tcPr>
                  <w:tcW w:w="1057" w:type="pct"/>
                  <w:shd w:val="clear" w:color="auto" w:fill="auto"/>
                  <w:noWrap w:val="0"/>
                  <w:vAlign w:val="center"/>
                </w:tcPr>
                <w:p w14:paraId="785FFC6C">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Cs w:val="20"/>
                      <w:highlight w:val="none"/>
                      <w:lang w:val="en-US" w:eastAsia="zh-CN"/>
                    </w:rPr>
                  </w:pPr>
                  <w:r>
                    <w:rPr>
                      <w:rFonts w:hint="eastAsia" w:ascii="Times New Roman" w:hAnsi="Times New Roman" w:eastAsia="宋体" w:cs="Times New Roman"/>
                      <w:b w:val="0"/>
                      <w:bCs/>
                      <w:color w:val="auto"/>
                      <w:szCs w:val="20"/>
                      <w:highlight w:val="none"/>
                      <w:lang w:val="en-US" w:eastAsia="zh-CN"/>
                    </w:rPr>
                    <w:t>0.125</w:t>
                  </w:r>
                </w:p>
              </w:tc>
              <w:tc>
                <w:tcPr>
                  <w:tcW w:w="883" w:type="pct"/>
                  <w:noWrap w:val="0"/>
                  <w:vAlign w:val="center"/>
                </w:tcPr>
                <w:p w14:paraId="0B6A0BC8">
                  <w:pPr>
                    <w:keepNext w:val="0"/>
                    <w:keepLines w:val="0"/>
                    <w:widowControl/>
                    <w:suppressLineNumbers w:val="0"/>
                    <w:spacing w:before="0" w:beforeAutospacing="0" w:after="0" w:afterAutospacing="0"/>
                    <w:ind w:left="0" w:right="0"/>
                    <w:jc w:val="center"/>
                    <w:textAlignment w:val="center"/>
                    <w:rPr>
                      <w:rFonts w:hint="default"/>
                      <w:b w:val="0"/>
                      <w:bCs/>
                      <w:color w:val="auto"/>
                      <w:highlight w:val="none"/>
                      <w:lang w:val="en-US" w:eastAsia="zh-CN"/>
                    </w:rPr>
                  </w:pPr>
                  <w:r>
                    <w:rPr>
                      <w:rFonts w:hint="eastAsia" w:cs="Times New Roman"/>
                      <w:i w:val="0"/>
                      <w:iCs w:val="0"/>
                      <w:color w:val="auto"/>
                      <w:kern w:val="0"/>
                      <w:sz w:val="21"/>
                      <w:szCs w:val="21"/>
                      <w:highlight w:val="none"/>
                      <w:u w:val="none"/>
                      <w:lang w:val="en-US" w:eastAsia="zh-CN" w:bidi="ar"/>
                    </w:rPr>
                    <w:t>1.5</w:t>
                  </w:r>
                </w:p>
              </w:tc>
            </w:tr>
            <w:tr w14:paraId="3BA76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91" w:type="pct"/>
                  <w:shd w:val="clear" w:color="auto" w:fill="auto"/>
                  <w:noWrap w:val="0"/>
                  <w:vAlign w:val="center"/>
                </w:tcPr>
                <w:p w14:paraId="657EBD19">
                  <w:pPr>
                    <w:pStyle w:val="3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Cs w:val="20"/>
                      <w:highlight w:val="none"/>
                      <w:lang w:val="en-US" w:eastAsia="zh-CN"/>
                    </w:rPr>
                    <w:t>3</w:t>
                  </w:r>
                </w:p>
              </w:tc>
              <w:tc>
                <w:tcPr>
                  <w:tcW w:w="624" w:type="pct"/>
                  <w:vMerge w:val="continue"/>
                  <w:noWrap w:val="0"/>
                  <w:vAlign w:val="center"/>
                </w:tcPr>
                <w:p w14:paraId="1968A35D">
                  <w:pPr>
                    <w:keepNext w:val="0"/>
                    <w:keepLines w:val="0"/>
                    <w:pageBreakBefore w:val="0"/>
                    <w:widowControl w:val="0"/>
                    <w:suppressLineNumbers w:val="0"/>
                    <w:shd w:val="clear" w:color="auto" w:fill="auto"/>
                    <w:kinsoku/>
                    <w:wordWrap/>
                    <w:overflowPunct/>
                    <w:topLinePunct/>
                    <w:autoSpaceDN/>
                    <w:bidi w:val="0"/>
                    <w:adjustRightInd w:val="0"/>
                    <w:snapToGrid w:val="0"/>
                    <w:spacing w:before="0" w:beforeAutospacing="0" w:after="0" w:afterAutospacing="0"/>
                    <w:ind w:left="0" w:right="0"/>
                    <w:jc w:val="center"/>
                    <w:textAlignment w:val="auto"/>
                    <w:rPr>
                      <w:rFonts w:hint="default"/>
                      <w:color w:val="auto"/>
                      <w:sz w:val="21"/>
                      <w:szCs w:val="21"/>
                      <w:highlight w:val="none"/>
                    </w:rPr>
                  </w:pPr>
                </w:p>
              </w:tc>
              <w:tc>
                <w:tcPr>
                  <w:tcW w:w="920" w:type="pct"/>
                  <w:shd w:val="clear" w:color="auto" w:fill="auto"/>
                  <w:noWrap w:val="0"/>
                  <w:vAlign w:val="center"/>
                </w:tcPr>
                <w:p w14:paraId="77A71D35">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废活性炭</w:t>
                  </w:r>
                </w:p>
              </w:tc>
              <w:tc>
                <w:tcPr>
                  <w:tcW w:w="556" w:type="pct"/>
                  <w:shd w:val="clear" w:color="auto" w:fill="auto"/>
                  <w:noWrap w:val="0"/>
                  <w:vAlign w:val="center"/>
                </w:tcPr>
                <w:p w14:paraId="15E56A2D">
                  <w:pPr>
                    <w:pStyle w:val="38"/>
                    <w:keepNext w:val="0"/>
                    <w:keepLines w:val="0"/>
                    <w:suppressLineNumbers w:val="0"/>
                    <w:bidi w:val="0"/>
                    <w:spacing w:before="0" w:beforeAutospacing="0" w:after="0" w:afterAutospacing="0"/>
                    <w:ind w:left="0" w:leftChars="0" w:right="0" w:rightChars="0" w:firstLine="0" w:firstLineChars="0"/>
                    <w:rPr>
                      <w:rFonts w:hint="default" w:cs="Times New Roman"/>
                      <w:b w:val="0"/>
                      <w:bCs w:val="0"/>
                      <w:color w:val="auto"/>
                      <w:sz w:val="21"/>
                      <w:szCs w:val="21"/>
                      <w:highlight w:val="none"/>
                      <w:lang w:val="en-US" w:eastAsia="zh-CN"/>
                    </w:rPr>
                  </w:pPr>
                  <w:r>
                    <w:rPr>
                      <w:rFonts w:hint="eastAsia" w:cs="Times New Roman"/>
                      <w:b w:val="0"/>
                      <w:bCs/>
                      <w:color w:val="auto"/>
                      <w:szCs w:val="20"/>
                      <w:highlight w:val="none"/>
                      <w:lang w:val="en-US" w:eastAsia="zh-CN"/>
                    </w:rPr>
                    <w:t>3个月</w:t>
                  </w:r>
                </w:p>
              </w:tc>
              <w:tc>
                <w:tcPr>
                  <w:tcW w:w="565" w:type="pct"/>
                  <w:shd w:val="clear" w:color="auto" w:fill="auto"/>
                  <w:noWrap w:val="0"/>
                  <w:vAlign w:val="center"/>
                </w:tcPr>
                <w:p w14:paraId="6AC2EED5">
                  <w:pPr>
                    <w:pStyle w:val="38"/>
                    <w:keepNext w:val="0"/>
                    <w:keepLines w:val="0"/>
                    <w:suppressLineNumbers w:val="0"/>
                    <w:bidi w:val="0"/>
                    <w:spacing w:before="0" w:beforeAutospacing="0" w:after="0" w:afterAutospacing="0"/>
                    <w:ind w:left="0" w:leftChars="0" w:right="0" w:rightChars="0" w:firstLine="0" w:firstLineChars="0"/>
                    <w:rPr>
                      <w:rFonts w:hint="eastAsia"/>
                      <w:b w:val="0"/>
                      <w:bCs/>
                      <w:color w:val="auto"/>
                      <w:highlight w:val="none"/>
                      <w:lang w:val="en-US" w:eastAsia="zh-CN"/>
                    </w:rPr>
                  </w:pPr>
                  <w:r>
                    <w:rPr>
                      <w:rFonts w:hint="eastAsia"/>
                      <w:b w:val="0"/>
                      <w:bCs/>
                      <w:color w:val="auto"/>
                      <w:highlight w:val="none"/>
                      <w:lang w:val="en-US" w:eastAsia="zh-CN"/>
                    </w:rPr>
                    <w:t>密闭桶装</w:t>
                  </w:r>
                </w:p>
              </w:tc>
              <w:tc>
                <w:tcPr>
                  <w:tcW w:w="1057" w:type="pct"/>
                  <w:shd w:val="clear" w:color="auto" w:fill="auto"/>
                  <w:noWrap w:val="0"/>
                  <w:vAlign w:val="center"/>
                </w:tcPr>
                <w:p w14:paraId="620BBB5A">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Cs w:val="20"/>
                      <w:highlight w:val="none"/>
                      <w:lang w:val="en-US" w:eastAsia="zh-CN"/>
                    </w:rPr>
                  </w:pPr>
                  <w:r>
                    <w:rPr>
                      <w:rFonts w:hint="eastAsia" w:cs="Times New Roman"/>
                      <w:b w:val="0"/>
                      <w:bCs/>
                      <w:color w:val="auto"/>
                      <w:szCs w:val="20"/>
                      <w:highlight w:val="none"/>
                      <w:lang w:val="en-US" w:eastAsia="zh-CN"/>
                    </w:rPr>
                    <w:t>1.67</w:t>
                  </w:r>
                </w:p>
              </w:tc>
              <w:tc>
                <w:tcPr>
                  <w:tcW w:w="883" w:type="pct"/>
                  <w:noWrap w:val="0"/>
                  <w:vAlign w:val="center"/>
                </w:tcPr>
                <w:p w14:paraId="3008B0FB">
                  <w:pPr>
                    <w:keepNext w:val="0"/>
                    <w:keepLines w:val="0"/>
                    <w:widowControl/>
                    <w:suppressLineNumbers w:val="0"/>
                    <w:spacing w:before="0" w:beforeAutospacing="0" w:after="0" w:afterAutospacing="0"/>
                    <w:ind w:left="0" w:right="0"/>
                    <w:jc w:val="center"/>
                    <w:textAlignment w:val="center"/>
                    <w:rPr>
                      <w:rFonts w:hint="default"/>
                      <w:b w:val="0"/>
                      <w:bCs/>
                      <w:color w:val="auto"/>
                      <w:highlight w:val="none"/>
                      <w:lang w:val="en-US" w:eastAsia="zh-CN"/>
                    </w:rPr>
                  </w:pPr>
                  <w:r>
                    <w:rPr>
                      <w:rFonts w:hint="eastAsia"/>
                      <w:b w:val="0"/>
                      <w:bCs/>
                      <w:color w:val="auto"/>
                      <w:sz w:val="21"/>
                      <w:szCs w:val="21"/>
                      <w:highlight w:val="none"/>
                      <w:lang w:val="en-US" w:eastAsia="zh-CN"/>
                    </w:rPr>
                    <w:t>4</w:t>
                  </w:r>
                </w:p>
              </w:tc>
            </w:tr>
            <w:tr w14:paraId="6A86D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91" w:type="pct"/>
                  <w:shd w:val="clear" w:color="auto" w:fill="auto"/>
                  <w:noWrap w:val="0"/>
                  <w:vAlign w:val="center"/>
                </w:tcPr>
                <w:p w14:paraId="5A230FD7">
                  <w:pPr>
                    <w:pStyle w:val="3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Cs w:val="20"/>
                      <w:highlight w:val="none"/>
                      <w:lang w:val="en-US" w:eastAsia="zh-CN"/>
                    </w:rPr>
                    <w:t>4</w:t>
                  </w:r>
                </w:p>
              </w:tc>
              <w:tc>
                <w:tcPr>
                  <w:tcW w:w="624" w:type="pct"/>
                  <w:vMerge w:val="continue"/>
                  <w:noWrap w:val="0"/>
                  <w:vAlign w:val="center"/>
                </w:tcPr>
                <w:p w14:paraId="2B4F967E">
                  <w:pPr>
                    <w:keepNext w:val="0"/>
                    <w:keepLines w:val="0"/>
                    <w:pageBreakBefore w:val="0"/>
                    <w:widowControl w:val="0"/>
                    <w:suppressLineNumbers w:val="0"/>
                    <w:shd w:val="clear" w:color="auto" w:fill="auto"/>
                    <w:kinsoku/>
                    <w:wordWrap/>
                    <w:overflowPunct/>
                    <w:topLinePunct/>
                    <w:autoSpaceDN/>
                    <w:bidi w:val="0"/>
                    <w:adjustRightInd w:val="0"/>
                    <w:snapToGrid w:val="0"/>
                    <w:spacing w:before="0" w:beforeAutospacing="0" w:after="0" w:afterAutospacing="0"/>
                    <w:ind w:left="0" w:right="0"/>
                    <w:jc w:val="center"/>
                    <w:textAlignment w:val="auto"/>
                    <w:rPr>
                      <w:rFonts w:hint="default"/>
                      <w:color w:val="auto"/>
                      <w:sz w:val="21"/>
                      <w:szCs w:val="21"/>
                      <w:highlight w:val="none"/>
                    </w:rPr>
                  </w:pPr>
                </w:p>
              </w:tc>
              <w:tc>
                <w:tcPr>
                  <w:tcW w:w="920" w:type="pct"/>
                  <w:shd w:val="clear" w:color="auto" w:fill="auto"/>
                  <w:noWrap w:val="0"/>
                  <w:vAlign w:val="center"/>
                </w:tcPr>
                <w:p w14:paraId="13527B41">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废催化剂</w:t>
                  </w:r>
                </w:p>
              </w:tc>
              <w:tc>
                <w:tcPr>
                  <w:tcW w:w="556" w:type="pct"/>
                  <w:shd w:val="clear" w:color="auto" w:fill="auto"/>
                  <w:noWrap w:val="0"/>
                  <w:vAlign w:val="center"/>
                </w:tcPr>
                <w:p w14:paraId="417FC4F1">
                  <w:pPr>
                    <w:pStyle w:val="38"/>
                    <w:keepNext w:val="0"/>
                    <w:keepLines w:val="0"/>
                    <w:suppressLineNumbers w:val="0"/>
                    <w:bidi w:val="0"/>
                    <w:spacing w:before="0" w:beforeAutospacing="0" w:after="0" w:afterAutospacing="0"/>
                    <w:ind w:left="0" w:leftChars="0" w:right="0" w:rightChars="0" w:firstLine="0" w:firstLineChars="0"/>
                    <w:rPr>
                      <w:rFonts w:hint="eastAsia" w:cs="Times New Roman"/>
                      <w:b w:val="0"/>
                      <w:bCs/>
                      <w:color w:val="auto"/>
                      <w:szCs w:val="20"/>
                      <w:highlight w:val="none"/>
                      <w:lang w:val="en-US" w:eastAsia="zh-CN"/>
                    </w:rPr>
                  </w:pPr>
                  <w:r>
                    <w:rPr>
                      <w:rFonts w:hint="eastAsia" w:cs="Times New Roman"/>
                      <w:b w:val="0"/>
                      <w:bCs/>
                      <w:color w:val="auto"/>
                      <w:szCs w:val="20"/>
                      <w:highlight w:val="none"/>
                      <w:lang w:val="en-US" w:eastAsia="zh-CN"/>
                    </w:rPr>
                    <w:t>3个月</w:t>
                  </w:r>
                </w:p>
              </w:tc>
              <w:tc>
                <w:tcPr>
                  <w:tcW w:w="565" w:type="pct"/>
                  <w:shd w:val="clear" w:color="auto" w:fill="auto"/>
                  <w:noWrap w:val="0"/>
                  <w:vAlign w:val="center"/>
                </w:tcPr>
                <w:p w14:paraId="459C65C5">
                  <w:pPr>
                    <w:pStyle w:val="38"/>
                    <w:keepNext w:val="0"/>
                    <w:keepLines w:val="0"/>
                    <w:suppressLineNumbers w:val="0"/>
                    <w:bidi w:val="0"/>
                    <w:spacing w:before="0" w:beforeAutospacing="0" w:after="0" w:afterAutospacing="0"/>
                    <w:ind w:left="0" w:leftChars="0" w:right="0" w:rightChars="0" w:firstLine="0" w:firstLineChars="0"/>
                    <w:rPr>
                      <w:rFonts w:hint="eastAsia"/>
                      <w:b w:val="0"/>
                      <w:bCs/>
                      <w:color w:val="auto"/>
                      <w:highlight w:val="none"/>
                      <w:lang w:val="en-US" w:eastAsia="zh-CN"/>
                    </w:rPr>
                  </w:pPr>
                  <w:r>
                    <w:rPr>
                      <w:rFonts w:hint="eastAsia"/>
                      <w:b w:val="0"/>
                      <w:bCs/>
                      <w:color w:val="auto"/>
                      <w:highlight w:val="none"/>
                      <w:lang w:val="en-US" w:eastAsia="zh-CN"/>
                    </w:rPr>
                    <w:t>密闭桶装</w:t>
                  </w:r>
                </w:p>
              </w:tc>
              <w:tc>
                <w:tcPr>
                  <w:tcW w:w="1057" w:type="pct"/>
                  <w:shd w:val="clear" w:color="auto" w:fill="auto"/>
                  <w:noWrap w:val="0"/>
                  <w:vAlign w:val="center"/>
                </w:tcPr>
                <w:p w14:paraId="281A57A1">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Cs w:val="20"/>
                      <w:highlight w:val="none"/>
                      <w:lang w:val="en-US" w:eastAsia="zh-CN"/>
                    </w:rPr>
                  </w:pPr>
                  <w:r>
                    <w:rPr>
                      <w:rFonts w:hint="eastAsia" w:cs="Times New Roman"/>
                      <w:b w:val="0"/>
                      <w:bCs/>
                      <w:color w:val="auto"/>
                      <w:szCs w:val="20"/>
                      <w:highlight w:val="none"/>
                      <w:lang w:val="en-US" w:eastAsia="zh-CN"/>
                    </w:rPr>
                    <w:t>0.2</w:t>
                  </w:r>
                </w:p>
              </w:tc>
              <w:tc>
                <w:tcPr>
                  <w:tcW w:w="883" w:type="pct"/>
                  <w:noWrap w:val="0"/>
                  <w:vAlign w:val="center"/>
                </w:tcPr>
                <w:p w14:paraId="44940C06">
                  <w:pPr>
                    <w:keepNext w:val="0"/>
                    <w:keepLines w:val="0"/>
                    <w:widowControl/>
                    <w:suppressLineNumbers w:val="0"/>
                    <w:spacing w:before="0" w:beforeAutospacing="0" w:after="0" w:afterAutospacing="0"/>
                    <w:ind w:left="0" w:right="0"/>
                    <w:jc w:val="center"/>
                    <w:textAlignment w:val="center"/>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2</w:t>
                  </w:r>
                </w:p>
              </w:tc>
            </w:tr>
            <w:tr w14:paraId="6EE14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91" w:type="pct"/>
                  <w:shd w:val="clear" w:color="auto" w:fill="auto"/>
                  <w:noWrap w:val="0"/>
                  <w:vAlign w:val="center"/>
                </w:tcPr>
                <w:p w14:paraId="69EFF2D3">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Cs w:val="20"/>
                      <w:highlight w:val="none"/>
                      <w:lang w:val="en-US" w:eastAsia="zh-CN"/>
                    </w:rPr>
                    <w:t>5</w:t>
                  </w:r>
                </w:p>
              </w:tc>
              <w:tc>
                <w:tcPr>
                  <w:tcW w:w="624" w:type="pct"/>
                  <w:vMerge w:val="continue"/>
                  <w:noWrap w:val="0"/>
                  <w:vAlign w:val="center"/>
                </w:tcPr>
                <w:p w14:paraId="2614A579">
                  <w:pPr>
                    <w:keepNext w:val="0"/>
                    <w:keepLines w:val="0"/>
                    <w:pageBreakBefore w:val="0"/>
                    <w:widowControl w:val="0"/>
                    <w:suppressLineNumbers w:val="0"/>
                    <w:shd w:val="clear" w:color="auto" w:fill="auto"/>
                    <w:kinsoku/>
                    <w:wordWrap/>
                    <w:overflowPunct/>
                    <w:topLinePunct/>
                    <w:autoSpaceDN/>
                    <w:bidi w:val="0"/>
                    <w:adjustRightInd w:val="0"/>
                    <w:snapToGrid w:val="0"/>
                    <w:spacing w:before="0" w:beforeAutospacing="0" w:after="0" w:afterAutospacing="0"/>
                    <w:ind w:left="0" w:right="0"/>
                    <w:jc w:val="center"/>
                    <w:textAlignment w:val="auto"/>
                    <w:rPr>
                      <w:rFonts w:hint="default"/>
                      <w:color w:val="auto"/>
                      <w:sz w:val="21"/>
                      <w:szCs w:val="21"/>
                      <w:highlight w:val="none"/>
                    </w:rPr>
                  </w:pPr>
                </w:p>
              </w:tc>
              <w:tc>
                <w:tcPr>
                  <w:tcW w:w="920" w:type="pct"/>
                  <w:shd w:val="clear" w:color="auto" w:fill="auto"/>
                  <w:noWrap w:val="0"/>
                  <w:vAlign w:val="center"/>
                </w:tcPr>
                <w:p w14:paraId="10600215">
                  <w:pPr>
                    <w:keepNext w:val="0"/>
                    <w:keepLines w:val="0"/>
                    <w:widowControl w:val="0"/>
                    <w:suppressLineNumbers w:val="0"/>
                    <w:topLinePunct/>
                    <w:bidi w:val="0"/>
                    <w:adjustRightInd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机油桶</w:t>
                  </w:r>
                </w:p>
              </w:tc>
              <w:tc>
                <w:tcPr>
                  <w:tcW w:w="556" w:type="pct"/>
                  <w:shd w:val="clear" w:color="auto" w:fill="auto"/>
                  <w:noWrap w:val="0"/>
                  <w:vAlign w:val="center"/>
                </w:tcPr>
                <w:p w14:paraId="2DA04C39">
                  <w:pPr>
                    <w:pStyle w:val="38"/>
                    <w:keepNext w:val="0"/>
                    <w:keepLines w:val="0"/>
                    <w:suppressLineNumbers w:val="0"/>
                    <w:bidi w:val="0"/>
                    <w:spacing w:before="0" w:beforeAutospacing="0" w:after="0" w:afterAutospacing="0"/>
                    <w:ind w:left="0" w:leftChars="0" w:right="0" w:rightChars="0" w:firstLine="0" w:firstLineChars="0"/>
                    <w:rPr>
                      <w:rFonts w:hint="eastAsia"/>
                      <w:b w:val="0"/>
                      <w:bCs/>
                      <w:color w:val="auto"/>
                      <w:sz w:val="21"/>
                      <w:szCs w:val="21"/>
                      <w:highlight w:val="none"/>
                      <w:lang w:val="en-US" w:eastAsia="zh-CN"/>
                    </w:rPr>
                  </w:pPr>
                  <w:r>
                    <w:rPr>
                      <w:rFonts w:hint="eastAsia" w:cs="Times New Roman"/>
                      <w:b w:val="0"/>
                      <w:bCs w:val="0"/>
                      <w:color w:val="auto"/>
                      <w:szCs w:val="20"/>
                      <w:highlight w:val="none"/>
                      <w:lang w:val="en-US" w:eastAsia="zh-CN"/>
                    </w:rPr>
                    <w:t>3个月</w:t>
                  </w:r>
                </w:p>
              </w:tc>
              <w:tc>
                <w:tcPr>
                  <w:tcW w:w="565" w:type="pct"/>
                  <w:shd w:val="clear" w:color="auto" w:fill="auto"/>
                  <w:noWrap w:val="0"/>
                  <w:vAlign w:val="center"/>
                </w:tcPr>
                <w:p w14:paraId="1AD806D9">
                  <w:pPr>
                    <w:pStyle w:val="38"/>
                    <w:keepNext w:val="0"/>
                    <w:keepLines w:val="0"/>
                    <w:suppressLineNumbers w:val="0"/>
                    <w:bidi w:val="0"/>
                    <w:spacing w:before="0" w:beforeAutospacing="0" w:after="0" w:afterAutospacing="0"/>
                    <w:ind w:left="0" w:leftChars="0" w:right="0" w:rightChars="0" w:firstLine="0" w:firstLineChars="0"/>
                    <w:rPr>
                      <w:rFonts w:hint="eastAsia"/>
                      <w:b w:val="0"/>
                      <w:bCs/>
                      <w:color w:val="auto"/>
                      <w:highlight w:val="none"/>
                      <w:lang w:val="en-US" w:eastAsia="zh-CN"/>
                    </w:rPr>
                  </w:pPr>
                  <w:r>
                    <w:rPr>
                      <w:rFonts w:hint="eastAsia"/>
                      <w:b w:val="0"/>
                      <w:bCs/>
                      <w:color w:val="auto"/>
                      <w:highlight w:val="none"/>
                      <w:lang w:val="en-US" w:eastAsia="zh-CN"/>
                    </w:rPr>
                    <w:t>密闭桶装</w:t>
                  </w:r>
                </w:p>
              </w:tc>
              <w:tc>
                <w:tcPr>
                  <w:tcW w:w="1057" w:type="pct"/>
                  <w:shd w:val="clear" w:color="auto" w:fill="auto"/>
                  <w:noWrap w:val="0"/>
                  <w:vAlign w:val="center"/>
                </w:tcPr>
                <w:p w14:paraId="0D33829D">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Cs w:val="20"/>
                      <w:highlight w:val="none"/>
                      <w:lang w:val="en-US" w:eastAsia="zh-CN"/>
                    </w:rPr>
                  </w:pPr>
                  <w:r>
                    <w:rPr>
                      <w:rFonts w:hint="eastAsia" w:ascii="Times New Roman" w:hAnsi="Times New Roman" w:eastAsia="宋体" w:cs="Times New Roman"/>
                      <w:b w:val="0"/>
                      <w:bCs/>
                      <w:color w:val="auto"/>
                      <w:szCs w:val="20"/>
                      <w:highlight w:val="none"/>
                      <w:lang w:val="en-US" w:eastAsia="zh-CN"/>
                    </w:rPr>
                    <w:t>0.015</w:t>
                  </w:r>
                </w:p>
              </w:tc>
              <w:tc>
                <w:tcPr>
                  <w:tcW w:w="883" w:type="pct"/>
                  <w:noWrap w:val="0"/>
                  <w:vAlign w:val="center"/>
                </w:tcPr>
                <w:p w14:paraId="07DFA945">
                  <w:pPr>
                    <w:keepNext w:val="0"/>
                    <w:keepLines w:val="0"/>
                    <w:widowControl/>
                    <w:suppressLineNumbers w:val="0"/>
                    <w:spacing w:before="0" w:beforeAutospacing="0" w:after="0" w:afterAutospacing="0"/>
                    <w:ind w:left="0" w:right="0"/>
                    <w:jc w:val="center"/>
                    <w:textAlignment w:val="center"/>
                    <w:rPr>
                      <w:rFonts w:hint="default"/>
                      <w:b w:val="0"/>
                      <w:bCs/>
                      <w:color w:val="auto"/>
                      <w:highlight w:val="none"/>
                      <w:lang w:val="en-US" w:eastAsia="zh-CN"/>
                    </w:rPr>
                  </w:pPr>
                  <w:r>
                    <w:rPr>
                      <w:rFonts w:hint="eastAsia" w:cs="Times New Roman"/>
                      <w:i w:val="0"/>
                      <w:iCs w:val="0"/>
                      <w:color w:val="auto"/>
                      <w:kern w:val="0"/>
                      <w:sz w:val="21"/>
                      <w:szCs w:val="21"/>
                      <w:highlight w:val="none"/>
                      <w:u w:val="none"/>
                      <w:lang w:val="en-US" w:eastAsia="zh-CN" w:bidi="ar"/>
                    </w:rPr>
                    <w:t>2</w:t>
                  </w:r>
                </w:p>
              </w:tc>
            </w:tr>
            <w:tr w14:paraId="646A4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91" w:type="pct"/>
                  <w:shd w:val="clear" w:color="auto" w:fill="auto"/>
                  <w:noWrap w:val="0"/>
                  <w:vAlign w:val="center"/>
                </w:tcPr>
                <w:p w14:paraId="578F4773">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6</w:t>
                  </w:r>
                </w:p>
              </w:tc>
              <w:tc>
                <w:tcPr>
                  <w:tcW w:w="624" w:type="pct"/>
                  <w:vMerge w:val="continue"/>
                  <w:noWrap w:val="0"/>
                  <w:vAlign w:val="center"/>
                </w:tcPr>
                <w:p w14:paraId="50A53002">
                  <w:pPr>
                    <w:keepNext w:val="0"/>
                    <w:keepLines w:val="0"/>
                    <w:pageBreakBefore w:val="0"/>
                    <w:widowControl w:val="0"/>
                    <w:suppressLineNumbers w:val="0"/>
                    <w:shd w:val="clear" w:color="auto" w:fill="auto"/>
                    <w:kinsoku/>
                    <w:wordWrap/>
                    <w:overflowPunct/>
                    <w:topLinePunct/>
                    <w:autoSpaceDN/>
                    <w:bidi w:val="0"/>
                    <w:adjustRightInd w:val="0"/>
                    <w:snapToGrid w:val="0"/>
                    <w:spacing w:before="0" w:beforeAutospacing="0" w:after="0" w:afterAutospacing="0"/>
                    <w:ind w:left="0" w:right="0"/>
                    <w:jc w:val="center"/>
                    <w:textAlignment w:val="auto"/>
                    <w:rPr>
                      <w:rFonts w:hint="default"/>
                      <w:color w:val="auto"/>
                      <w:sz w:val="21"/>
                      <w:szCs w:val="21"/>
                      <w:highlight w:val="none"/>
                    </w:rPr>
                  </w:pPr>
                </w:p>
              </w:tc>
              <w:tc>
                <w:tcPr>
                  <w:tcW w:w="920" w:type="pct"/>
                  <w:shd w:val="clear" w:color="auto" w:fill="auto"/>
                  <w:noWrap w:val="0"/>
                  <w:vAlign w:val="center"/>
                </w:tcPr>
                <w:p w14:paraId="0289E3F7">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bidi="ar-SA"/>
                    </w:rPr>
                    <w:t>废油剂桶</w:t>
                  </w:r>
                </w:p>
              </w:tc>
              <w:tc>
                <w:tcPr>
                  <w:tcW w:w="556" w:type="pct"/>
                  <w:shd w:val="clear" w:color="auto" w:fill="auto"/>
                  <w:noWrap w:val="0"/>
                  <w:vAlign w:val="center"/>
                </w:tcPr>
                <w:p w14:paraId="6FB3A8D5">
                  <w:pPr>
                    <w:pStyle w:val="38"/>
                    <w:keepNext w:val="0"/>
                    <w:keepLines w:val="0"/>
                    <w:suppressLineNumbers w:val="0"/>
                    <w:bidi w:val="0"/>
                    <w:spacing w:before="0" w:beforeAutospacing="0" w:after="0" w:afterAutospacing="0"/>
                    <w:ind w:left="0" w:leftChars="0" w:right="0" w:rightChars="0" w:firstLine="0" w:firstLineChars="0"/>
                    <w:rPr>
                      <w:rFonts w:hint="eastAsia"/>
                      <w:b w:val="0"/>
                      <w:bCs/>
                      <w:color w:val="auto"/>
                      <w:sz w:val="21"/>
                      <w:szCs w:val="21"/>
                      <w:highlight w:val="none"/>
                      <w:lang w:val="en-US" w:eastAsia="zh-CN"/>
                    </w:rPr>
                  </w:pPr>
                  <w:r>
                    <w:rPr>
                      <w:rFonts w:hint="eastAsia" w:cs="Times New Roman"/>
                      <w:b w:val="0"/>
                      <w:bCs w:val="0"/>
                      <w:color w:val="auto"/>
                      <w:szCs w:val="20"/>
                      <w:highlight w:val="none"/>
                      <w:lang w:val="en-US" w:eastAsia="zh-CN"/>
                    </w:rPr>
                    <w:t>3个月</w:t>
                  </w:r>
                </w:p>
              </w:tc>
              <w:tc>
                <w:tcPr>
                  <w:tcW w:w="565" w:type="pct"/>
                  <w:shd w:val="clear" w:color="auto" w:fill="auto"/>
                  <w:noWrap w:val="0"/>
                  <w:vAlign w:val="center"/>
                </w:tcPr>
                <w:p w14:paraId="437FA803">
                  <w:pPr>
                    <w:pStyle w:val="38"/>
                    <w:keepNext w:val="0"/>
                    <w:keepLines w:val="0"/>
                    <w:suppressLineNumbers w:val="0"/>
                    <w:bidi w:val="0"/>
                    <w:spacing w:before="0" w:beforeAutospacing="0" w:after="0" w:afterAutospacing="0"/>
                    <w:ind w:left="0" w:leftChars="0" w:right="0" w:rightChars="0" w:firstLine="0" w:firstLineChars="0"/>
                    <w:rPr>
                      <w:rFonts w:hint="eastAsia"/>
                      <w:b w:val="0"/>
                      <w:bCs/>
                      <w:color w:val="auto"/>
                      <w:highlight w:val="none"/>
                      <w:lang w:val="en-US" w:eastAsia="zh-CN"/>
                    </w:rPr>
                  </w:pPr>
                  <w:r>
                    <w:rPr>
                      <w:rFonts w:hint="eastAsia"/>
                      <w:b w:val="0"/>
                      <w:bCs/>
                      <w:color w:val="auto"/>
                      <w:highlight w:val="none"/>
                      <w:lang w:val="en-US" w:eastAsia="zh-CN"/>
                    </w:rPr>
                    <w:t>密闭桶装</w:t>
                  </w:r>
                </w:p>
              </w:tc>
              <w:tc>
                <w:tcPr>
                  <w:tcW w:w="1057" w:type="pct"/>
                  <w:shd w:val="clear" w:color="auto" w:fill="auto"/>
                  <w:noWrap w:val="0"/>
                  <w:vAlign w:val="center"/>
                </w:tcPr>
                <w:p w14:paraId="41555FDE">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Cs w:val="20"/>
                      <w:highlight w:val="none"/>
                      <w:lang w:val="en-US" w:eastAsia="zh-CN"/>
                    </w:rPr>
                  </w:pPr>
                  <w:r>
                    <w:rPr>
                      <w:rFonts w:hint="eastAsia" w:ascii="Times New Roman" w:hAnsi="Times New Roman" w:eastAsia="宋体" w:cs="Times New Roman"/>
                      <w:b w:val="0"/>
                      <w:bCs/>
                      <w:color w:val="auto"/>
                      <w:szCs w:val="20"/>
                      <w:highlight w:val="none"/>
                      <w:lang w:val="en-US" w:eastAsia="zh-CN"/>
                    </w:rPr>
                    <w:t>0.03</w:t>
                  </w:r>
                </w:p>
              </w:tc>
              <w:tc>
                <w:tcPr>
                  <w:tcW w:w="883" w:type="pct"/>
                  <w:noWrap w:val="0"/>
                  <w:vAlign w:val="center"/>
                </w:tcPr>
                <w:p w14:paraId="09900D34">
                  <w:pPr>
                    <w:keepNext w:val="0"/>
                    <w:keepLines w:val="0"/>
                    <w:widowControl/>
                    <w:suppressLineNumbers w:val="0"/>
                    <w:spacing w:before="0" w:beforeAutospacing="0" w:after="0" w:afterAutospacing="0"/>
                    <w:ind w:left="0" w:right="0"/>
                    <w:jc w:val="center"/>
                    <w:textAlignment w:val="center"/>
                    <w:rPr>
                      <w:rFonts w:hint="default"/>
                      <w:b w:val="0"/>
                      <w:bCs/>
                      <w:color w:val="auto"/>
                      <w:highlight w:val="none"/>
                      <w:lang w:val="en-US" w:eastAsia="zh-CN"/>
                    </w:rPr>
                  </w:pPr>
                  <w:r>
                    <w:rPr>
                      <w:rFonts w:hint="eastAsia" w:cs="Times New Roman"/>
                      <w:i w:val="0"/>
                      <w:iCs w:val="0"/>
                      <w:color w:val="auto"/>
                      <w:kern w:val="0"/>
                      <w:sz w:val="21"/>
                      <w:szCs w:val="21"/>
                      <w:highlight w:val="none"/>
                      <w:u w:val="none"/>
                      <w:lang w:val="en-US" w:eastAsia="zh-CN" w:bidi="ar"/>
                    </w:rPr>
                    <w:t>2</w:t>
                  </w:r>
                </w:p>
              </w:tc>
            </w:tr>
            <w:tr w14:paraId="4D9B3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91" w:type="pct"/>
                  <w:shd w:val="clear" w:color="auto" w:fill="auto"/>
                  <w:noWrap w:val="0"/>
                  <w:vAlign w:val="center"/>
                </w:tcPr>
                <w:p w14:paraId="0B7E25F7">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7</w:t>
                  </w:r>
                </w:p>
              </w:tc>
              <w:tc>
                <w:tcPr>
                  <w:tcW w:w="624" w:type="pct"/>
                  <w:vMerge w:val="continue"/>
                  <w:noWrap w:val="0"/>
                  <w:vAlign w:val="center"/>
                </w:tcPr>
                <w:p w14:paraId="421A1CFE">
                  <w:pPr>
                    <w:keepNext w:val="0"/>
                    <w:keepLines w:val="0"/>
                    <w:pageBreakBefore w:val="0"/>
                    <w:widowControl w:val="0"/>
                    <w:suppressLineNumbers w:val="0"/>
                    <w:shd w:val="clear" w:color="auto" w:fill="auto"/>
                    <w:kinsoku/>
                    <w:wordWrap/>
                    <w:overflowPunct/>
                    <w:topLinePunct/>
                    <w:autoSpaceDN/>
                    <w:bidi w:val="0"/>
                    <w:adjustRightInd w:val="0"/>
                    <w:snapToGrid w:val="0"/>
                    <w:spacing w:before="0" w:beforeAutospacing="0" w:after="0" w:afterAutospacing="0"/>
                    <w:ind w:left="0" w:right="0"/>
                    <w:jc w:val="center"/>
                    <w:textAlignment w:val="auto"/>
                    <w:rPr>
                      <w:rFonts w:hint="default"/>
                      <w:color w:val="auto"/>
                      <w:sz w:val="21"/>
                      <w:szCs w:val="21"/>
                      <w:highlight w:val="none"/>
                    </w:rPr>
                  </w:pPr>
                </w:p>
              </w:tc>
              <w:tc>
                <w:tcPr>
                  <w:tcW w:w="920" w:type="pct"/>
                  <w:shd w:val="clear" w:color="auto" w:fill="auto"/>
                  <w:noWrap w:val="0"/>
                  <w:vAlign w:val="center"/>
                </w:tcPr>
                <w:p w14:paraId="4BFF28B4">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废含油抹布和废含油手套</w:t>
                  </w:r>
                </w:p>
              </w:tc>
              <w:tc>
                <w:tcPr>
                  <w:tcW w:w="556" w:type="pct"/>
                  <w:shd w:val="clear" w:color="auto" w:fill="auto"/>
                  <w:noWrap w:val="0"/>
                  <w:vAlign w:val="center"/>
                </w:tcPr>
                <w:p w14:paraId="7BFDC6AF">
                  <w:pPr>
                    <w:pStyle w:val="38"/>
                    <w:keepNext w:val="0"/>
                    <w:keepLines w:val="0"/>
                    <w:suppressLineNumbers w:val="0"/>
                    <w:bidi w:val="0"/>
                    <w:spacing w:before="0" w:beforeAutospacing="0" w:after="0" w:afterAutospacing="0"/>
                    <w:ind w:left="0" w:leftChars="0" w:right="0" w:rightChars="0" w:firstLine="0" w:firstLineChars="0"/>
                    <w:rPr>
                      <w:rFonts w:hint="eastAsia"/>
                      <w:b w:val="0"/>
                      <w:bCs/>
                      <w:color w:val="auto"/>
                      <w:sz w:val="21"/>
                      <w:szCs w:val="21"/>
                      <w:highlight w:val="none"/>
                      <w:lang w:val="en-US" w:eastAsia="zh-CN"/>
                    </w:rPr>
                  </w:pPr>
                  <w:r>
                    <w:rPr>
                      <w:rFonts w:hint="eastAsia" w:cs="Times New Roman"/>
                      <w:b w:val="0"/>
                      <w:bCs w:val="0"/>
                      <w:color w:val="auto"/>
                      <w:szCs w:val="20"/>
                      <w:highlight w:val="none"/>
                      <w:lang w:val="en-US" w:eastAsia="zh-CN"/>
                    </w:rPr>
                    <w:t>半年</w:t>
                  </w:r>
                </w:p>
              </w:tc>
              <w:tc>
                <w:tcPr>
                  <w:tcW w:w="565" w:type="pct"/>
                  <w:shd w:val="clear" w:color="auto" w:fill="auto"/>
                  <w:noWrap w:val="0"/>
                  <w:vAlign w:val="center"/>
                </w:tcPr>
                <w:p w14:paraId="5E043B8D">
                  <w:pPr>
                    <w:pStyle w:val="38"/>
                    <w:keepNext w:val="0"/>
                    <w:keepLines w:val="0"/>
                    <w:suppressLineNumbers w:val="0"/>
                    <w:bidi w:val="0"/>
                    <w:spacing w:before="0" w:beforeAutospacing="0" w:after="0" w:afterAutospacing="0"/>
                    <w:ind w:left="0" w:leftChars="0" w:right="0" w:rightChars="0" w:firstLine="0" w:firstLineChars="0"/>
                    <w:rPr>
                      <w:rFonts w:hint="eastAsia"/>
                      <w:b w:val="0"/>
                      <w:bCs/>
                      <w:color w:val="auto"/>
                      <w:highlight w:val="none"/>
                      <w:lang w:val="en-US" w:eastAsia="zh-CN"/>
                    </w:rPr>
                  </w:pPr>
                  <w:r>
                    <w:rPr>
                      <w:rFonts w:hint="eastAsia"/>
                      <w:b w:val="0"/>
                      <w:bCs/>
                      <w:color w:val="auto"/>
                      <w:highlight w:val="none"/>
                      <w:lang w:val="en-US" w:eastAsia="zh-CN"/>
                    </w:rPr>
                    <w:t>密闭桶装</w:t>
                  </w:r>
                </w:p>
              </w:tc>
              <w:tc>
                <w:tcPr>
                  <w:tcW w:w="1057" w:type="pct"/>
                  <w:shd w:val="clear" w:color="auto" w:fill="auto"/>
                  <w:noWrap w:val="0"/>
                  <w:vAlign w:val="center"/>
                </w:tcPr>
                <w:p w14:paraId="5C07C0F8">
                  <w:pPr>
                    <w:pStyle w:val="3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 w:val="0"/>
                      <w:bCs/>
                      <w:color w:val="auto"/>
                      <w:szCs w:val="20"/>
                      <w:highlight w:val="none"/>
                      <w:lang w:val="en-US" w:eastAsia="zh-CN"/>
                    </w:rPr>
                  </w:pPr>
                  <w:r>
                    <w:rPr>
                      <w:rFonts w:hint="eastAsia" w:ascii="Times New Roman" w:hAnsi="Times New Roman" w:eastAsia="宋体" w:cs="Times New Roman"/>
                      <w:b w:val="0"/>
                      <w:bCs/>
                      <w:color w:val="auto"/>
                      <w:szCs w:val="20"/>
                      <w:highlight w:val="none"/>
                      <w:lang w:val="en-US" w:eastAsia="zh-CN"/>
                    </w:rPr>
                    <w:t>0.005</w:t>
                  </w:r>
                </w:p>
              </w:tc>
              <w:tc>
                <w:tcPr>
                  <w:tcW w:w="883" w:type="pct"/>
                  <w:noWrap w:val="0"/>
                  <w:vAlign w:val="center"/>
                </w:tcPr>
                <w:p w14:paraId="27DCDB1F">
                  <w:pPr>
                    <w:keepNext w:val="0"/>
                    <w:keepLines w:val="0"/>
                    <w:widowControl/>
                    <w:suppressLineNumbers w:val="0"/>
                    <w:spacing w:before="0" w:beforeAutospacing="0" w:after="0" w:afterAutospacing="0"/>
                    <w:ind w:left="0" w:right="0"/>
                    <w:jc w:val="center"/>
                    <w:textAlignment w:val="center"/>
                    <w:rPr>
                      <w:rFonts w:hint="default"/>
                      <w:b w:val="0"/>
                      <w:bCs/>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r>
            <w:tr w14:paraId="4ED84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59" w:type="pct"/>
                  <w:gridSpan w:val="5"/>
                  <w:noWrap w:val="0"/>
                  <w:vAlign w:val="center"/>
                </w:tcPr>
                <w:p w14:paraId="1AB84BE0">
                  <w:pPr>
                    <w:keepNext w:val="0"/>
                    <w:keepLines w:val="0"/>
                    <w:pageBreakBefore w:val="0"/>
                    <w:widowControl w:val="0"/>
                    <w:suppressLineNumbers w:val="0"/>
                    <w:shd w:val="clear" w:color="auto" w:fill="auto"/>
                    <w:kinsoku/>
                    <w:wordWrap/>
                    <w:overflowPunct/>
                    <w:topLinePunct/>
                    <w:autoSpaceDN/>
                    <w:bidi w:val="0"/>
                    <w:adjustRightInd w:val="0"/>
                    <w:snapToGrid w:val="0"/>
                    <w:spacing w:before="0" w:beforeAutospacing="0" w:after="0" w:afterAutospacing="0"/>
                    <w:ind w:left="0" w:right="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合计</w:t>
                  </w:r>
                </w:p>
              </w:tc>
              <w:tc>
                <w:tcPr>
                  <w:tcW w:w="2102" w:type="dxa"/>
                  <w:noWrap w:val="0"/>
                  <w:vAlign w:val="center"/>
                </w:tcPr>
                <w:p w14:paraId="56C4EF55">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Cs w:val="20"/>
                      <w:highlight w:val="none"/>
                      <w:lang w:val="en-US" w:eastAsia="zh-CN"/>
                    </w:rPr>
                  </w:pPr>
                  <w:r>
                    <w:rPr>
                      <w:rFonts w:hint="eastAsia" w:ascii="Times New Roman" w:hAnsi="Times New Roman" w:eastAsia="宋体" w:cs="Times New Roman"/>
                      <w:b w:val="0"/>
                      <w:bCs/>
                      <w:color w:val="auto"/>
                      <w:szCs w:val="20"/>
                      <w:highlight w:val="none"/>
                      <w:lang w:val="en-US" w:eastAsia="zh-CN"/>
                    </w:rPr>
                    <w:t>2.245</w:t>
                  </w:r>
                </w:p>
              </w:tc>
              <w:tc>
                <w:tcPr>
                  <w:tcW w:w="1756" w:type="dxa"/>
                  <w:noWrap w:val="0"/>
                  <w:vAlign w:val="center"/>
                </w:tcPr>
                <w:p w14:paraId="2E9F3E98">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Cs w:val="20"/>
                      <w:highlight w:val="none"/>
                      <w:lang w:val="en-US" w:eastAsia="zh-CN"/>
                    </w:rPr>
                  </w:pPr>
                  <w:r>
                    <w:rPr>
                      <w:rFonts w:hint="eastAsia" w:ascii="Times New Roman" w:hAnsi="Times New Roman" w:eastAsia="宋体" w:cs="Times New Roman"/>
                      <w:b w:val="0"/>
                      <w:bCs/>
                      <w:color w:val="auto"/>
                      <w:szCs w:val="20"/>
                      <w:highlight w:val="none"/>
                      <w:lang w:val="en-US" w:eastAsia="zh-CN"/>
                    </w:rPr>
                    <w:t>13</w:t>
                  </w:r>
                </w:p>
              </w:tc>
            </w:tr>
          </w:tbl>
          <w:p w14:paraId="12A7CA7E">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eastAsia"/>
                <w:b w:val="0"/>
                <w:bCs w:val="0"/>
                <w:color w:val="auto"/>
                <w:highlight w:val="none"/>
                <w:lang w:val="en-US" w:eastAsia="zh-CN"/>
              </w:rPr>
            </w:pPr>
            <w:r>
              <w:rPr>
                <w:rFonts w:hint="eastAsia"/>
                <w:b w:val="0"/>
                <w:bCs w:val="0"/>
                <w:color w:val="auto"/>
                <w:highlight w:val="none"/>
                <w:lang w:val="en-US" w:eastAsia="zh-CN"/>
              </w:rPr>
              <w:t>项目产生的危险废物分类分区暂存在危废暂存间，根据贮存周期，最大贮存量为2.245t，所需面积为13m</w:t>
            </w:r>
            <w:r>
              <w:rPr>
                <w:rFonts w:hint="eastAsia"/>
                <w:b w:val="0"/>
                <w:bCs w:val="0"/>
                <w:color w:val="auto"/>
                <w:highlight w:val="none"/>
                <w:vertAlign w:val="superscript"/>
                <w:lang w:val="en-US" w:eastAsia="zh-CN"/>
              </w:rPr>
              <w:t>2</w:t>
            </w:r>
            <w:r>
              <w:rPr>
                <w:rFonts w:hint="eastAsia"/>
                <w:b w:val="0"/>
                <w:bCs w:val="0"/>
                <w:color w:val="auto"/>
                <w:highlight w:val="none"/>
                <w:lang w:val="en-US" w:eastAsia="zh-CN"/>
              </w:rPr>
              <w:t>。企业拟建设一个占地面积20m</w:t>
            </w:r>
            <w:r>
              <w:rPr>
                <w:rFonts w:hint="eastAsia"/>
                <w:b w:val="0"/>
                <w:bCs w:val="0"/>
                <w:color w:val="auto"/>
                <w:highlight w:val="none"/>
                <w:vertAlign w:val="superscript"/>
                <w:lang w:val="en-US" w:eastAsia="zh-CN"/>
              </w:rPr>
              <w:t>2</w:t>
            </w:r>
            <w:r>
              <w:rPr>
                <w:rFonts w:hint="eastAsia"/>
                <w:b w:val="0"/>
                <w:bCs w:val="0"/>
                <w:color w:val="auto"/>
                <w:highlight w:val="none"/>
                <w:lang w:val="en-US" w:eastAsia="zh-CN"/>
              </w:rPr>
              <w:t>、贮存能力20t的危废暂存间，危废暂存间容积可以满足项目危险废物暂存需求。</w:t>
            </w:r>
          </w:p>
          <w:p w14:paraId="5FE9F4F2">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cs="Times New Roman"/>
                <w:color w:val="auto"/>
                <w:kern w:val="2"/>
                <w:sz w:val="24"/>
                <w:szCs w:val="24"/>
                <w:highlight w:val="none"/>
                <w:lang w:val="en-US" w:eastAsia="zh-CN" w:bidi="ar-SA"/>
              </w:rPr>
              <w:t>根据《挥发性有机物无组织排放控制标准》（GB37822-2019），工艺过程产生的含VOCs废料（渣、液）应存储于密闭的包装袋/桶内，在非取用状态时应加盖、封口，保持密闭。为了减少危废存储过程中挥发VOCs，含有VOCs物料的危废，均存储于密闭的包装袋/桶内，在非取用状态时应加盖、封口，保持密闭，存储于危废仓库中，同时，危废仓库应满足密闭空间的要求，运输过程中，应采用密闭的包装袋、容器进行物料转移。</w:t>
            </w:r>
            <w:r>
              <w:rPr>
                <w:rFonts w:hint="eastAsia" w:cs="Times New Roman"/>
                <w:color w:val="auto"/>
                <w:kern w:val="2"/>
                <w:sz w:val="24"/>
                <w:szCs w:val="24"/>
                <w:highlight w:val="none"/>
                <w:lang w:val="en-US" w:eastAsia="zh-CN" w:bidi="ar-SA"/>
              </w:rPr>
              <w:t>本项目所产生的废活性炭使用大的塑料袋密封保存，废机油、废油等使用桶装密闭收集储存，几乎无</w:t>
            </w:r>
            <w:r>
              <w:rPr>
                <w:rFonts w:hint="default" w:cs="Times New Roman"/>
                <w:color w:val="auto"/>
                <w:kern w:val="2"/>
                <w:sz w:val="24"/>
                <w:szCs w:val="24"/>
                <w:highlight w:val="none"/>
                <w:lang w:val="en-US" w:eastAsia="zh-CN" w:bidi="ar-SA"/>
              </w:rPr>
              <w:t>废气</w:t>
            </w:r>
            <w:r>
              <w:rPr>
                <w:rFonts w:hint="eastAsia" w:cs="Times New Roman"/>
                <w:color w:val="auto"/>
                <w:kern w:val="2"/>
                <w:sz w:val="24"/>
                <w:szCs w:val="24"/>
                <w:highlight w:val="none"/>
                <w:lang w:val="en-US" w:eastAsia="zh-CN" w:bidi="ar-SA"/>
              </w:rPr>
              <w:t>逸散现象产生</w:t>
            </w:r>
            <w:r>
              <w:rPr>
                <w:rFonts w:hint="default" w:cs="Times New Roman"/>
                <w:color w:val="auto"/>
                <w:kern w:val="2"/>
                <w:sz w:val="24"/>
                <w:szCs w:val="24"/>
                <w:highlight w:val="none"/>
                <w:lang w:val="en-US" w:eastAsia="zh-CN" w:bidi="ar-SA"/>
              </w:rPr>
              <w:t>。</w:t>
            </w:r>
          </w:p>
          <w:p w14:paraId="72545645">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一般固体废物暂存要求：</w:t>
            </w:r>
          </w:p>
          <w:p w14:paraId="67659DB3">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（1）一般固废暂存场所应设置明显的符合相关规定的图形或文字标志。</w:t>
            </w:r>
          </w:p>
          <w:p w14:paraId="3E6ADBC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（2）各种固体废物应按照要求分类放置于相应区域，禁止混放。</w:t>
            </w:r>
          </w:p>
          <w:p w14:paraId="7EAB9A18">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rPr>
            </w:pPr>
            <w:r>
              <w:rPr>
                <w:rFonts w:hint="default"/>
                <w:color w:val="auto"/>
                <w:highlight w:val="none"/>
              </w:rPr>
              <w:t>（3）一般固废暂存场所应根据所收集、存放的固体废物的产生量及时进行清理，不得出现溢满现象，并在每次清运固体废物后，负责打扫一般固废暂存场所的卫生，保持整洁。</w:t>
            </w:r>
          </w:p>
          <w:p w14:paraId="72BF2DC2">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color w:val="auto"/>
                <w:highlight w:val="none"/>
              </w:rPr>
              <w:t>（4）相关管理人员对一般固废暂存场所进行日常检查，发现问题，及时处理。</w:t>
            </w:r>
          </w:p>
          <w:p w14:paraId="383F7137">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危险废物暂存要求：</w:t>
            </w:r>
          </w:p>
          <w:p w14:paraId="7E6A151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highlight w:val="none"/>
              </w:rPr>
            </w:pPr>
            <w:r>
              <w:rPr>
                <w:rFonts w:hint="default"/>
                <w:color w:val="auto"/>
                <w:highlight w:val="none"/>
              </w:rPr>
              <w:t>根据本项目危险废物的类别、数量、形态、物理化学性质等因素，确定本项目危险废物贮存设施类型为“贮存库”。本项目产生的危险废物在未运走前，必须贮存于危废暂存库内，并定期委托有相应危险废物处理资质的单位进行处置，不得随意丢弃。危废暂存库应按照《危险废物贮存污染控制标准》（GB18597-2023）的规定设置。</w:t>
            </w:r>
          </w:p>
          <w:p w14:paraId="309DC6C6">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default"/>
                <w:color w:val="auto"/>
                <w:highlight w:val="none"/>
              </w:rPr>
              <w:t>危险废物贮存设施应根据危险废物的形态、物理化学性质、包装形式和污染物迁移途径，采取必要的防风、防晒、防雨、防漏、防渗、防腐以及其他环境污染防治措施，不应露天堆放危险废物</w:t>
            </w:r>
            <w:r>
              <w:rPr>
                <w:rFonts w:hint="eastAsia"/>
                <w:color w:val="auto"/>
                <w:highlight w:val="none"/>
                <w:lang w:eastAsia="zh-CN"/>
              </w:rPr>
              <w:t>。</w:t>
            </w:r>
          </w:p>
          <w:p w14:paraId="14CFC4B6">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贮存设施应根据危险废物的类别、数量、形态、物理化学性质和污染防治等要求设置必要的贮存分区，避免不相容的危险废物接触、混合。贮存库内不同贮存分区之间应采取隔离措施。隔离措施可根据危险废物特性采用过道、隔板或隔墙等方式。</w:t>
            </w:r>
          </w:p>
          <w:p w14:paraId="05D9F948">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）贮存设施或贮存分区内地面、墙面裙脚、堵截泄漏的围堰、接触危险废物的隔板和墙体等应采用坚固的材料建造，表面无裂缝。</w:t>
            </w:r>
          </w:p>
          <w:p w14:paraId="5DFEE10D">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default"/>
                <w:color w:val="auto"/>
                <w:highlight w:val="none"/>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color w:val="auto"/>
                <w:highlight w:val="none"/>
                <w:vertAlign w:val="superscript"/>
              </w:rPr>
              <w:t>-7</w:t>
            </w:r>
            <w:r>
              <w:rPr>
                <w:rFonts w:hint="default"/>
                <w:color w:val="auto"/>
                <w:highlight w:val="none"/>
              </w:rPr>
              <w:t>cm/s），或其他防渗性能等效的材料。</w:t>
            </w:r>
          </w:p>
          <w:p w14:paraId="3B4ADE43">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44A12CD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）贮存易产生粉尘、VOCs、酸雾、有毒有害大气污染物和刺激性气味气体的危险废物贮存库，应设置气体收集装置和气体净化设施；气体净化设施的排气筒高度应符合GB16297要求。</w:t>
            </w:r>
          </w:p>
          <w:p w14:paraId="7D1A76F8">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）容器和包装物材质、内衬应与盛装的危险废物相容。针对不同类别、形态、物理化学性质的危险废物，其容器和包装物应满足相应的防渗、防漏、防腐和强度等要求。</w:t>
            </w:r>
          </w:p>
          <w:p w14:paraId="18AE7317">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highlight w:val="none"/>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w:t>
            </w:r>
            <w:r>
              <w:rPr>
                <w:rFonts w:hint="default"/>
                <w:color w:val="auto"/>
                <w:highlight w:val="none"/>
              </w:rPr>
              <w:t>贮存设施或场所、容器和包装物应按HJ1276要求设置危险废物贮存设施或场所标志、危险废物贮存分区标志和危险废物标签等危险废物识别标志。</w:t>
            </w:r>
          </w:p>
          <w:p w14:paraId="41055EC2">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highlight w:val="none"/>
              </w:rPr>
            </w:pPr>
            <w:r>
              <w:rPr>
                <w:rFonts w:hint="eastAsia"/>
                <w:color w:val="auto"/>
                <w:highlight w:val="none"/>
                <w:lang w:eastAsia="zh-CN"/>
              </w:rPr>
              <w:t>（</w:t>
            </w:r>
            <w:r>
              <w:rPr>
                <w:rFonts w:hint="eastAsia"/>
                <w:color w:val="auto"/>
                <w:highlight w:val="none"/>
                <w:lang w:val="en-US" w:eastAsia="zh-CN"/>
              </w:rPr>
              <w:t>9</w:t>
            </w:r>
            <w:r>
              <w:rPr>
                <w:rFonts w:hint="eastAsia"/>
                <w:color w:val="auto"/>
                <w:highlight w:val="none"/>
                <w:lang w:eastAsia="zh-CN"/>
              </w:rPr>
              <w:t>）</w:t>
            </w:r>
            <w:r>
              <w:rPr>
                <w:rFonts w:hint="default"/>
                <w:color w:val="auto"/>
                <w:highlight w:val="none"/>
              </w:rPr>
              <w:t>贮存设施运行期间，应按国家有关标准和规定建立危险废物管理台账并保存。贮存设施所有者或运营者应建立贮存设施环境管理制度、管理人员岗位职责制度、设施运行操作制度、人员岗位培训制度等。</w:t>
            </w:r>
          </w:p>
          <w:p w14:paraId="79496919">
            <w:pPr>
              <w:pStyle w:val="56"/>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b/>
                <w:bCs/>
                <w:color w:val="auto"/>
                <w:kern w:val="0"/>
                <w:sz w:val="24"/>
                <w:szCs w:val="24"/>
                <w:highlight w:val="none"/>
                <w:lang w:val="en-US" w:eastAsia="zh-CN" w:bidi="ar"/>
              </w:rPr>
              <w:t>危险废物运输过程的环境要求：</w:t>
            </w:r>
          </w:p>
          <w:p w14:paraId="3C06058D">
            <w:pPr>
              <w:pStyle w:val="56"/>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根据生态环境部发布的《危险废物转移管理办法》（部令第23号）中的相关规定，危险废物外运至处置单位时必须严格遵守以下要求：</w:t>
            </w:r>
          </w:p>
          <w:p w14:paraId="3398F709">
            <w:pPr>
              <w:pStyle w:val="56"/>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（1）应制定危险废物管理计划，明确拟转移危险废物的种类、重量（数量）和流向等信息；建立危险废物管理台账，对转移的危险废物进行计量称重，如实记录、妥善保管转移危险废物的种类、重量（数量）和</w:t>
            </w:r>
            <w:r>
              <w:rPr>
                <w:rFonts w:hint="eastAsia" w:ascii="Times New Roman" w:hAnsi="Times New Roman" w:cs="宋体"/>
                <w:color w:val="auto"/>
                <w:kern w:val="0"/>
                <w:sz w:val="24"/>
                <w:szCs w:val="24"/>
                <w:highlight w:val="none"/>
                <w:lang w:val="en-US" w:eastAsia="zh-CN" w:bidi="ar"/>
              </w:rPr>
              <w:t>接收人</w:t>
            </w:r>
            <w:r>
              <w:rPr>
                <w:rFonts w:hint="eastAsia" w:ascii="Times New Roman" w:hAnsi="Times New Roman" w:eastAsia="宋体" w:cs="宋体"/>
                <w:color w:val="auto"/>
                <w:kern w:val="0"/>
                <w:sz w:val="24"/>
                <w:szCs w:val="24"/>
                <w:highlight w:val="none"/>
                <w:lang w:val="en-US" w:eastAsia="zh-CN" w:bidi="ar"/>
              </w:rPr>
              <w:t>等相关信息。</w:t>
            </w:r>
          </w:p>
          <w:p w14:paraId="0AD6A92B">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宋体"/>
                <w:color w:val="auto"/>
                <w:kern w:val="0"/>
                <w:sz w:val="24"/>
                <w:szCs w:val="24"/>
                <w:highlight w:val="none"/>
                <w:lang w:val="en-US" w:eastAsia="zh-CN" w:bidi="ar"/>
              </w:rPr>
            </w:pPr>
            <w:r>
              <w:rPr>
                <w:rFonts w:hint="eastAsia" w:ascii="Times New Roman" w:hAnsi="Times New Roman" w:eastAsia="宋体" w:cs="宋体"/>
                <w:color w:val="auto"/>
                <w:kern w:val="0"/>
                <w:sz w:val="24"/>
                <w:szCs w:val="24"/>
                <w:highlight w:val="none"/>
                <w:lang w:val="en-US" w:eastAsia="zh-CN" w:bidi="ar"/>
              </w:rPr>
              <w:t>（2）应当通过国家危险废物信息管理系统填写、运行危险废物电子转移联单，并依照国家有关规定公开危险废物转移相关污染环境防治信息；危险废物转移联单应当根据危险废物管理计划中填报的危险废物转移等备案信息填写、运行。</w:t>
            </w:r>
          </w:p>
          <w:p w14:paraId="6EEBA92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3</w:t>
            </w:r>
            <w:r>
              <w:rPr>
                <w:rFonts w:hint="eastAsia" w:cs="Times New Roman"/>
                <w:color w:val="auto"/>
                <w:highlight w:val="none"/>
                <w:lang w:eastAsia="zh-CN"/>
              </w:rPr>
              <w:t>）</w:t>
            </w:r>
            <w:r>
              <w:rPr>
                <w:rFonts w:hint="default" w:ascii="Times New Roman" w:hAnsi="Times New Roman" w:cs="Times New Roman"/>
                <w:color w:val="auto"/>
                <w:highlight w:val="none"/>
              </w:rPr>
              <w:t>填写、运行危险废物转移联单，在危险废物转移联单中如实填写移出人、承运人、</w:t>
            </w:r>
            <w:r>
              <w:rPr>
                <w:rFonts w:hint="eastAsia" w:cs="Times New Roman"/>
                <w:color w:val="auto"/>
                <w:highlight w:val="none"/>
                <w:lang w:eastAsia="zh-CN"/>
              </w:rPr>
              <w:t>接收</w:t>
            </w:r>
            <w:r>
              <w:rPr>
                <w:rFonts w:hint="default" w:ascii="Times New Roman" w:hAnsi="Times New Roman" w:cs="Times New Roman"/>
                <w:color w:val="auto"/>
                <w:highlight w:val="none"/>
              </w:rPr>
              <w:t>人信息，转移危险废物的种类、重量（数量）、危险特性、是否接受的意见，以及利用、处置方式和接受量等信息；此外还包括突发环境事件的防范措施等。</w:t>
            </w:r>
          </w:p>
          <w:p w14:paraId="721C06FE">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4</w:t>
            </w:r>
            <w:r>
              <w:rPr>
                <w:rFonts w:hint="eastAsia" w:cs="Times New Roman"/>
                <w:color w:val="auto"/>
                <w:highlight w:val="none"/>
                <w:lang w:eastAsia="zh-CN"/>
              </w:rPr>
              <w:t>）</w:t>
            </w:r>
            <w:r>
              <w:rPr>
                <w:rFonts w:hint="default" w:ascii="Times New Roman" w:hAnsi="Times New Roman" w:cs="Times New Roman"/>
                <w:color w:val="auto"/>
                <w:highlight w:val="none"/>
              </w:rPr>
              <w:t>填写、运行危险废物转移联单，在危险废物转移联单中如实填写承运人名称、运输工具及其营运证件号，以及运输起点和终点等运输相关信息，并与危险货物运单一并随运输工具携带。</w:t>
            </w:r>
          </w:p>
          <w:p w14:paraId="2CC60A0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5</w:t>
            </w:r>
            <w:r>
              <w:rPr>
                <w:rFonts w:hint="eastAsia" w:cs="Times New Roman"/>
                <w:color w:val="auto"/>
                <w:highlight w:val="none"/>
                <w:lang w:eastAsia="zh-CN"/>
              </w:rPr>
              <w:t>）</w:t>
            </w:r>
            <w:r>
              <w:rPr>
                <w:rFonts w:hint="default" w:ascii="Times New Roman" w:hAnsi="Times New Roman" w:cs="Times New Roman"/>
                <w:color w:val="auto"/>
                <w:highlight w:val="none"/>
              </w:rPr>
              <w:t>运输危险废物的，应当遵守国家有关危险货物运输管理的规定。未经公安机关批准，危险废物运输车辆不得进入危险货物运输车辆限制通行的区域。按照危险废物污染环境防治和危险货物运输相关规定运输危险废物，记录运输轨迹，防范危险废物丢失、包装破损、泄漏或者发生突发环境事件。</w:t>
            </w:r>
          </w:p>
          <w:p w14:paraId="5DBB8C2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6</w:t>
            </w:r>
            <w:r>
              <w:rPr>
                <w:rFonts w:hint="eastAsia" w:cs="Times New Roman"/>
                <w:color w:val="auto"/>
                <w:highlight w:val="none"/>
                <w:lang w:eastAsia="zh-CN"/>
              </w:rPr>
              <w:t>）</w:t>
            </w:r>
            <w:r>
              <w:rPr>
                <w:rFonts w:hint="default" w:ascii="Times New Roman" w:hAnsi="Times New Roman" w:cs="Times New Roman"/>
                <w:color w:val="auto"/>
                <w:highlight w:val="none"/>
              </w:rPr>
              <w:t>危险废物移出人、危险废物承运人、危险废物</w:t>
            </w:r>
            <w:r>
              <w:rPr>
                <w:rFonts w:hint="eastAsia" w:cs="Times New Roman"/>
                <w:color w:val="auto"/>
                <w:highlight w:val="none"/>
                <w:lang w:eastAsia="zh-CN"/>
              </w:rPr>
              <w:t>接收</w:t>
            </w:r>
            <w:r>
              <w:rPr>
                <w:rFonts w:hint="eastAsia"/>
                <w:color w:val="auto"/>
                <w:highlight w:val="none"/>
                <w:lang w:val="en-US" w:eastAsia="zh-CN"/>
              </w:rPr>
              <w:t>人</w:t>
            </w:r>
            <w:r>
              <w:rPr>
                <w:rFonts w:hint="default" w:ascii="Times New Roman" w:hAnsi="Times New Roman" w:cs="Times New Roman"/>
                <w:color w:val="auto"/>
                <w:highlight w:val="none"/>
              </w:rPr>
              <w:t>在危险废物转移过程中应当采取防扬散、防流失、防渗漏或者其他防止污染环境的措施，不得擅自倾倒、堆放、丢弃、遗撒危险废物，并对所造成的环境污染及生态破坏依法承担责任。</w:t>
            </w:r>
          </w:p>
          <w:p w14:paraId="28C251B2">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7</w:t>
            </w:r>
            <w:r>
              <w:rPr>
                <w:rFonts w:hint="eastAsia" w:cs="Times New Roman"/>
                <w:color w:val="auto"/>
                <w:highlight w:val="none"/>
                <w:lang w:eastAsia="zh-CN"/>
              </w:rPr>
              <w:t>）</w:t>
            </w:r>
            <w:r>
              <w:rPr>
                <w:rFonts w:hint="default" w:ascii="Times New Roman" w:hAnsi="Times New Roman" w:cs="Times New Roman"/>
                <w:color w:val="auto"/>
                <w:highlight w:val="none"/>
              </w:rPr>
              <w:t>移出人应当按照国家有关要求开展危险废物鉴别。禁止将危险废物以副产品等名义提供或者委托给无危险废物经营许可证的单位或者其他生产经营者从事收集、贮存、利用、处置活动。</w:t>
            </w:r>
          </w:p>
          <w:p w14:paraId="48889961">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8</w:t>
            </w:r>
            <w:r>
              <w:rPr>
                <w:rFonts w:hint="eastAsia" w:cs="Times New Roman"/>
                <w:color w:val="auto"/>
                <w:highlight w:val="none"/>
                <w:lang w:eastAsia="zh-CN"/>
              </w:rPr>
              <w:t>）</w:t>
            </w:r>
            <w:r>
              <w:rPr>
                <w:rFonts w:hint="default" w:ascii="Times New Roman" w:hAnsi="Times New Roman" w:cs="Times New Roman"/>
                <w:color w:val="auto"/>
                <w:highlight w:val="none"/>
              </w:rPr>
              <w:t>危险废物托运人应当按照国家危险货物相关标准确定危险废物对应危险货物的类别、项别、编号等，并委托具备相应危险货物运输资质的单位承运危险废物，依法签订运输合同。采用包装方式运输危险废物的，应当妥善包装，并按照国家有关标准在外包装上设置相应的识别标志。</w:t>
            </w:r>
          </w:p>
          <w:p w14:paraId="384FFBBD">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9</w:t>
            </w:r>
            <w:r>
              <w:rPr>
                <w:rFonts w:hint="eastAsia" w:cs="Times New Roman"/>
                <w:color w:val="auto"/>
                <w:highlight w:val="none"/>
                <w:lang w:eastAsia="zh-CN"/>
              </w:rPr>
              <w:t>）</w:t>
            </w:r>
            <w:r>
              <w:rPr>
                <w:rFonts w:hint="default" w:ascii="Times New Roman" w:hAnsi="Times New Roman" w:cs="Times New Roman"/>
                <w:color w:val="auto"/>
                <w:highlight w:val="none"/>
              </w:rPr>
              <w:t>危险废物电子转移联单数据应当在信息系统中至少保存十年。因特殊原因无法运行危险废物电子转移联单的，可以先使用纸质转移联单，并于转移活动完成后十个工作日内在信息系统中补录电子转移联单。</w:t>
            </w:r>
          </w:p>
          <w:p w14:paraId="618A2C57">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eastAsia="宋体" w:cs="Times New Roman"/>
                <w:b/>
                <w:bCs/>
                <w:color w:val="auto"/>
                <w:highlight w:val="none"/>
                <w:lang w:eastAsia="zh-CN"/>
              </w:rPr>
            </w:pPr>
            <w:r>
              <w:rPr>
                <w:rFonts w:hint="eastAsia" w:cs="Times New Roman"/>
                <w:b/>
                <w:bCs/>
                <w:color w:val="auto"/>
                <w:highlight w:val="none"/>
                <w:lang w:val="en-US" w:eastAsia="zh-CN"/>
              </w:rPr>
              <w:t>危险废物</w:t>
            </w:r>
            <w:r>
              <w:rPr>
                <w:rFonts w:hint="default" w:ascii="Times New Roman" w:hAnsi="Times New Roman" w:cs="Times New Roman"/>
                <w:b/>
                <w:bCs/>
                <w:color w:val="auto"/>
                <w:highlight w:val="none"/>
              </w:rPr>
              <w:t>委托处置的环境要求</w:t>
            </w:r>
            <w:r>
              <w:rPr>
                <w:rFonts w:hint="eastAsia" w:cs="Times New Roman"/>
                <w:b/>
                <w:bCs/>
                <w:color w:val="auto"/>
                <w:highlight w:val="none"/>
                <w:lang w:eastAsia="zh-CN"/>
              </w:rPr>
              <w:t>：</w:t>
            </w:r>
          </w:p>
          <w:p w14:paraId="0D266361">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本报告中估算的运营期产生的危险废物均于运营后产生，本项目建成运营前与相应资质单位签订处置协议，并到相关部门进行备案。</w:t>
            </w:r>
          </w:p>
          <w:p w14:paraId="2201BD72">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因此，在落实本评价提出的环保措施前提下，项目的固体废物均能得到妥善处理，对项目周围环境及卫生状况不会产生直接影响。</w:t>
            </w:r>
          </w:p>
          <w:p w14:paraId="0AC5C237">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五、土壤、地下水</w:t>
            </w:r>
          </w:p>
          <w:p w14:paraId="1AC12826">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1、土壤、地下水污染因子识别</w:t>
            </w:r>
          </w:p>
          <w:p w14:paraId="549F49F5">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项目在</w:t>
            </w:r>
            <w:r>
              <w:rPr>
                <w:rFonts w:hint="eastAsia" w:cs="Times New Roman"/>
                <w:b w:val="0"/>
                <w:bCs w:val="0"/>
                <w:color w:val="auto"/>
                <w:highlight w:val="none"/>
                <w:lang w:val="en-US" w:eastAsia="zh-CN"/>
              </w:rPr>
              <w:t>生产过程</w:t>
            </w:r>
            <w:r>
              <w:rPr>
                <w:rFonts w:hint="default" w:ascii="Times New Roman" w:hAnsi="Times New Roman" w:cs="Times New Roman"/>
                <w:b w:val="0"/>
                <w:bCs w:val="0"/>
                <w:color w:val="auto"/>
                <w:highlight w:val="none"/>
              </w:rPr>
              <w:t>中</w:t>
            </w:r>
            <w:r>
              <w:rPr>
                <w:rFonts w:hint="default" w:ascii="Times New Roman" w:hAnsi="Times New Roman" w:cs="Times New Roman"/>
                <w:b w:val="0"/>
                <w:bCs w:val="0"/>
                <w:color w:val="auto"/>
                <w:highlight w:val="none"/>
                <w:lang w:val="en-US" w:eastAsia="zh-CN"/>
              </w:rPr>
              <w:t>使用</w:t>
            </w:r>
            <w:r>
              <w:rPr>
                <w:rFonts w:hint="eastAsia" w:cs="Times New Roman"/>
                <w:b w:val="0"/>
                <w:bCs w:val="0"/>
                <w:color w:val="auto"/>
                <w:highlight w:val="none"/>
                <w:lang w:val="en-US" w:eastAsia="zh-CN"/>
              </w:rPr>
              <w:t>的油剂、机油</w:t>
            </w:r>
            <w:r>
              <w:rPr>
                <w:rFonts w:hint="default" w:ascii="Times New Roman" w:hAnsi="Times New Roman" w:cs="Times New Roman"/>
                <w:b w:val="0"/>
                <w:bCs w:val="0"/>
                <w:color w:val="auto"/>
                <w:highlight w:val="none"/>
                <w:lang w:val="en-US" w:eastAsia="zh-CN"/>
              </w:rPr>
              <w:t>；</w:t>
            </w:r>
            <w:r>
              <w:rPr>
                <w:rFonts w:hint="eastAsia" w:cs="Times New Roman"/>
                <w:b w:val="0"/>
                <w:bCs w:val="0"/>
                <w:color w:val="auto"/>
                <w:highlight w:val="none"/>
                <w:lang w:val="en-US" w:eastAsia="zh-CN"/>
              </w:rPr>
              <w:t>产生的废油、废机油、废活性炭</w:t>
            </w:r>
            <w:r>
              <w:rPr>
                <w:rFonts w:hint="default" w:ascii="Times New Roman" w:hAnsi="Times New Roman" w:cs="Times New Roman"/>
                <w:b w:val="0"/>
                <w:bCs w:val="0"/>
                <w:color w:val="auto"/>
                <w:highlight w:val="none"/>
                <w:lang w:val="en-US" w:eastAsia="zh-CN"/>
              </w:rPr>
              <w:t>等危险废物</w:t>
            </w:r>
            <w:r>
              <w:rPr>
                <w:rFonts w:hint="default" w:ascii="Times New Roman" w:hAnsi="Times New Roman" w:cs="Times New Roman"/>
                <w:b w:val="0"/>
                <w:bCs w:val="0"/>
                <w:color w:val="auto"/>
                <w:highlight w:val="none"/>
              </w:rPr>
              <w:t>，发生泄漏可能会造成土壤和地下水污染。</w:t>
            </w:r>
          </w:p>
          <w:p w14:paraId="5BB31D4C">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污染途径</w:t>
            </w:r>
          </w:p>
          <w:p w14:paraId="6CE21177">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eastAsia="zh-CN"/>
              </w:rPr>
            </w:pPr>
            <w:r>
              <w:rPr>
                <w:rFonts w:hint="eastAsia" w:cs="Times New Roman"/>
                <w:color w:val="auto"/>
                <w:highlight w:val="none"/>
                <w:lang w:val="en-US" w:eastAsia="zh-CN"/>
              </w:rPr>
              <w:t>液体原料储存在仓库</w:t>
            </w:r>
            <w:r>
              <w:rPr>
                <w:rFonts w:hint="default" w:ascii="Times New Roman" w:hAnsi="Times New Roman" w:eastAsia="宋体" w:cs="Times New Roman"/>
                <w:color w:val="auto"/>
                <w:highlight w:val="none"/>
                <w:lang w:eastAsia="zh-CN"/>
              </w:rPr>
              <w:t>，危险废物暂存于危废暂存间，若因员工操作不当、储存容器破损、防腐防渗措施损坏等原因导致</w:t>
            </w:r>
            <w:r>
              <w:rPr>
                <w:rFonts w:hint="eastAsia" w:cs="Times New Roman"/>
                <w:b w:val="0"/>
                <w:bCs w:val="0"/>
                <w:color w:val="auto"/>
                <w:highlight w:val="none"/>
                <w:lang w:val="en-US" w:eastAsia="zh-CN"/>
              </w:rPr>
              <w:t>油剂、机油</w:t>
            </w:r>
            <w:r>
              <w:rPr>
                <w:rFonts w:hint="eastAsia" w:cs="Times New Roman"/>
                <w:color w:val="auto"/>
                <w:highlight w:val="none"/>
                <w:lang w:eastAsia="zh-CN"/>
              </w:rPr>
              <w:t>、</w:t>
            </w:r>
            <w:r>
              <w:rPr>
                <w:rFonts w:hint="default" w:ascii="Times New Roman" w:hAnsi="Times New Roman" w:eastAsia="宋体" w:cs="Times New Roman"/>
                <w:color w:val="auto"/>
                <w:highlight w:val="none"/>
                <w:lang w:eastAsia="zh-CN"/>
              </w:rPr>
              <w:t>危险废物</w:t>
            </w:r>
            <w:r>
              <w:rPr>
                <w:rFonts w:hint="eastAsia" w:cs="Times New Roman"/>
                <w:color w:val="auto"/>
                <w:highlight w:val="none"/>
                <w:lang w:eastAsia="zh-CN"/>
              </w:rPr>
              <w:t>泄漏</w:t>
            </w:r>
            <w:r>
              <w:rPr>
                <w:rFonts w:hint="default" w:ascii="Times New Roman" w:hAnsi="Times New Roman" w:eastAsia="宋体" w:cs="Times New Roman"/>
                <w:color w:val="auto"/>
                <w:highlight w:val="none"/>
                <w:lang w:eastAsia="zh-CN"/>
              </w:rPr>
              <w:t>，可能会危害到地下水和土壤。废气污染物排放沉降，可能造成环境污染。</w:t>
            </w:r>
          </w:p>
          <w:p w14:paraId="2FD2B89E">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土壤、地下水防控区域划分和污染防控措施</w:t>
            </w:r>
          </w:p>
          <w:p w14:paraId="32DBEA9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（1）项目防控区域划分</w:t>
            </w:r>
          </w:p>
          <w:p w14:paraId="2BF156A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地下水、土壤污染防治措施坚持</w:t>
            </w:r>
            <w:r>
              <w:rPr>
                <w:rFonts w:hint="eastAsia" w:cs="Times New Roman"/>
                <w:color w:val="auto"/>
                <w:highlight w:val="none"/>
                <w:lang w:eastAsia="zh-CN"/>
              </w:rPr>
              <w:t>“</w:t>
            </w:r>
            <w:r>
              <w:rPr>
                <w:rFonts w:hint="default" w:ascii="Times New Roman" w:hAnsi="Times New Roman" w:cs="Times New Roman"/>
                <w:color w:val="auto"/>
                <w:highlight w:val="none"/>
              </w:rPr>
              <w:t>源头控制、末端防治、污染监控、应急响应相结合</w:t>
            </w:r>
            <w:r>
              <w:rPr>
                <w:rFonts w:hint="eastAsia" w:cs="Times New Roman"/>
                <w:color w:val="auto"/>
                <w:highlight w:val="none"/>
                <w:lang w:eastAsia="zh-CN"/>
              </w:rPr>
              <w:t>”</w:t>
            </w:r>
            <w:r>
              <w:rPr>
                <w:rFonts w:hint="default" w:ascii="Times New Roman" w:hAnsi="Times New Roman" w:cs="Times New Roman"/>
                <w:color w:val="auto"/>
                <w:highlight w:val="none"/>
              </w:rPr>
              <w:t>的原则。</w:t>
            </w:r>
          </w:p>
          <w:p w14:paraId="63FD53CC">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项目区需要按照相关防渗要求进行分区防控处理。项目防控区域分为重点防渗区、一般防渗区以及简单防渗区，具体划分区域如下：</w:t>
            </w:r>
          </w:p>
          <w:p w14:paraId="69A5F1FA">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①重点防渗区：</w:t>
            </w:r>
            <w:r>
              <w:rPr>
                <w:rFonts w:hint="default" w:ascii="Times New Roman" w:hAnsi="Times New Roman" w:cs="Times New Roman"/>
                <w:color w:val="auto"/>
                <w:highlight w:val="none"/>
                <w:lang w:val="en-US" w:eastAsia="zh-CN"/>
              </w:rPr>
              <w:t>危废暂存间、</w:t>
            </w:r>
            <w:r>
              <w:rPr>
                <w:rFonts w:hint="eastAsia" w:cs="Times New Roman"/>
                <w:color w:val="auto"/>
                <w:highlight w:val="none"/>
                <w:lang w:val="en-US" w:eastAsia="zh-CN"/>
              </w:rPr>
              <w:t>污水处理站、加弹区、织造区、磨毛区</w:t>
            </w:r>
            <w:r>
              <w:rPr>
                <w:rFonts w:hint="default" w:ascii="Times New Roman" w:hAnsi="Times New Roman" w:cs="Times New Roman"/>
                <w:color w:val="auto"/>
                <w:highlight w:val="none"/>
                <w:lang w:val="en-US" w:eastAsia="zh-CN"/>
              </w:rPr>
              <w:t>等区域</w:t>
            </w:r>
            <w:r>
              <w:rPr>
                <w:rFonts w:hint="default" w:ascii="Times New Roman" w:hAnsi="Times New Roman" w:cs="Times New Roman"/>
                <w:color w:val="auto"/>
                <w:highlight w:val="none"/>
              </w:rPr>
              <w:t>。</w:t>
            </w:r>
          </w:p>
          <w:p w14:paraId="36AF4DD2">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②一般防渗区：</w:t>
            </w:r>
            <w:r>
              <w:rPr>
                <w:rFonts w:hint="eastAsia" w:cs="Times New Roman"/>
                <w:color w:val="auto"/>
                <w:highlight w:val="none"/>
                <w:lang w:val="en-US" w:eastAsia="zh-CN"/>
              </w:rPr>
              <w:t>一般</w:t>
            </w:r>
            <w:r>
              <w:rPr>
                <w:rFonts w:hint="default" w:ascii="Times New Roman" w:hAnsi="Times New Roman" w:cs="Times New Roman"/>
                <w:color w:val="auto"/>
                <w:highlight w:val="none"/>
                <w:lang w:val="en-US" w:eastAsia="zh-CN"/>
              </w:rPr>
              <w:t>固废暂存间</w:t>
            </w:r>
            <w:r>
              <w:rPr>
                <w:rFonts w:hint="eastAsia" w:cs="Times New Roman"/>
                <w:color w:val="auto"/>
                <w:highlight w:val="none"/>
                <w:lang w:val="en-US" w:eastAsia="zh-CN"/>
              </w:rPr>
              <w:t>、整经区、缝纫裁剪区</w:t>
            </w:r>
            <w:r>
              <w:rPr>
                <w:rFonts w:hint="default" w:ascii="Times New Roman" w:hAnsi="Times New Roman" w:cs="Times New Roman"/>
                <w:color w:val="auto"/>
                <w:highlight w:val="none"/>
                <w:lang w:eastAsia="zh-CN"/>
              </w:rPr>
              <w:t>等</w:t>
            </w:r>
            <w:r>
              <w:rPr>
                <w:rFonts w:hint="default" w:ascii="Times New Roman" w:hAnsi="Times New Roman" w:cs="Times New Roman"/>
                <w:color w:val="auto"/>
                <w:highlight w:val="none"/>
              </w:rPr>
              <w:t>区域。</w:t>
            </w:r>
          </w:p>
          <w:p w14:paraId="0A4E6E8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bCs/>
                <w:color w:val="auto"/>
                <w:highlight w:val="none"/>
              </w:rPr>
            </w:pPr>
            <w:r>
              <w:rPr>
                <w:rFonts w:hint="default" w:ascii="Times New Roman" w:hAnsi="Times New Roman" w:cs="Times New Roman"/>
                <w:color w:val="auto"/>
                <w:highlight w:val="none"/>
              </w:rPr>
              <w:t>③简单防渗区：除重点防渗区和一般防渗区以外的其他区域。</w:t>
            </w:r>
          </w:p>
          <w:p w14:paraId="1E33778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（2）分区防渗措施</w:t>
            </w:r>
          </w:p>
          <w:p w14:paraId="763DD3C7">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①重点防渗区：等效黏土防渗层 Mb≥6.0m，</w:t>
            </w:r>
            <w:r>
              <w:rPr>
                <w:rFonts w:hint="default" w:ascii="Times New Roman" w:hAnsi="Times New Roman" w:eastAsia="宋体" w:cs="Times New Roman"/>
                <w:color w:val="auto"/>
                <w:highlight w:val="none"/>
                <w:lang w:val="en-US" w:eastAsia="en-US"/>
              </w:rPr>
              <w:t>K≤1×10</w:t>
            </w:r>
            <w:r>
              <w:rPr>
                <w:rFonts w:hint="default" w:ascii="Times New Roman" w:hAnsi="Times New Roman" w:eastAsia="宋体" w:cs="Times New Roman"/>
                <w:color w:val="auto"/>
                <w:highlight w:val="none"/>
                <w:vertAlign w:val="superscript"/>
                <w:lang w:val="en-US" w:eastAsia="en-US"/>
              </w:rPr>
              <w:t>-7</w:t>
            </w:r>
            <w:r>
              <w:rPr>
                <w:rFonts w:hint="default" w:ascii="Times New Roman" w:hAnsi="Times New Roman" w:eastAsia="宋体" w:cs="Times New Roman"/>
                <w:color w:val="auto"/>
                <w:highlight w:val="none"/>
                <w:lang w:val="en-US" w:eastAsia="en-US"/>
              </w:rPr>
              <w:t>cm/s；或参照 GB18598执行</w:t>
            </w:r>
          </w:p>
          <w:p w14:paraId="59F69CAD">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②一般防渗区：</w:t>
            </w:r>
            <w:r>
              <w:rPr>
                <w:rFonts w:hint="default" w:ascii="Times New Roman" w:hAnsi="Times New Roman" w:eastAsia="宋体" w:cs="Times New Roman"/>
                <w:color w:val="auto"/>
                <w:highlight w:val="none"/>
                <w:lang w:val="en-US" w:eastAsia="en-US"/>
              </w:rPr>
              <w:t>等效黏土防渗层 Mb≥1.5m，K≤1×10</w:t>
            </w:r>
            <w:r>
              <w:rPr>
                <w:rFonts w:hint="default" w:ascii="Times New Roman" w:hAnsi="Times New Roman" w:eastAsia="宋体" w:cs="Times New Roman"/>
                <w:color w:val="auto"/>
                <w:highlight w:val="none"/>
                <w:vertAlign w:val="superscript"/>
                <w:lang w:val="en-US" w:eastAsia="en-US"/>
              </w:rPr>
              <w:t>-7</w:t>
            </w:r>
            <w:r>
              <w:rPr>
                <w:rFonts w:hint="default" w:ascii="Times New Roman" w:hAnsi="Times New Roman" w:eastAsia="宋体" w:cs="Times New Roman"/>
                <w:color w:val="auto"/>
                <w:highlight w:val="none"/>
                <w:lang w:val="en-US" w:eastAsia="en-US"/>
              </w:rPr>
              <w:t>cm/s；或参照 GB16889执行</w:t>
            </w:r>
          </w:p>
          <w:p w14:paraId="7ED4DF5D">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③简单防渗区：采</w:t>
            </w:r>
            <w:r>
              <w:rPr>
                <w:rFonts w:hint="default" w:ascii="Times New Roman" w:hAnsi="Times New Roman" w:cs="Times New Roman"/>
                <w:color w:val="auto"/>
                <w:highlight w:val="none"/>
              </w:rPr>
              <w:t>用一般地面硬化。</w:t>
            </w:r>
          </w:p>
          <w:p w14:paraId="2A653BC1">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项目污染防治分区及措施见下表。</w:t>
            </w:r>
          </w:p>
          <w:p w14:paraId="782DAA94">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23</w:t>
            </w:r>
            <w:r>
              <w:rPr>
                <w:rFonts w:hint="default" w:ascii="Times New Roman" w:hAnsi="Times New Roman" w:cs="Times New Roman"/>
                <w:color w:val="auto"/>
                <w:highlight w:val="none"/>
              </w:rPr>
              <w:t>项目污染防治分区及措施</w:t>
            </w:r>
          </w:p>
          <w:tbl>
            <w:tblPr>
              <w:tblStyle w:val="26"/>
              <w:tblW w:w="98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618"/>
              <w:gridCol w:w="1417"/>
              <w:gridCol w:w="3345"/>
              <w:gridCol w:w="3458"/>
            </w:tblGrid>
            <w:tr w14:paraId="7ACA1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18" w:type="dxa"/>
                  <w:noWrap w:val="0"/>
                  <w:vAlign w:val="center"/>
                </w:tcPr>
                <w:p w14:paraId="38892334">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417" w:type="dxa"/>
                  <w:noWrap w:val="0"/>
                  <w:vAlign w:val="center"/>
                </w:tcPr>
                <w:p w14:paraId="3460F408">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防渗区</w:t>
                  </w:r>
                </w:p>
              </w:tc>
              <w:tc>
                <w:tcPr>
                  <w:tcW w:w="3345" w:type="dxa"/>
                  <w:noWrap w:val="0"/>
                  <w:vAlign w:val="center"/>
                </w:tcPr>
                <w:p w14:paraId="36444FF0">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防渗位置</w:t>
                  </w:r>
                </w:p>
              </w:tc>
              <w:tc>
                <w:tcPr>
                  <w:tcW w:w="3458" w:type="dxa"/>
                  <w:noWrap w:val="0"/>
                  <w:vAlign w:val="center"/>
                </w:tcPr>
                <w:p w14:paraId="61761893">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防渗要求</w:t>
                  </w:r>
                </w:p>
              </w:tc>
            </w:tr>
            <w:tr w14:paraId="124BA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18" w:type="dxa"/>
                  <w:noWrap w:val="0"/>
                  <w:vAlign w:val="center"/>
                </w:tcPr>
                <w:p w14:paraId="201F81EE">
                  <w:pPr>
                    <w:pStyle w:val="38"/>
                    <w:keepNext w:val="0"/>
                    <w:keepLines w:val="0"/>
                    <w:pageBreakBefore w:val="0"/>
                    <w:widowControl w:val="0"/>
                    <w:suppressLineNumbers w:val="0"/>
                    <w:kinsoku/>
                    <w:wordWrap/>
                    <w:overflowPunct/>
                    <w:topLine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w:t>
                  </w:r>
                </w:p>
              </w:tc>
              <w:tc>
                <w:tcPr>
                  <w:tcW w:w="1417" w:type="dxa"/>
                  <w:noWrap w:val="0"/>
                  <w:vAlign w:val="center"/>
                </w:tcPr>
                <w:p w14:paraId="4E8B3654">
                  <w:pPr>
                    <w:pStyle w:val="38"/>
                    <w:keepNext w:val="0"/>
                    <w:keepLines w:val="0"/>
                    <w:pageBreakBefore w:val="0"/>
                    <w:widowControl w:val="0"/>
                    <w:suppressLineNumbers w:val="0"/>
                    <w:kinsoku/>
                    <w:wordWrap/>
                    <w:overflowPunct/>
                    <w:topLine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重点防渗区</w:t>
                  </w:r>
                </w:p>
              </w:tc>
              <w:tc>
                <w:tcPr>
                  <w:tcW w:w="3345" w:type="dxa"/>
                  <w:noWrap w:val="0"/>
                  <w:vAlign w:val="center"/>
                </w:tcPr>
                <w:p w14:paraId="2889FDDE">
                  <w:pPr>
                    <w:pStyle w:val="38"/>
                    <w:keepNext w:val="0"/>
                    <w:keepLines w:val="0"/>
                    <w:pageBreakBefore w:val="0"/>
                    <w:widowControl w:val="0"/>
                    <w:suppressLineNumbers w:val="0"/>
                    <w:kinsoku/>
                    <w:wordWrap/>
                    <w:overflowPunct/>
                    <w:topLine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highlight w:val="none"/>
                      <w:lang w:val="en-US" w:eastAsia="zh-CN"/>
                    </w:rPr>
                    <w:t>危废暂存间、</w:t>
                  </w:r>
                  <w:r>
                    <w:rPr>
                      <w:rFonts w:hint="eastAsia" w:cs="Times New Roman"/>
                      <w:b w:val="0"/>
                      <w:bCs/>
                      <w:color w:val="auto"/>
                      <w:highlight w:val="none"/>
                      <w:lang w:val="en-US" w:eastAsia="zh-CN"/>
                    </w:rPr>
                    <w:t>污水处理站、加弹区、织造区、磨毛区</w:t>
                  </w:r>
                  <w:r>
                    <w:rPr>
                      <w:rFonts w:hint="default" w:ascii="Times New Roman" w:hAnsi="Times New Roman" w:cs="Times New Roman"/>
                      <w:b w:val="0"/>
                      <w:bCs/>
                      <w:color w:val="auto"/>
                      <w:sz w:val="21"/>
                      <w:szCs w:val="21"/>
                      <w:highlight w:val="none"/>
                      <w:lang w:val="en-US" w:eastAsia="zh-CN"/>
                    </w:rPr>
                    <w:t>等区域</w:t>
                  </w:r>
                </w:p>
              </w:tc>
              <w:tc>
                <w:tcPr>
                  <w:tcW w:w="3458" w:type="dxa"/>
                  <w:noWrap w:val="0"/>
                  <w:vAlign w:val="center"/>
                </w:tcPr>
                <w:p w14:paraId="54231777">
                  <w:pPr>
                    <w:pStyle w:val="38"/>
                    <w:keepNext w:val="0"/>
                    <w:keepLines w:val="0"/>
                    <w:pageBreakBefore w:val="0"/>
                    <w:suppressLineNumbers w:val="0"/>
                    <w:kinsoku/>
                    <w:wordWrap/>
                    <w:bidi w:val="0"/>
                    <w:adjustRightInd w:val="0"/>
                    <w:snapToGrid w:val="0"/>
                    <w:spacing w:before="0" w:beforeAutospacing="0" w:after="0" w:afterAutospacing="0"/>
                    <w:ind w:left="0" w:right="0"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b w:val="0"/>
                      <w:bCs/>
                      <w:color w:val="auto"/>
                      <w:highlight w:val="none"/>
                    </w:rPr>
                    <w:t>等效黏土防渗层 Mb≥6.0m，</w:t>
                  </w:r>
                  <w:r>
                    <w:rPr>
                      <w:rFonts w:hint="default" w:ascii="Times New Roman" w:hAnsi="Times New Roman" w:eastAsia="宋体" w:cs="Times New Roman"/>
                      <w:b w:val="0"/>
                      <w:bCs/>
                      <w:color w:val="auto"/>
                      <w:highlight w:val="none"/>
                      <w:lang w:val="en-US" w:eastAsia="en-US"/>
                    </w:rPr>
                    <w:t>K≤1×10</w:t>
                  </w:r>
                  <w:r>
                    <w:rPr>
                      <w:rFonts w:hint="default" w:ascii="Times New Roman" w:hAnsi="Times New Roman" w:eastAsia="宋体" w:cs="Times New Roman"/>
                      <w:b w:val="0"/>
                      <w:bCs/>
                      <w:color w:val="auto"/>
                      <w:highlight w:val="none"/>
                      <w:vertAlign w:val="superscript"/>
                      <w:lang w:val="en-US" w:eastAsia="en-US"/>
                    </w:rPr>
                    <w:t>-7</w:t>
                  </w:r>
                  <w:r>
                    <w:rPr>
                      <w:rFonts w:hint="default" w:ascii="Times New Roman" w:hAnsi="Times New Roman" w:eastAsia="宋体" w:cs="Times New Roman"/>
                      <w:b w:val="0"/>
                      <w:bCs/>
                      <w:color w:val="auto"/>
                      <w:highlight w:val="none"/>
                      <w:lang w:val="en-US" w:eastAsia="en-US"/>
                    </w:rPr>
                    <w:t>cm/s；或参照 GB18598执行</w:t>
                  </w:r>
                </w:p>
              </w:tc>
            </w:tr>
            <w:tr w14:paraId="538FD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18" w:type="dxa"/>
                  <w:noWrap w:val="0"/>
                  <w:vAlign w:val="center"/>
                </w:tcPr>
                <w:p w14:paraId="392F9F08">
                  <w:pPr>
                    <w:pStyle w:val="38"/>
                    <w:keepNext w:val="0"/>
                    <w:keepLines w:val="0"/>
                    <w:pageBreakBefore w:val="0"/>
                    <w:widowControl w:val="0"/>
                    <w:suppressLineNumbers w:val="0"/>
                    <w:kinsoku/>
                    <w:wordWrap/>
                    <w:overflowPunct/>
                    <w:topLine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w:t>
                  </w:r>
                </w:p>
              </w:tc>
              <w:tc>
                <w:tcPr>
                  <w:tcW w:w="1417" w:type="dxa"/>
                  <w:noWrap w:val="0"/>
                  <w:vAlign w:val="center"/>
                </w:tcPr>
                <w:p w14:paraId="34602E96">
                  <w:pPr>
                    <w:pStyle w:val="38"/>
                    <w:keepNext w:val="0"/>
                    <w:keepLines w:val="0"/>
                    <w:pageBreakBefore w:val="0"/>
                    <w:widowControl w:val="0"/>
                    <w:suppressLineNumbers w:val="0"/>
                    <w:kinsoku/>
                    <w:wordWrap/>
                    <w:overflowPunct/>
                    <w:topLine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一般防渗区</w:t>
                  </w:r>
                </w:p>
              </w:tc>
              <w:tc>
                <w:tcPr>
                  <w:tcW w:w="3345" w:type="dxa"/>
                  <w:noWrap w:val="0"/>
                  <w:vAlign w:val="center"/>
                </w:tcPr>
                <w:p w14:paraId="2884843F">
                  <w:pPr>
                    <w:pStyle w:val="38"/>
                    <w:keepNext w:val="0"/>
                    <w:keepLines w:val="0"/>
                    <w:pageBreakBefore w:val="0"/>
                    <w:widowControl w:val="0"/>
                    <w:suppressLineNumbers w:val="0"/>
                    <w:kinsoku/>
                    <w:wordWrap/>
                    <w:overflowPunct/>
                    <w:topLine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cs="Times New Roman"/>
                      <w:b w:val="0"/>
                      <w:bCs/>
                      <w:color w:val="auto"/>
                      <w:sz w:val="21"/>
                      <w:szCs w:val="21"/>
                      <w:highlight w:val="none"/>
                      <w:lang w:eastAsia="zh-CN"/>
                    </w:rPr>
                  </w:pPr>
                  <w:r>
                    <w:rPr>
                      <w:rFonts w:hint="eastAsia" w:cs="Times New Roman"/>
                      <w:b w:val="0"/>
                      <w:bCs/>
                      <w:color w:val="auto"/>
                      <w:highlight w:val="none"/>
                      <w:lang w:val="en-US" w:eastAsia="zh-CN"/>
                    </w:rPr>
                    <w:t>一般</w:t>
                  </w:r>
                  <w:r>
                    <w:rPr>
                      <w:rFonts w:hint="default" w:ascii="Times New Roman" w:hAnsi="Times New Roman" w:cs="Times New Roman"/>
                      <w:b w:val="0"/>
                      <w:bCs/>
                      <w:color w:val="auto"/>
                      <w:highlight w:val="none"/>
                      <w:lang w:val="en-US" w:eastAsia="zh-CN"/>
                    </w:rPr>
                    <w:t>固废暂存间</w:t>
                  </w:r>
                  <w:r>
                    <w:rPr>
                      <w:rFonts w:hint="eastAsia" w:cs="Times New Roman"/>
                      <w:b w:val="0"/>
                      <w:bCs/>
                      <w:color w:val="auto"/>
                      <w:highlight w:val="none"/>
                      <w:lang w:val="en-US" w:eastAsia="zh-CN"/>
                    </w:rPr>
                    <w:t>、整经区、缝纫裁剪区</w:t>
                  </w:r>
                  <w:r>
                    <w:rPr>
                      <w:rFonts w:hint="default" w:ascii="Times New Roman" w:hAnsi="Times New Roman" w:cs="Times New Roman"/>
                      <w:b w:val="0"/>
                      <w:bCs/>
                      <w:color w:val="auto"/>
                      <w:highlight w:val="none"/>
                      <w:lang w:eastAsia="zh-CN"/>
                    </w:rPr>
                    <w:t>等</w:t>
                  </w:r>
                  <w:r>
                    <w:rPr>
                      <w:rFonts w:hint="default" w:ascii="Times New Roman" w:hAnsi="Times New Roman" w:cs="Times New Roman"/>
                      <w:b w:val="0"/>
                      <w:bCs/>
                      <w:color w:val="auto"/>
                      <w:highlight w:val="none"/>
                    </w:rPr>
                    <w:t>区域</w:t>
                  </w:r>
                </w:p>
              </w:tc>
              <w:tc>
                <w:tcPr>
                  <w:tcW w:w="3458" w:type="dxa"/>
                  <w:noWrap w:val="0"/>
                  <w:vAlign w:val="center"/>
                </w:tcPr>
                <w:p w14:paraId="0C6E03B5">
                  <w:pPr>
                    <w:keepNext w:val="0"/>
                    <w:keepLines w:val="0"/>
                    <w:suppressLineNumbers w:val="0"/>
                    <w:kinsoku w:val="0"/>
                    <w:autoSpaceDE w:val="0"/>
                    <w:autoSpaceDN w:val="0"/>
                    <w:adjustRightInd w:val="0"/>
                    <w:snapToGrid w:val="0"/>
                    <w:spacing w:before="35" w:beforeAutospacing="0" w:after="0" w:afterAutospacing="0" w:line="228" w:lineRule="auto"/>
                    <w:ind w:left="254" w:right="0"/>
                    <w:jc w:val="left"/>
                    <w:textAlignment w:val="baseline"/>
                    <w:rPr>
                      <w:rFonts w:hint="default" w:ascii="宋体" w:hAnsi="宋体" w:eastAsia="宋体" w:cs="宋体"/>
                      <w:b w:val="0"/>
                      <w:bCs/>
                      <w:snapToGrid w:val="0"/>
                      <w:color w:val="000000"/>
                      <w:kern w:val="0"/>
                      <w:sz w:val="20"/>
                      <w:szCs w:val="20"/>
                      <w:lang w:val="en-US" w:eastAsia="en-US" w:bidi="ar-SA"/>
                    </w:rPr>
                  </w:pPr>
                  <w:r>
                    <w:rPr>
                      <w:rFonts w:hint="default" w:ascii="宋体" w:hAnsi="宋体" w:eastAsia="宋体" w:cs="宋体"/>
                      <w:b w:val="0"/>
                      <w:bCs/>
                      <w:snapToGrid w:val="0"/>
                      <w:color w:val="000000"/>
                      <w:spacing w:val="7"/>
                      <w:kern w:val="0"/>
                      <w:sz w:val="20"/>
                      <w:szCs w:val="20"/>
                      <w:lang w:val="en-US" w:eastAsia="en-US" w:bidi="ar-SA"/>
                    </w:rPr>
                    <w:t>等效黏土防渗层</w:t>
                  </w:r>
                  <w:r>
                    <w:rPr>
                      <w:rFonts w:hint="default" w:ascii="宋体" w:hAnsi="宋体" w:eastAsia="宋体" w:cs="宋体"/>
                      <w:b w:val="0"/>
                      <w:bCs/>
                      <w:snapToGrid w:val="0"/>
                      <w:color w:val="000000"/>
                      <w:spacing w:val="-40"/>
                      <w:kern w:val="0"/>
                      <w:sz w:val="20"/>
                      <w:szCs w:val="20"/>
                      <w:lang w:val="en-US" w:eastAsia="en-US" w:bidi="ar-SA"/>
                    </w:rPr>
                    <w:t xml:space="preserve"> </w:t>
                  </w:r>
                  <w:r>
                    <w:rPr>
                      <w:rFonts w:hint="default" w:ascii="Times New Roman" w:hAnsi="Times New Roman" w:eastAsia="Times New Roman" w:cs="Times New Roman"/>
                      <w:b w:val="0"/>
                      <w:bCs/>
                      <w:snapToGrid w:val="0"/>
                      <w:color w:val="000000"/>
                      <w:kern w:val="0"/>
                      <w:sz w:val="20"/>
                      <w:szCs w:val="20"/>
                      <w:lang w:val="en-US" w:eastAsia="en-US" w:bidi="ar-SA"/>
                    </w:rPr>
                    <w:t>Mb</w:t>
                  </w:r>
                  <w:r>
                    <w:rPr>
                      <w:rFonts w:hint="default" w:ascii="Times New Roman" w:hAnsi="Times New Roman" w:eastAsia="Times New Roman" w:cs="Times New Roman"/>
                      <w:b w:val="0"/>
                      <w:bCs/>
                      <w:snapToGrid w:val="0"/>
                      <w:color w:val="000000"/>
                      <w:spacing w:val="7"/>
                      <w:kern w:val="0"/>
                      <w:sz w:val="20"/>
                      <w:szCs w:val="20"/>
                      <w:lang w:val="en-US" w:eastAsia="en-US" w:bidi="ar-SA"/>
                    </w:rPr>
                    <w:t>≥1.5m</w:t>
                  </w:r>
                  <w:r>
                    <w:rPr>
                      <w:rFonts w:hint="default" w:ascii="宋体" w:hAnsi="宋体" w:eastAsia="宋体" w:cs="宋体"/>
                      <w:b w:val="0"/>
                      <w:bCs/>
                      <w:snapToGrid w:val="0"/>
                      <w:color w:val="000000"/>
                      <w:spacing w:val="7"/>
                      <w:kern w:val="0"/>
                      <w:sz w:val="20"/>
                      <w:szCs w:val="20"/>
                      <w:lang w:val="en-US" w:eastAsia="en-US" w:bidi="ar-SA"/>
                    </w:rPr>
                    <w:t>，</w:t>
                  </w:r>
                </w:p>
                <w:p w14:paraId="5B19E1F4">
                  <w:pPr>
                    <w:keepNext w:val="0"/>
                    <w:keepLines w:val="0"/>
                    <w:suppressLineNumbers w:val="0"/>
                    <w:kinsoku w:val="0"/>
                    <w:autoSpaceDE w:val="0"/>
                    <w:autoSpaceDN w:val="0"/>
                    <w:adjustRightInd w:val="0"/>
                    <w:snapToGrid w:val="0"/>
                    <w:spacing w:before="24" w:beforeAutospacing="0" w:after="0" w:afterAutospacing="0" w:line="230" w:lineRule="auto"/>
                    <w:ind w:left="111" w:right="0"/>
                    <w:jc w:val="left"/>
                    <w:textAlignment w:val="baseline"/>
                    <w:rPr>
                      <w:rFonts w:hint="default" w:ascii="Times New Roman" w:hAnsi="Times New Roman" w:eastAsia="Times New Roman" w:cs="Times New Roman"/>
                      <w:b w:val="0"/>
                      <w:bCs/>
                      <w:snapToGrid w:val="0"/>
                      <w:color w:val="000000"/>
                      <w:kern w:val="0"/>
                      <w:sz w:val="20"/>
                      <w:szCs w:val="20"/>
                      <w:lang w:val="en-US" w:eastAsia="en-US" w:bidi="ar-SA"/>
                    </w:rPr>
                  </w:pPr>
                  <w:r>
                    <w:rPr>
                      <w:rFonts w:hint="default" w:ascii="Times New Roman" w:hAnsi="Times New Roman" w:eastAsia="Times New Roman" w:cs="Times New Roman"/>
                      <w:b w:val="0"/>
                      <w:bCs/>
                      <w:snapToGrid w:val="0"/>
                      <w:color w:val="000000"/>
                      <w:spacing w:val="2"/>
                      <w:kern w:val="0"/>
                      <w:sz w:val="20"/>
                      <w:szCs w:val="20"/>
                      <w:lang w:val="en-US" w:eastAsia="en-US" w:bidi="ar-SA"/>
                    </w:rPr>
                    <w:t>K≤1×10</w:t>
                  </w:r>
                  <w:r>
                    <w:rPr>
                      <w:rFonts w:hint="default" w:ascii="Times New Roman" w:hAnsi="Times New Roman" w:eastAsia="Times New Roman" w:cs="Times New Roman"/>
                      <w:b w:val="0"/>
                      <w:bCs/>
                      <w:snapToGrid w:val="0"/>
                      <w:color w:val="000000"/>
                      <w:spacing w:val="2"/>
                      <w:kern w:val="0"/>
                      <w:position w:val="6"/>
                      <w:sz w:val="13"/>
                      <w:szCs w:val="13"/>
                      <w:lang w:val="en-US" w:eastAsia="en-US" w:bidi="ar-SA"/>
                    </w:rPr>
                    <w:t>-7</w:t>
                  </w:r>
                  <w:r>
                    <w:rPr>
                      <w:rFonts w:hint="default" w:ascii="Times New Roman" w:hAnsi="Times New Roman" w:eastAsia="Times New Roman" w:cs="Times New Roman"/>
                      <w:b w:val="0"/>
                      <w:bCs/>
                      <w:snapToGrid w:val="0"/>
                      <w:color w:val="000000"/>
                      <w:kern w:val="0"/>
                      <w:sz w:val="20"/>
                      <w:szCs w:val="20"/>
                      <w:lang w:val="en-US" w:eastAsia="en-US" w:bidi="ar-SA"/>
                    </w:rPr>
                    <w:t>cm</w:t>
                  </w:r>
                  <w:r>
                    <w:rPr>
                      <w:rFonts w:hint="default" w:ascii="Times New Roman" w:hAnsi="Times New Roman" w:eastAsia="Times New Roman" w:cs="Times New Roman"/>
                      <w:b w:val="0"/>
                      <w:bCs/>
                      <w:snapToGrid w:val="0"/>
                      <w:color w:val="000000"/>
                      <w:spacing w:val="2"/>
                      <w:kern w:val="0"/>
                      <w:sz w:val="20"/>
                      <w:szCs w:val="20"/>
                      <w:lang w:val="en-US" w:eastAsia="en-US" w:bidi="ar-SA"/>
                    </w:rPr>
                    <w:t>/s</w:t>
                  </w:r>
                  <w:r>
                    <w:rPr>
                      <w:rFonts w:hint="default" w:ascii="宋体" w:hAnsi="宋体" w:eastAsia="宋体" w:cs="宋体"/>
                      <w:b w:val="0"/>
                      <w:bCs/>
                      <w:snapToGrid w:val="0"/>
                      <w:color w:val="000000"/>
                      <w:spacing w:val="2"/>
                      <w:kern w:val="0"/>
                      <w:sz w:val="20"/>
                      <w:szCs w:val="20"/>
                      <w:lang w:val="en-US" w:eastAsia="en-US" w:bidi="ar-SA"/>
                    </w:rPr>
                    <w:t>；或参照</w:t>
                  </w:r>
                  <w:r>
                    <w:rPr>
                      <w:rFonts w:hint="default" w:ascii="宋体" w:hAnsi="宋体" w:eastAsia="宋体" w:cs="宋体"/>
                      <w:b w:val="0"/>
                      <w:bCs/>
                      <w:snapToGrid w:val="0"/>
                      <w:color w:val="000000"/>
                      <w:spacing w:val="-33"/>
                      <w:kern w:val="0"/>
                      <w:sz w:val="20"/>
                      <w:szCs w:val="20"/>
                      <w:lang w:val="en-US" w:eastAsia="en-US" w:bidi="ar-SA"/>
                    </w:rPr>
                    <w:t xml:space="preserve"> </w:t>
                  </w:r>
                  <w:r>
                    <w:rPr>
                      <w:rFonts w:hint="default" w:ascii="Times New Roman" w:hAnsi="Times New Roman" w:eastAsia="Times New Roman" w:cs="Times New Roman"/>
                      <w:b w:val="0"/>
                      <w:bCs/>
                      <w:snapToGrid w:val="0"/>
                      <w:color w:val="000000"/>
                      <w:kern w:val="0"/>
                      <w:sz w:val="20"/>
                      <w:szCs w:val="20"/>
                      <w:lang w:val="en-US" w:eastAsia="en-US" w:bidi="ar-SA"/>
                    </w:rPr>
                    <w:t>GB</w:t>
                  </w:r>
                  <w:r>
                    <w:rPr>
                      <w:rFonts w:hint="default" w:ascii="Times New Roman" w:hAnsi="Times New Roman" w:eastAsia="Times New Roman" w:cs="Times New Roman"/>
                      <w:b w:val="0"/>
                      <w:bCs/>
                      <w:snapToGrid w:val="0"/>
                      <w:color w:val="000000"/>
                      <w:spacing w:val="2"/>
                      <w:kern w:val="0"/>
                      <w:sz w:val="20"/>
                      <w:szCs w:val="20"/>
                      <w:lang w:val="en-US" w:eastAsia="en-US" w:bidi="ar-SA"/>
                    </w:rPr>
                    <w:t>16889</w:t>
                  </w:r>
                </w:p>
                <w:p w14:paraId="37E103F4">
                  <w:pPr>
                    <w:pStyle w:val="38"/>
                    <w:keepNext w:val="0"/>
                    <w:keepLines w:val="0"/>
                    <w:pageBreakBefore w:val="0"/>
                    <w:suppressLineNumbers w:val="0"/>
                    <w:kinsoku/>
                    <w:wordWrap/>
                    <w:bidi w:val="0"/>
                    <w:adjustRightInd w:val="0"/>
                    <w:snapToGrid w:val="0"/>
                    <w:spacing w:before="0" w:beforeAutospacing="0" w:after="0" w:afterAutospacing="0"/>
                    <w:ind w:left="0" w:right="0" w:firstLine="0" w:firstLineChars="0"/>
                    <w:textAlignment w:val="auto"/>
                    <w:rPr>
                      <w:rFonts w:hint="default" w:ascii="Times New Roman" w:hAnsi="Times New Roman" w:cs="Times New Roman"/>
                      <w:b w:val="0"/>
                      <w:bCs/>
                      <w:color w:val="auto"/>
                      <w:sz w:val="21"/>
                      <w:szCs w:val="21"/>
                      <w:highlight w:val="none"/>
                    </w:rPr>
                  </w:pPr>
                  <w:r>
                    <w:rPr>
                      <w:rFonts w:hint="default" w:ascii="宋体" w:hAnsi="宋体" w:eastAsia="宋体" w:cs="宋体"/>
                      <w:b w:val="0"/>
                      <w:bCs/>
                      <w:snapToGrid w:val="0"/>
                      <w:color w:val="000000"/>
                      <w:spacing w:val="4"/>
                      <w:kern w:val="0"/>
                      <w:sz w:val="20"/>
                      <w:szCs w:val="20"/>
                      <w:lang w:val="en-US" w:eastAsia="en-US" w:bidi="ar-SA"/>
                    </w:rPr>
                    <w:t>执行</w:t>
                  </w:r>
                </w:p>
              </w:tc>
            </w:tr>
            <w:tr w14:paraId="39850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18" w:type="dxa"/>
                  <w:noWrap w:val="0"/>
                  <w:vAlign w:val="center"/>
                </w:tcPr>
                <w:p w14:paraId="1547EE3C">
                  <w:pPr>
                    <w:pStyle w:val="38"/>
                    <w:keepNext w:val="0"/>
                    <w:keepLines w:val="0"/>
                    <w:pageBreakBefore w:val="0"/>
                    <w:widowControl w:val="0"/>
                    <w:suppressLineNumbers w:val="0"/>
                    <w:kinsoku/>
                    <w:wordWrap/>
                    <w:overflowPunct/>
                    <w:topLine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w:t>
                  </w:r>
                </w:p>
              </w:tc>
              <w:tc>
                <w:tcPr>
                  <w:tcW w:w="1417" w:type="dxa"/>
                  <w:noWrap w:val="0"/>
                  <w:vAlign w:val="center"/>
                </w:tcPr>
                <w:p w14:paraId="3BC6C17D">
                  <w:pPr>
                    <w:pStyle w:val="38"/>
                    <w:keepNext w:val="0"/>
                    <w:keepLines w:val="0"/>
                    <w:pageBreakBefore w:val="0"/>
                    <w:widowControl w:val="0"/>
                    <w:suppressLineNumbers w:val="0"/>
                    <w:kinsoku/>
                    <w:wordWrap/>
                    <w:overflowPunct/>
                    <w:topLine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简单防渗区</w:t>
                  </w:r>
                </w:p>
              </w:tc>
              <w:tc>
                <w:tcPr>
                  <w:tcW w:w="3345" w:type="dxa"/>
                  <w:noWrap w:val="0"/>
                  <w:vAlign w:val="center"/>
                </w:tcPr>
                <w:p w14:paraId="0A82972C">
                  <w:pPr>
                    <w:pStyle w:val="38"/>
                    <w:keepNext w:val="0"/>
                    <w:keepLines w:val="0"/>
                    <w:pageBreakBefore w:val="0"/>
                    <w:widowControl w:val="0"/>
                    <w:suppressLineNumbers w:val="0"/>
                    <w:kinsoku/>
                    <w:wordWrap/>
                    <w:overflowPunct/>
                    <w:topLine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除重点防渗区和一般防渗区以外的其他区域</w:t>
                  </w:r>
                </w:p>
              </w:tc>
              <w:tc>
                <w:tcPr>
                  <w:tcW w:w="3458" w:type="dxa"/>
                  <w:noWrap w:val="0"/>
                  <w:vAlign w:val="center"/>
                </w:tcPr>
                <w:p w14:paraId="7F158998">
                  <w:pPr>
                    <w:pStyle w:val="38"/>
                    <w:keepNext w:val="0"/>
                    <w:keepLines w:val="0"/>
                    <w:pageBreakBefore w:val="0"/>
                    <w:suppressLineNumbers w:val="0"/>
                    <w:kinsoku/>
                    <w:wordWrap/>
                    <w:bidi w:val="0"/>
                    <w:adjustRightInd w:val="0"/>
                    <w:snapToGrid w:val="0"/>
                    <w:spacing w:before="0" w:beforeAutospacing="0" w:after="0" w:afterAutospacing="0"/>
                    <w:ind w:left="0" w:right="0"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一般地面硬化</w:t>
                  </w:r>
                </w:p>
              </w:tc>
            </w:tr>
          </w:tbl>
          <w:p w14:paraId="37F3255F">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因此，项目在采取上述措施后，可以有效地避免因</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导致土壤和地下水污染，对周边环境影响较小。</w:t>
            </w:r>
          </w:p>
          <w:p w14:paraId="6D18EE27">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4、跟踪监测</w:t>
            </w:r>
          </w:p>
          <w:p w14:paraId="3CA765DB">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在</w:t>
            </w:r>
            <w:r>
              <w:rPr>
                <w:rFonts w:hint="default" w:ascii="Times New Roman" w:hAnsi="Times New Roman" w:cs="Times New Roman"/>
                <w:color w:val="auto"/>
                <w:highlight w:val="none"/>
                <w:lang w:eastAsia="zh-CN"/>
              </w:rPr>
              <w:t>落实</w:t>
            </w:r>
            <w:r>
              <w:rPr>
                <w:rFonts w:hint="default" w:ascii="Times New Roman" w:hAnsi="Times New Roman" w:cs="Times New Roman"/>
                <w:color w:val="auto"/>
                <w:highlight w:val="none"/>
              </w:rPr>
              <w:t>上述措施后，</w:t>
            </w:r>
            <w:r>
              <w:rPr>
                <w:rFonts w:hint="default" w:ascii="Times New Roman" w:hAnsi="Times New Roman" w:cs="Times New Roman"/>
                <w:color w:val="auto"/>
                <w:highlight w:val="none"/>
                <w:lang w:val="en-US" w:eastAsia="zh-CN"/>
              </w:rPr>
              <w:t>项目不需进行地下水、土壤跟踪监测。</w:t>
            </w:r>
          </w:p>
          <w:p w14:paraId="7EC54D78">
            <w:pPr>
              <w:pStyle w:val="44"/>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六、环境风险</w:t>
            </w:r>
          </w:p>
          <w:p w14:paraId="309D6E0A">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风险源调查</w:t>
            </w:r>
          </w:p>
          <w:p w14:paraId="7A05734A">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根据企业提供资料及分析可知，项目生产过程中涉及的环境风险物质为</w:t>
            </w:r>
            <w:r>
              <w:rPr>
                <w:rFonts w:hint="eastAsia" w:cs="Times New Roman"/>
                <w:color w:val="auto"/>
                <w:highlight w:val="none"/>
                <w:lang w:val="en-US" w:eastAsia="zh-CN"/>
              </w:rPr>
              <w:t>油剂、机油、废机油、废油、废活性炭等</w:t>
            </w:r>
            <w:r>
              <w:rPr>
                <w:rFonts w:hint="default" w:ascii="Times New Roman" w:hAnsi="Times New Roman" w:cs="Times New Roman"/>
                <w:color w:val="auto"/>
                <w:highlight w:val="none"/>
                <w:lang w:val="en-US" w:eastAsia="zh-CN"/>
              </w:rPr>
              <w:t>危险废物</w:t>
            </w:r>
            <w:r>
              <w:rPr>
                <w:rFonts w:hint="default" w:ascii="Times New Roman" w:hAnsi="Times New Roman" w:cs="Times New Roman"/>
                <w:color w:val="auto"/>
                <w:highlight w:val="none"/>
              </w:rPr>
              <w:t>。</w:t>
            </w:r>
          </w:p>
          <w:p w14:paraId="7C45046C">
            <w:pPr>
              <w:pStyle w:val="44"/>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环境风险潜势初判</w:t>
            </w:r>
          </w:p>
          <w:p w14:paraId="01CCAA6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根据《建设项目环境风险评价技术导则》（HJ169-2018）附录C1.1，</w:t>
            </w:r>
            <w:r>
              <w:rPr>
                <w:rFonts w:hint="eastAsia" w:cs="Times New Roman"/>
                <w:color w:val="auto"/>
                <w:highlight w:val="none"/>
                <w:lang w:eastAsia="zh-CN"/>
              </w:rPr>
              <w:t>“</w:t>
            </w:r>
            <w:r>
              <w:rPr>
                <w:rFonts w:hint="default" w:ascii="Times New Roman" w:hAnsi="Times New Roman" w:cs="Times New Roman"/>
                <w:color w:val="auto"/>
                <w:highlight w:val="none"/>
              </w:rPr>
              <w:t>危险物质数量与临界量比值（Q）</w:t>
            </w:r>
            <w:r>
              <w:rPr>
                <w:rFonts w:hint="eastAsia" w:cs="Times New Roman"/>
                <w:color w:val="auto"/>
                <w:highlight w:val="none"/>
                <w:lang w:eastAsia="zh-CN"/>
              </w:rPr>
              <w:t>”</w:t>
            </w:r>
            <w:r>
              <w:rPr>
                <w:rFonts w:hint="default" w:ascii="Times New Roman" w:hAnsi="Times New Roman" w:cs="Times New Roman"/>
                <w:color w:val="auto"/>
                <w:highlight w:val="none"/>
              </w:rPr>
              <w:t>：计算所涉及的每种风险物质在厂界内的最大存在总量与其在附录B中对应临界量的比值Q。在不同厂区的同一种物质，按其在厂界内的最大存在总量计算。</w:t>
            </w:r>
          </w:p>
          <w:p w14:paraId="647CA01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①当只涉及一种危险物质时，计算该物质的总量与其临界量比值，即为Q；</w:t>
            </w:r>
          </w:p>
          <w:p w14:paraId="04E8DBB8">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②当存在多种危险物质时，则按式（C.1）计算物质总量与其临界量比值（Q）。</w:t>
            </w:r>
          </w:p>
          <w:p w14:paraId="0C78D061">
            <w:pPr>
              <w:pStyle w:val="42"/>
              <w:keepNext w:val="0"/>
              <w:keepLines w:val="0"/>
              <w:pageBreakBefore w:val="0"/>
              <w:widowControl w:val="0"/>
              <w:suppressLineNumbers w:val="0"/>
              <w:shd w:val="clear" w:color="auto" w:fill="auto"/>
              <w:kinsoku/>
              <w:wordWrap/>
              <w:overflowPunct/>
              <w:topLinePunct/>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bCs/>
                <w:color w:val="auto"/>
                <w:highlight w:val="none"/>
              </w:rPr>
            </w:pPr>
            <w:r>
              <w:rPr>
                <w:rFonts w:hint="default" w:ascii="Times New Roman" w:hAnsi="Times New Roman" w:cs="Times New Roman"/>
                <w:bCs/>
                <w:color w:val="auto"/>
                <w:position w:val="-30"/>
                <w:highlight w:val="none"/>
              </w:rPr>
              <w:object>
                <v:shape id="_x0000_i1034" o:spt="75" type="#_x0000_t75" style="height:34pt;width:112.7pt;" o:ole="t" filled="f" o:preferrelative="t" stroked="f" coordsize="21600,21600">
                  <v:path/>
                  <v:fill on="f" focussize="0,0"/>
                  <v:stroke on="f"/>
                  <v:imagedata r:id="rId43" o:title=""/>
                  <o:lock v:ext="edit" aspectratio="t"/>
                  <w10:wrap type="none"/>
                  <w10:anchorlock/>
                </v:shape>
                <o:OLEObject Type="Embed" ProgID="Equation.KSEE3" ShapeID="_x0000_i1034" DrawAspect="Content" ObjectID="_1468075734" r:id="rId42">
                  <o:LockedField>false</o:LockedField>
                </o:OLEObject>
              </w:object>
            </w:r>
          </w:p>
          <w:p w14:paraId="6EE2432B">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式中：q</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n</w:t>
            </w:r>
            <w:r>
              <w:rPr>
                <w:rFonts w:hint="default" w:ascii="Times New Roman" w:hAnsi="Times New Roman" w:cs="Times New Roman"/>
                <w:color w:val="auto"/>
                <w:highlight w:val="none"/>
              </w:rPr>
              <w:t>为每种危险物质最大存在总量，t。</w:t>
            </w:r>
          </w:p>
          <w:p w14:paraId="171C8D9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1200" w:firstLineChars="5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n</w:t>
            </w:r>
            <w:r>
              <w:rPr>
                <w:rFonts w:hint="default" w:ascii="Times New Roman" w:hAnsi="Times New Roman" w:cs="Times New Roman"/>
                <w:color w:val="auto"/>
                <w:highlight w:val="none"/>
              </w:rPr>
              <w:t>为每种危险物质的临界量，t。</w:t>
            </w:r>
          </w:p>
          <w:p w14:paraId="70B56E4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当Q＜1时，该项目环境风险潜势为I；</w:t>
            </w:r>
          </w:p>
          <w:p w14:paraId="2C00A58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当Q≥1时，将Q值划分为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（1）1≤Q＜10；（2）10≤Q＜100；（3）Q≥100。</w:t>
            </w:r>
          </w:p>
          <w:p w14:paraId="6657E0E9">
            <w:pPr>
              <w:pStyle w:val="36"/>
              <w:keepNext w:val="0"/>
              <w:keepLines w:val="0"/>
              <w:suppressLineNumbers w:val="0"/>
              <w:bidi w:val="0"/>
              <w:spacing w:before="0" w:beforeAutospacing="0" w:after="0" w:afterAutospacing="0"/>
              <w:ind w:left="0" w:right="0" w:firstLine="480" w:firstLineChars="200"/>
              <w:jc w:val="both"/>
              <w:rPr>
                <w:rFonts w:hint="eastAsia" w:cs="Times New Roman"/>
                <w:b w:val="0"/>
                <w:bCs/>
                <w:color w:val="auto"/>
                <w:highlight w:val="none"/>
                <w:lang w:val="en-US" w:eastAsia="zh-CN"/>
              </w:rPr>
            </w:pPr>
            <w:r>
              <w:rPr>
                <w:rFonts w:hint="eastAsia" w:cs="Times New Roman"/>
                <w:b w:val="0"/>
                <w:bCs/>
                <w:color w:val="auto"/>
                <w:sz w:val="24"/>
                <w:szCs w:val="24"/>
                <w:highlight w:val="none"/>
                <w:lang w:val="en-US" w:eastAsia="zh-CN" w:bidi="ar-SA"/>
              </w:rPr>
              <w:t>油剂、机油</w:t>
            </w:r>
            <w:r>
              <w:rPr>
                <w:rFonts w:hint="default" w:ascii="Times New Roman" w:hAnsi="Times New Roman" w:eastAsia="宋体" w:cs="Times New Roman"/>
                <w:b w:val="0"/>
                <w:bCs/>
                <w:color w:val="auto"/>
                <w:highlight w:val="none"/>
                <w:lang w:val="en-US"/>
              </w:rPr>
              <w:t>临界量参照《建设项目环境风险评价技术导则》（HJ169-2018）附录B表B.</w:t>
            </w:r>
            <w:r>
              <w:rPr>
                <w:rFonts w:hint="eastAsia" w:cs="Times New Roman"/>
                <w:b w:val="0"/>
                <w:bCs/>
                <w:color w:val="auto"/>
                <w:highlight w:val="none"/>
                <w:lang w:val="en-US" w:eastAsia="zh-CN"/>
              </w:rPr>
              <w:t>1</w:t>
            </w:r>
            <w:r>
              <w:rPr>
                <w:rFonts w:hint="default" w:ascii="Times New Roman" w:hAnsi="Times New Roman" w:eastAsia="宋体" w:cs="Times New Roman"/>
                <w:b w:val="0"/>
                <w:bCs/>
                <w:color w:val="auto"/>
                <w:highlight w:val="none"/>
                <w:lang w:val="en-US"/>
              </w:rPr>
              <w:t>中</w:t>
            </w:r>
            <w:r>
              <w:rPr>
                <w:rFonts w:hint="eastAsia" w:cs="Times New Roman"/>
                <w:b w:val="0"/>
                <w:bCs/>
                <w:color w:val="auto"/>
                <w:highlight w:val="none"/>
                <w:lang w:val="en-US" w:eastAsia="zh-CN"/>
              </w:rPr>
              <w:t>“油类物质（油类物质（矿物油类，如石油、汽油、柴油等：生物柴油等）”</w:t>
            </w:r>
            <w:r>
              <w:rPr>
                <w:rFonts w:hint="default" w:ascii="Times New Roman" w:hAnsi="Times New Roman" w:eastAsia="宋体" w:cs="Times New Roman"/>
                <w:b w:val="0"/>
                <w:bCs/>
                <w:color w:val="auto"/>
                <w:highlight w:val="none"/>
                <w:lang w:val="en-US"/>
              </w:rPr>
              <w:t>推荐临界量</w:t>
            </w:r>
            <w:r>
              <w:rPr>
                <w:rFonts w:hint="eastAsia" w:cs="Times New Roman"/>
                <w:b w:val="0"/>
                <w:bCs/>
                <w:color w:val="auto"/>
                <w:highlight w:val="none"/>
                <w:lang w:val="en-US" w:eastAsia="zh-CN"/>
              </w:rPr>
              <w:t>2500</w:t>
            </w:r>
            <w:r>
              <w:rPr>
                <w:rFonts w:hint="default" w:ascii="Times New Roman" w:hAnsi="Times New Roman" w:eastAsia="宋体" w:cs="Times New Roman"/>
                <w:b w:val="0"/>
                <w:bCs/>
                <w:color w:val="auto"/>
                <w:highlight w:val="none"/>
                <w:lang w:val="en-US"/>
              </w:rPr>
              <w:t>0t</w:t>
            </w:r>
            <w:r>
              <w:rPr>
                <w:rFonts w:hint="eastAsia" w:cs="Times New Roman"/>
                <w:b w:val="0"/>
                <w:bCs/>
                <w:color w:val="auto"/>
                <w:highlight w:val="none"/>
                <w:lang w:val="en-US" w:eastAsia="zh-CN"/>
              </w:rPr>
              <w:t>。</w:t>
            </w:r>
            <w:r>
              <w:rPr>
                <w:rFonts w:hint="eastAsia" w:ascii="Times New Roman" w:hAnsi="Times New Roman" w:eastAsia="宋体" w:cs="Times New Roman"/>
                <w:b w:val="0"/>
                <w:bCs/>
                <w:color w:val="auto"/>
                <w:highlight w:val="none"/>
                <w:lang w:val="en-US" w:eastAsia="zh-CN"/>
              </w:rPr>
              <w:t>危险废物</w:t>
            </w:r>
            <w:r>
              <w:rPr>
                <w:rFonts w:hint="default" w:ascii="Times New Roman" w:hAnsi="Times New Roman" w:eastAsia="宋体" w:cs="Times New Roman"/>
                <w:b w:val="0"/>
                <w:bCs/>
                <w:color w:val="auto"/>
                <w:highlight w:val="none"/>
                <w:lang w:val="en-US"/>
              </w:rPr>
              <w:t>临界量参照《建设项目环境风险评价技术导则》（HJ169-2018）附录B表B.2中</w:t>
            </w:r>
            <w:r>
              <w:rPr>
                <w:rFonts w:hint="eastAsia" w:cs="Times New Roman"/>
                <w:b w:val="0"/>
                <w:bCs/>
                <w:color w:val="auto"/>
                <w:highlight w:val="none"/>
                <w:lang w:val="en-US" w:eastAsia="zh-CN"/>
              </w:rPr>
              <w:t>“</w:t>
            </w:r>
            <w:r>
              <w:rPr>
                <w:rFonts w:hint="eastAsia" w:ascii="Times New Roman" w:hAnsi="Times New Roman" w:eastAsia="宋体" w:cs="Times New Roman"/>
                <w:b w:val="0"/>
                <w:bCs/>
                <w:color w:val="auto"/>
                <w:highlight w:val="none"/>
                <w:lang w:val="en-US" w:eastAsia="zh-CN"/>
              </w:rPr>
              <w:t>健康危险急性毒性物质</w:t>
            </w:r>
            <w:r>
              <w:rPr>
                <w:rFonts w:hint="eastAsia"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rPr>
              <w:t>推荐临界量</w:t>
            </w:r>
            <w:r>
              <w:rPr>
                <w:rFonts w:hint="eastAsia" w:ascii="Times New Roman" w:hAnsi="Times New Roman" w:eastAsia="宋体" w:cs="Times New Roman"/>
                <w:b w:val="0"/>
                <w:bCs/>
                <w:color w:val="auto"/>
                <w:highlight w:val="none"/>
                <w:lang w:val="en-US" w:eastAsia="zh-CN"/>
              </w:rPr>
              <w:t>5</w:t>
            </w:r>
            <w:r>
              <w:rPr>
                <w:rFonts w:hint="default" w:ascii="Times New Roman" w:hAnsi="Times New Roman" w:eastAsia="宋体" w:cs="Times New Roman"/>
                <w:b w:val="0"/>
                <w:bCs/>
                <w:color w:val="auto"/>
                <w:highlight w:val="none"/>
                <w:lang w:val="en-US"/>
              </w:rPr>
              <w:t>0t</w:t>
            </w:r>
            <w:r>
              <w:rPr>
                <w:rFonts w:hint="eastAsia" w:cs="Times New Roman"/>
                <w:b w:val="0"/>
                <w:bCs/>
                <w:color w:val="auto"/>
                <w:highlight w:val="none"/>
                <w:lang w:val="en-US" w:eastAsia="zh-CN"/>
              </w:rPr>
              <w:t>。</w:t>
            </w:r>
          </w:p>
          <w:p w14:paraId="02BE2C29">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24</w:t>
            </w:r>
            <w:r>
              <w:rPr>
                <w:rFonts w:hint="default" w:ascii="Times New Roman" w:hAnsi="Times New Roman" w:cs="Times New Roman"/>
                <w:color w:val="auto"/>
                <w:highlight w:val="none"/>
              </w:rPr>
              <w:t>危险物质量与临界量比值</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751"/>
              <w:gridCol w:w="2054"/>
              <w:gridCol w:w="1486"/>
              <w:gridCol w:w="1602"/>
              <w:gridCol w:w="3053"/>
            </w:tblGrid>
            <w:tr w14:paraId="443CB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0" w:type="pct"/>
                  <w:noWrap w:val="0"/>
                  <w:vAlign w:val="center"/>
                </w:tcPr>
                <w:p w14:paraId="0A3DFDA7">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032" w:type="pct"/>
                  <w:noWrap w:val="0"/>
                  <w:vAlign w:val="center"/>
                </w:tcPr>
                <w:p w14:paraId="39887D78">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风险物质</w:t>
                  </w:r>
                </w:p>
              </w:tc>
              <w:tc>
                <w:tcPr>
                  <w:tcW w:w="747" w:type="pct"/>
                  <w:noWrap w:val="0"/>
                  <w:vAlign w:val="center"/>
                </w:tcPr>
                <w:p w14:paraId="24A9B3F4">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最大储存量</w:t>
                  </w:r>
                </w:p>
              </w:tc>
              <w:tc>
                <w:tcPr>
                  <w:tcW w:w="805" w:type="pct"/>
                  <w:noWrap w:val="0"/>
                  <w:vAlign w:val="center"/>
                </w:tcPr>
                <w:p w14:paraId="0EA7A767">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临界量（t）</w:t>
                  </w:r>
                </w:p>
              </w:tc>
              <w:tc>
                <w:tcPr>
                  <w:tcW w:w="1534" w:type="pct"/>
                  <w:noWrap w:val="0"/>
                  <w:vAlign w:val="center"/>
                </w:tcPr>
                <w:p w14:paraId="7383AE5C">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Q值</w:t>
                  </w:r>
                </w:p>
              </w:tc>
            </w:tr>
            <w:tr w14:paraId="22EBB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0" w:type="pct"/>
                  <w:noWrap w:val="0"/>
                  <w:vAlign w:val="center"/>
                </w:tcPr>
                <w:p w14:paraId="28658636">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032" w:type="pct"/>
                  <w:noWrap w:val="0"/>
                  <w:vAlign w:val="center"/>
                </w:tcPr>
                <w:p w14:paraId="0D19D310">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rPr>
                  </w:pPr>
                  <w:r>
                    <w:rPr>
                      <w:rFonts w:hint="eastAsia" w:cs="Times New Roman"/>
                      <w:b w:val="0"/>
                      <w:bCs/>
                      <w:color w:val="auto"/>
                      <w:sz w:val="21"/>
                      <w:szCs w:val="21"/>
                      <w:highlight w:val="none"/>
                      <w:lang w:val="en-US" w:eastAsia="zh-CN"/>
                    </w:rPr>
                    <w:t>油剂</w:t>
                  </w:r>
                </w:p>
              </w:tc>
              <w:tc>
                <w:tcPr>
                  <w:tcW w:w="747" w:type="pct"/>
                  <w:noWrap w:val="0"/>
                  <w:vAlign w:val="center"/>
                </w:tcPr>
                <w:p w14:paraId="701D1A28">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w:t>
                  </w:r>
                </w:p>
              </w:tc>
              <w:tc>
                <w:tcPr>
                  <w:tcW w:w="805" w:type="pct"/>
                  <w:noWrap w:val="0"/>
                  <w:vAlign w:val="center"/>
                </w:tcPr>
                <w:p w14:paraId="3A26334C">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2500</w:t>
                  </w:r>
                </w:p>
              </w:tc>
              <w:tc>
                <w:tcPr>
                  <w:tcW w:w="3053" w:type="dxa"/>
                  <w:noWrap w:val="0"/>
                  <w:vAlign w:val="center"/>
                </w:tcPr>
                <w:p w14:paraId="650111F0">
                  <w:pPr>
                    <w:pStyle w:val="38"/>
                    <w:keepNext w:val="0"/>
                    <w:keepLines w:val="0"/>
                    <w:suppressLineNumbers w:val="0"/>
                    <w:bidi w:val="0"/>
                    <w:spacing w:before="0" w:beforeAutospacing="0" w:after="0" w:afterAutospacing="0"/>
                    <w:ind w:left="0" w:leftChars="0" w:right="0" w:rightChars="0" w:firstLine="0" w:firstLineChars="0"/>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0.0004</w:t>
                  </w:r>
                </w:p>
              </w:tc>
            </w:tr>
            <w:tr w14:paraId="72B76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7" w:hRule="atLeast"/>
                <w:jc w:val="center"/>
              </w:trPr>
              <w:tc>
                <w:tcPr>
                  <w:tcW w:w="880" w:type="pct"/>
                  <w:noWrap w:val="0"/>
                  <w:vAlign w:val="center"/>
                </w:tcPr>
                <w:p w14:paraId="43D52252">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1032" w:type="pct"/>
                  <w:noWrap w:val="0"/>
                  <w:vAlign w:val="center"/>
                </w:tcPr>
                <w:p w14:paraId="71F470F1">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机油</w:t>
                  </w:r>
                </w:p>
              </w:tc>
              <w:tc>
                <w:tcPr>
                  <w:tcW w:w="747" w:type="pct"/>
                  <w:noWrap w:val="0"/>
                  <w:vAlign w:val="center"/>
                </w:tcPr>
                <w:p w14:paraId="31753FB9">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0.5</w:t>
                  </w:r>
                </w:p>
              </w:tc>
              <w:tc>
                <w:tcPr>
                  <w:tcW w:w="805" w:type="pct"/>
                  <w:noWrap w:val="0"/>
                  <w:vAlign w:val="center"/>
                </w:tcPr>
                <w:p w14:paraId="70970251">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2500</w:t>
                  </w:r>
                </w:p>
              </w:tc>
              <w:tc>
                <w:tcPr>
                  <w:tcW w:w="3053" w:type="dxa"/>
                  <w:noWrap w:val="0"/>
                  <w:vAlign w:val="center"/>
                </w:tcPr>
                <w:p w14:paraId="0A4392A0">
                  <w:pPr>
                    <w:pStyle w:val="38"/>
                    <w:keepNext w:val="0"/>
                    <w:keepLines w:val="0"/>
                    <w:suppressLineNumbers w:val="0"/>
                    <w:bidi w:val="0"/>
                    <w:spacing w:before="0" w:beforeAutospacing="0" w:after="0" w:afterAutospacing="0"/>
                    <w:ind w:left="0" w:leftChars="0" w:right="0" w:rightChars="0" w:firstLine="0" w:firstLineChars="0"/>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0.0002</w:t>
                  </w:r>
                </w:p>
              </w:tc>
            </w:tr>
            <w:tr w14:paraId="11190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0" w:type="pct"/>
                  <w:noWrap w:val="0"/>
                  <w:vAlign w:val="center"/>
                </w:tcPr>
                <w:p w14:paraId="1146DADC">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w:t>
                  </w:r>
                </w:p>
              </w:tc>
              <w:tc>
                <w:tcPr>
                  <w:tcW w:w="1032" w:type="pct"/>
                  <w:noWrap w:val="0"/>
                  <w:vAlign w:val="center"/>
                </w:tcPr>
                <w:p w14:paraId="249E1049">
                  <w:pPr>
                    <w:pStyle w:val="38"/>
                    <w:keepNext w:val="0"/>
                    <w:keepLines w:val="0"/>
                    <w:suppressLineNumbers w:val="0"/>
                    <w:bidi w:val="0"/>
                    <w:spacing w:before="0" w:beforeAutospacing="0" w:after="0" w:afterAutospacing="0"/>
                    <w:ind w:left="0" w:right="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废机油</w:t>
                  </w:r>
                </w:p>
              </w:tc>
              <w:tc>
                <w:tcPr>
                  <w:tcW w:w="747" w:type="pct"/>
                  <w:noWrap w:val="0"/>
                  <w:vAlign w:val="center"/>
                </w:tcPr>
                <w:p w14:paraId="3DBFF10E">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0.125</w:t>
                  </w:r>
                </w:p>
              </w:tc>
              <w:tc>
                <w:tcPr>
                  <w:tcW w:w="805" w:type="pct"/>
                  <w:noWrap w:val="0"/>
                  <w:vAlign w:val="center"/>
                </w:tcPr>
                <w:p w14:paraId="6C799F5E">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50</w:t>
                  </w:r>
                </w:p>
              </w:tc>
              <w:tc>
                <w:tcPr>
                  <w:tcW w:w="3053" w:type="dxa"/>
                  <w:noWrap w:val="0"/>
                  <w:vAlign w:val="center"/>
                </w:tcPr>
                <w:p w14:paraId="62371B8E">
                  <w:pPr>
                    <w:pStyle w:val="38"/>
                    <w:keepNext w:val="0"/>
                    <w:keepLines w:val="0"/>
                    <w:suppressLineNumbers w:val="0"/>
                    <w:bidi w:val="0"/>
                    <w:spacing w:before="0" w:beforeAutospacing="0" w:after="0" w:afterAutospacing="0"/>
                    <w:ind w:left="0" w:leftChars="0" w:right="0" w:rightChars="0" w:firstLine="0" w:firstLineChars="0"/>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0.0025</w:t>
                  </w:r>
                </w:p>
              </w:tc>
            </w:tr>
            <w:tr w14:paraId="54326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0" w:type="pct"/>
                  <w:shd w:val="clear" w:color="auto" w:fill="auto"/>
                  <w:noWrap w:val="0"/>
                  <w:vAlign w:val="center"/>
                </w:tcPr>
                <w:p w14:paraId="5719DE87">
                  <w:pPr>
                    <w:pStyle w:val="3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4</w:t>
                  </w:r>
                </w:p>
              </w:tc>
              <w:tc>
                <w:tcPr>
                  <w:tcW w:w="1032" w:type="pct"/>
                  <w:noWrap w:val="0"/>
                  <w:vAlign w:val="center"/>
                </w:tcPr>
                <w:p w14:paraId="0862ECCB">
                  <w:pPr>
                    <w:pStyle w:val="38"/>
                    <w:keepNext w:val="0"/>
                    <w:keepLines w:val="0"/>
                    <w:suppressLineNumbers w:val="0"/>
                    <w:bidi w:val="0"/>
                    <w:spacing w:before="0" w:beforeAutospacing="0" w:after="0" w:afterAutospacing="0"/>
                    <w:ind w:left="0" w:right="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废油</w:t>
                  </w:r>
                </w:p>
              </w:tc>
              <w:tc>
                <w:tcPr>
                  <w:tcW w:w="747" w:type="pct"/>
                  <w:noWrap w:val="0"/>
                  <w:vAlign w:val="center"/>
                </w:tcPr>
                <w:p w14:paraId="2154BAFF">
                  <w:pPr>
                    <w:pStyle w:val="38"/>
                    <w:keepNext w:val="0"/>
                    <w:keepLines w:val="0"/>
                    <w:suppressLineNumbers w:val="0"/>
                    <w:bidi w:val="0"/>
                    <w:spacing w:before="0" w:beforeAutospacing="0" w:after="0" w:afterAutospacing="0"/>
                    <w:ind w:left="0" w:leftChars="0" w:right="0" w:rightChars="0" w:firstLine="0" w:firstLineChars="0"/>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0.2</w:t>
                  </w:r>
                </w:p>
              </w:tc>
              <w:tc>
                <w:tcPr>
                  <w:tcW w:w="805" w:type="pct"/>
                  <w:noWrap w:val="0"/>
                  <w:vAlign w:val="center"/>
                </w:tcPr>
                <w:p w14:paraId="6121DE75">
                  <w:pPr>
                    <w:pStyle w:val="38"/>
                    <w:keepNext w:val="0"/>
                    <w:keepLines w:val="0"/>
                    <w:suppressLineNumbers w:val="0"/>
                    <w:bidi w:val="0"/>
                    <w:spacing w:before="0" w:beforeAutospacing="0" w:after="0" w:afterAutospacing="0"/>
                    <w:ind w:left="0" w:leftChars="0" w:right="0" w:rightChars="0" w:firstLine="0" w:firstLineChars="0"/>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50</w:t>
                  </w:r>
                </w:p>
              </w:tc>
              <w:tc>
                <w:tcPr>
                  <w:tcW w:w="3053" w:type="dxa"/>
                  <w:noWrap w:val="0"/>
                  <w:vAlign w:val="center"/>
                </w:tcPr>
                <w:p w14:paraId="345A5A22">
                  <w:pPr>
                    <w:pStyle w:val="38"/>
                    <w:keepNext w:val="0"/>
                    <w:keepLines w:val="0"/>
                    <w:suppressLineNumbers w:val="0"/>
                    <w:bidi w:val="0"/>
                    <w:spacing w:before="0" w:beforeAutospacing="0" w:after="0" w:afterAutospacing="0"/>
                    <w:ind w:left="0" w:leftChars="0" w:right="0" w:rightChars="0" w:firstLine="0" w:firstLineChars="0"/>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0.004</w:t>
                  </w:r>
                </w:p>
              </w:tc>
            </w:tr>
            <w:tr w14:paraId="0ABA6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0" w:type="pct"/>
                  <w:shd w:val="clear" w:color="auto" w:fill="auto"/>
                  <w:noWrap w:val="0"/>
                  <w:vAlign w:val="center"/>
                </w:tcPr>
                <w:p w14:paraId="342E55C7">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5</w:t>
                  </w:r>
                </w:p>
              </w:tc>
              <w:tc>
                <w:tcPr>
                  <w:tcW w:w="1032" w:type="pct"/>
                  <w:noWrap w:val="0"/>
                  <w:vAlign w:val="center"/>
                </w:tcPr>
                <w:p w14:paraId="76057FF5">
                  <w:pPr>
                    <w:pStyle w:val="38"/>
                    <w:keepNext w:val="0"/>
                    <w:keepLines w:val="0"/>
                    <w:suppressLineNumbers w:val="0"/>
                    <w:bidi w:val="0"/>
                    <w:spacing w:before="0" w:beforeAutospacing="0" w:after="0" w:afterAutospacing="0"/>
                    <w:ind w:left="0" w:right="0"/>
                    <w:jc w:val="center"/>
                    <w:rPr>
                      <w:rFonts w:hint="default" w:cs="Times New Roman"/>
                      <w:b w:val="0"/>
                      <w:bCs/>
                      <w:color w:val="auto"/>
                      <w:sz w:val="21"/>
                      <w:szCs w:val="21"/>
                      <w:highlight w:val="none"/>
                      <w:lang w:val="en-US" w:eastAsia="zh-CN"/>
                    </w:rPr>
                  </w:pPr>
                  <w:r>
                    <w:rPr>
                      <w:rFonts w:hint="eastAsia" w:cs="Times New Roman"/>
                      <w:b w:val="0"/>
                      <w:bCs/>
                      <w:color w:val="auto"/>
                      <w:highlight w:val="none"/>
                      <w:lang w:val="en-US" w:eastAsia="zh-CN"/>
                    </w:rPr>
                    <w:t>废活性炭</w:t>
                  </w:r>
                </w:p>
              </w:tc>
              <w:tc>
                <w:tcPr>
                  <w:tcW w:w="747" w:type="pct"/>
                  <w:noWrap w:val="0"/>
                  <w:vAlign w:val="center"/>
                </w:tcPr>
                <w:p w14:paraId="5156D635">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1.67</w:t>
                  </w:r>
                </w:p>
              </w:tc>
              <w:tc>
                <w:tcPr>
                  <w:tcW w:w="805" w:type="pct"/>
                  <w:noWrap w:val="0"/>
                  <w:vAlign w:val="center"/>
                </w:tcPr>
                <w:p w14:paraId="5C91733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50</w:t>
                  </w:r>
                </w:p>
              </w:tc>
              <w:tc>
                <w:tcPr>
                  <w:tcW w:w="3053" w:type="dxa"/>
                  <w:noWrap w:val="0"/>
                  <w:vAlign w:val="center"/>
                </w:tcPr>
                <w:p w14:paraId="316B80E9">
                  <w:pPr>
                    <w:pStyle w:val="38"/>
                    <w:keepNext w:val="0"/>
                    <w:keepLines w:val="0"/>
                    <w:suppressLineNumbers w:val="0"/>
                    <w:bidi w:val="0"/>
                    <w:spacing w:before="0" w:beforeAutospacing="0" w:after="0" w:afterAutospacing="0"/>
                    <w:ind w:left="0" w:leftChars="0" w:right="0" w:rightChars="0" w:firstLine="0" w:firstLineChars="0"/>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0.0334</w:t>
                  </w:r>
                </w:p>
              </w:tc>
            </w:tr>
            <w:tr w14:paraId="7FB64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0" w:type="pct"/>
                  <w:shd w:val="clear" w:color="auto" w:fill="auto"/>
                  <w:noWrap w:val="0"/>
                  <w:vAlign w:val="center"/>
                </w:tcPr>
                <w:p w14:paraId="74B9F020">
                  <w:pPr>
                    <w:pStyle w:val="38"/>
                    <w:keepNext w:val="0"/>
                    <w:keepLines w:val="0"/>
                    <w:suppressLineNumbers w:val="0"/>
                    <w:bidi w:val="0"/>
                    <w:spacing w:before="0" w:beforeAutospacing="0" w:after="0" w:afterAutospacing="0"/>
                    <w:ind w:left="0" w:leftChars="0" w:right="0" w:rightChars="0" w:firstLine="0" w:firstLineChars="0"/>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w:t>
                  </w:r>
                </w:p>
              </w:tc>
              <w:tc>
                <w:tcPr>
                  <w:tcW w:w="1032" w:type="pct"/>
                  <w:noWrap w:val="0"/>
                  <w:vAlign w:val="center"/>
                </w:tcPr>
                <w:p w14:paraId="5DC08DEB">
                  <w:pPr>
                    <w:pStyle w:val="38"/>
                    <w:keepNext w:val="0"/>
                    <w:keepLines w:val="0"/>
                    <w:suppressLineNumbers w:val="0"/>
                    <w:bidi w:val="0"/>
                    <w:spacing w:before="0" w:beforeAutospacing="0" w:after="0" w:afterAutospacing="0"/>
                    <w:ind w:left="0" w:right="0"/>
                    <w:jc w:val="center"/>
                    <w:rPr>
                      <w:rFonts w:hint="default" w:cs="Times New Roman"/>
                      <w:b w:val="0"/>
                      <w:bCs/>
                      <w:color w:val="auto"/>
                      <w:highlight w:val="none"/>
                      <w:lang w:val="en-US" w:eastAsia="zh-CN"/>
                    </w:rPr>
                  </w:pPr>
                  <w:r>
                    <w:rPr>
                      <w:rFonts w:hint="eastAsia" w:cs="Times New Roman"/>
                      <w:b w:val="0"/>
                      <w:bCs/>
                      <w:color w:val="auto"/>
                      <w:highlight w:val="none"/>
                      <w:lang w:val="en-US" w:eastAsia="zh-CN"/>
                    </w:rPr>
                    <w:t>废催化剂</w:t>
                  </w:r>
                </w:p>
              </w:tc>
              <w:tc>
                <w:tcPr>
                  <w:tcW w:w="747" w:type="pct"/>
                  <w:noWrap w:val="0"/>
                  <w:vAlign w:val="center"/>
                </w:tcPr>
                <w:p w14:paraId="63537612">
                  <w:pPr>
                    <w:pStyle w:val="38"/>
                    <w:keepNext w:val="0"/>
                    <w:keepLines w:val="0"/>
                    <w:suppressLineNumbers w:val="0"/>
                    <w:bidi w:val="0"/>
                    <w:spacing w:before="0" w:beforeAutospacing="0" w:after="0" w:afterAutospacing="0"/>
                    <w:ind w:left="0" w:right="0"/>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0.2</w:t>
                  </w:r>
                </w:p>
              </w:tc>
              <w:tc>
                <w:tcPr>
                  <w:tcW w:w="805" w:type="pct"/>
                  <w:noWrap w:val="0"/>
                  <w:vAlign w:val="center"/>
                </w:tcPr>
                <w:p w14:paraId="48DEC605">
                  <w:pPr>
                    <w:keepNext w:val="0"/>
                    <w:keepLines w:val="0"/>
                    <w:suppressLineNumbers w:val="0"/>
                    <w:bidi w:val="0"/>
                    <w:spacing w:before="0" w:beforeAutospacing="0" w:after="0" w:afterAutospacing="0"/>
                    <w:ind w:left="0" w:right="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50</w:t>
                  </w:r>
                </w:p>
              </w:tc>
              <w:tc>
                <w:tcPr>
                  <w:tcW w:w="3053" w:type="dxa"/>
                  <w:noWrap w:val="0"/>
                  <w:vAlign w:val="center"/>
                </w:tcPr>
                <w:p w14:paraId="023F426D">
                  <w:pPr>
                    <w:pStyle w:val="38"/>
                    <w:keepNext w:val="0"/>
                    <w:keepLines w:val="0"/>
                    <w:suppressLineNumbers w:val="0"/>
                    <w:bidi w:val="0"/>
                    <w:spacing w:before="0" w:beforeAutospacing="0" w:after="0" w:afterAutospacing="0"/>
                    <w:ind w:left="0" w:leftChars="0" w:right="0" w:rightChars="0" w:firstLine="0" w:firstLineChars="0"/>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0.004</w:t>
                  </w:r>
                </w:p>
              </w:tc>
            </w:tr>
            <w:tr w14:paraId="361D3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0" w:type="pct"/>
                  <w:noWrap w:val="0"/>
                  <w:vAlign w:val="center"/>
                </w:tcPr>
                <w:p w14:paraId="117224AE">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合计</w:t>
                  </w:r>
                </w:p>
              </w:tc>
              <w:tc>
                <w:tcPr>
                  <w:tcW w:w="1032" w:type="pct"/>
                  <w:noWrap w:val="0"/>
                  <w:vAlign w:val="center"/>
                </w:tcPr>
                <w:p w14:paraId="0223B90C">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1"/>
                      <w:szCs w:val="21"/>
                      <w:highlight w:val="none"/>
                      <w:lang w:val="en-US" w:eastAsia="zh-CN"/>
                    </w:rPr>
                    <w:t>/</w:t>
                  </w:r>
                </w:p>
              </w:tc>
              <w:tc>
                <w:tcPr>
                  <w:tcW w:w="747" w:type="pct"/>
                  <w:noWrap w:val="0"/>
                  <w:vAlign w:val="center"/>
                </w:tcPr>
                <w:p w14:paraId="561AA462">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805" w:type="pct"/>
                  <w:noWrap w:val="0"/>
                  <w:vAlign w:val="center"/>
                </w:tcPr>
                <w:p w14:paraId="42276E9C">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3053" w:type="dxa"/>
                  <w:shd w:val="clear" w:color="auto" w:fill="auto"/>
                  <w:noWrap w:val="0"/>
                  <w:vAlign w:val="center"/>
                </w:tcPr>
                <w:p w14:paraId="7B2C940E">
                  <w:pPr>
                    <w:pStyle w:val="38"/>
                    <w:keepNext w:val="0"/>
                    <w:keepLines w:val="0"/>
                    <w:suppressLineNumbers w:val="0"/>
                    <w:bidi w:val="0"/>
                    <w:spacing w:before="0" w:beforeAutospacing="0" w:after="0" w:afterAutospacing="0"/>
                    <w:ind w:left="0" w:leftChars="0" w:right="0" w:rightChars="0" w:firstLine="0" w:firstLineChars="0"/>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0.0445</w:t>
                  </w:r>
                </w:p>
              </w:tc>
            </w:tr>
          </w:tbl>
          <w:p w14:paraId="16890622">
            <w:pPr>
              <w:pStyle w:val="42"/>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根据上表可知，项目涉及的危险物质量与临界量的比值Q=</w:t>
            </w:r>
            <w:r>
              <w:rPr>
                <w:rFonts w:hint="eastAsia" w:ascii="Times New Roman" w:hAnsi="Times New Roman" w:eastAsia="宋体" w:cs="Times New Roman"/>
                <w:b w:val="0"/>
                <w:bCs/>
                <w:color w:val="auto"/>
                <w:sz w:val="24"/>
                <w:szCs w:val="24"/>
                <w:highlight w:val="none"/>
                <w:lang w:val="en-US" w:eastAsia="zh-CN"/>
              </w:rPr>
              <w:t>0.</w:t>
            </w:r>
            <w:r>
              <w:rPr>
                <w:rFonts w:hint="eastAsia" w:cs="Times New Roman"/>
                <w:b w:val="0"/>
                <w:bCs/>
                <w:color w:val="auto"/>
                <w:sz w:val="24"/>
                <w:szCs w:val="24"/>
                <w:highlight w:val="none"/>
                <w:lang w:val="en-US" w:eastAsia="zh-CN"/>
              </w:rPr>
              <w:t>0445</w:t>
            </w:r>
            <w:r>
              <w:rPr>
                <w:rFonts w:hint="default" w:ascii="Times New Roman" w:hAnsi="Times New Roman" w:cs="Times New Roman"/>
                <w:color w:val="auto"/>
                <w:highlight w:val="none"/>
              </w:rPr>
              <w:t>＜1，项目环境风险潜势为I。风险评价工作级别为简单分析，只对事故风险影响进行简要分析，提出防范、减缓和应急措施。</w:t>
            </w:r>
          </w:p>
          <w:p w14:paraId="7B763F51">
            <w:pPr>
              <w:pStyle w:val="3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25</w:t>
            </w:r>
            <w:r>
              <w:rPr>
                <w:rFonts w:hint="default" w:ascii="Times New Roman" w:hAnsi="Times New Roman" w:cs="Times New Roman"/>
                <w:color w:val="auto"/>
                <w:highlight w:val="none"/>
              </w:rPr>
              <w:t>建设项目环境风险简单分析内容表</w:t>
            </w:r>
          </w:p>
          <w:tbl>
            <w:tblPr>
              <w:tblStyle w:val="26"/>
              <w:tblW w:w="98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3946"/>
              <w:gridCol w:w="1062"/>
              <w:gridCol w:w="1875"/>
              <w:gridCol w:w="1080"/>
              <w:gridCol w:w="1879"/>
            </w:tblGrid>
            <w:tr w14:paraId="46510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946" w:type="dxa"/>
                  <w:noWrap w:val="0"/>
                  <w:vAlign w:val="center"/>
                </w:tcPr>
                <w:p w14:paraId="71C98DDE">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建设项目名称</w:t>
                  </w:r>
                </w:p>
              </w:tc>
              <w:tc>
                <w:tcPr>
                  <w:tcW w:w="5896" w:type="dxa"/>
                  <w:gridSpan w:val="4"/>
                  <w:noWrap w:val="0"/>
                  <w:vAlign w:val="center"/>
                </w:tcPr>
                <w:p w14:paraId="13C19A5C">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安徽清鑫纺织有限公司年产8000万米汽车内饰、家居服饰高端面料智能制造项目</w:t>
                  </w:r>
                </w:p>
              </w:tc>
            </w:tr>
            <w:tr w14:paraId="20BE8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3946" w:type="dxa"/>
                  <w:noWrap w:val="0"/>
                  <w:vAlign w:val="center"/>
                </w:tcPr>
                <w:p w14:paraId="5E2E0146">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建设地点</w:t>
                  </w:r>
                </w:p>
              </w:tc>
              <w:tc>
                <w:tcPr>
                  <w:tcW w:w="1062" w:type="dxa"/>
                  <w:noWrap w:val="0"/>
                  <w:vAlign w:val="center"/>
                </w:tcPr>
                <w:p w14:paraId="3F637DDE">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安徽省</w:t>
                  </w:r>
                </w:p>
              </w:tc>
              <w:tc>
                <w:tcPr>
                  <w:tcW w:w="1875" w:type="dxa"/>
                  <w:noWrap w:val="0"/>
                  <w:vAlign w:val="center"/>
                </w:tcPr>
                <w:p w14:paraId="219428FF">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蚌埠市</w:t>
                  </w:r>
                </w:p>
              </w:tc>
              <w:tc>
                <w:tcPr>
                  <w:tcW w:w="1080" w:type="dxa"/>
                  <w:noWrap w:val="0"/>
                  <w:vAlign w:val="center"/>
                </w:tcPr>
                <w:p w14:paraId="34896541">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五河县</w:t>
                  </w:r>
                </w:p>
              </w:tc>
              <w:tc>
                <w:tcPr>
                  <w:tcW w:w="1879" w:type="dxa"/>
                  <w:noWrap w:val="0"/>
                  <w:vAlign w:val="center"/>
                </w:tcPr>
                <w:p w14:paraId="7F218EA2">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lang w:eastAsia="zh-CN"/>
                    </w:rPr>
                  </w:pPr>
                  <w:r>
                    <w:rPr>
                      <w:rFonts w:hint="eastAsia" w:cs="Times New Roman"/>
                      <w:b w:val="0"/>
                      <w:bCs/>
                      <w:color w:val="auto"/>
                      <w:highlight w:val="none"/>
                      <w:lang w:eastAsia="zh-CN"/>
                    </w:rPr>
                    <w:t>五河县开发区彩虹大道与兴潼路交口西80米</w:t>
                  </w:r>
                </w:p>
              </w:tc>
            </w:tr>
            <w:tr w14:paraId="19349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3946" w:type="dxa"/>
                  <w:noWrap w:val="0"/>
                  <w:vAlign w:val="center"/>
                </w:tcPr>
                <w:p w14:paraId="0B8E4302">
                  <w:pPr>
                    <w:pStyle w:val="41"/>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地理坐标</w:t>
                  </w:r>
                </w:p>
              </w:tc>
              <w:tc>
                <w:tcPr>
                  <w:tcW w:w="1062" w:type="dxa"/>
                  <w:noWrap w:val="0"/>
                  <w:vAlign w:val="center"/>
                </w:tcPr>
                <w:p w14:paraId="046F110C">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经度</w:t>
                  </w:r>
                </w:p>
              </w:tc>
              <w:tc>
                <w:tcPr>
                  <w:tcW w:w="1875" w:type="dxa"/>
                  <w:noWrap w:val="0"/>
                  <w:vAlign w:val="center"/>
                </w:tcPr>
                <w:p w14:paraId="7CC7A4F3">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117.866698°</w:t>
                  </w:r>
                </w:p>
              </w:tc>
              <w:tc>
                <w:tcPr>
                  <w:tcW w:w="1080" w:type="dxa"/>
                  <w:noWrap w:val="0"/>
                  <w:vAlign w:val="center"/>
                </w:tcPr>
                <w:p w14:paraId="28F1BCA8">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纬度</w:t>
                  </w:r>
                </w:p>
              </w:tc>
              <w:tc>
                <w:tcPr>
                  <w:tcW w:w="1879" w:type="dxa"/>
                  <w:noWrap w:val="0"/>
                  <w:vAlign w:val="center"/>
                </w:tcPr>
                <w:p w14:paraId="6469F7C7">
                  <w:pPr>
                    <w:pStyle w:val="38"/>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33.110648°</w:t>
                  </w:r>
                </w:p>
              </w:tc>
            </w:tr>
            <w:tr w14:paraId="2E083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3946" w:type="dxa"/>
                  <w:noWrap w:val="0"/>
                  <w:vAlign w:val="center"/>
                </w:tcPr>
                <w:p w14:paraId="60007E23">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主要危险物质及分布</w:t>
                  </w:r>
                </w:p>
              </w:tc>
              <w:tc>
                <w:tcPr>
                  <w:tcW w:w="5896" w:type="dxa"/>
                  <w:gridSpan w:val="4"/>
                  <w:noWrap w:val="0"/>
                  <w:vAlign w:val="center"/>
                </w:tcPr>
                <w:p w14:paraId="10AE09D6">
                  <w:pPr>
                    <w:pStyle w:val="63"/>
                    <w:keepNext w:val="0"/>
                    <w:keepLines w:val="0"/>
                    <w:suppressLineNumbers w:val="0"/>
                    <w:shd w:val="clear" w:color="auto" w:fill="auto"/>
                    <w:adjustRightInd w:val="0"/>
                    <w:snapToGrid w:val="0"/>
                    <w:spacing w:before="0" w:beforeAutospacing="0" w:after="0" w:afterAutospacing="0" w:line="240" w:lineRule="auto"/>
                    <w:ind w:left="0" w:right="0"/>
                    <w:jc w:val="center"/>
                    <w:rPr>
                      <w:rFonts w:hint="eastAsia" w:cs="Times New Roman"/>
                      <w:b w:val="0"/>
                      <w:bCs/>
                      <w:color w:val="auto"/>
                      <w:sz w:val="21"/>
                      <w:szCs w:val="21"/>
                      <w:highlight w:val="none"/>
                      <w:lang w:val="en-US" w:eastAsia="zh-CN"/>
                    </w:rPr>
                  </w:pPr>
                  <w:r>
                    <w:rPr>
                      <w:rFonts w:hint="eastAsia" w:cs="Times New Roman"/>
                      <w:b w:val="0"/>
                      <w:bCs/>
                      <w:color w:val="auto"/>
                      <w:sz w:val="21"/>
                      <w:highlight w:val="none"/>
                      <w:lang w:val="en-US" w:eastAsia="zh-CN"/>
                    </w:rPr>
                    <w:t>油剂</w:t>
                  </w:r>
                  <w:r>
                    <w:rPr>
                      <w:rFonts w:hint="default" w:ascii="Times New Roman" w:hAnsi="Times New Roman" w:cs="Times New Roman"/>
                      <w:b w:val="0"/>
                      <w:bCs/>
                      <w:color w:val="auto"/>
                      <w:sz w:val="21"/>
                      <w:highlight w:val="none"/>
                      <w:lang w:eastAsia="zh-CN"/>
                    </w:rPr>
                    <w:t>、</w:t>
                  </w:r>
                  <w:r>
                    <w:rPr>
                      <w:rFonts w:hint="eastAsia" w:cs="Times New Roman"/>
                      <w:b w:val="0"/>
                      <w:bCs/>
                      <w:color w:val="auto"/>
                      <w:sz w:val="21"/>
                      <w:highlight w:val="none"/>
                      <w:lang w:val="en-US" w:eastAsia="zh-CN"/>
                    </w:rPr>
                    <w:t>机油</w:t>
                  </w:r>
                  <w:r>
                    <w:rPr>
                      <w:rFonts w:hint="default" w:ascii="Times New Roman" w:hAnsi="Times New Roman" w:eastAsia="宋体" w:cs="Times New Roman"/>
                      <w:b w:val="0"/>
                      <w:bCs/>
                      <w:color w:val="auto"/>
                      <w:sz w:val="21"/>
                      <w:szCs w:val="21"/>
                      <w:highlight w:val="none"/>
                    </w:rPr>
                    <w:t>分布于</w:t>
                  </w:r>
                  <w:r>
                    <w:rPr>
                      <w:rFonts w:hint="eastAsia" w:cs="宋体"/>
                      <w:color w:val="auto"/>
                      <w:sz w:val="21"/>
                      <w:szCs w:val="21"/>
                      <w:highlight w:val="none"/>
                      <w:lang w:val="en-US" w:eastAsia="zh-CN"/>
                    </w:rPr>
                    <w:t>仓库</w:t>
                  </w:r>
                  <w:r>
                    <w:rPr>
                      <w:rFonts w:hint="eastAsia" w:ascii="Times New Roman" w:hAnsi="Times New Roman" w:eastAsia="宋体" w:cs="Times New Roman"/>
                      <w:b w:val="0"/>
                      <w:bCs/>
                      <w:color w:val="auto"/>
                      <w:sz w:val="21"/>
                      <w:szCs w:val="21"/>
                      <w:highlight w:val="none"/>
                      <w:lang w:eastAsia="zh-CN"/>
                    </w:rPr>
                    <w:t>；</w:t>
                  </w:r>
                  <w:r>
                    <w:rPr>
                      <w:rFonts w:hint="eastAsia" w:cs="Times New Roman"/>
                      <w:color w:val="auto"/>
                      <w:sz w:val="21"/>
                      <w:szCs w:val="21"/>
                      <w:highlight w:val="none"/>
                      <w:lang w:val="en-US" w:eastAsia="zh-CN"/>
                    </w:rPr>
                    <w:t>废机油、废油、废活性炭、废催化剂</w:t>
                  </w:r>
                  <w:r>
                    <w:rPr>
                      <w:rFonts w:hint="default" w:ascii="Times New Roman" w:hAnsi="Times New Roman" w:eastAsia="宋体" w:cs="Times New Roman"/>
                      <w:b w:val="0"/>
                      <w:bCs/>
                      <w:color w:val="auto"/>
                      <w:sz w:val="21"/>
                      <w:szCs w:val="21"/>
                      <w:highlight w:val="none"/>
                    </w:rPr>
                    <w:t>--分布于危废暂存间</w:t>
                  </w:r>
                  <w:r>
                    <w:rPr>
                      <w:rFonts w:hint="eastAsia" w:cs="Times New Roman"/>
                      <w:b w:val="0"/>
                      <w:bCs/>
                      <w:color w:val="auto"/>
                      <w:sz w:val="21"/>
                      <w:szCs w:val="21"/>
                      <w:highlight w:val="none"/>
                      <w:lang w:eastAsia="zh-CN"/>
                    </w:rPr>
                    <w:t>。</w:t>
                  </w:r>
                </w:p>
              </w:tc>
            </w:tr>
            <w:tr w14:paraId="16390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680" w:hRule="atLeast"/>
                <w:jc w:val="center"/>
              </w:trPr>
              <w:tc>
                <w:tcPr>
                  <w:tcW w:w="3946" w:type="dxa"/>
                  <w:noWrap w:val="0"/>
                  <w:vAlign w:val="center"/>
                </w:tcPr>
                <w:p w14:paraId="677B12FC">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环境影响途径及危害后果</w:t>
                  </w:r>
                </w:p>
                <w:p w14:paraId="127E4586">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（大气、地表水、地下水等）</w:t>
                  </w:r>
                </w:p>
              </w:tc>
              <w:tc>
                <w:tcPr>
                  <w:tcW w:w="5896" w:type="dxa"/>
                  <w:gridSpan w:val="4"/>
                  <w:noWrap w:val="0"/>
                  <w:vAlign w:val="center"/>
                </w:tcPr>
                <w:p w14:paraId="2C720D61">
                  <w:pPr>
                    <w:pStyle w:val="2"/>
                    <w:keepNext w:val="0"/>
                    <w:keepLines w:val="0"/>
                    <w:numPr>
                      <w:ilvl w:val="0"/>
                      <w:numId w:val="0"/>
                    </w:numPr>
                    <w:suppressLineNumbers w:val="0"/>
                    <w:shd w:val="clear" w:color="auto" w:fill="auto"/>
                    <w:tabs>
                      <w:tab w:val="left" w:pos="420"/>
                    </w:tabs>
                    <w:overflowPunct/>
                    <w:spacing w:beforeAutospacing="0" w:after="0" w:afterAutospacing="0" w:line="240" w:lineRule="auto"/>
                    <w:ind w:left="0" w:leftChars="0" w:right="0" w:firstLine="0" w:firstLineChars="0"/>
                    <w:outlineLvl w:val="9"/>
                    <w:rPr>
                      <w:rFonts w:hint="default" w:ascii="Times New Roman" w:hAnsi="Times New Roman" w:eastAsia="宋体" w:cs="Times New Roman"/>
                      <w:b w:val="0"/>
                      <w:bCs/>
                      <w:color w:val="auto"/>
                      <w:sz w:val="21"/>
                      <w:szCs w:val="21"/>
                      <w:highlight w:val="none"/>
                    </w:rPr>
                  </w:pPr>
                  <w:r>
                    <w:rPr>
                      <w:rFonts w:hint="eastAsia" w:cs="Times New Roman"/>
                      <w:color w:val="auto"/>
                      <w:sz w:val="21"/>
                      <w:szCs w:val="21"/>
                      <w:highlight w:val="none"/>
                      <w:lang w:val="en-US" w:eastAsia="zh-CN"/>
                    </w:rPr>
                    <w:t>油剂、机油、废机油、废油、废活性炭</w:t>
                  </w:r>
                  <w:r>
                    <w:rPr>
                      <w:rFonts w:hint="default" w:ascii="Times New Roman" w:hAnsi="Times New Roman" w:eastAsia="宋体" w:cs="Times New Roman"/>
                      <w:b w:val="0"/>
                      <w:bCs/>
                      <w:color w:val="auto"/>
                      <w:sz w:val="21"/>
                      <w:szCs w:val="21"/>
                      <w:highlight w:val="none"/>
                    </w:rPr>
                    <w:t>发生泄漏</w:t>
                  </w:r>
                  <w:r>
                    <w:rPr>
                      <w:rFonts w:hint="default" w:ascii="Times New Roman" w:hAnsi="Times New Roman" w:eastAsia="宋体" w:cs="Times New Roman"/>
                      <w:b w:val="0"/>
                      <w:bCs/>
                      <w:color w:val="auto"/>
                      <w:sz w:val="21"/>
                      <w:szCs w:val="21"/>
                      <w:highlight w:val="none"/>
                      <w:lang w:val="en-US" w:eastAsia="zh-CN"/>
                    </w:rPr>
                    <w:t>或散落</w:t>
                  </w:r>
                  <w:r>
                    <w:rPr>
                      <w:rFonts w:hint="default" w:ascii="Times New Roman" w:hAnsi="Times New Roman" w:eastAsia="宋体" w:cs="Times New Roman"/>
                      <w:b w:val="0"/>
                      <w:bCs/>
                      <w:color w:val="auto"/>
                      <w:sz w:val="21"/>
                      <w:szCs w:val="21"/>
                      <w:highlight w:val="none"/>
                    </w:rPr>
                    <w:t>时会造成土壤和地下水污染</w:t>
                  </w:r>
                  <w:r>
                    <w:rPr>
                      <w:rFonts w:hint="eastAsia" w:ascii="Times New Roman" w:hAnsi="Times New Roman" w:eastAsia="宋体" w:cs="Times New Roman"/>
                      <w:b w:val="0"/>
                      <w:bCs/>
                      <w:color w:val="auto"/>
                      <w:sz w:val="21"/>
                      <w:szCs w:val="21"/>
                      <w:highlight w:val="none"/>
                      <w:lang w:eastAsia="zh-CN"/>
                    </w:rPr>
                    <w:t>；</w:t>
                  </w:r>
                  <w:r>
                    <w:rPr>
                      <w:rFonts w:hint="eastAsia" w:cs="Times New Roman"/>
                      <w:b w:val="0"/>
                      <w:bCs/>
                      <w:color w:val="auto"/>
                      <w:sz w:val="21"/>
                      <w:highlight w:val="none"/>
                      <w:lang w:val="en-US" w:eastAsia="zh-CN"/>
                    </w:rPr>
                    <w:t>油剂</w:t>
                  </w:r>
                  <w:r>
                    <w:rPr>
                      <w:rFonts w:hint="default" w:ascii="Times New Roman" w:hAnsi="Times New Roman" w:cs="Times New Roman"/>
                      <w:b w:val="0"/>
                      <w:bCs/>
                      <w:color w:val="auto"/>
                      <w:sz w:val="21"/>
                      <w:highlight w:val="none"/>
                      <w:lang w:eastAsia="zh-CN"/>
                    </w:rPr>
                    <w:t>、</w:t>
                  </w:r>
                  <w:r>
                    <w:rPr>
                      <w:rFonts w:hint="eastAsia" w:cs="Times New Roman"/>
                      <w:b w:val="0"/>
                      <w:bCs/>
                      <w:color w:val="auto"/>
                      <w:sz w:val="21"/>
                      <w:highlight w:val="none"/>
                      <w:lang w:val="en-US" w:eastAsia="zh-CN"/>
                    </w:rPr>
                    <w:t>机油</w:t>
                  </w:r>
                  <w:r>
                    <w:rPr>
                      <w:rFonts w:hint="default" w:ascii="Times New Roman" w:hAnsi="Times New Roman" w:eastAsia="宋体" w:cs="Times New Roman"/>
                      <w:b w:val="0"/>
                      <w:bCs/>
                      <w:color w:val="auto"/>
                      <w:sz w:val="21"/>
                      <w:szCs w:val="21"/>
                      <w:highlight w:val="none"/>
                    </w:rPr>
                    <w:t>、</w:t>
                  </w:r>
                  <w:r>
                    <w:rPr>
                      <w:rFonts w:hint="eastAsia" w:cs="Times New Roman"/>
                      <w:color w:val="auto"/>
                      <w:sz w:val="21"/>
                      <w:szCs w:val="21"/>
                      <w:highlight w:val="none"/>
                      <w:lang w:val="en-US" w:eastAsia="zh-CN"/>
                    </w:rPr>
                    <w:t>废机油、废油</w:t>
                  </w:r>
                  <w:r>
                    <w:rPr>
                      <w:rFonts w:hint="default" w:ascii="Times New Roman" w:hAnsi="Times New Roman" w:eastAsia="宋体" w:cs="Times New Roman"/>
                      <w:b w:val="0"/>
                      <w:bCs/>
                      <w:color w:val="auto"/>
                      <w:sz w:val="21"/>
                      <w:szCs w:val="21"/>
                      <w:highlight w:val="none"/>
                    </w:rPr>
                    <w:t>发生泄漏时遇火种、热源会发生火灾或爆炸事故</w:t>
                  </w:r>
                  <w:r>
                    <w:rPr>
                      <w:rFonts w:hint="eastAsia" w:ascii="Times New Roman" w:hAnsi="Times New Roman" w:eastAsia="宋体" w:cs="Times New Roman"/>
                      <w:b w:val="0"/>
                      <w:bCs/>
                      <w:color w:val="auto"/>
                      <w:sz w:val="21"/>
                      <w:szCs w:val="21"/>
                      <w:highlight w:val="none"/>
                      <w:lang w:val="en-US" w:eastAsia="zh-CN"/>
                    </w:rPr>
                    <w:t>。</w:t>
                  </w:r>
                </w:p>
              </w:tc>
            </w:tr>
            <w:tr w14:paraId="72D2A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3946" w:type="dxa"/>
                  <w:noWrap w:val="0"/>
                  <w:vAlign w:val="center"/>
                </w:tcPr>
                <w:p w14:paraId="2EAAB08C">
                  <w:pPr>
                    <w:pStyle w:val="4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风险防范措施要求</w:t>
                  </w:r>
                </w:p>
              </w:tc>
              <w:tc>
                <w:tcPr>
                  <w:tcW w:w="5896" w:type="dxa"/>
                  <w:gridSpan w:val="4"/>
                  <w:noWrap w:val="0"/>
                  <w:vAlign w:val="center"/>
                </w:tcPr>
                <w:p w14:paraId="264D5B1A">
                  <w:pPr>
                    <w:keepNext w:val="0"/>
                    <w:keepLines w:val="0"/>
                    <w:suppressLineNumbers w:val="0"/>
                    <w:shd w:val="clear" w:color="auto" w:fill="auto"/>
                    <w:adjustRightInd w:val="0"/>
                    <w:snapToGrid w:val="0"/>
                    <w:spacing w:before="0" w:beforeAutospacing="0" w:after="0" w:afterAutospacing="0"/>
                    <w:ind w:left="0" w:right="0"/>
                    <w:rPr>
                      <w:rFonts w:hint="default" w:ascii="Times New Roman" w:hAnsi="Times New Roman" w:eastAsia="宋体" w:cs="Times New Roman"/>
                      <w:b w:val="0"/>
                      <w:bCs/>
                      <w:snapToGrid w:val="0"/>
                      <w:color w:val="auto"/>
                      <w:kern w:val="0"/>
                      <w:sz w:val="21"/>
                      <w:szCs w:val="21"/>
                      <w:highlight w:val="none"/>
                      <w:lang w:val="zh-CN"/>
                    </w:rPr>
                  </w:pPr>
                  <w:r>
                    <w:rPr>
                      <w:rFonts w:hint="default" w:ascii="Times New Roman" w:hAnsi="Times New Roman" w:eastAsia="宋体" w:cs="Times New Roman"/>
                      <w:b w:val="0"/>
                      <w:bCs/>
                      <w:snapToGrid w:val="0"/>
                      <w:color w:val="auto"/>
                      <w:kern w:val="0"/>
                      <w:sz w:val="21"/>
                      <w:szCs w:val="21"/>
                      <w:highlight w:val="none"/>
                      <w:lang w:val="zh-CN"/>
                    </w:rPr>
                    <w:t>①储存物存放处设置明显的标志。</w:t>
                  </w:r>
                </w:p>
                <w:p w14:paraId="71744733">
                  <w:pPr>
                    <w:keepNext w:val="0"/>
                    <w:keepLines w:val="0"/>
                    <w:suppressLineNumbers w:val="0"/>
                    <w:shd w:val="clear" w:color="auto" w:fill="auto"/>
                    <w:adjustRightInd w:val="0"/>
                    <w:snapToGrid w:val="0"/>
                    <w:spacing w:before="0" w:beforeAutospacing="0" w:after="0" w:afterAutospacing="0"/>
                    <w:ind w:left="0" w:right="0"/>
                    <w:rPr>
                      <w:rFonts w:hint="default" w:ascii="Times New Roman" w:hAnsi="Times New Roman" w:eastAsia="宋体" w:cs="Times New Roman"/>
                      <w:b w:val="0"/>
                      <w:bCs/>
                      <w:snapToGrid w:val="0"/>
                      <w:color w:val="auto"/>
                      <w:kern w:val="0"/>
                      <w:sz w:val="21"/>
                      <w:szCs w:val="21"/>
                      <w:highlight w:val="none"/>
                      <w:lang w:val="zh-CN"/>
                    </w:rPr>
                  </w:pPr>
                  <w:r>
                    <w:rPr>
                      <w:rFonts w:hint="default" w:ascii="Times New Roman" w:hAnsi="Times New Roman" w:eastAsia="宋体" w:cs="Times New Roman"/>
                      <w:b w:val="0"/>
                      <w:bCs/>
                      <w:snapToGrid w:val="0"/>
                      <w:color w:val="auto"/>
                      <w:kern w:val="0"/>
                      <w:sz w:val="21"/>
                      <w:szCs w:val="21"/>
                      <w:highlight w:val="none"/>
                      <w:lang w:val="zh-CN"/>
                    </w:rPr>
                    <w:t>②对各类原料按计划采购、分期分批入库，严格控制贮存量。</w:t>
                  </w:r>
                </w:p>
                <w:p w14:paraId="78C5F2DF">
                  <w:pPr>
                    <w:keepNext w:val="0"/>
                    <w:keepLines w:val="0"/>
                    <w:suppressLineNumbers w:val="0"/>
                    <w:shd w:val="clear" w:color="auto" w:fill="auto"/>
                    <w:adjustRightInd w:val="0"/>
                    <w:snapToGrid w:val="0"/>
                    <w:spacing w:before="0" w:beforeAutospacing="0" w:after="0" w:afterAutospacing="0"/>
                    <w:ind w:left="0" w:right="0"/>
                    <w:rPr>
                      <w:rFonts w:hint="default" w:ascii="Times New Roman" w:hAnsi="Times New Roman" w:eastAsia="宋体" w:cs="Times New Roman"/>
                      <w:b w:val="0"/>
                      <w:bCs/>
                      <w:snapToGrid w:val="0"/>
                      <w:color w:val="auto"/>
                      <w:kern w:val="0"/>
                      <w:sz w:val="21"/>
                      <w:szCs w:val="21"/>
                      <w:highlight w:val="none"/>
                      <w:lang w:val="zh-CN"/>
                    </w:rPr>
                  </w:pPr>
                  <w:r>
                    <w:rPr>
                      <w:rFonts w:hint="default" w:ascii="Times New Roman" w:hAnsi="Times New Roman" w:eastAsia="宋体" w:cs="Times New Roman"/>
                      <w:b w:val="0"/>
                      <w:bCs/>
                      <w:snapToGrid w:val="0"/>
                      <w:color w:val="auto"/>
                      <w:kern w:val="0"/>
                      <w:sz w:val="21"/>
                      <w:szCs w:val="21"/>
                      <w:highlight w:val="none"/>
                      <w:lang w:val="zh-CN"/>
                    </w:rPr>
                    <w:t>③对各类火种、火源和有散发火花危险的机械设备、作业活动，以及可燃、易燃物品的控制和管理。</w:t>
                  </w:r>
                </w:p>
                <w:p w14:paraId="4C5A8360">
                  <w:pPr>
                    <w:keepNext w:val="0"/>
                    <w:keepLines w:val="0"/>
                    <w:suppressLineNumbers w:val="0"/>
                    <w:shd w:val="clear" w:color="auto" w:fill="auto"/>
                    <w:adjustRightInd w:val="0"/>
                    <w:snapToGrid w:val="0"/>
                    <w:spacing w:before="0" w:beforeAutospacing="0" w:after="0" w:afterAutospacing="0"/>
                    <w:ind w:left="0" w:right="0"/>
                    <w:rPr>
                      <w:rFonts w:hint="default" w:ascii="Times New Roman" w:hAnsi="Times New Roman" w:eastAsia="宋体" w:cs="Times New Roman"/>
                      <w:b w:val="0"/>
                      <w:bCs/>
                      <w:snapToGrid w:val="0"/>
                      <w:color w:val="auto"/>
                      <w:kern w:val="0"/>
                      <w:sz w:val="21"/>
                      <w:szCs w:val="21"/>
                      <w:highlight w:val="none"/>
                      <w:lang w:val="zh-CN"/>
                    </w:rPr>
                  </w:pPr>
                  <w:r>
                    <w:rPr>
                      <w:rFonts w:hint="default" w:ascii="Times New Roman" w:hAnsi="Times New Roman" w:eastAsia="宋体" w:cs="Times New Roman"/>
                      <w:b w:val="0"/>
                      <w:bCs/>
                      <w:snapToGrid w:val="0"/>
                      <w:color w:val="auto"/>
                      <w:kern w:val="0"/>
                      <w:sz w:val="21"/>
                      <w:szCs w:val="21"/>
                      <w:highlight w:val="none"/>
                      <w:lang w:val="zh-CN"/>
                    </w:rPr>
                    <w:t>④实行安全检查制度，各类安全设施、消防器材，进行各种日常的、定期的、专业的防火安全检查，并将发现的问题定人、限期落实整改。</w:t>
                  </w:r>
                </w:p>
                <w:p w14:paraId="58EC614F">
                  <w:pPr>
                    <w:keepNext w:val="0"/>
                    <w:keepLines w:val="0"/>
                    <w:suppressLineNumbers w:val="0"/>
                    <w:shd w:val="clear" w:color="auto" w:fill="auto"/>
                    <w:adjustRightInd w:val="0"/>
                    <w:snapToGrid w:val="0"/>
                    <w:spacing w:before="0" w:beforeAutospacing="0" w:after="0" w:afterAutospacing="0"/>
                    <w:ind w:left="0" w:right="0"/>
                    <w:rPr>
                      <w:rFonts w:hint="default" w:ascii="Times New Roman" w:hAnsi="Times New Roman" w:eastAsia="宋体" w:cs="Times New Roman"/>
                      <w:b w:val="0"/>
                      <w:bCs/>
                      <w:snapToGrid w:val="0"/>
                      <w:color w:val="auto"/>
                      <w:kern w:val="0"/>
                      <w:sz w:val="21"/>
                      <w:szCs w:val="21"/>
                      <w:highlight w:val="none"/>
                      <w:lang w:val="zh-CN"/>
                    </w:rPr>
                  </w:pPr>
                  <w:r>
                    <w:rPr>
                      <w:rFonts w:hint="default" w:ascii="Times New Roman" w:hAnsi="Times New Roman" w:eastAsia="宋体" w:cs="Times New Roman"/>
                      <w:b w:val="0"/>
                      <w:bCs/>
                      <w:snapToGrid w:val="0"/>
                      <w:color w:val="auto"/>
                      <w:kern w:val="0"/>
                      <w:sz w:val="21"/>
                      <w:szCs w:val="21"/>
                      <w:highlight w:val="none"/>
                      <w:lang w:val="zh-CN"/>
                    </w:rPr>
                    <w:t>⑤制定各种操作规范，加强监督管理，严格看管检查制度，避免事故的发生。</w:t>
                  </w:r>
                </w:p>
                <w:p w14:paraId="475127C6">
                  <w:pPr>
                    <w:keepNext w:val="0"/>
                    <w:keepLines w:val="0"/>
                    <w:suppressLineNumbers w:val="0"/>
                    <w:shd w:val="clear" w:color="auto" w:fill="auto"/>
                    <w:adjustRightInd w:val="0"/>
                    <w:snapToGrid w:val="0"/>
                    <w:spacing w:before="0" w:beforeAutospacing="0" w:after="0" w:afterAutospacing="0"/>
                    <w:ind w:left="0" w:right="0"/>
                    <w:rPr>
                      <w:rFonts w:hint="default" w:ascii="Times New Roman" w:hAnsi="Times New Roman" w:eastAsia="宋体" w:cs="Times New Roman"/>
                      <w:b w:val="0"/>
                      <w:bCs/>
                      <w:snapToGrid w:val="0"/>
                      <w:color w:val="auto"/>
                      <w:kern w:val="0"/>
                      <w:sz w:val="21"/>
                      <w:szCs w:val="21"/>
                      <w:highlight w:val="none"/>
                      <w:lang w:val="zh-CN"/>
                    </w:rPr>
                  </w:pPr>
                  <w:r>
                    <w:rPr>
                      <w:rFonts w:hint="default" w:ascii="Times New Roman" w:hAnsi="Times New Roman" w:eastAsia="宋体" w:cs="Times New Roman"/>
                      <w:b w:val="0"/>
                      <w:bCs/>
                      <w:snapToGrid w:val="0"/>
                      <w:color w:val="auto"/>
                      <w:kern w:val="0"/>
                      <w:sz w:val="21"/>
                      <w:szCs w:val="21"/>
                      <w:highlight w:val="none"/>
                      <w:lang w:val="zh-CN"/>
                    </w:rPr>
                    <w:t>⑥在事故状态下，由于管理、失误操作等原因，可能会导致泄漏的物料、</w:t>
                  </w:r>
                  <w:r>
                    <w:rPr>
                      <w:rFonts w:hint="default" w:ascii="Times New Roman" w:hAnsi="Times New Roman" w:eastAsia="宋体" w:cs="Times New Roman"/>
                      <w:b w:val="0"/>
                      <w:bCs/>
                      <w:snapToGrid w:val="0"/>
                      <w:color w:val="auto"/>
                      <w:kern w:val="0"/>
                      <w:sz w:val="21"/>
                      <w:szCs w:val="21"/>
                      <w:highlight w:val="none"/>
                    </w:rPr>
                    <w:t>生产废水</w:t>
                  </w:r>
                  <w:r>
                    <w:rPr>
                      <w:rFonts w:hint="default" w:ascii="Times New Roman" w:hAnsi="Times New Roman" w:eastAsia="宋体" w:cs="Times New Roman"/>
                      <w:b w:val="0"/>
                      <w:bCs/>
                      <w:snapToGrid w:val="0"/>
                      <w:color w:val="auto"/>
                      <w:kern w:val="0"/>
                      <w:sz w:val="21"/>
                      <w:szCs w:val="21"/>
                      <w:highlight w:val="none"/>
                      <w:lang w:val="zh-CN"/>
                    </w:rPr>
                    <w:t>和消防污水通过净下水（雨水）系统从雨水排口进入外部水体，污染地表水体，</w:t>
                  </w:r>
                  <w:r>
                    <w:rPr>
                      <w:rFonts w:hint="default" w:ascii="Times New Roman" w:hAnsi="Times New Roman" w:eastAsia="宋体" w:cs="Times New Roman"/>
                      <w:b w:val="0"/>
                      <w:bCs/>
                      <w:snapToGrid w:val="0"/>
                      <w:color w:val="auto"/>
                      <w:kern w:val="0"/>
                      <w:sz w:val="21"/>
                      <w:szCs w:val="21"/>
                      <w:highlight w:val="none"/>
                    </w:rPr>
                    <w:t>本项目雨水最终排入</w:t>
                  </w:r>
                  <w:r>
                    <w:rPr>
                      <w:rFonts w:hint="eastAsia" w:cs="Times New Roman"/>
                      <w:b w:val="0"/>
                      <w:bCs/>
                      <w:snapToGrid w:val="0"/>
                      <w:color w:val="auto"/>
                      <w:kern w:val="0"/>
                      <w:sz w:val="21"/>
                      <w:szCs w:val="21"/>
                      <w:highlight w:val="none"/>
                      <w:lang w:val="en-US" w:eastAsia="zh-CN"/>
                    </w:rPr>
                    <w:t>淮</w:t>
                  </w:r>
                  <w:r>
                    <w:rPr>
                      <w:rFonts w:hint="default" w:ascii="Times New Roman" w:hAnsi="Times New Roman" w:eastAsia="宋体" w:cs="Times New Roman"/>
                      <w:b w:val="0"/>
                      <w:bCs/>
                      <w:snapToGrid w:val="0"/>
                      <w:color w:val="auto"/>
                      <w:kern w:val="0"/>
                      <w:sz w:val="21"/>
                      <w:szCs w:val="21"/>
                      <w:highlight w:val="none"/>
                    </w:rPr>
                    <w:t>河</w:t>
                  </w:r>
                  <w:r>
                    <w:rPr>
                      <w:rFonts w:hint="default" w:ascii="Times New Roman" w:hAnsi="Times New Roman" w:eastAsia="宋体" w:cs="Times New Roman"/>
                      <w:b w:val="0"/>
                      <w:bCs/>
                      <w:snapToGrid w:val="0"/>
                      <w:color w:val="auto"/>
                      <w:kern w:val="0"/>
                      <w:sz w:val="21"/>
                      <w:szCs w:val="21"/>
                      <w:highlight w:val="none"/>
                      <w:lang w:val="zh-CN"/>
                    </w:rPr>
                    <w:t>。为防止消防废水、</w:t>
                  </w:r>
                  <w:r>
                    <w:rPr>
                      <w:rFonts w:hint="default" w:ascii="Times New Roman" w:hAnsi="Times New Roman" w:eastAsia="宋体" w:cs="Times New Roman"/>
                      <w:b w:val="0"/>
                      <w:bCs/>
                      <w:snapToGrid w:val="0"/>
                      <w:color w:val="auto"/>
                      <w:kern w:val="0"/>
                      <w:sz w:val="21"/>
                      <w:szCs w:val="21"/>
                      <w:highlight w:val="none"/>
                    </w:rPr>
                    <w:t>生产废水</w:t>
                  </w:r>
                  <w:r>
                    <w:rPr>
                      <w:rFonts w:hint="default" w:ascii="Times New Roman" w:hAnsi="Times New Roman" w:eastAsia="宋体" w:cs="Times New Roman"/>
                      <w:b w:val="0"/>
                      <w:bCs/>
                      <w:snapToGrid w:val="0"/>
                      <w:color w:val="auto"/>
                      <w:kern w:val="0"/>
                      <w:sz w:val="21"/>
                      <w:szCs w:val="21"/>
                      <w:highlight w:val="none"/>
                      <w:lang w:val="zh-CN"/>
                    </w:rPr>
                    <w:t>等从雨排口或清下水排口直接排出，在排水管网（包括雨水管网、污水管网）全部设置切断装置，必要时立即切断所有排水管网（包括雨水管网、污水管网），严防未经处理的事故废水排入区域地表水体。</w:t>
                  </w:r>
                </w:p>
                <w:p w14:paraId="593F084E">
                  <w:pPr>
                    <w:pStyle w:val="2"/>
                    <w:keepNext w:val="0"/>
                    <w:keepLines w:val="0"/>
                    <w:numPr>
                      <w:ilvl w:val="0"/>
                      <w:numId w:val="0"/>
                    </w:numPr>
                    <w:suppressLineNumbers w:val="0"/>
                    <w:shd w:val="clear" w:color="auto" w:fill="auto"/>
                    <w:tabs>
                      <w:tab w:val="left" w:pos="420"/>
                    </w:tabs>
                    <w:overflowPunct/>
                    <w:spacing w:beforeAutospacing="0" w:after="0" w:afterAutospacing="0" w:line="240" w:lineRule="auto"/>
                    <w:ind w:left="0" w:leftChars="0" w:right="0" w:firstLine="0" w:firstLineChars="0"/>
                    <w:jc w:val="both"/>
                    <w:outlineLvl w:val="9"/>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auto"/>
                      <w:kern w:val="0"/>
                      <w:sz w:val="21"/>
                      <w:szCs w:val="21"/>
                      <w:highlight w:val="none"/>
                      <w:lang w:val="zh-CN"/>
                    </w:rPr>
                    <w:t>⑦制定、落实事故风险应急预案和环境监测计划</w:t>
                  </w:r>
                  <w:r>
                    <w:rPr>
                      <w:rFonts w:hint="default" w:ascii="Times New Roman" w:hAnsi="Times New Roman" w:eastAsia="宋体" w:cs="Times New Roman"/>
                      <w:b w:val="0"/>
                      <w:bCs/>
                      <w:snapToGrid w:val="0"/>
                      <w:color w:val="auto"/>
                      <w:kern w:val="0"/>
                      <w:sz w:val="21"/>
                      <w:szCs w:val="21"/>
                      <w:highlight w:val="none"/>
                    </w:rPr>
                    <w:t>。</w:t>
                  </w:r>
                </w:p>
              </w:tc>
            </w:tr>
          </w:tbl>
          <w:p w14:paraId="08851B05">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环境风险防范措施</w:t>
            </w:r>
          </w:p>
          <w:p w14:paraId="761E1E9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1</w:t>
            </w:r>
            <w:r>
              <w:rPr>
                <w:rFonts w:hint="default" w:ascii="Times New Roman" w:hAnsi="Times New Roman" w:cs="Times New Roman"/>
                <w:color w:val="auto"/>
                <w:highlight w:val="none"/>
              </w:rPr>
              <w:t>）物料泄漏风险</w:t>
            </w:r>
          </w:p>
          <w:p w14:paraId="17398C83">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项目主要可能泄漏的物料有</w:t>
            </w:r>
            <w:r>
              <w:rPr>
                <w:rFonts w:hint="eastAsia" w:cs="Times New Roman"/>
                <w:color w:val="auto"/>
                <w:sz w:val="24"/>
                <w:szCs w:val="24"/>
                <w:highlight w:val="none"/>
                <w:lang w:val="en-US" w:eastAsia="zh-CN"/>
              </w:rPr>
              <w:t>油剂、机油、废机油、废油、废活性炭</w:t>
            </w:r>
            <w:r>
              <w:rPr>
                <w:rFonts w:hint="default" w:ascii="Times New Roman" w:hAnsi="Times New Roman" w:cs="Times New Roman"/>
                <w:color w:val="auto"/>
                <w:highlight w:val="none"/>
                <w:lang w:val="en-US" w:eastAsia="zh-CN"/>
              </w:rPr>
              <w:t>等液体试剂</w:t>
            </w:r>
            <w:r>
              <w:rPr>
                <w:rFonts w:hint="default" w:ascii="Times New Roman" w:hAnsi="Times New Roman" w:cs="Times New Roman"/>
                <w:color w:val="auto"/>
                <w:highlight w:val="none"/>
              </w:rPr>
              <w:t>，一旦</w:t>
            </w:r>
            <w:r>
              <w:rPr>
                <w:rFonts w:hint="default" w:ascii="Times New Roman" w:hAnsi="Times New Roman" w:cs="Times New Roman"/>
                <w:color w:val="auto"/>
                <w:highlight w:val="none"/>
                <w:lang w:eastAsia="zh-CN"/>
              </w:rPr>
              <w:t>发生</w:t>
            </w:r>
            <w:r>
              <w:rPr>
                <w:rFonts w:hint="default" w:ascii="Times New Roman" w:hAnsi="Times New Roman" w:cs="Times New Roman"/>
                <w:color w:val="auto"/>
                <w:highlight w:val="none"/>
              </w:rPr>
              <w:t>泄漏、下渗，可能造成地表水、地下水、土壤环境的污染。</w:t>
            </w:r>
          </w:p>
          <w:p w14:paraId="620089E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项目可能</w:t>
            </w:r>
            <w:r>
              <w:rPr>
                <w:rFonts w:hint="default" w:ascii="Times New Roman" w:hAnsi="Times New Roman" w:cs="Times New Roman"/>
                <w:color w:val="auto"/>
                <w:highlight w:val="none"/>
                <w:lang w:eastAsia="zh-CN"/>
              </w:rPr>
              <w:t>发生</w:t>
            </w:r>
            <w:r>
              <w:rPr>
                <w:rFonts w:hint="default" w:ascii="Times New Roman" w:hAnsi="Times New Roman" w:cs="Times New Roman"/>
                <w:color w:val="auto"/>
                <w:highlight w:val="none"/>
              </w:rPr>
              <w:t>泄漏的</w:t>
            </w:r>
            <w:r>
              <w:rPr>
                <w:rFonts w:hint="default" w:ascii="Times New Roman" w:hAnsi="Times New Roman" w:cs="Times New Roman"/>
                <w:color w:val="auto"/>
                <w:highlight w:val="none"/>
                <w:lang w:eastAsia="zh-CN"/>
              </w:rPr>
              <w:t>场所为</w:t>
            </w:r>
            <w:r>
              <w:rPr>
                <w:rFonts w:hint="default" w:ascii="Times New Roman" w:hAnsi="Times New Roman" w:cs="Times New Roman"/>
                <w:b w:val="0"/>
                <w:bCs/>
                <w:color w:val="auto"/>
                <w:highlight w:val="none"/>
                <w:lang w:val="en-US" w:eastAsia="zh-CN"/>
              </w:rPr>
              <w:t>危废暂存间、</w:t>
            </w:r>
            <w:r>
              <w:rPr>
                <w:rFonts w:hint="eastAsia" w:cs="Times New Roman"/>
                <w:b w:val="0"/>
                <w:bCs/>
                <w:color w:val="auto"/>
                <w:highlight w:val="none"/>
                <w:lang w:val="en-US" w:eastAsia="zh-CN"/>
              </w:rPr>
              <w:t>污水处理站、加弹区、织造区、磨毛区</w:t>
            </w:r>
            <w:r>
              <w:rPr>
                <w:rFonts w:hint="default" w:ascii="Times New Roman" w:hAnsi="Times New Roman" w:cs="Times New Roman"/>
                <w:b w:val="0"/>
                <w:bCs/>
                <w:color w:val="auto"/>
                <w:sz w:val="24"/>
                <w:szCs w:val="24"/>
                <w:highlight w:val="none"/>
                <w:lang w:val="en-US" w:eastAsia="zh-CN"/>
              </w:rPr>
              <w:t>等区域</w:t>
            </w:r>
            <w:r>
              <w:rPr>
                <w:rFonts w:hint="default" w:ascii="Times New Roman" w:hAnsi="Times New Roman" w:cs="Times New Roman"/>
                <w:color w:val="auto"/>
                <w:highlight w:val="none"/>
                <w:lang w:eastAsia="zh-CN"/>
              </w:rPr>
              <w:t>，需</w:t>
            </w:r>
            <w:r>
              <w:rPr>
                <w:rFonts w:hint="default" w:ascii="Times New Roman" w:hAnsi="Times New Roman" w:cs="Times New Roman"/>
                <w:color w:val="auto"/>
                <w:highlight w:val="none"/>
              </w:rPr>
              <w:t>按照重点防渗区防渗要求</w:t>
            </w:r>
            <w:r>
              <w:rPr>
                <w:rFonts w:hint="default" w:ascii="Times New Roman" w:hAnsi="Times New Roman" w:cs="Times New Roman"/>
                <w:color w:val="auto"/>
                <w:highlight w:val="none"/>
                <w:lang w:eastAsia="zh-CN"/>
              </w:rPr>
              <w:t>进行</w:t>
            </w:r>
            <w:r>
              <w:rPr>
                <w:rFonts w:hint="default" w:ascii="Times New Roman" w:hAnsi="Times New Roman" w:cs="Times New Roman"/>
                <w:color w:val="auto"/>
                <w:highlight w:val="none"/>
              </w:rPr>
              <w:t>防渗，专人管理，建立物料台账。</w:t>
            </w:r>
          </w:p>
          <w:p w14:paraId="36158E7C">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综上，项目物料确保厂内多运少存，在</w:t>
            </w:r>
            <w:r>
              <w:rPr>
                <w:rFonts w:hint="default" w:ascii="Times New Roman" w:hAnsi="Times New Roman" w:cs="Times New Roman"/>
                <w:color w:val="auto"/>
                <w:highlight w:val="none"/>
                <w:lang w:eastAsia="zh-CN"/>
              </w:rPr>
              <w:t>严格落实</w:t>
            </w:r>
            <w:r>
              <w:rPr>
                <w:rFonts w:hint="default" w:ascii="Times New Roman" w:hAnsi="Times New Roman" w:cs="Times New Roman"/>
                <w:color w:val="auto"/>
                <w:highlight w:val="none"/>
              </w:rPr>
              <w:t>的</w:t>
            </w:r>
            <w:r>
              <w:rPr>
                <w:rFonts w:hint="default" w:ascii="Times New Roman" w:hAnsi="Times New Roman" w:cs="Times New Roman"/>
                <w:color w:val="auto"/>
                <w:highlight w:val="none"/>
                <w:lang w:eastAsia="zh-CN"/>
              </w:rPr>
              <w:t>相关风险</w:t>
            </w:r>
            <w:r>
              <w:rPr>
                <w:rFonts w:hint="default" w:ascii="Times New Roman" w:hAnsi="Times New Roman" w:cs="Times New Roman"/>
                <w:color w:val="auto"/>
                <w:highlight w:val="none"/>
              </w:rPr>
              <w:t>防范措施下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物料泄漏</w:t>
            </w:r>
            <w:r>
              <w:rPr>
                <w:rFonts w:hint="default" w:ascii="Times New Roman" w:hAnsi="Times New Roman" w:cs="Times New Roman"/>
                <w:color w:val="auto"/>
                <w:highlight w:val="none"/>
                <w:lang w:eastAsia="zh-CN"/>
              </w:rPr>
              <w:t>的</w:t>
            </w:r>
            <w:r>
              <w:rPr>
                <w:rFonts w:hint="default" w:ascii="Times New Roman" w:hAnsi="Times New Roman" w:cs="Times New Roman"/>
                <w:color w:val="auto"/>
                <w:highlight w:val="none"/>
              </w:rPr>
              <w:t>风险可控，</w:t>
            </w:r>
            <w:r>
              <w:rPr>
                <w:rFonts w:hint="default" w:ascii="Times New Roman" w:hAnsi="Times New Roman" w:cs="Times New Roman"/>
                <w:color w:val="auto"/>
                <w:highlight w:val="none"/>
                <w:lang w:eastAsia="zh-CN"/>
              </w:rPr>
              <w:t>发生</w:t>
            </w:r>
            <w:r>
              <w:rPr>
                <w:rFonts w:hint="default" w:ascii="Times New Roman" w:hAnsi="Times New Roman" w:cs="Times New Roman"/>
                <w:color w:val="auto"/>
                <w:highlight w:val="none"/>
              </w:rPr>
              <w:t>的可能性较小。</w:t>
            </w:r>
          </w:p>
          <w:p w14:paraId="003457C7">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火灾风险</w:t>
            </w:r>
          </w:p>
          <w:p w14:paraId="24E8E96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根据《建设项目环境风险评价技术导则》（HJ169-2018），项目涉及的环境风险物质</w:t>
            </w:r>
            <w:r>
              <w:rPr>
                <w:rFonts w:hint="default" w:ascii="Times New Roman" w:hAnsi="Times New Roman" w:cs="Times New Roman"/>
                <w:color w:val="auto"/>
                <w:highlight w:val="none"/>
                <w:lang w:eastAsia="zh-CN"/>
              </w:rPr>
              <w:t>为</w:t>
            </w:r>
            <w:r>
              <w:rPr>
                <w:rFonts w:hint="eastAsia" w:cs="Times New Roman"/>
                <w:b w:val="0"/>
                <w:bCs/>
                <w:color w:val="auto"/>
                <w:sz w:val="24"/>
                <w:szCs w:val="32"/>
                <w:highlight w:val="none"/>
                <w:lang w:val="en-US" w:eastAsia="zh-CN"/>
              </w:rPr>
              <w:t>油剂</w:t>
            </w:r>
            <w:r>
              <w:rPr>
                <w:rFonts w:hint="default" w:ascii="Times New Roman" w:hAnsi="Times New Roman" w:cs="Times New Roman"/>
                <w:b w:val="0"/>
                <w:bCs/>
                <w:color w:val="auto"/>
                <w:sz w:val="24"/>
                <w:szCs w:val="32"/>
                <w:highlight w:val="none"/>
                <w:lang w:eastAsia="zh-CN"/>
              </w:rPr>
              <w:t>、</w:t>
            </w:r>
            <w:r>
              <w:rPr>
                <w:rFonts w:hint="eastAsia" w:cs="Times New Roman"/>
                <w:b w:val="0"/>
                <w:bCs/>
                <w:color w:val="auto"/>
                <w:sz w:val="24"/>
                <w:szCs w:val="32"/>
                <w:highlight w:val="none"/>
                <w:lang w:val="en-US" w:eastAsia="zh-CN"/>
              </w:rPr>
              <w:t>机油</w:t>
            </w:r>
            <w:r>
              <w:rPr>
                <w:rFonts w:hint="default" w:ascii="Times New Roman" w:hAnsi="Times New Roman" w:eastAsia="宋体" w:cs="Times New Roman"/>
                <w:b w:val="0"/>
                <w:bCs/>
                <w:color w:val="auto"/>
                <w:sz w:val="24"/>
                <w:szCs w:val="24"/>
                <w:highlight w:val="none"/>
              </w:rPr>
              <w:t>、</w:t>
            </w:r>
            <w:r>
              <w:rPr>
                <w:rFonts w:hint="eastAsia" w:cs="Times New Roman"/>
                <w:color w:val="auto"/>
                <w:sz w:val="24"/>
                <w:szCs w:val="24"/>
                <w:highlight w:val="none"/>
                <w:lang w:val="en-US" w:eastAsia="zh-CN"/>
              </w:rPr>
              <w:t>废机油、废油</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在生产过程中产生废包装物，遇明火或热源可能会引发火灾</w:t>
            </w:r>
            <w:r>
              <w:rPr>
                <w:rFonts w:hint="default" w:ascii="Times New Roman" w:hAnsi="Times New Roman" w:cs="Times New Roman"/>
                <w:color w:val="auto"/>
                <w:highlight w:val="none"/>
                <w:lang w:eastAsia="zh-CN"/>
              </w:rPr>
              <w:t>。</w:t>
            </w:r>
          </w:p>
          <w:p w14:paraId="44B9383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lang w:val="en-US" w:eastAsia="zh-CN"/>
              </w:rPr>
            </w:pPr>
            <w:r>
              <w:rPr>
                <w:rFonts w:hint="eastAsia" w:cs="Times New Roman"/>
                <w:b w:val="0"/>
                <w:bCs/>
                <w:color w:val="auto"/>
                <w:sz w:val="24"/>
                <w:szCs w:val="32"/>
                <w:highlight w:val="none"/>
                <w:lang w:val="en-US" w:eastAsia="zh-CN"/>
              </w:rPr>
              <w:t>油剂</w:t>
            </w:r>
            <w:r>
              <w:rPr>
                <w:rFonts w:hint="default" w:ascii="Times New Roman" w:hAnsi="Times New Roman" w:cs="Times New Roman"/>
                <w:b w:val="0"/>
                <w:bCs/>
                <w:color w:val="auto"/>
                <w:sz w:val="24"/>
                <w:szCs w:val="32"/>
                <w:highlight w:val="none"/>
                <w:lang w:eastAsia="zh-CN"/>
              </w:rPr>
              <w:t>、</w:t>
            </w:r>
            <w:r>
              <w:rPr>
                <w:rFonts w:hint="eastAsia" w:cs="Times New Roman"/>
                <w:b w:val="0"/>
                <w:bCs/>
                <w:color w:val="auto"/>
                <w:sz w:val="24"/>
                <w:szCs w:val="32"/>
                <w:highlight w:val="none"/>
                <w:lang w:val="en-US" w:eastAsia="zh-CN"/>
              </w:rPr>
              <w:t>机油</w:t>
            </w:r>
            <w:r>
              <w:rPr>
                <w:rFonts w:hint="default" w:ascii="Times New Roman" w:hAnsi="Times New Roman" w:eastAsia="宋体" w:cs="Times New Roman"/>
                <w:b w:val="0"/>
                <w:bCs/>
                <w:color w:val="auto"/>
                <w:sz w:val="24"/>
                <w:szCs w:val="24"/>
                <w:highlight w:val="none"/>
              </w:rPr>
              <w:t>、</w:t>
            </w:r>
            <w:r>
              <w:rPr>
                <w:rFonts w:hint="eastAsia" w:cs="Times New Roman"/>
                <w:color w:val="auto"/>
                <w:sz w:val="24"/>
                <w:szCs w:val="24"/>
                <w:highlight w:val="none"/>
                <w:lang w:val="en-US" w:eastAsia="zh-CN"/>
              </w:rPr>
              <w:t>废机油、废油</w:t>
            </w:r>
            <w:r>
              <w:rPr>
                <w:rFonts w:hint="default" w:ascii="Times New Roman" w:hAnsi="Times New Roman" w:cs="Times New Roman"/>
                <w:color w:val="auto"/>
                <w:highlight w:val="none"/>
                <w:lang w:val="en-US" w:eastAsia="zh-CN"/>
              </w:rPr>
              <w:t>采用铁桶封盖盛。项目厂区严禁烟火，严格执行三级动火证制度，加强可燃物料的管理，加强电气、电线保养与防爆等措施，项目火灾风险是可以避免的，发生的风险较小。</w:t>
            </w:r>
          </w:p>
          <w:p w14:paraId="505F62F2">
            <w:pPr>
              <w:pStyle w:val="42"/>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危险废物泄漏/遗失</w:t>
            </w:r>
            <w:r>
              <w:rPr>
                <w:rFonts w:hint="default" w:ascii="Times New Roman" w:hAnsi="Times New Roman" w:cs="Times New Roman"/>
                <w:color w:val="auto"/>
                <w:highlight w:val="none"/>
              </w:rPr>
              <w:t>风险</w:t>
            </w:r>
          </w:p>
          <w:p w14:paraId="3294481E">
            <w:pPr>
              <w:pStyle w:val="42"/>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在收集、转运、储存过程中因员工操作不当、储存容器破损、防腐防渗措施损坏等原因导致</w:t>
            </w:r>
            <w:r>
              <w:rPr>
                <w:rFonts w:hint="default" w:ascii="Times New Roman" w:hAnsi="Times New Roman" w:cs="Times New Roman"/>
                <w:color w:val="auto"/>
                <w:highlight w:val="none"/>
                <w:lang w:val="en-US" w:eastAsia="zh-CN"/>
              </w:rPr>
              <w:t>危险废物</w:t>
            </w:r>
            <w:r>
              <w:rPr>
                <w:rFonts w:hint="default" w:ascii="Times New Roman" w:hAnsi="Times New Roman" w:cs="Times New Roman"/>
                <w:color w:val="auto"/>
                <w:highlight w:val="none"/>
              </w:rPr>
              <w:t>（</w:t>
            </w:r>
            <w:r>
              <w:rPr>
                <w:rFonts w:hint="eastAsia" w:cs="Times New Roman"/>
                <w:color w:val="auto"/>
                <w:sz w:val="24"/>
                <w:szCs w:val="24"/>
                <w:highlight w:val="none"/>
                <w:lang w:val="en-US" w:eastAsia="zh-CN"/>
              </w:rPr>
              <w:t>废机油、废油、废活性炭</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泄漏/</w:t>
            </w:r>
            <w:r>
              <w:rPr>
                <w:rFonts w:hint="default" w:ascii="Times New Roman" w:hAnsi="Times New Roman" w:cs="Times New Roman"/>
                <w:color w:val="auto"/>
                <w:highlight w:val="none"/>
              </w:rPr>
              <w:t>遗失，会污染土壤和地下水，若进入雨水管网会使周边地表水体受到污染。</w:t>
            </w:r>
          </w:p>
          <w:p w14:paraId="5EDDF080">
            <w:pPr>
              <w:pStyle w:val="42"/>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危废</w:t>
            </w:r>
            <w:r>
              <w:rPr>
                <w:rFonts w:hint="default" w:ascii="Times New Roman" w:hAnsi="Times New Roman" w:cs="Times New Roman"/>
                <w:color w:val="auto"/>
                <w:highlight w:val="none"/>
                <w:lang w:eastAsia="zh-CN"/>
              </w:rPr>
              <w:t>暂存间需严格按照</w:t>
            </w:r>
            <w:r>
              <w:rPr>
                <w:rFonts w:hint="default" w:ascii="Times New Roman" w:hAnsi="Times New Roman" w:cs="Times New Roman"/>
                <w:color w:val="auto"/>
                <w:highlight w:val="none"/>
              </w:rPr>
              <w:t>《危险废物贮存污染控制标准》（GB18597-2023）</w:t>
            </w:r>
            <w:r>
              <w:rPr>
                <w:rFonts w:hint="default" w:ascii="Times New Roman" w:hAnsi="Times New Roman" w:cs="Times New Roman"/>
                <w:color w:val="auto"/>
                <w:highlight w:val="none"/>
                <w:lang w:eastAsia="zh-CN"/>
              </w:rPr>
              <w:t>的要求进行落实，</w:t>
            </w:r>
            <w:r>
              <w:rPr>
                <w:rFonts w:hint="default" w:ascii="Times New Roman" w:hAnsi="Times New Roman" w:cs="Times New Roman"/>
                <w:color w:val="auto"/>
                <w:highlight w:val="none"/>
                <w:lang w:val="en-US" w:eastAsia="zh-CN"/>
              </w:rPr>
              <w:t>危险废物</w:t>
            </w:r>
            <w:r>
              <w:rPr>
                <w:rFonts w:hint="default" w:ascii="Times New Roman" w:hAnsi="Times New Roman" w:cs="Times New Roman"/>
                <w:color w:val="auto"/>
                <w:highlight w:val="none"/>
                <w:lang w:eastAsia="zh-CN"/>
              </w:rPr>
              <w:t>需分类分区单独</w:t>
            </w:r>
            <w:r>
              <w:rPr>
                <w:rFonts w:hint="default" w:ascii="Times New Roman" w:hAnsi="Times New Roman" w:cs="Times New Roman"/>
                <w:color w:val="auto"/>
                <w:highlight w:val="none"/>
                <w:lang w:val="en-US" w:eastAsia="zh-CN"/>
              </w:rPr>
              <w:t>暂存</w:t>
            </w:r>
            <w:r>
              <w:rPr>
                <w:rFonts w:hint="default" w:ascii="Times New Roman" w:hAnsi="Times New Roman" w:cs="Times New Roman"/>
                <w:color w:val="auto"/>
                <w:highlight w:val="none"/>
                <w:lang w:eastAsia="zh-CN"/>
              </w:rPr>
              <w:t>，专人管理，加强管理，定期检查储存容器的完整性，建立危废管理台账，定期委托有资质单位</w:t>
            </w:r>
            <w:r>
              <w:rPr>
                <w:rFonts w:hint="default" w:ascii="Times New Roman" w:hAnsi="Times New Roman" w:cs="Times New Roman"/>
                <w:color w:val="auto"/>
                <w:highlight w:val="none"/>
                <w:lang w:val="en-US" w:eastAsia="zh-CN"/>
              </w:rPr>
              <w:t>处置</w:t>
            </w:r>
            <w:r>
              <w:rPr>
                <w:rFonts w:hint="default" w:ascii="Times New Roman" w:hAnsi="Times New Roman" w:cs="Times New Roman"/>
                <w:color w:val="auto"/>
                <w:highlight w:val="none"/>
                <w:lang w:eastAsia="zh-CN"/>
              </w:rPr>
              <w:t>。</w:t>
            </w:r>
          </w:p>
          <w:p w14:paraId="697944C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）其它风险事故防范措施</w:t>
            </w:r>
          </w:p>
          <w:p w14:paraId="4A1A4935">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highlight w:val="none"/>
                <w:lang w:eastAsia="zh-CN"/>
              </w:rPr>
            </w:pPr>
            <w:r>
              <w:rPr>
                <w:rFonts w:hint="eastAsia"/>
                <w:color w:val="auto"/>
                <w:highlight w:val="none"/>
                <w:lang w:eastAsia="zh-CN"/>
              </w:rPr>
              <w:t>环境安全教育等要纳入企业经营管理范畴，完善环境安全组织结构；成立事故应急救援指挥领导小组，组织专业救援队伍，明确各自职责，并配备相应的应急设施、设备和材料；企业定期更新周边敏感目标、应急专家库、可请求救援的应急队伍等联系方式；应定期对职工分发防火、防爆常识的宣传手册。</w:t>
            </w:r>
          </w:p>
          <w:p w14:paraId="7C51310C">
            <w:pPr>
              <w:pStyle w:val="42"/>
              <w:keepNext w:val="0"/>
              <w:keepLines w:val="0"/>
              <w:pageBreakBefore w:val="0"/>
              <w:suppressLineNumbers w:val="0"/>
              <w:kinsoku/>
              <w:overflowPunct/>
              <w:bidi w:val="0"/>
              <w:adjustRightInd w:val="0"/>
              <w:snapToGrid w:val="0"/>
              <w:spacing w:before="0" w:beforeAutospacing="0" w:after="0" w:afterAutospacing="0"/>
              <w:ind w:left="0" w:right="0"/>
              <w:rPr>
                <w:rFonts w:hint="eastAsia" w:cs="Times New Roman"/>
                <w:color w:val="auto"/>
                <w:highlight w:val="none"/>
                <w:lang w:val="en-US" w:eastAsia="zh-CN"/>
              </w:rPr>
            </w:pPr>
            <w:r>
              <w:rPr>
                <w:rFonts w:hint="eastAsia" w:cs="Times New Roman"/>
                <w:color w:val="auto"/>
                <w:highlight w:val="none"/>
                <w:lang w:val="en-US" w:eastAsia="zh-CN"/>
              </w:rPr>
              <w:t>（6）事故废水风险防范措施</w:t>
            </w:r>
          </w:p>
          <w:p w14:paraId="7ADA538E">
            <w:pPr>
              <w:keepNext w:val="0"/>
              <w:keepLines w:val="0"/>
              <w:pageBreakBefore w:val="0"/>
              <w:suppressLineNumbers w:val="0"/>
              <w:kinsoku/>
              <w:wordWrap/>
              <w:overflowPunct/>
              <w:topLinePunct w:val="0"/>
              <w:bidi w:val="0"/>
              <w:adjustRightInd w:val="0"/>
              <w:snapToGrid w:val="0"/>
              <w:spacing w:before="0" w:beforeAutospacing="0" w:after="0" w:afterAutospacing="0" w:line="336" w:lineRule="auto"/>
              <w:ind w:left="0"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根据《化工建设项目环境保护设计规范》（GB50483-2019），应急事故废水最大量的确定采用公式法计算，具体算法如下：</w:t>
            </w:r>
          </w:p>
          <w:p w14:paraId="1977C20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36" w:lineRule="auto"/>
              <w:ind w:left="0" w:right="0" w:firstLine="48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总</w:t>
            </w: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1</w:t>
            </w: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2</w:t>
            </w: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3</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vertAlign w:val="subscript"/>
              </w:rPr>
              <w:t>max</w:t>
            </w: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4</w:t>
            </w: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5</w:t>
            </w:r>
          </w:p>
          <w:p w14:paraId="424BB911">
            <w:pPr>
              <w:keepNext w:val="0"/>
              <w:keepLines w:val="0"/>
              <w:pageBreakBefore w:val="0"/>
              <w:suppressLineNumbers w:val="0"/>
              <w:kinsoku/>
              <w:wordWrap/>
              <w:overflowPunct/>
              <w:topLinePunct w:val="0"/>
              <w:bidi w:val="0"/>
              <w:adjustRightInd w:val="0"/>
              <w:snapToGrid w:val="0"/>
              <w:spacing w:before="0" w:beforeAutospacing="0" w:after="0" w:afterAutospacing="0" w:line="336" w:lineRule="auto"/>
              <w:ind w:left="0"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注：计算应急事故废水量时，装置区或贮罐区事故不作同时发生考虑，取其中的最大值。</w:t>
            </w:r>
          </w:p>
          <w:p w14:paraId="600F0B6B">
            <w:pPr>
              <w:keepNext w:val="0"/>
              <w:keepLines w:val="0"/>
              <w:pageBreakBefore w:val="0"/>
              <w:suppressLineNumbers w:val="0"/>
              <w:kinsoku/>
              <w:wordWrap/>
              <w:overflowPunct/>
              <w:topLinePunct w:val="0"/>
              <w:bidi w:val="0"/>
              <w:adjustRightInd w:val="0"/>
              <w:snapToGrid w:val="0"/>
              <w:spacing w:before="0" w:beforeAutospacing="0" w:after="0" w:afterAutospacing="0" w:line="336" w:lineRule="auto"/>
              <w:ind w:left="0"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——收集系统范围内发生事故的一个罐组或一套装置的原料量。</w:t>
            </w:r>
          </w:p>
          <w:p w14:paraId="7E5EC8D2">
            <w:pPr>
              <w:keepNext w:val="0"/>
              <w:keepLines w:val="0"/>
              <w:pageBreakBefore w:val="0"/>
              <w:suppressLineNumbers w:val="0"/>
              <w:kinsoku/>
              <w:wordWrap/>
              <w:overflowPunct/>
              <w:topLinePunct w:val="0"/>
              <w:bidi w:val="0"/>
              <w:adjustRightInd w:val="0"/>
              <w:snapToGrid w:val="0"/>
              <w:spacing w:before="0" w:beforeAutospacing="0" w:after="0" w:afterAutospacing="0" w:line="336" w:lineRule="auto"/>
              <w:ind w:left="0"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——发生事故的储罐或装置的消防水量：</w:t>
            </w:r>
          </w:p>
          <w:p w14:paraId="65BE68EF">
            <w:pPr>
              <w:keepNext w:val="0"/>
              <w:keepLines w:val="0"/>
              <w:pageBreakBefore w:val="0"/>
              <w:suppressLineNumbers w:val="0"/>
              <w:kinsoku/>
              <w:wordWrap/>
              <w:overflowPunct/>
              <w:topLinePunct w:val="0"/>
              <w:bidi w:val="0"/>
              <w:adjustRightInd w:val="0"/>
              <w:snapToGrid w:val="0"/>
              <w:spacing w:before="0" w:beforeAutospacing="0" w:after="0" w:afterAutospacing="0" w:line="336" w:lineRule="auto"/>
              <w:ind w:left="0" w:right="0" w:firstLine="48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object>
                <v:shape id="_x0000_i1035" o:spt="75" type="#_x0000_t75" style="height:20.1pt;width:68.75pt;" o:ole="t" filled="f" o:preferrelative="t" stroked="f" coordsize="21600,21600">
                  <v:path/>
                  <v:fill on="f" focussize="0,0"/>
                  <v:stroke on="f"/>
                  <v:imagedata r:id="rId45" o:title=""/>
                  <o:lock v:ext="edit" aspectratio="t"/>
                  <w10:wrap type="none"/>
                  <w10:anchorlock/>
                </v:shape>
                <o:OLEObject Type="Embed" ProgID="Equation.DSMT4" ShapeID="_x0000_i1035" DrawAspect="Content" ObjectID="_1468075735" r:id="rId44">
                  <o:LockedField>false</o:LockedField>
                </o:OLEObject>
              </w:object>
            </w:r>
          </w:p>
          <w:p w14:paraId="3308D4AD">
            <w:pPr>
              <w:keepNext w:val="0"/>
              <w:keepLines w:val="0"/>
              <w:pageBreakBefore w:val="0"/>
              <w:suppressLineNumbers w:val="0"/>
              <w:kinsoku/>
              <w:wordWrap/>
              <w:overflowPunct/>
              <w:topLinePunct w:val="0"/>
              <w:bidi w:val="0"/>
              <w:adjustRightInd w:val="0"/>
              <w:snapToGrid w:val="0"/>
              <w:spacing w:before="0" w:beforeAutospacing="0" w:after="0" w:afterAutospacing="0" w:line="336" w:lineRule="auto"/>
              <w:ind w:left="0"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Q消——发生事故的储罐或装置的同时使用的消防设施给水流量，m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cs="Times New Roman"/>
                <w:color w:val="auto"/>
                <w:sz w:val="24"/>
                <w:szCs w:val="24"/>
                <w:highlight w:val="none"/>
                <w:lang w:val="en-US" w:eastAsia="zh-CN"/>
              </w:rPr>
              <w:t>根据《消防给水及消火栓系统技术规范》（GB50974-2014），室内消火栓设计流量为10L/s</w:t>
            </w:r>
            <w:r>
              <w:rPr>
                <w:rFonts w:hint="default" w:ascii="Times New Roman" w:hAnsi="Times New Roman" w:eastAsia="宋体" w:cs="Times New Roman"/>
                <w:color w:val="auto"/>
                <w:sz w:val="24"/>
                <w:szCs w:val="24"/>
                <w:highlight w:val="none"/>
              </w:rPr>
              <w:t>。</w:t>
            </w:r>
          </w:p>
          <w:p w14:paraId="1AA109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t消——消防设施对应的设计消防历时，h；</w:t>
            </w:r>
            <w:r>
              <w:rPr>
                <w:rFonts w:hint="eastAsia" w:cs="Times New Roman"/>
                <w:color w:val="auto"/>
                <w:sz w:val="24"/>
                <w:szCs w:val="24"/>
                <w:highlight w:val="none"/>
                <w:lang w:val="en-US" w:eastAsia="zh-CN"/>
              </w:rPr>
              <w:t>根据《建筑防火通用规范》（GB55037-2022）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设计火灾延续时间为3h</w:t>
            </w:r>
            <w:r>
              <w:rPr>
                <w:rFonts w:hint="default" w:ascii="Times New Roman" w:hAnsi="Times New Roman" w:eastAsia="宋体" w:cs="Times New Roman"/>
                <w:color w:val="auto"/>
                <w:sz w:val="24"/>
                <w:szCs w:val="24"/>
                <w:highlight w:val="none"/>
              </w:rPr>
              <w:t>；</w:t>
            </w:r>
          </w:p>
          <w:p w14:paraId="2B84CA22">
            <w:pPr>
              <w:keepNext w:val="0"/>
              <w:keepLines w:val="0"/>
              <w:pageBreakBefore w:val="0"/>
              <w:suppressLineNumbers w:val="0"/>
              <w:kinsoku/>
              <w:wordWrap/>
              <w:overflowPunct/>
              <w:topLinePunct w:val="0"/>
              <w:bidi w:val="0"/>
              <w:adjustRightInd w:val="0"/>
              <w:snapToGrid w:val="0"/>
              <w:spacing w:before="0" w:beforeAutospacing="0" w:after="0" w:afterAutospacing="0" w:line="336" w:lineRule="auto"/>
              <w:ind w:left="0"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——发生事故时可以转输到其他储存或处理设施的原料量，m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14:paraId="11448C2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36" w:lineRule="auto"/>
              <w:ind w:left="0"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4</w:t>
            </w:r>
            <w:r>
              <w:rPr>
                <w:rFonts w:hint="default" w:ascii="Times New Roman" w:hAnsi="Times New Roman" w:eastAsia="宋体" w:cs="Times New Roman"/>
                <w:color w:val="auto"/>
                <w:kern w:val="0"/>
                <w:sz w:val="24"/>
                <w:szCs w:val="24"/>
                <w:highlight w:val="none"/>
              </w:rPr>
              <w:t>—发生事故时仍必须进入该收集系统的生产废水量，m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sz w:val="24"/>
                <w:szCs w:val="24"/>
                <w:highlight w:val="none"/>
              </w:rPr>
              <w:t>；</w:t>
            </w:r>
          </w:p>
          <w:p w14:paraId="0AB4D554">
            <w:pPr>
              <w:keepNext w:val="0"/>
              <w:keepLines w:val="0"/>
              <w:pageBreakBefore w:val="0"/>
              <w:suppressLineNumbers w:val="0"/>
              <w:kinsoku/>
              <w:wordWrap/>
              <w:overflowPunct/>
              <w:topLinePunct w:val="0"/>
              <w:bidi w:val="0"/>
              <w:adjustRightInd w:val="0"/>
              <w:snapToGrid w:val="0"/>
              <w:spacing w:before="0" w:beforeAutospacing="0" w:after="0" w:afterAutospacing="0" w:line="336" w:lineRule="auto"/>
              <w:ind w:left="0" w:right="0" w:firstLine="48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rPr>
              <w:t>发生事故时可能进入该收集系统的降雨量，m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sz w:val="24"/>
                <w:szCs w:val="24"/>
                <w:highlight w:val="none"/>
              </w:rPr>
              <w:t>；</w:t>
            </w:r>
          </w:p>
          <w:p w14:paraId="5669902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36" w:lineRule="auto"/>
              <w:ind w:left="0" w:right="0" w:firstLine="480"/>
              <w:jc w:val="center"/>
              <w:textAlignment w:val="auto"/>
              <w:rPr>
                <w:rFonts w:hint="default" w:ascii="Times New Roman" w:hAnsi="Times New Roman" w:eastAsia="宋体" w:cs="Times New Roman"/>
                <w:bCs/>
                <w:snapToGrid w:val="0"/>
                <w:color w:val="auto"/>
                <w:kern w:val="0"/>
                <w:sz w:val="24"/>
                <w:szCs w:val="24"/>
              </w:rPr>
            </w:pPr>
            <w:r>
              <w:rPr>
                <w:rFonts w:hint="default" w:ascii="Times New Roman" w:hAnsi="Times New Roman" w:eastAsia="宋体" w:cs="Times New Roman"/>
                <w:bCs/>
                <w:snapToGrid w:val="0"/>
                <w:color w:val="auto"/>
                <w:kern w:val="0"/>
                <w:sz w:val="24"/>
                <w:szCs w:val="24"/>
              </w:rPr>
              <w:t>V</w:t>
            </w:r>
            <w:r>
              <w:rPr>
                <w:rFonts w:hint="default" w:ascii="Times New Roman" w:hAnsi="Times New Roman" w:eastAsia="宋体" w:cs="Times New Roman"/>
                <w:bCs/>
                <w:snapToGrid w:val="0"/>
                <w:color w:val="auto"/>
                <w:kern w:val="0"/>
                <w:sz w:val="24"/>
                <w:szCs w:val="24"/>
                <w:vertAlign w:val="subscript"/>
              </w:rPr>
              <w:t>5</w:t>
            </w:r>
            <w:r>
              <w:rPr>
                <w:rFonts w:hint="default" w:ascii="Times New Roman" w:hAnsi="Times New Roman" w:eastAsia="宋体" w:cs="Times New Roman"/>
                <w:bCs/>
                <w:snapToGrid w:val="0"/>
                <w:color w:val="auto"/>
                <w:kern w:val="0"/>
                <w:sz w:val="24"/>
                <w:szCs w:val="24"/>
              </w:rPr>
              <w:t>=10qF</w:t>
            </w:r>
          </w:p>
          <w:p w14:paraId="0F2C2CC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36" w:lineRule="auto"/>
              <w:ind w:left="0" w:right="0" w:firstLine="480"/>
              <w:textAlignment w:val="auto"/>
              <w:rPr>
                <w:rFonts w:hint="default" w:ascii="Times New Roman" w:hAnsi="Times New Roman" w:eastAsia="宋体" w:cs="Times New Roman"/>
                <w:bCs/>
                <w:snapToGrid w:val="0"/>
                <w:color w:val="auto"/>
                <w:kern w:val="0"/>
                <w:sz w:val="24"/>
                <w:szCs w:val="24"/>
              </w:rPr>
            </w:pPr>
            <w:r>
              <w:rPr>
                <w:rFonts w:hint="default" w:ascii="Times New Roman" w:hAnsi="Times New Roman" w:eastAsia="宋体" w:cs="Times New Roman"/>
                <w:bCs/>
                <w:snapToGrid w:val="0"/>
                <w:color w:val="auto"/>
                <w:kern w:val="0"/>
                <w:sz w:val="24"/>
                <w:szCs w:val="24"/>
              </w:rPr>
              <w:t>q——降雨强度，mm；按平均日降雨量；</w:t>
            </w:r>
          </w:p>
          <w:p w14:paraId="3A70C21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36" w:lineRule="auto"/>
              <w:ind w:left="0" w:right="0" w:firstLine="480"/>
              <w:jc w:val="center"/>
              <w:textAlignment w:val="auto"/>
              <w:rPr>
                <w:rFonts w:hint="default" w:ascii="Times New Roman" w:hAnsi="Times New Roman" w:eastAsia="宋体" w:cs="Times New Roman"/>
                <w:bCs/>
                <w:snapToGrid w:val="0"/>
                <w:color w:val="auto"/>
                <w:kern w:val="0"/>
                <w:sz w:val="24"/>
                <w:szCs w:val="24"/>
              </w:rPr>
            </w:pPr>
            <w:r>
              <w:rPr>
                <w:rFonts w:hint="default" w:ascii="Times New Roman" w:hAnsi="Times New Roman" w:eastAsia="宋体" w:cs="Times New Roman"/>
                <w:bCs/>
                <w:snapToGrid w:val="0"/>
                <w:color w:val="auto"/>
                <w:kern w:val="0"/>
                <w:sz w:val="24"/>
                <w:szCs w:val="24"/>
              </w:rPr>
              <w:t>q=q</w:t>
            </w:r>
            <w:r>
              <w:rPr>
                <w:rFonts w:hint="default" w:ascii="Times New Roman" w:hAnsi="Times New Roman" w:eastAsia="宋体" w:cs="Times New Roman"/>
                <w:bCs/>
                <w:snapToGrid w:val="0"/>
                <w:color w:val="auto"/>
                <w:kern w:val="0"/>
                <w:sz w:val="24"/>
                <w:szCs w:val="24"/>
                <w:vertAlign w:val="subscript"/>
              </w:rPr>
              <w:t>a</w:t>
            </w:r>
            <w:r>
              <w:rPr>
                <w:rFonts w:hint="default" w:ascii="Times New Roman" w:hAnsi="Times New Roman" w:eastAsia="宋体" w:cs="Times New Roman"/>
                <w:bCs/>
                <w:snapToGrid w:val="0"/>
                <w:color w:val="auto"/>
                <w:kern w:val="0"/>
                <w:sz w:val="24"/>
                <w:szCs w:val="24"/>
              </w:rPr>
              <w:t>/n</w:t>
            </w:r>
          </w:p>
          <w:p w14:paraId="3E477CF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36" w:lineRule="auto"/>
              <w:ind w:left="0" w:right="0" w:firstLine="480"/>
              <w:textAlignment w:val="auto"/>
              <w:rPr>
                <w:rFonts w:hint="eastAsia" w:ascii="Times New Roman" w:hAnsi="Times New Roman" w:eastAsia="宋体" w:cs="Times New Roman"/>
                <w:bCs/>
                <w:snapToGrid w:val="0"/>
                <w:color w:val="auto"/>
                <w:kern w:val="0"/>
                <w:sz w:val="24"/>
                <w:szCs w:val="24"/>
                <w:lang w:eastAsia="zh-CN"/>
              </w:rPr>
            </w:pPr>
            <w:r>
              <w:rPr>
                <w:rFonts w:hint="default" w:ascii="Times New Roman" w:hAnsi="Times New Roman" w:eastAsia="宋体" w:cs="Times New Roman"/>
                <w:bCs/>
                <w:snapToGrid w:val="0"/>
                <w:color w:val="auto"/>
                <w:kern w:val="0"/>
                <w:sz w:val="24"/>
                <w:szCs w:val="24"/>
              </w:rPr>
              <w:t>q</w:t>
            </w:r>
            <w:r>
              <w:rPr>
                <w:rFonts w:hint="default" w:ascii="Times New Roman" w:hAnsi="Times New Roman" w:eastAsia="宋体" w:cs="Times New Roman"/>
                <w:bCs/>
                <w:snapToGrid w:val="0"/>
                <w:color w:val="auto"/>
                <w:kern w:val="0"/>
                <w:sz w:val="24"/>
                <w:szCs w:val="24"/>
                <w:vertAlign w:val="subscript"/>
              </w:rPr>
              <w:t>a</w:t>
            </w:r>
            <w:r>
              <w:rPr>
                <w:rFonts w:hint="default" w:ascii="Times New Roman" w:hAnsi="Times New Roman" w:eastAsia="宋体" w:cs="Times New Roman"/>
                <w:bCs/>
                <w:snapToGrid w:val="0"/>
                <w:color w:val="auto"/>
                <w:kern w:val="0"/>
                <w:sz w:val="24"/>
                <w:szCs w:val="24"/>
              </w:rPr>
              <w:t>——年平均降雨量，mm。年平均降雨量</w:t>
            </w:r>
            <w:r>
              <w:rPr>
                <w:rFonts w:hint="eastAsia" w:ascii="Times New Roman" w:hAnsi="Times New Roman" w:eastAsia="宋体" w:cs="Times New Roman"/>
                <w:bCs/>
                <w:snapToGrid w:val="0"/>
                <w:color w:val="auto"/>
                <w:kern w:val="0"/>
                <w:sz w:val="24"/>
                <w:szCs w:val="24"/>
                <w:lang w:val="en-US" w:eastAsia="zh-CN"/>
              </w:rPr>
              <w:t>9</w:t>
            </w:r>
            <w:r>
              <w:rPr>
                <w:rFonts w:hint="default" w:ascii="Times New Roman" w:hAnsi="Times New Roman" w:eastAsia="宋体" w:cs="Times New Roman"/>
                <w:bCs/>
                <w:snapToGrid w:val="0"/>
                <w:color w:val="auto"/>
                <w:kern w:val="0"/>
                <w:sz w:val="24"/>
                <w:szCs w:val="24"/>
                <w:lang w:val="en-US" w:eastAsia="zh-CN"/>
              </w:rPr>
              <w:t>00</w:t>
            </w:r>
            <w:r>
              <w:rPr>
                <w:rFonts w:hint="default" w:ascii="Times New Roman" w:hAnsi="Times New Roman" w:eastAsia="宋体" w:cs="Times New Roman"/>
                <w:bCs/>
                <w:snapToGrid w:val="0"/>
                <w:color w:val="auto"/>
                <w:kern w:val="0"/>
                <w:sz w:val="24"/>
                <w:szCs w:val="24"/>
              </w:rPr>
              <w:t>mm</w:t>
            </w:r>
            <w:r>
              <w:rPr>
                <w:rFonts w:hint="eastAsia" w:ascii="Times New Roman" w:hAnsi="Times New Roman" w:eastAsia="宋体" w:cs="Times New Roman"/>
                <w:bCs/>
                <w:snapToGrid w:val="0"/>
                <w:color w:val="auto"/>
                <w:kern w:val="0"/>
                <w:sz w:val="24"/>
                <w:szCs w:val="24"/>
                <w:lang w:eastAsia="zh-CN"/>
              </w:rPr>
              <w:t>；</w:t>
            </w:r>
          </w:p>
          <w:p w14:paraId="6752A63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36" w:lineRule="auto"/>
              <w:ind w:left="0" w:right="0" w:firstLine="480"/>
              <w:textAlignment w:val="auto"/>
              <w:rPr>
                <w:rFonts w:hint="default" w:ascii="Times New Roman" w:hAnsi="Times New Roman" w:eastAsia="宋体" w:cs="Times New Roman"/>
                <w:bCs/>
                <w:snapToGrid w:val="0"/>
                <w:color w:val="auto"/>
                <w:kern w:val="0"/>
                <w:sz w:val="24"/>
                <w:szCs w:val="24"/>
              </w:rPr>
            </w:pPr>
            <w:r>
              <w:rPr>
                <w:rFonts w:hint="default" w:ascii="Times New Roman" w:hAnsi="Times New Roman" w:eastAsia="宋体" w:cs="Times New Roman"/>
                <w:bCs/>
                <w:snapToGrid w:val="0"/>
                <w:color w:val="auto"/>
                <w:kern w:val="0"/>
                <w:sz w:val="24"/>
                <w:szCs w:val="24"/>
              </w:rPr>
              <w:t>n——年平均降雨日数。年平均下雨</w:t>
            </w:r>
            <w:r>
              <w:rPr>
                <w:rFonts w:hint="default" w:ascii="Times New Roman" w:hAnsi="Times New Roman" w:eastAsia="宋体" w:cs="Times New Roman"/>
                <w:bCs/>
                <w:snapToGrid w:val="0"/>
                <w:color w:val="auto"/>
                <w:kern w:val="0"/>
                <w:sz w:val="24"/>
                <w:szCs w:val="24"/>
                <w:lang w:val="en-US" w:eastAsia="zh-CN"/>
              </w:rPr>
              <w:t>1</w:t>
            </w:r>
            <w:r>
              <w:rPr>
                <w:rFonts w:hint="eastAsia" w:ascii="Times New Roman" w:hAnsi="Times New Roman" w:eastAsia="宋体" w:cs="Times New Roman"/>
                <w:bCs/>
                <w:snapToGrid w:val="0"/>
                <w:color w:val="auto"/>
                <w:kern w:val="0"/>
                <w:sz w:val="24"/>
                <w:szCs w:val="24"/>
                <w:lang w:val="en-US" w:eastAsia="zh-CN"/>
              </w:rPr>
              <w:t>05</w:t>
            </w:r>
            <w:r>
              <w:rPr>
                <w:rFonts w:hint="default" w:ascii="Times New Roman" w:hAnsi="Times New Roman" w:eastAsia="宋体" w:cs="Times New Roman"/>
                <w:bCs/>
                <w:snapToGrid w:val="0"/>
                <w:color w:val="auto"/>
                <w:kern w:val="0"/>
                <w:sz w:val="24"/>
                <w:szCs w:val="24"/>
              </w:rPr>
              <w:t>天</w:t>
            </w:r>
          </w:p>
          <w:p w14:paraId="47D2C68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36" w:lineRule="auto"/>
              <w:ind w:left="0" w:right="0" w:firstLine="480"/>
              <w:textAlignment w:val="auto"/>
              <w:rPr>
                <w:rFonts w:hint="default" w:ascii="Times New Roman" w:hAnsi="Times New Roman" w:eastAsia="宋体" w:cs="Times New Roman"/>
                <w:bCs/>
                <w:snapToGrid w:val="0"/>
                <w:color w:val="auto"/>
                <w:kern w:val="0"/>
                <w:sz w:val="24"/>
                <w:szCs w:val="24"/>
              </w:rPr>
            </w:pPr>
            <w:r>
              <w:rPr>
                <w:rFonts w:hint="default" w:ascii="Times New Roman" w:hAnsi="Times New Roman" w:eastAsia="宋体" w:cs="Times New Roman"/>
                <w:bCs/>
                <w:snapToGrid w:val="0"/>
                <w:color w:val="auto"/>
                <w:kern w:val="0"/>
                <w:sz w:val="24"/>
                <w:szCs w:val="24"/>
              </w:rPr>
              <w:t>F——必须进入事故废水收集系统的雨水汇水面积，</w:t>
            </w:r>
            <w:r>
              <w:rPr>
                <w:rFonts w:hint="eastAsia" w:cs="Times New Roman"/>
                <w:bCs/>
                <w:snapToGrid w:val="0"/>
                <w:color w:val="auto"/>
                <w:kern w:val="0"/>
                <w:sz w:val="24"/>
                <w:szCs w:val="24"/>
                <w:lang w:val="en-US" w:eastAsia="zh-CN"/>
              </w:rPr>
              <w:t>11372.</w:t>
            </w:r>
            <w:r>
              <w:rPr>
                <w:rFonts w:hint="default" w:ascii="Times New Roman" w:hAnsi="Times New Roman" w:eastAsia="宋体" w:cs="Times New Roman"/>
                <w:bCs/>
                <w:snapToGrid w:val="0"/>
                <w:color w:val="auto"/>
                <w:kern w:val="0"/>
                <w:sz w:val="24"/>
                <w:szCs w:val="24"/>
              </w:rPr>
              <w:t>m</w:t>
            </w:r>
            <w:r>
              <w:rPr>
                <w:rFonts w:hint="default" w:ascii="Times New Roman" w:hAnsi="Times New Roman" w:eastAsia="宋体" w:cs="Times New Roman"/>
                <w:bCs/>
                <w:snapToGrid w:val="0"/>
                <w:color w:val="auto"/>
                <w:kern w:val="0"/>
                <w:sz w:val="24"/>
                <w:szCs w:val="24"/>
                <w:vertAlign w:val="superscript"/>
              </w:rPr>
              <w:t>2</w:t>
            </w:r>
          </w:p>
          <w:p w14:paraId="69F1EBD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36" w:lineRule="auto"/>
              <w:ind w:left="0" w:right="0" w:firstLine="480"/>
              <w:jc w:val="center"/>
              <w:textAlignment w:val="auto"/>
              <w:rPr>
                <w:rFonts w:hint="eastAsia" w:ascii="Times New Roman" w:hAnsi="Times New Roman" w:eastAsia="宋体" w:cs="Times New Roman"/>
                <w:bCs/>
                <w:snapToGrid w:val="0"/>
                <w:color w:val="auto"/>
                <w:kern w:val="0"/>
                <w:sz w:val="24"/>
                <w:szCs w:val="24"/>
                <w:lang w:eastAsia="zh-CN"/>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97.5</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eastAsia" w:ascii="Times New Roman" w:hAnsi="Times New Roman" w:eastAsia="宋体" w:cs="Times New Roman"/>
                <w:color w:val="auto"/>
                <w:kern w:val="0"/>
                <w:sz w:val="24"/>
                <w:szCs w:val="24"/>
                <w:vertAlign w:val="baseline"/>
                <w:lang w:eastAsia="zh-CN"/>
              </w:rPr>
              <w:t>；</w:t>
            </w:r>
          </w:p>
          <w:p w14:paraId="65D25329">
            <w:pPr>
              <w:keepNext w:val="0"/>
              <w:keepLines w:val="0"/>
              <w:suppressLineNumbers w:val="0"/>
              <w:topLinePunct/>
              <w:autoSpaceDE w:val="0"/>
              <w:adjustRightInd w:val="0"/>
              <w:snapToGrid w:val="0"/>
              <w:spacing w:before="0" w:beforeAutospacing="0" w:after="0" w:afterAutospacing="0" w:line="360" w:lineRule="auto"/>
              <w:ind w:left="0" w:right="0" w:firstLine="480" w:firstLineChars="200"/>
              <w:jc w:val="both"/>
              <w:rPr>
                <w:rFonts w:hint="default"/>
                <w:color w:val="auto"/>
                <w:sz w:val="24"/>
                <w:szCs w:val="24"/>
                <w:highlight w:val="none"/>
              </w:rPr>
            </w:pPr>
            <w:r>
              <w:rPr>
                <w:rFonts w:hint="default"/>
                <w:color w:val="auto"/>
                <w:sz w:val="24"/>
                <w:szCs w:val="24"/>
                <w:highlight w:val="none"/>
              </w:rPr>
              <w:t>根据企业情况，</w:t>
            </w:r>
            <w:r>
              <w:rPr>
                <w:rFonts w:hint="eastAsia"/>
                <w:color w:val="auto"/>
                <w:sz w:val="24"/>
                <w:szCs w:val="24"/>
                <w:highlight w:val="none"/>
                <w:lang w:val="en-US" w:eastAsia="zh-CN"/>
              </w:rPr>
              <w:t>厂区内</w:t>
            </w:r>
            <w:r>
              <w:rPr>
                <w:rFonts w:hint="default"/>
                <w:color w:val="auto"/>
                <w:sz w:val="24"/>
                <w:szCs w:val="24"/>
                <w:highlight w:val="none"/>
              </w:rPr>
              <w:t>V1=</w:t>
            </w:r>
            <w:r>
              <w:rPr>
                <w:rFonts w:hint="eastAsia"/>
                <w:color w:val="auto"/>
                <w:sz w:val="24"/>
                <w:szCs w:val="24"/>
                <w:highlight w:val="none"/>
                <w:lang w:val="en-US" w:eastAsia="zh-CN"/>
              </w:rPr>
              <w:t>0</w:t>
            </w:r>
            <w:r>
              <w:rPr>
                <w:rFonts w:hint="default"/>
                <w:color w:val="auto"/>
                <w:sz w:val="24"/>
                <w:szCs w:val="24"/>
                <w:highlight w:val="none"/>
              </w:rPr>
              <w:t>m³；</w:t>
            </w:r>
            <w:r>
              <w:rPr>
                <w:rFonts w:hint="default" w:ascii="Times New Roman" w:hAnsi="Times New Roman" w:eastAsia="宋体" w:cs="Times New Roman"/>
                <w:color w:val="auto"/>
                <w:sz w:val="24"/>
                <w:szCs w:val="24"/>
                <w:highlight w:val="none"/>
              </w:rPr>
              <w:t>为满足事故状况下消防</w:t>
            </w:r>
            <w:r>
              <w:rPr>
                <w:rFonts w:hint="eastAsia" w:ascii="Times New Roman" w:hAnsi="Times New Roman" w:eastAsia="宋体" w:cs="Times New Roman"/>
                <w:color w:val="auto"/>
                <w:sz w:val="24"/>
                <w:szCs w:val="24"/>
                <w:highlight w:val="none"/>
                <w:lang w:val="en-US" w:eastAsia="zh-CN"/>
              </w:rPr>
              <w:t>废</w:t>
            </w:r>
            <w:r>
              <w:rPr>
                <w:rFonts w:hint="default" w:ascii="Times New Roman" w:hAnsi="Times New Roman" w:eastAsia="宋体" w:cs="Times New Roman"/>
                <w:color w:val="auto"/>
                <w:sz w:val="24"/>
                <w:szCs w:val="24"/>
                <w:highlight w:val="none"/>
              </w:rPr>
              <w:t>水收集需要，消防水设计流量为</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L/s，火灾延续时间按</w:t>
            </w:r>
            <w:r>
              <w:rPr>
                <w:rFonts w:hint="eastAsia" w:cs="Times New Roman"/>
                <w:color w:val="auto"/>
                <w:sz w:val="24"/>
                <w:szCs w:val="24"/>
                <w:highlight w:val="none"/>
                <w:lang w:val="en-US" w:eastAsia="zh-CN"/>
              </w:rPr>
              <w:t>3</w:t>
            </w:r>
            <w:r>
              <w:rPr>
                <w:rFonts w:hint="eastAsia"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rPr>
              <w:t>计，事故时消防水量为</w:t>
            </w:r>
            <w:r>
              <w:rPr>
                <w:rFonts w:hint="eastAsia" w:cs="Times New Roman"/>
                <w:color w:val="auto"/>
                <w:sz w:val="24"/>
                <w:szCs w:val="24"/>
                <w:highlight w:val="none"/>
                <w:lang w:val="en-US" w:eastAsia="zh-CN"/>
              </w:rPr>
              <w:t>108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，即取V2=</w:t>
            </w:r>
            <w:r>
              <w:rPr>
                <w:rFonts w:hint="eastAsia" w:cs="Times New Roman"/>
                <w:color w:val="auto"/>
                <w:sz w:val="24"/>
                <w:szCs w:val="24"/>
                <w:highlight w:val="none"/>
                <w:lang w:val="en-US" w:eastAsia="zh-CN"/>
              </w:rPr>
              <w:t>108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rPr>
              <w:t>V3=</w:t>
            </w:r>
            <w:r>
              <w:rPr>
                <w:rFonts w:hint="eastAsia"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m³，V4=0m³</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97.5</w:t>
            </w:r>
            <w:r>
              <w:rPr>
                <w:rFonts w:hint="default" w:ascii="Times New Roman" w:hAnsi="Times New Roman" w:eastAsia="宋体" w:cs="Times New Roman"/>
                <w:b w:val="0"/>
                <w:bCs w:val="0"/>
                <w:color w:val="auto"/>
                <w:sz w:val="24"/>
                <w:szCs w:val="24"/>
                <w:highlight w:val="none"/>
                <w:lang w:eastAsia="zh-CN"/>
              </w:rPr>
              <w:t>m</w:t>
            </w:r>
            <w:r>
              <w:rPr>
                <w:rFonts w:hint="default" w:ascii="Times New Roman" w:hAnsi="Times New Roman" w:eastAsia="宋体" w:cs="Times New Roman"/>
                <w:b w:val="0"/>
                <w:bCs w:val="0"/>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rPr>
              <w:t>。</w:t>
            </w:r>
          </w:p>
          <w:p w14:paraId="4A0D9D11">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336" w:lineRule="auto"/>
              <w:ind w:left="0" w:right="0" w:firstLine="482"/>
              <w:jc w:val="center"/>
              <w:textAlignment w:val="auto"/>
              <w:rPr>
                <w:rFonts w:hint="default" w:ascii="Times New Roman" w:hAnsi="Times New Roman" w:eastAsia="宋体" w:cs="Times New Roman"/>
                <w:b w:val="0"/>
                <w:bCs w:val="0"/>
                <w:color w:val="auto"/>
                <w:sz w:val="24"/>
                <w:szCs w:val="24"/>
                <w:highlight w:val="none"/>
                <w:vertAlign w:val="superscript"/>
              </w:rPr>
            </w:pP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总</w:t>
            </w: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1</w:t>
            </w: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2</w:t>
            </w: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3</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vertAlign w:val="subscript"/>
              </w:rPr>
              <w:t>max</w:t>
            </w: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4</w:t>
            </w: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5</w:t>
            </w:r>
            <w:r>
              <w:rPr>
                <w:rFonts w:hint="default" w:ascii="Times New Roman" w:hAnsi="Times New Roman" w:eastAsia="宋体" w:cs="Times New Roman"/>
                <w:b w:val="0"/>
                <w:bCs w:val="0"/>
                <w:color w:val="auto"/>
                <w:sz w:val="24"/>
                <w:szCs w:val="24"/>
                <w:highlight w:val="none"/>
              </w:rPr>
              <w:t>＝（</w:t>
            </w:r>
            <w:r>
              <w:rPr>
                <w:rFonts w:hint="eastAsia"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rPr>
              <w:t>+</w:t>
            </w:r>
            <w:r>
              <w:rPr>
                <w:rFonts w:hint="eastAsia" w:cs="Times New Roman"/>
                <w:b w:val="0"/>
                <w:bCs w:val="0"/>
                <w:color w:val="auto"/>
                <w:sz w:val="24"/>
                <w:szCs w:val="24"/>
                <w:highlight w:val="none"/>
                <w:lang w:val="en-US" w:eastAsia="zh-CN"/>
              </w:rPr>
              <w:t>108</w:t>
            </w:r>
            <w:r>
              <w:rPr>
                <w:rFonts w:hint="default" w:ascii="Times New Roman" w:hAnsi="Times New Roman" w:eastAsia="宋体" w:cs="Times New Roman"/>
                <w:b w:val="0"/>
                <w:bCs w:val="0"/>
                <w:color w:val="auto"/>
                <w:sz w:val="24"/>
                <w:szCs w:val="24"/>
                <w:highlight w:val="none"/>
              </w:rPr>
              <w:t>-</w:t>
            </w:r>
            <w:r>
              <w:rPr>
                <w:rFonts w:hint="eastAsia"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rPr>
              <w:t>）+0+</w:t>
            </w:r>
            <w:r>
              <w:rPr>
                <w:rFonts w:hint="eastAsia" w:cs="Times New Roman"/>
                <w:b w:val="0"/>
                <w:bCs w:val="0"/>
                <w:color w:val="auto"/>
                <w:sz w:val="24"/>
                <w:szCs w:val="24"/>
                <w:highlight w:val="none"/>
                <w:lang w:val="en-US" w:eastAsia="zh-CN"/>
              </w:rPr>
              <w:t>97.5</w:t>
            </w:r>
            <w:r>
              <w:rPr>
                <w:rFonts w:hint="default" w:ascii="Times New Roman" w:hAnsi="Times New Roman" w:eastAsia="宋体" w:cs="Times New Roman"/>
                <w:b w:val="0"/>
                <w:bCs w:val="0"/>
                <w:color w:val="auto"/>
                <w:sz w:val="24"/>
                <w:szCs w:val="24"/>
                <w:highlight w:val="none"/>
              </w:rPr>
              <w:t>=</w:t>
            </w:r>
            <w:r>
              <w:rPr>
                <w:rFonts w:hint="eastAsia" w:cs="Times New Roman"/>
                <w:b w:val="0"/>
                <w:bCs w:val="0"/>
                <w:color w:val="auto"/>
                <w:sz w:val="24"/>
                <w:szCs w:val="24"/>
                <w:highlight w:val="none"/>
                <w:lang w:val="en-US" w:eastAsia="zh-CN"/>
              </w:rPr>
              <w:t>205.5</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p>
          <w:p w14:paraId="6E27FE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68"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spacing w:val="-3"/>
                <w:sz w:val="24"/>
                <w:szCs w:val="24"/>
                <w:highlight w:val="none"/>
                <w:lang w:eastAsia="zh-CN"/>
              </w:rPr>
              <w:t>厂区</w:t>
            </w:r>
            <w:r>
              <w:rPr>
                <w:rFonts w:hint="eastAsia" w:ascii="Times New Roman" w:hAnsi="Times New Roman" w:cs="Times New Roman"/>
                <w:color w:val="auto"/>
                <w:spacing w:val="-3"/>
                <w:sz w:val="24"/>
                <w:szCs w:val="24"/>
                <w:highlight w:val="none"/>
                <w:lang w:val="en-US" w:eastAsia="zh-CN"/>
              </w:rPr>
              <w:t>暂未建设事故应急池</w:t>
            </w:r>
            <w:r>
              <w:rPr>
                <w:rFonts w:hint="default" w:ascii="Times New Roman" w:hAnsi="Times New Roman" w:cs="Times New Roman"/>
                <w:color w:val="auto"/>
                <w:spacing w:val="-3"/>
                <w:sz w:val="24"/>
                <w:szCs w:val="24"/>
                <w:highlight w:val="none"/>
                <w:vertAlign w:val="baseline"/>
                <w:lang w:val="en-US" w:eastAsia="zh-CN"/>
              </w:rPr>
              <w:t>，本次环评要求</w:t>
            </w:r>
            <w:r>
              <w:rPr>
                <w:rFonts w:hint="default" w:ascii="Times New Roman" w:hAnsi="Times New Roman" w:eastAsia="宋体" w:cs="Times New Roman"/>
                <w:color w:val="auto"/>
                <w:spacing w:val="-3"/>
                <w:sz w:val="24"/>
                <w:szCs w:val="24"/>
                <w:highlight w:val="none"/>
              </w:rPr>
              <w:t>建设单位在</w:t>
            </w:r>
            <w:r>
              <w:rPr>
                <w:rFonts w:hint="default"/>
              </w:rPr>
              <w:t>建设单位确定将于污水处理站区域内设置事故应急池</w:t>
            </w:r>
            <w:r>
              <w:rPr>
                <w:rFonts w:hint="default" w:ascii="Times New Roman" w:hAnsi="Times New Roman" w:eastAsia="宋体" w:cs="Times New Roman"/>
                <w:color w:val="auto"/>
                <w:spacing w:val="-2"/>
                <w:sz w:val="24"/>
                <w:szCs w:val="24"/>
                <w:highlight w:val="none"/>
              </w:rPr>
              <w:t>，有效容积</w:t>
            </w:r>
            <w:r>
              <w:rPr>
                <w:rFonts w:hint="default" w:ascii="Times New Roman" w:hAnsi="Times New Roman" w:eastAsia="宋体" w:cs="Times New Roman"/>
                <w:color w:val="auto"/>
                <w:spacing w:val="0"/>
                <w:sz w:val="24"/>
                <w:szCs w:val="24"/>
                <w:highlight w:val="none"/>
              </w:rPr>
              <w:t>约</w:t>
            </w:r>
            <w:r>
              <w:rPr>
                <w:rFonts w:hint="eastAsia" w:cs="Times New Roman"/>
                <w:color w:val="auto"/>
                <w:spacing w:val="0"/>
                <w:sz w:val="24"/>
                <w:szCs w:val="24"/>
                <w:highlight w:val="none"/>
                <w:lang w:val="en-US" w:eastAsia="zh-CN"/>
              </w:rPr>
              <w:t>300</w:t>
            </w:r>
            <w:r>
              <w:rPr>
                <w:rFonts w:hint="default" w:ascii="Times New Roman" w:hAnsi="Times New Roman" w:eastAsia="宋体" w:cs="Times New Roman"/>
                <w:color w:val="auto"/>
                <w:spacing w:val="0"/>
                <w:sz w:val="24"/>
                <w:szCs w:val="24"/>
                <w:highlight w:val="none"/>
              </w:rPr>
              <w:t>m</w:t>
            </w:r>
            <w:r>
              <w:rPr>
                <w:rFonts w:hint="default" w:ascii="Times New Roman" w:hAnsi="Times New Roman" w:eastAsia="Times New Roman" w:cs="Times New Roman"/>
                <w:color w:val="auto"/>
                <w:spacing w:val="-2"/>
                <w:position w:val="8"/>
                <w:sz w:val="15"/>
                <w:szCs w:val="15"/>
                <w:highlight w:val="none"/>
              </w:rPr>
              <w:t>3</w:t>
            </w:r>
            <w:r>
              <w:rPr>
                <w:rFonts w:hint="default" w:ascii="Times New Roman" w:hAnsi="Times New Roman" w:eastAsia="宋体" w:cs="Times New Roman"/>
                <w:color w:val="auto"/>
                <w:spacing w:val="-2"/>
                <w:sz w:val="24"/>
                <w:szCs w:val="24"/>
                <w:highlight w:val="none"/>
              </w:rPr>
              <w:t>，能够满足本项目发生火灾、泄漏事故时产</w:t>
            </w:r>
            <w:r>
              <w:rPr>
                <w:rFonts w:hint="default" w:ascii="Times New Roman" w:hAnsi="Times New Roman" w:eastAsia="宋体" w:cs="Times New Roman"/>
                <w:color w:val="auto"/>
                <w:spacing w:val="-1"/>
                <w:sz w:val="24"/>
                <w:szCs w:val="24"/>
                <w:highlight w:val="none"/>
              </w:rPr>
              <w:t>生的事故污水的储存要求。</w:t>
            </w:r>
            <w:r>
              <w:rPr>
                <w:rFonts w:hint="default" w:ascii="Times New Roman" w:hAnsi="Times New Roman" w:cs="Times New Roman"/>
                <w:color w:val="auto"/>
                <w:highlight w:val="none"/>
              </w:rPr>
              <w:t>一旦发生事故，立即停止生产，在进行应急救援之前，必须先关闭</w:t>
            </w:r>
            <w:r>
              <w:rPr>
                <w:rFonts w:hint="eastAsia" w:ascii="Times New Roman" w:hAnsi="Times New Roman" w:cs="Times New Roman"/>
                <w:color w:val="auto"/>
                <w:highlight w:val="none"/>
                <w:lang w:val="en-US" w:eastAsia="zh-CN"/>
              </w:rPr>
              <w:t>雨</w:t>
            </w:r>
            <w:r>
              <w:rPr>
                <w:rFonts w:hint="default" w:ascii="Times New Roman" w:hAnsi="Times New Roman" w:cs="Times New Roman"/>
                <w:color w:val="auto"/>
                <w:highlight w:val="none"/>
              </w:rPr>
              <w:t>水排放口的应急阀门，打开连接事故应急池管道的阀门，同时启用事故应急排污泵，将废水收集至事故应急池，确保事故废水不会进入外环境。事故应急池平时不能作其它用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应保持空置状态</w:t>
            </w:r>
            <w:r>
              <w:rPr>
                <w:rFonts w:hint="default" w:ascii="Times New Roman" w:hAnsi="Times New Roman" w:cs="Times New Roman"/>
                <w:color w:val="auto"/>
                <w:highlight w:val="none"/>
              </w:rPr>
              <w:t>。</w:t>
            </w:r>
          </w:p>
          <w:p w14:paraId="4F9AD31A">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highlight w:val="none"/>
                <w:lang w:eastAsia="zh-CN"/>
              </w:rPr>
            </w:pPr>
            <w:r>
              <w:rPr>
                <w:rFonts w:hint="default" w:ascii="Times New Roman" w:hAnsi="Times New Roman" w:cs="Times New Roman"/>
                <w:color w:val="auto"/>
                <w:highlight w:val="none"/>
                <w:lang w:val="en-US" w:eastAsia="zh-CN"/>
              </w:rPr>
              <w:t>厂区雨水总排口、污水总排口设置闸阀。建立完善的应急预案领导小组，应有完备的应急环境监测、抢险、救援及控制措施，并配备应急救援保障设施和装备。</w:t>
            </w:r>
          </w:p>
          <w:p w14:paraId="2BBB8B24">
            <w:pPr>
              <w:pStyle w:val="42"/>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综上</w:t>
            </w:r>
            <w:r>
              <w:rPr>
                <w:rFonts w:hint="default" w:ascii="Times New Roman" w:hAnsi="Times New Roman" w:cs="Times New Roman"/>
                <w:color w:val="auto"/>
                <w:highlight w:val="none"/>
                <w:lang w:eastAsia="zh-CN"/>
              </w:rPr>
              <w:t>所述</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危险废物泄漏/遗失风险</w:t>
            </w:r>
            <w:r>
              <w:rPr>
                <w:rFonts w:hint="default" w:ascii="Times New Roman" w:hAnsi="Times New Roman" w:cs="Times New Roman"/>
                <w:color w:val="auto"/>
                <w:highlight w:val="none"/>
                <w:lang w:eastAsia="zh-CN"/>
              </w:rPr>
              <w:t>是可以避免的，发生的</w:t>
            </w:r>
            <w:r>
              <w:rPr>
                <w:rFonts w:hint="default" w:ascii="Times New Roman" w:hAnsi="Times New Roman" w:cs="Times New Roman"/>
                <w:color w:val="auto"/>
                <w:highlight w:val="none"/>
                <w:lang w:val="en-US" w:eastAsia="zh-CN"/>
              </w:rPr>
              <w:t>可能性</w:t>
            </w:r>
            <w:r>
              <w:rPr>
                <w:rFonts w:hint="default" w:ascii="Times New Roman" w:hAnsi="Times New Roman" w:cs="Times New Roman"/>
                <w:color w:val="auto"/>
                <w:highlight w:val="none"/>
              </w:rPr>
              <w:t>较小。</w:t>
            </w:r>
          </w:p>
          <w:p w14:paraId="0A8A15FE">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七、项目环保投资</w:t>
            </w:r>
          </w:p>
          <w:p w14:paraId="3FFDB154">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总投资为</w:t>
            </w:r>
            <w:r>
              <w:rPr>
                <w:rFonts w:hint="eastAsia" w:cs="Times New Roman"/>
                <w:color w:val="auto"/>
                <w:highlight w:val="none"/>
                <w:lang w:val="en-US" w:eastAsia="zh-CN"/>
              </w:rPr>
              <w:t>20</w:t>
            </w:r>
            <w:r>
              <w:rPr>
                <w:rFonts w:hint="default" w:ascii="Times New Roman" w:hAnsi="Times New Roman" w:cs="Times New Roman"/>
                <w:color w:val="auto"/>
                <w:highlight w:val="none"/>
                <w:lang w:val="en-US" w:eastAsia="zh-CN"/>
              </w:rPr>
              <w:t>00</w:t>
            </w:r>
            <w:r>
              <w:rPr>
                <w:rFonts w:hint="eastAsia" w:cs="Times New Roman"/>
                <w:color w:val="auto"/>
                <w:highlight w:val="none"/>
                <w:lang w:val="en-US" w:eastAsia="zh-CN"/>
              </w:rPr>
              <w:t>0</w:t>
            </w:r>
            <w:r>
              <w:rPr>
                <w:rFonts w:hint="default" w:ascii="Times New Roman" w:hAnsi="Times New Roman" w:cs="Times New Roman"/>
                <w:color w:val="auto"/>
                <w:highlight w:val="none"/>
                <w:lang w:val="en-US" w:eastAsia="zh-CN"/>
              </w:rPr>
              <w:t>万元</w:t>
            </w:r>
            <w:r>
              <w:rPr>
                <w:rFonts w:hint="default" w:ascii="Times New Roman" w:hAnsi="Times New Roman" w:cs="Times New Roman"/>
                <w:color w:val="auto"/>
                <w:highlight w:val="none"/>
              </w:rPr>
              <w:t>，其中环保投资为</w:t>
            </w:r>
            <w:r>
              <w:rPr>
                <w:rFonts w:hint="eastAsia" w:cs="Times New Roman"/>
                <w:color w:val="auto"/>
                <w:highlight w:val="none"/>
                <w:lang w:val="en-US" w:eastAsia="zh-CN"/>
              </w:rPr>
              <w:t>100</w:t>
            </w:r>
            <w:r>
              <w:rPr>
                <w:rFonts w:hint="default" w:ascii="Times New Roman" w:hAnsi="Times New Roman" w:cs="Times New Roman"/>
                <w:color w:val="auto"/>
                <w:highlight w:val="none"/>
              </w:rPr>
              <w:t>万元，占总投资的</w:t>
            </w:r>
            <w:r>
              <w:rPr>
                <w:rFonts w:hint="eastAsia" w:cs="Times New Roman"/>
                <w:color w:val="auto"/>
                <w:highlight w:val="none"/>
                <w:lang w:val="en-US" w:eastAsia="zh-CN"/>
              </w:rPr>
              <w:t>0.5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14:paraId="448741E0">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表4-</w:t>
            </w:r>
            <w:r>
              <w:rPr>
                <w:rFonts w:hint="eastAsia" w:cs="Times New Roman"/>
                <w:color w:val="auto"/>
                <w:highlight w:val="none"/>
                <w:lang w:val="en-US" w:eastAsia="zh-CN"/>
              </w:rPr>
              <w:t>26</w:t>
            </w: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环保投资一览表</w:t>
            </w:r>
          </w:p>
          <w:tbl>
            <w:tblPr>
              <w:tblStyle w:val="26"/>
              <w:tblW w:w="98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752"/>
              <w:gridCol w:w="1146"/>
              <w:gridCol w:w="1650"/>
              <w:gridCol w:w="3572"/>
              <w:gridCol w:w="1721"/>
            </w:tblGrid>
            <w:tr w14:paraId="08740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752" w:type="dxa"/>
                  <w:noWrap w:val="0"/>
                  <w:vAlign w:val="center"/>
                </w:tcPr>
                <w:p w14:paraId="3F7FE391">
                  <w:pPr>
                    <w:pStyle w:val="41"/>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146" w:type="dxa"/>
                  <w:noWrap w:val="0"/>
                  <w:vAlign w:val="center"/>
                </w:tcPr>
                <w:p w14:paraId="1F950855">
                  <w:pPr>
                    <w:pStyle w:val="41"/>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w:t>
                  </w:r>
                </w:p>
              </w:tc>
              <w:tc>
                <w:tcPr>
                  <w:tcW w:w="1650" w:type="dxa"/>
                  <w:noWrap w:val="0"/>
                  <w:vAlign w:val="center"/>
                </w:tcPr>
                <w:p w14:paraId="49142B23">
                  <w:pPr>
                    <w:pStyle w:val="41"/>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3572" w:type="dxa"/>
                  <w:noWrap w:val="0"/>
                  <w:vAlign w:val="center"/>
                </w:tcPr>
                <w:p w14:paraId="0DE2B4B0">
                  <w:pPr>
                    <w:pStyle w:val="41"/>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1721" w:type="dxa"/>
                  <w:noWrap w:val="0"/>
                  <w:vAlign w:val="center"/>
                </w:tcPr>
                <w:p w14:paraId="3A1EE7C9">
                  <w:pPr>
                    <w:pStyle w:val="41"/>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投资</w:t>
                  </w:r>
                  <w:r>
                    <w:rPr>
                      <w:rFonts w:hint="default" w:ascii="Times New Roman" w:hAnsi="Times New Roman" w:eastAsia="宋体" w:cs="Times New Roman"/>
                      <w:color w:val="auto"/>
                      <w:sz w:val="21"/>
                      <w:szCs w:val="21"/>
                      <w:highlight w:val="none"/>
                      <w:lang w:eastAsia="zh-CN"/>
                    </w:rPr>
                    <w:t>（万元）</w:t>
                  </w:r>
                </w:p>
              </w:tc>
            </w:tr>
            <w:tr w14:paraId="33B8E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752" w:type="dxa"/>
                  <w:noWrap w:val="0"/>
                  <w:vAlign w:val="center"/>
                </w:tcPr>
                <w:p w14:paraId="3105D059">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1146" w:type="dxa"/>
                  <w:noWrap w:val="0"/>
                  <w:vAlign w:val="center"/>
                </w:tcPr>
                <w:p w14:paraId="5E7A0CCC">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废水</w:t>
                  </w:r>
                </w:p>
              </w:tc>
              <w:tc>
                <w:tcPr>
                  <w:tcW w:w="1650" w:type="dxa"/>
                  <w:noWrap w:val="0"/>
                  <w:vAlign w:val="center"/>
                </w:tcPr>
                <w:p w14:paraId="4561BD07">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rPr>
                  </w:pPr>
                  <w:r>
                    <w:rPr>
                      <w:rFonts w:hint="eastAsia" w:cs="Times New Roman"/>
                      <w:b w:val="0"/>
                      <w:bCs/>
                      <w:color w:val="auto"/>
                      <w:sz w:val="21"/>
                      <w:szCs w:val="21"/>
                      <w:highlight w:val="none"/>
                      <w:lang w:val="en-US" w:eastAsia="zh-CN"/>
                    </w:rPr>
                    <w:t>生活污水、生产废水</w:t>
                  </w:r>
                </w:p>
              </w:tc>
              <w:tc>
                <w:tcPr>
                  <w:tcW w:w="3572" w:type="dxa"/>
                  <w:noWrap w:val="0"/>
                  <w:vAlign w:val="center"/>
                </w:tcPr>
                <w:p w14:paraId="67B58B9C">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化粪池及污水管道</w:t>
                  </w:r>
                  <w:r>
                    <w:rPr>
                      <w:rFonts w:hint="eastAsia" w:cs="Times New Roman"/>
                      <w:b w:val="0"/>
                      <w:bCs/>
                      <w:color w:val="auto"/>
                      <w:sz w:val="21"/>
                      <w:szCs w:val="21"/>
                      <w:highlight w:val="none"/>
                      <w:lang w:eastAsia="zh-CN"/>
                    </w:rPr>
                    <w:t>、</w:t>
                  </w:r>
                  <w:r>
                    <w:rPr>
                      <w:rFonts w:hint="eastAsia" w:cs="Times New Roman"/>
                      <w:b w:val="0"/>
                      <w:bCs/>
                      <w:color w:val="auto"/>
                      <w:sz w:val="21"/>
                      <w:szCs w:val="21"/>
                      <w:highlight w:val="none"/>
                      <w:lang w:val="en-US" w:eastAsia="zh-CN"/>
                    </w:rPr>
                    <w:t>污水处理站</w:t>
                  </w:r>
                </w:p>
              </w:tc>
              <w:tc>
                <w:tcPr>
                  <w:tcW w:w="1721" w:type="dxa"/>
                  <w:noWrap w:val="0"/>
                  <w:vAlign w:val="center"/>
                </w:tcPr>
                <w:p w14:paraId="13973D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w:t>
                  </w:r>
                </w:p>
              </w:tc>
            </w:tr>
            <w:tr w14:paraId="6BDE2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752" w:type="dxa"/>
                  <w:noWrap w:val="0"/>
                  <w:vAlign w:val="center"/>
                </w:tcPr>
                <w:p w14:paraId="54E49111">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1146" w:type="dxa"/>
                  <w:noWrap w:val="0"/>
                  <w:vAlign w:val="center"/>
                </w:tcPr>
                <w:p w14:paraId="6A2098F5">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雨水</w:t>
                  </w:r>
                </w:p>
              </w:tc>
              <w:tc>
                <w:tcPr>
                  <w:tcW w:w="1650" w:type="dxa"/>
                  <w:noWrap w:val="0"/>
                  <w:vAlign w:val="center"/>
                </w:tcPr>
                <w:p w14:paraId="607F47E2">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雨水</w:t>
                  </w:r>
                </w:p>
              </w:tc>
              <w:tc>
                <w:tcPr>
                  <w:tcW w:w="3572" w:type="dxa"/>
                  <w:noWrap w:val="0"/>
                  <w:vAlign w:val="center"/>
                </w:tcPr>
                <w:p w14:paraId="151AC700">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雨水管道</w:t>
                  </w:r>
                </w:p>
              </w:tc>
              <w:tc>
                <w:tcPr>
                  <w:tcW w:w="1721" w:type="dxa"/>
                  <w:noWrap w:val="0"/>
                  <w:vAlign w:val="center"/>
                </w:tcPr>
                <w:p w14:paraId="60F1B6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r>
            <w:tr w14:paraId="0C33C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752" w:type="dxa"/>
                  <w:noWrap w:val="0"/>
                  <w:vAlign w:val="center"/>
                </w:tcPr>
                <w:p w14:paraId="02B50E78">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w:t>
                  </w:r>
                </w:p>
              </w:tc>
              <w:tc>
                <w:tcPr>
                  <w:tcW w:w="1146" w:type="dxa"/>
                  <w:noWrap w:val="0"/>
                  <w:vAlign w:val="center"/>
                </w:tcPr>
                <w:p w14:paraId="7E8E5F5A">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废气</w:t>
                  </w:r>
                </w:p>
              </w:tc>
              <w:tc>
                <w:tcPr>
                  <w:tcW w:w="1650" w:type="dxa"/>
                  <w:noWrap w:val="0"/>
                  <w:vAlign w:val="center"/>
                </w:tcPr>
                <w:p w14:paraId="61FAAC4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加弹废气</w:t>
                  </w:r>
                </w:p>
              </w:tc>
              <w:tc>
                <w:tcPr>
                  <w:tcW w:w="3572" w:type="dxa"/>
                  <w:noWrap w:val="0"/>
                  <w:vAlign w:val="center"/>
                </w:tcPr>
                <w:p w14:paraId="2B012F8B">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leftChars="0" w:right="0" w:rightChars="0" w:firstLine="0" w:firstLineChars="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shd w:val="clear"/>
                      <w:lang w:val="en-US" w:eastAsia="zh-CN" w:bidi="ar-SA"/>
                    </w:rPr>
                    <w:t>经收集后</w:t>
                  </w:r>
                  <w:r>
                    <w:rPr>
                      <w:rFonts w:hint="default" w:ascii="Times New Roman" w:hAnsi="Times New Roman" w:eastAsia="宋体" w:cs="Times New Roman"/>
                      <w:b w:val="0"/>
                      <w:bCs/>
                      <w:color w:val="auto"/>
                      <w:sz w:val="21"/>
                      <w:szCs w:val="21"/>
                      <w:highlight w:val="none"/>
                      <w:shd w:val="clear"/>
                      <w:lang w:val="en-US" w:eastAsia="zh-CN"/>
                    </w:rPr>
                    <w:t>由</w:t>
                  </w:r>
                  <w:r>
                    <w:rPr>
                      <w:rFonts w:hint="eastAsia" w:cs="Times New Roman"/>
                      <w:b w:val="0"/>
                      <w:bCs/>
                      <w:color w:val="auto"/>
                      <w:sz w:val="21"/>
                      <w:szCs w:val="21"/>
                      <w:highlight w:val="none"/>
                      <w:shd w:val="clear"/>
                      <w:lang w:val="en-US" w:eastAsia="zh-CN"/>
                    </w:rPr>
                    <w:t>活性炭吸附脱附+催化燃烧</w:t>
                  </w:r>
                  <w:r>
                    <w:rPr>
                      <w:rFonts w:hint="default" w:ascii="Times New Roman" w:hAnsi="Times New Roman" w:eastAsia="宋体" w:cs="Times New Roman"/>
                      <w:b w:val="0"/>
                      <w:bCs/>
                      <w:color w:val="auto"/>
                      <w:sz w:val="21"/>
                      <w:szCs w:val="21"/>
                      <w:highlight w:val="none"/>
                      <w:shd w:val="clear"/>
                      <w:lang w:val="en-US" w:eastAsia="zh-CN"/>
                    </w:rPr>
                    <w:t>，</w:t>
                  </w:r>
                  <w:r>
                    <w:rPr>
                      <w:rFonts w:hint="default" w:ascii="Times New Roman" w:hAnsi="Times New Roman" w:eastAsia="宋体" w:cs="Times New Roman"/>
                      <w:b w:val="0"/>
                      <w:bCs/>
                      <w:color w:val="auto"/>
                      <w:sz w:val="21"/>
                      <w:szCs w:val="21"/>
                      <w:highlight w:val="none"/>
                      <w:lang w:val="en-US" w:eastAsia="zh-CN"/>
                    </w:rPr>
                    <w:t>处理后由一根15m高排气筒（</w:t>
                  </w:r>
                  <w:r>
                    <w:rPr>
                      <w:rFonts w:hint="eastAsia" w:cs="Times New Roman"/>
                      <w:b w:val="0"/>
                      <w:bCs/>
                      <w:color w:val="auto"/>
                      <w:sz w:val="21"/>
                      <w:szCs w:val="21"/>
                      <w:highlight w:val="none"/>
                      <w:lang w:val="en-US" w:eastAsia="zh-CN"/>
                    </w:rPr>
                    <w:t>DA001</w:t>
                  </w:r>
                  <w:r>
                    <w:rPr>
                      <w:rFonts w:hint="default" w:ascii="Times New Roman" w:hAnsi="Times New Roman" w:eastAsia="宋体" w:cs="Times New Roman"/>
                      <w:b w:val="0"/>
                      <w:bCs/>
                      <w:color w:val="auto"/>
                      <w:sz w:val="21"/>
                      <w:szCs w:val="21"/>
                      <w:highlight w:val="none"/>
                      <w:lang w:val="en-US" w:eastAsia="zh-CN"/>
                    </w:rPr>
                    <w:t>）排放</w:t>
                  </w:r>
                </w:p>
              </w:tc>
              <w:tc>
                <w:tcPr>
                  <w:tcW w:w="1721" w:type="dxa"/>
                  <w:noWrap w:val="0"/>
                  <w:vAlign w:val="center"/>
                </w:tcPr>
                <w:p w14:paraId="362B1C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r>
            <w:tr w14:paraId="0EA75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752" w:type="dxa"/>
                  <w:noWrap w:val="0"/>
                  <w:vAlign w:val="center"/>
                </w:tcPr>
                <w:p w14:paraId="699D99AA">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w:t>
                  </w:r>
                </w:p>
              </w:tc>
              <w:tc>
                <w:tcPr>
                  <w:tcW w:w="1146" w:type="dxa"/>
                  <w:noWrap w:val="0"/>
                  <w:vAlign w:val="center"/>
                </w:tcPr>
                <w:p w14:paraId="5F6AC131">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噪声</w:t>
                  </w:r>
                </w:p>
              </w:tc>
              <w:tc>
                <w:tcPr>
                  <w:tcW w:w="1650" w:type="dxa"/>
                  <w:noWrap w:val="0"/>
                  <w:vAlign w:val="center"/>
                </w:tcPr>
                <w:p w14:paraId="438B04B3">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设备运转噪声</w:t>
                  </w:r>
                </w:p>
              </w:tc>
              <w:tc>
                <w:tcPr>
                  <w:tcW w:w="3572" w:type="dxa"/>
                  <w:noWrap w:val="0"/>
                  <w:vAlign w:val="center"/>
                </w:tcPr>
                <w:p w14:paraId="3F13CFB0">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采取</w:t>
                  </w:r>
                  <w:r>
                    <w:rPr>
                      <w:rFonts w:hint="default" w:ascii="Times New Roman" w:hAnsi="Times New Roman" w:eastAsia="宋体" w:cs="Times New Roman"/>
                      <w:b w:val="0"/>
                      <w:bCs/>
                      <w:color w:val="auto"/>
                      <w:sz w:val="21"/>
                      <w:szCs w:val="21"/>
                      <w:highlight w:val="none"/>
                      <w:lang w:eastAsia="zh-CN"/>
                    </w:rPr>
                    <w:t>选用低噪设备、厂房隔声、基础减振</w:t>
                  </w:r>
                  <w:r>
                    <w:rPr>
                      <w:rFonts w:hint="default" w:ascii="Times New Roman" w:hAnsi="Times New Roman" w:eastAsia="宋体" w:cs="Times New Roman"/>
                      <w:b w:val="0"/>
                      <w:bCs/>
                      <w:color w:val="auto"/>
                      <w:sz w:val="21"/>
                      <w:szCs w:val="21"/>
                      <w:highlight w:val="none"/>
                    </w:rPr>
                    <w:t>等</w:t>
                  </w:r>
                  <w:r>
                    <w:rPr>
                      <w:rFonts w:hint="default" w:ascii="Times New Roman" w:hAnsi="Times New Roman" w:eastAsia="宋体" w:cs="Times New Roman"/>
                      <w:b w:val="0"/>
                      <w:bCs/>
                      <w:color w:val="auto"/>
                      <w:sz w:val="21"/>
                      <w:szCs w:val="21"/>
                      <w:highlight w:val="none"/>
                      <w:lang w:val="en-US" w:eastAsia="zh-CN"/>
                    </w:rPr>
                    <w:t>降噪措施</w:t>
                  </w:r>
                </w:p>
              </w:tc>
              <w:tc>
                <w:tcPr>
                  <w:tcW w:w="1721" w:type="dxa"/>
                  <w:noWrap w:val="0"/>
                  <w:vAlign w:val="center"/>
                </w:tcPr>
                <w:p w14:paraId="5CC867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0FB69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8" w:hRule="atLeast"/>
                <w:jc w:val="center"/>
              </w:trPr>
              <w:tc>
                <w:tcPr>
                  <w:tcW w:w="1752" w:type="dxa"/>
                  <w:vMerge w:val="restart"/>
                  <w:noWrap w:val="0"/>
                  <w:vAlign w:val="center"/>
                </w:tcPr>
                <w:p w14:paraId="7AA77337">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5</w:t>
                  </w:r>
                </w:p>
              </w:tc>
              <w:tc>
                <w:tcPr>
                  <w:tcW w:w="1146" w:type="dxa"/>
                  <w:vMerge w:val="restart"/>
                  <w:noWrap w:val="0"/>
                  <w:vAlign w:val="center"/>
                </w:tcPr>
                <w:p w14:paraId="653A0926">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固废</w:t>
                  </w:r>
                </w:p>
              </w:tc>
              <w:tc>
                <w:tcPr>
                  <w:tcW w:w="1650" w:type="dxa"/>
                  <w:noWrap w:val="0"/>
                  <w:vAlign w:val="center"/>
                </w:tcPr>
                <w:p w14:paraId="30460081">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生活垃圾</w:t>
                  </w:r>
                </w:p>
              </w:tc>
              <w:tc>
                <w:tcPr>
                  <w:tcW w:w="3572" w:type="dxa"/>
                  <w:noWrap w:val="0"/>
                  <w:vAlign w:val="center"/>
                </w:tcPr>
                <w:p w14:paraId="6853938D">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rPr>
                  </w:pPr>
                  <w:r>
                    <w:rPr>
                      <w:rFonts w:hint="eastAsia" w:cs="Times New Roman"/>
                      <w:b w:val="0"/>
                      <w:bCs/>
                      <w:color w:val="auto"/>
                      <w:sz w:val="21"/>
                      <w:szCs w:val="21"/>
                      <w:highlight w:val="none"/>
                      <w:lang w:val="en-US" w:eastAsia="zh-CN"/>
                    </w:rPr>
                    <w:t>新增</w:t>
                  </w:r>
                  <w:r>
                    <w:rPr>
                      <w:rFonts w:hint="default" w:ascii="Times New Roman" w:hAnsi="Times New Roman" w:eastAsia="宋体" w:cs="Times New Roman"/>
                      <w:b w:val="0"/>
                      <w:bCs/>
                      <w:color w:val="auto"/>
                      <w:sz w:val="21"/>
                      <w:szCs w:val="21"/>
                      <w:highlight w:val="none"/>
                    </w:rPr>
                    <w:t>垃圾桶</w:t>
                  </w:r>
                </w:p>
              </w:tc>
              <w:tc>
                <w:tcPr>
                  <w:tcW w:w="1721" w:type="dxa"/>
                  <w:noWrap w:val="0"/>
                  <w:vAlign w:val="center"/>
                </w:tcPr>
                <w:p w14:paraId="7C4C86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2230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1752" w:type="dxa"/>
                  <w:vMerge w:val="continue"/>
                  <w:noWrap w:val="0"/>
                  <w:vAlign w:val="center"/>
                </w:tcPr>
                <w:p w14:paraId="026DDC1D">
                  <w:pPr>
                    <w:keepNext w:val="0"/>
                    <w:keepLines w:val="0"/>
                    <w:widowControl/>
                    <w:suppressLineNumbers w:val="0"/>
                    <w:spacing w:before="0" w:beforeAutospacing="0" w:after="0" w:afterAutospacing="0"/>
                    <w:ind w:left="0" w:right="0"/>
                    <w:jc w:val="center"/>
                    <w:textAlignment w:val="center"/>
                    <w:rPr>
                      <w:rFonts w:hint="default"/>
                      <w:color w:val="auto"/>
                      <w:highlight w:val="none"/>
                    </w:rPr>
                  </w:pPr>
                </w:p>
              </w:tc>
              <w:tc>
                <w:tcPr>
                  <w:tcW w:w="1146" w:type="dxa"/>
                  <w:vMerge w:val="continue"/>
                  <w:noWrap w:val="0"/>
                  <w:vAlign w:val="center"/>
                </w:tcPr>
                <w:p w14:paraId="6771F553">
                  <w:pPr>
                    <w:keepNext w:val="0"/>
                    <w:keepLines w:val="0"/>
                    <w:widowControl/>
                    <w:suppressLineNumbers w:val="0"/>
                    <w:spacing w:before="0" w:beforeAutospacing="0" w:after="0" w:afterAutospacing="0"/>
                    <w:ind w:left="0" w:right="0"/>
                    <w:jc w:val="center"/>
                    <w:textAlignment w:val="center"/>
                    <w:rPr>
                      <w:rFonts w:hint="default"/>
                      <w:color w:val="auto"/>
                      <w:highlight w:val="none"/>
                    </w:rPr>
                  </w:pPr>
                </w:p>
              </w:tc>
              <w:tc>
                <w:tcPr>
                  <w:tcW w:w="1650" w:type="dxa"/>
                  <w:noWrap w:val="0"/>
                  <w:vAlign w:val="center"/>
                </w:tcPr>
                <w:p w14:paraId="280898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一般固废</w:t>
                  </w:r>
                </w:p>
              </w:tc>
              <w:tc>
                <w:tcPr>
                  <w:tcW w:w="3572" w:type="dxa"/>
                  <w:noWrap w:val="0"/>
                  <w:vAlign w:val="center"/>
                </w:tcPr>
                <w:p w14:paraId="0F0F66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一般固废间</w:t>
                  </w:r>
                </w:p>
              </w:tc>
              <w:tc>
                <w:tcPr>
                  <w:tcW w:w="1721" w:type="dxa"/>
                  <w:noWrap w:val="0"/>
                  <w:vAlign w:val="center"/>
                </w:tcPr>
                <w:p w14:paraId="549D2B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5427E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752" w:type="dxa"/>
                  <w:vMerge w:val="continue"/>
                  <w:noWrap w:val="0"/>
                  <w:vAlign w:val="center"/>
                </w:tcPr>
                <w:p w14:paraId="05FC6020">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color w:val="auto"/>
                      <w:highlight w:val="none"/>
                    </w:rPr>
                  </w:pPr>
                </w:p>
              </w:tc>
              <w:tc>
                <w:tcPr>
                  <w:tcW w:w="1146" w:type="dxa"/>
                  <w:vMerge w:val="continue"/>
                  <w:noWrap w:val="0"/>
                  <w:vAlign w:val="center"/>
                </w:tcPr>
                <w:p w14:paraId="4FFB5825">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color w:val="auto"/>
                      <w:highlight w:val="none"/>
                    </w:rPr>
                  </w:pPr>
                </w:p>
              </w:tc>
              <w:tc>
                <w:tcPr>
                  <w:tcW w:w="1650" w:type="dxa"/>
                  <w:noWrap w:val="0"/>
                  <w:vAlign w:val="center"/>
                </w:tcPr>
                <w:p w14:paraId="01D446FC">
                  <w:pPr>
                    <w:pStyle w:val="38"/>
                    <w:keepNext w:val="0"/>
                    <w:keepLines w:val="0"/>
                    <w:pageBreakBefore w:val="0"/>
                    <w:suppressLineNumbers w:val="0"/>
                    <w:kinsoku/>
                    <w:wordWrap/>
                    <w:bidi w:val="0"/>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b w:val="0"/>
                      <w:bCs/>
                      <w:color w:val="auto"/>
                      <w:sz w:val="21"/>
                      <w:szCs w:val="21"/>
                      <w:highlight w:val="none"/>
                    </w:rPr>
                  </w:pPr>
                  <w:r>
                    <w:rPr>
                      <w:rFonts w:hint="default"/>
                      <w:b w:val="0"/>
                      <w:bCs/>
                      <w:color w:val="auto"/>
                      <w:sz w:val="21"/>
                      <w:szCs w:val="21"/>
                      <w:highlight w:val="none"/>
                    </w:rPr>
                    <w:t>危险废物</w:t>
                  </w:r>
                </w:p>
              </w:tc>
              <w:tc>
                <w:tcPr>
                  <w:tcW w:w="3572" w:type="dxa"/>
                  <w:noWrap w:val="0"/>
                  <w:vAlign w:val="center"/>
                </w:tcPr>
                <w:p w14:paraId="6742A61D">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危废暂存间</w:t>
                  </w:r>
                </w:p>
              </w:tc>
              <w:tc>
                <w:tcPr>
                  <w:tcW w:w="1721" w:type="dxa"/>
                  <w:noWrap w:val="0"/>
                  <w:vAlign w:val="center"/>
                </w:tcPr>
                <w:p w14:paraId="339C0E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r>
            <w:tr w14:paraId="1948B9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752" w:type="dxa"/>
                  <w:noWrap w:val="0"/>
                  <w:vAlign w:val="center"/>
                </w:tcPr>
                <w:p w14:paraId="38B180D6">
                  <w:pPr>
                    <w:pStyle w:val="38"/>
                    <w:keepNext w:val="0"/>
                    <w:keepLines w:val="0"/>
                    <w:pageBreakBefore w:val="0"/>
                    <w:widowControl w:val="0"/>
                    <w:suppressLineNumbers w:val="0"/>
                    <w:kinsoku/>
                    <w:wordWrap/>
                    <w:overflow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w:t>
                  </w:r>
                </w:p>
              </w:tc>
              <w:tc>
                <w:tcPr>
                  <w:tcW w:w="1146" w:type="dxa"/>
                  <w:noWrap w:val="0"/>
                  <w:vAlign w:val="center"/>
                </w:tcPr>
                <w:p w14:paraId="5C380717">
                  <w:pPr>
                    <w:pStyle w:val="38"/>
                    <w:keepNext w:val="0"/>
                    <w:keepLines w:val="0"/>
                    <w:pageBreakBefore w:val="0"/>
                    <w:widowControl w:val="0"/>
                    <w:suppressLineNumbers w:val="0"/>
                    <w:kinsoku/>
                    <w:wordWrap/>
                    <w:overflow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eastAsia="宋体" w:cs="Times New Roman"/>
                      <w:b w:val="0"/>
                      <w:bCs/>
                      <w:color w:val="auto"/>
                      <w:sz w:val="21"/>
                      <w:szCs w:val="21"/>
                      <w:highlight w:val="none"/>
                    </w:rPr>
                  </w:pPr>
                  <w:r>
                    <w:rPr>
                      <w:rFonts w:hint="eastAsia" w:cs="Times New Roman"/>
                      <w:b w:val="0"/>
                      <w:bCs/>
                      <w:color w:val="auto"/>
                      <w:sz w:val="21"/>
                      <w:szCs w:val="21"/>
                      <w:highlight w:val="none"/>
                      <w:lang w:val="en-US" w:eastAsia="zh-CN"/>
                    </w:rPr>
                    <w:t>环境</w:t>
                  </w:r>
                  <w:r>
                    <w:rPr>
                      <w:rFonts w:hint="default" w:ascii="Times New Roman" w:hAnsi="Times New Roman" w:eastAsia="宋体" w:cs="Times New Roman"/>
                      <w:b w:val="0"/>
                      <w:bCs/>
                      <w:color w:val="auto"/>
                      <w:sz w:val="21"/>
                      <w:szCs w:val="21"/>
                      <w:highlight w:val="none"/>
                      <w:lang w:val="en-US" w:eastAsia="zh-CN"/>
                    </w:rPr>
                    <w:t>风险</w:t>
                  </w:r>
                </w:p>
              </w:tc>
              <w:tc>
                <w:tcPr>
                  <w:tcW w:w="1650" w:type="dxa"/>
                  <w:noWrap w:val="0"/>
                  <w:vAlign w:val="center"/>
                </w:tcPr>
                <w:p w14:paraId="7BA2C385">
                  <w:pPr>
                    <w:pStyle w:val="38"/>
                    <w:keepNext w:val="0"/>
                    <w:keepLines w:val="0"/>
                    <w:pageBreakBefore w:val="0"/>
                    <w:widowControl w:val="0"/>
                    <w:suppressLineNumbers w:val="0"/>
                    <w:kinsoku/>
                    <w:wordWrap/>
                    <w:overflow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风险防范措施</w:t>
                  </w:r>
                </w:p>
              </w:tc>
              <w:tc>
                <w:tcPr>
                  <w:tcW w:w="3572" w:type="dxa"/>
                  <w:noWrap w:val="0"/>
                  <w:vAlign w:val="center"/>
                </w:tcPr>
                <w:p w14:paraId="036F2761">
                  <w:pPr>
                    <w:pStyle w:val="38"/>
                    <w:keepNext w:val="0"/>
                    <w:keepLines w:val="0"/>
                    <w:pageBreakBefore w:val="0"/>
                    <w:widowControl w:val="0"/>
                    <w:suppressLineNumbers w:val="0"/>
                    <w:kinsoku/>
                    <w:wordWrap/>
                    <w:overflowPunct/>
                    <w:topLine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严格落实各项风险防范措施；加强厂区环保设施日常管理工作；落实厂区分区防渗要求等措施</w:t>
                  </w:r>
                </w:p>
              </w:tc>
              <w:tc>
                <w:tcPr>
                  <w:tcW w:w="1721" w:type="dxa"/>
                  <w:noWrap w:val="0"/>
                  <w:vAlign w:val="center"/>
                </w:tcPr>
                <w:p w14:paraId="419331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3D7AA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752" w:type="dxa"/>
                  <w:noWrap w:val="0"/>
                  <w:vAlign w:val="center"/>
                </w:tcPr>
                <w:p w14:paraId="7911D4FC">
                  <w:pPr>
                    <w:pStyle w:val="38"/>
                    <w:keepNext w:val="0"/>
                    <w:keepLines w:val="0"/>
                    <w:pageBreakBefore w:val="0"/>
                    <w:widowControl w:val="0"/>
                    <w:suppressLineNumbers w:val="0"/>
                    <w:kinsoku/>
                    <w:wordWrap/>
                    <w:overflow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7</w:t>
                  </w:r>
                </w:p>
              </w:tc>
              <w:tc>
                <w:tcPr>
                  <w:tcW w:w="1146" w:type="dxa"/>
                  <w:noWrap w:val="0"/>
                  <w:vAlign w:val="center"/>
                </w:tcPr>
                <w:p w14:paraId="1A5AB409">
                  <w:pPr>
                    <w:pStyle w:val="38"/>
                    <w:keepNext w:val="0"/>
                    <w:keepLines w:val="0"/>
                    <w:pageBreakBefore w:val="0"/>
                    <w:widowControl w:val="0"/>
                    <w:suppressLineNumbers w:val="0"/>
                    <w:kinsoku/>
                    <w:wordWrap/>
                    <w:overflow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地下水和土壤</w:t>
                  </w:r>
                </w:p>
              </w:tc>
              <w:tc>
                <w:tcPr>
                  <w:tcW w:w="1650" w:type="dxa"/>
                  <w:noWrap w:val="0"/>
                  <w:vAlign w:val="center"/>
                </w:tcPr>
                <w:p w14:paraId="6BE03131">
                  <w:pPr>
                    <w:pStyle w:val="38"/>
                    <w:keepNext w:val="0"/>
                    <w:keepLines w:val="0"/>
                    <w:pageBreakBefore w:val="0"/>
                    <w:widowControl w:val="0"/>
                    <w:suppressLineNumbers w:val="0"/>
                    <w:kinsoku/>
                    <w:wordWrap/>
                    <w:overflow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地下水和土壤防范措施</w:t>
                  </w:r>
                </w:p>
              </w:tc>
              <w:tc>
                <w:tcPr>
                  <w:tcW w:w="3572" w:type="dxa"/>
                  <w:noWrap w:val="0"/>
                  <w:vAlign w:val="center"/>
                </w:tcPr>
                <w:p w14:paraId="244DE473">
                  <w:pPr>
                    <w:pStyle w:val="38"/>
                    <w:keepNext w:val="0"/>
                    <w:keepLines w:val="0"/>
                    <w:pageBreakBefore w:val="0"/>
                    <w:widowControl w:val="0"/>
                    <w:suppressLineNumbers w:val="0"/>
                    <w:kinsoku/>
                    <w:wordWrap/>
                    <w:overflowPunct/>
                    <w:topLinePunct/>
                    <w:autoSpaceDE/>
                    <w:autoSpaceDN/>
                    <w:bidi w:val="0"/>
                    <w:adjustRightInd w:val="0"/>
                    <w:snapToGrid w:val="0"/>
                    <w:spacing w:before="110" w:beforeLines="35" w:beforeAutospacing="0" w:after="110" w:afterLines="35"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按照相关防腐防渗要求采取分区防渗措施</w:t>
                  </w:r>
                </w:p>
              </w:tc>
              <w:tc>
                <w:tcPr>
                  <w:tcW w:w="1721" w:type="dxa"/>
                  <w:noWrap w:val="0"/>
                  <w:vAlign w:val="center"/>
                </w:tcPr>
                <w:p w14:paraId="2B70F7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r>
            <w:tr w14:paraId="037F9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752" w:type="dxa"/>
                  <w:noWrap w:val="0"/>
                  <w:vAlign w:val="center"/>
                </w:tcPr>
                <w:p w14:paraId="5774C6D0">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总计</w:t>
                  </w:r>
                </w:p>
              </w:tc>
              <w:tc>
                <w:tcPr>
                  <w:tcW w:w="1146" w:type="dxa"/>
                  <w:noWrap w:val="0"/>
                  <w:vAlign w:val="center"/>
                </w:tcPr>
                <w:p w14:paraId="63A1617D">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1650" w:type="dxa"/>
                  <w:noWrap w:val="0"/>
                  <w:vAlign w:val="center"/>
                </w:tcPr>
                <w:p w14:paraId="42B48D3A">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3572" w:type="dxa"/>
                  <w:noWrap w:val="0"/>
                  <w:vAlign w:val="center"/>
                </w:tcPr>
                <w:p w14:paraId="6A497F97">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1721" w:type="dxa"/>
                  <w:noWrap w:val="0"/>
                  <w:vAlign w:val="center"/>
                </w:tcPr>
                <w:p w14:paraId="0018B67B">
                  <w:pPr>
                    <w:pStyle w:val="38"/>
                    <w:keepNext w:val="0"/>
                    <w:keepLines w:val="0"/>
                    <w:pageBreakBefore w:val="0"/>
                    <w:widowControl w:val="0"/>
                    <w:suppressLineNumbers w:val="0"/>
                    <w:kinsoku/>
                    <w:wordWrap/>
                    <w:overflowPunct/>
                    <w:autoSpaceDE/>
                    <w:autoSpaceDN/>
                    <w:bidi w:val="0"/>
                    <w:adjustRightInd w:val="0"/>
                    <w:snapToGrid w:val="0"/>
                    <w:spacing w:before="95" w:beforeLines="30" w:beforeAutospacing="0" w:after="95" w:afterLines="30" w:afterAutospacing="0"/>
                    <w:ind w:left="0" w:right="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100</w:t>
                  </w:r>
                </w:p>
              </w:tc>
            </w:tr>
          </w:tbl>
          <w:p w14:paraId="2876FD28">
            <w:pPr>
              <w:pStyle w:val="42"/>
              <w:keepNext w:val="0"/>
              <w:keepLines w:val="0"/>
              <w:pageBreakBefore w:val="0"/>
              <w:suppressLineNumbers w:val="0"/>
              <w:kinsoku/>
              <w:wordWrap/>
              <w:bidi w:val="0"/>
              <w:adjustRightInd w:val="0"/>
              <w:snapToGrid w:val="0"/>
              <w:spacing w:before="0" w:beforeAutospacing="0" w:after="0" w:afterAutospacing="0" w:line="480" w:lineRule="auto"/>
              <w:ind w:left="0" w:leftChars="0" w:right="0" w:firstLine="0" w:firstLineChars="0"/>
              <w:textAlignment w:val="auto"/>
              <w:rPr>
                <w:rFonts w:hint="default" w:ascii="Times New Roman" w:hAnsi="Times New Roman" w:cs="Times New Roman"/>
                <w:color w:val="auto"/>
                <w:highlight w:val="none"/>
                <w:lang w:val="en-US" w:eastAsia="zh-CN"/>
              </w:rPr>
            </w:pPr>
          </w:p>
        </w:tc>
      </w:tr>
    </w:tbl>
    <w:p w14:paraId="69E32437">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default" w:ascii="Times New Roman" w:hAnsi="Times New Roman" w:cs="Times New Roman"/>
          <w:b/>
          <w:color w:val="auto"/>
          <w:kern w:val="0"/>
          <w:sz w:val="28"/>
          <w:szCs w:val="28"/>
          <w:highlight w:val="none"/>
        </w:rPr>
        <w:sectPr>
          <w:pgSz w:w="11905" w:h="16838"/>
          <w:pgMar w:top="1134" w:right="1134" w:bottom="1134" w:left="1134" w:header="737" w:footer="737" w:gutter="0"/>
          <w:pgBorders>
            <w:top w:val="none" w:sz="0" w:space="0"/>
            <w:left w:val="none" w:sz="0" w:space="0"/>
            <w:bottom w:val="none" w:sz="0" w:space="0"/>
            <w:right w:val="none" w:sz="0" w:space="0"/>
          </w:pgBorders>
          <w:pgNumType w:fmt="decimal"/>
          <w:cols w:space="0" w:num="1"/>
          <w:rtlGutter w:val="0"/>
          <w:docGrid w:linePitch="312" w:charSpace="0"/>
        </w:sectPr>
      </w:pPr>
    </w:p>
    <w:p w14:paraId="39DB149D">
      <w:pPr>
        <w:pStyle w:val="5"/>
        <w:bidi w:val="0"/>
        <w:rPr>
          <w:rFonts w:hint="default"/>
          <w:color w:val="auto"/>
          <w:highlight w:val="none"/>
        </w:rPr>
      </w:pPr>
      <w:r>
        <w:rPr>
          <w:rFonts w:hint="default"/>
          <w:color w:val="auto"/>
          <w:highlight w:val="none"/>
        </w:rPr>
        <w:t>五、</w:t>
      </w:r>
      <w:bookmarkStart w:id="3" w:name="_Hlk54167917"/>
      <w:r>
        <w:rPr>
          <w:rFonts w:hint="default"/>
          <w:color w:val="auto"/>
          <w:highlight w:val="none"/>
        </w:rPr>
        <w:t>环境保护措施监督检查清单</w:t>
      </w:r>
      <w:bookmarkEnd w:id="3"/>
    </w:p>
    <w:tbl>
      <w:tblPr>
        <w:tblStyle w:val="26"/>
        <w:tblW w:w="97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193"/>
        <w:gridCol w:w="978"/>
        <w:gridCol w:w="1684"/>
        <w:gridCol w:w="3558"/>
        <w:gridCol w:w="2334"/>
      </w:tblGrid>
      <w:tr w14:paraId="2AAB1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193" w:type="dxa"/>
            <w:tcBorders>
              <w:tl2br w:val="single" w:color="auto" w:sz="4" w:space="0"/>
            </w:tcBorders>
            <w:noWrap w:val="0"/>
            <w:vAlign w:val="center"/>
          </w:tcPr>
          <w:p w14:paraId="473D09EF">
            <w:pPr>
              <w:pStyle w:val="41"/>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72" w:rightChars="30" w:firstLine="0" w:firstLineChars="0"/>
              <w:jc w:val="righ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内容</w:t>
            </w:r>
          </w:p>
          <w:p w14:paraId="74FC91E1">
            <w:pPr>
              <w:pStyle w:val="41"/>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72" w:leftChars="30" w:righ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要素</w:t>
            </w:r>
          </w:p>
        </w:tc>
        <w:tc>
          <w:tcPr>
            <w:tcW w:w="978" w:type="dxa"/>
            <w:noWrap w:val="0"/>
            <w:vAlign w:val="center"/>
          </w:tcPr>
          <w:p w14:paraId="27AEE107">
            <w:pPr>
              <w:pStyle w:val="41"/>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排放口（编号、名称）/污染源</w:t>
            </w:r>
          </w:p>
        </w:tc>
        <w:tc>
          <w:tcPr>
            <w:tcW w:w="1684" w:type="dxa"/>
            <w:noWrap w:val="0"/>
            <w:vAlign w:val="center"/>
          </w:tcPr>
          <w:p w14:paraId="7C715EC0">
            <w:pPr>
              <w:pStyle w:val="41"/>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污染物项目</w:t>
            </w:r>
          </w:p>
        </w:tc>
        <w:tc>
          <w:tcPr>
            <w:tcW w:w="3558" w:type="dxa"/>
            <w:noWrap w:val="0"/>
            <w:vAlign w:val="center"/>
          </w:tcPr>
          <w:p w14:paraId="0EA5D81A">
            <w:pPr>
              <w:pStyle w:val="41"/>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环境保护措施</w:t>
            </w:r>
          </w:p>
        </w:tc>
        <w:tc>
          <w:tcPr>
            <w:tcW w:w="2334" w:type="dxa"/>
            <w:noWrap w:val="0"/>
            <w:vAlign w:val="center"/>
          </w:tcPr>
          <w:p w14:paraId="5DF827D7">
            <w:pPr>
              <w:pStyle w:val="41"/>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执行标准</w:t>
            </w:r>
          </w:p>
        </w:tc>
      </w:tr>
      <w:tr w14:paraId="0E202D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193" w:type="dxa"/>
            <w:vMerge w:val="restart"/>
            <w:noWrap w:val="0"/>
            <w:vAlign w:val="center"/>
          </w:tcPr>
          <w:p w14:paraId="57D172A0">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大气环境</w:t>
            </w:r>
          </w:p>
        </w:tc>
        <w:tc>
          <w:tcPr>
            <w:tcW w:w="978" w:type="dxa"/>
            <w:noWrap w:val="0"/>
            <w:vAlign w:val="center"/>
          </w:tcPr>
          <w:p w14:paraId="5EBFA435">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cs="Times New Roman"/>
                <w:b w:val="0"/>
                <w:bCs/>
                <w:color w:val="auto"/>
                <w:sz w:val="21"/>
                <w:szCs w:val="24"/>
                <w:highlight w:val="none"/>
                <w:lang w:val="en-US" w:eastAsia="zh-CN"/>
              </w:rPr>
            </w:pPr>
            <w:r>
              <w:rPr>
                <w:rFonts w:hint="eastAsia" w:cs="Times New Roman"/>
                <w:b w:val="0"/>
                <w:bCs/>
                <w:color w:val="auto"/>
                <w:sz w:val="21"/>
                <w:szCs w:val="24"/>
                <w:highlight w:val="none"/>
                <w:lang w:val="en-US" w:eastAsia="zh-CN"/>
              </w:rPr>
              <w:t>DA001</w:t>
            </w:r>
          </w:p>
        </w:tc>
        <w:tc>
          <w:tcPr>
            <w:tcW w:w="1684" w:type="dxa"/>
            <w:noWrap w:val="0"/>
            <w:vAlign w:val="center"/>
          </w:tcPr>
          <w:p w14:paraId="51A95459">
            <w:pPr>
              <w:pStyle w:val="38"/>
              <w:keepNext w:val="0"/>
              <w:keepLines w:val="0"/>
              <w:pageBreakBefore w:val="0"/>
              <w:widowControl w:val="0"/>
              <w:suppressLineNumbers w:val="0"/>
              <w:kinsoku/>
              <w:wordWrap/>
              <w:overflowPunct/>
              <w:autoSpaceDE/>
              <w:autoSpaceDN/>
              <w:bidi w:val="0"/>
              <w:adjustRightInd w:val="0"/>
              <w:snapToGrid w:val="0"/>
              <w:spacing w:before="126" w:beforeLines="40" w:beforeAutospacing="0" w:after="126" w:afterLines="40" w:afterAutospacing="0" w:line="240" w:lineRule="auto"/>
              <w:ind w:left="0" w:right="0"/>
              <w:textAlignment w:val="auto"/>
              <w:rPr>
                <w:rFonts w:hint="eastAsia" w:ascii="Times New Roman" w:hAnsi="Times New Roman" w:cs="Times New Roman"/>
                <w:b w:val="0"/>
                <w:bCs/>
                <w:color w:val="auto"/>
                <w:sz w:val="21"/>
                <w:szCs w:val="24"/>
                <w:highlight w:val="none"/>
                <w:lang w:val="en-US" w:eastAsia="zh-CN"/>
              </w:rPr>
            </w:pPr>
            <w:r>
              <w:rPr>
                <w:rFonts w:hint="eastAsia" w:ascii="Times New Roman" w:hAnsi="Times New Roman" w:eastAsia="宋体" w:cs="Times New Roman"/>
                <w:b w:val="0"/>
                <w:bCs/>
                <w:color w:val="auto"/>
                <w:sz w:val="21"/>
                <w:szCs w:val="24"/>
                <w:highlight w:val="none"/>
                <w:lang w:val="en-US" w:eastAsia="zh-CN"/>
              </w:rPr>
              <w:t>非甲烷总烃</w:t>
            </w:r>
          </w:p>
        </w:tc>
        <w:tc>
          <w:tcPr>
            <w:tcW w:w="3558" w:type="dxa"/>
            <w:noWrap w:val="0"/>
            <w:vAlign w:val="center"/>
          </w:tcPr>
          <w:p w14:paraId="15392B43">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val="en-US" w:eastAsia="zh-CN"/>
              </w:rPr>
            </w:pPr>
            <w:r>
              <w:rPr>
                <w:rFonts w:hint="default" w:ascii="Times New Roman" w:hAnsi="Times New Roman" w:eastAsia="宋体" w:cs="Times New Roman"/>
                <w:b w:val="0"/>
                <w:bCs/>
                <w:color w:val="auto"/>
                <w:sz w:val="21"/>
                <w:szCs w:val="21"/>
                <w:highlight w:val="none"/>
                <w:shd w:val="clear"/>
                <w:lang w:val="en-US" w:eastAsia="zh-CN" w:bidi="ar-SA"/>
              </w:rPr>
              <w:t>经收集后</w:t>
            </w:r>
            <w:r>
              <w:rPr>
                <w:rFonts w:hint="default" w:ascii="Times New Roman" w:hAnsi="Times New Roman" w:eastAsia="宋体" w:cs="Times New Roman"/>
                <w:b w:val="0"/>
                <w:bCs/>
                <w:color w:val="auto"/>
                <w:sz w:val="21"/>
                <w:szCs w:val="21"/>
                <w:highlight w:val="none"/>
                <w:shd w:val="clear"/>
                <w:lang w:val="en-US" w:eastAsia="zh-CN"/>
              </w:rPr>
              <w:t>由</w:t>
            </w:r>
            <w:r>
              <w:rPr>
                <w:rFonts w:hint="eastAsia" w:cs="Times New Roman"/>
                <w:b w:val="0"/>
                <w:bCs/>
                <w:color w:val="auto"/>
                <w:sz w:val="21"/>
                <w:szCs w:val="21"/>
                <w:highlight w:val="none"/>
                <w:shd w:val="clear"/>
                <w:lang w:val="en-US" w:eastAsia="zh-CN"/>
              </w:rPr>
              <w:t>活性炭吸附脱附+催化燃烧</w:t>
            </w:r>
            <w:r>
              <w:rPr>
                <w:rFonts w:hint="default" w:ascii="Times New Roman" w:hAnsi="Times New Roman" w:eastAsia="宋体" w:cs="Times New Roman"/>
                <w:b w:val="0"/>
                <w:bCs/>
                <w:color w:val="auto"/>
                <w:sz w:val="21"/>
                <w:szCs w:val="21"/>
                <w:highlight w:val="none"/>
                <w:shd w:val="clear"/>
                <w:lang w:val="en-US" w:eastAsia="zh-CN"/>
              </w:rPr>
              <w:t>，</w:t>
            </w:r>
            <w:r>
              <w:rPr>
                <w:rFonts w:hint="default" w:ascii="Times New Roman" w:hAnsi="Times New Roman" w:eastAsia="宋体" w:cs="Times New Roman"/>
                <w:b w:val="0"/>
                <w:bCs/>
                <w:color w:val="auto"/>
                <w:sz w:val="21"/>
                <w:szCs w:val="21"/>
                <w:highlight w:val="none"/>
                <w:lang w:val="en-US" w:eastAsia="zh-CN"/>
              </w:rPr>
              <w:t>处理后由一根15m高排气筒（</w:t>
            </w:r>
            <w:r>
              <w:rPr>
                <w:rFonts w:hint="eastAsia" w:cs="Times New Roman"/>
                <w:b w:val="0"/>
                <w:bCs/>
                <w:color w:val="auto"/>
                <w:sz w:val="21"/>
                <w:szCs w:val="21"/>
                <w:highlight w:val="none"/>
                <w:lang w:val="en-US" w:eastAsia="zh-CN"/>
              </w:rPr>
              <w:t>DA001</w:t>
            </w:r>
            <w:r>
              <w:rPr>
                <w:rFonts w:hint="default" w:ascii="Times New Roman" w:hAnsi="Times New Roman" w:eastAsia="宋体" w:cs="Times New Roman"/>
                <w:b w:val="0"/>
                <w:bCs/>
                <w:color w:val="auto"/>
                <w:sz w:val="21"/>
                <w:szCs w:val="21"/>
                <w:highlight w:val="none"/>
                <w:lang w:val="en-US" w:eastAsia="zh-CN"/>
              </w:rPr>
              <w:t>）排放</w:t>
            </w:r>
          </w:p>
        </w:tc>
        <w:tc>
          <w:tcPr>
            <w:tcW w:w="2334" w:type="dxa"/>
            <w:noWrap w:val="0"/>
            <w:vAlign w:val="center"/>
          </w:tcPr>
          <w:p w14:paraId="57C69741">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eastAsia="zh-CN"/>
              </w:rPr>
            </w:pPr>
            <w:r>
              <w:rPr>
                <w:rFonts w:hint="default" w:ascii="Times New Roman" w:hAnsi="Times New Roman" w:eastAsia="宋体" w:cs="Times New Roman"/>
                <w:b w:val="0"/>
                <w:bCs/>
                <w:color w:val="auto"/>
                <w:sz w:val="21"/>
                <w:szCs w:val="24"/>
                <w:highlight w:val="none"/>
                <w:lang w:eastAsia="zh-CN"/>
              </w:rPr>
              <w:t>非甲烷总烃排放</w:t>
            </w:r>
            <w:r>
              <w:rPr>
                <w:rFonts w:hint="eastAsia" w:cs="Times New Roman"/>
                <w:b w:val="0"/>
                <w:bCs/>
                <w:color w:val="auto"/>
                <w:highlight w:val="none"/>
                <w:lang w:val="en-US" w:eastAsia="zh-CN"/>
              </w:rPr>
              <w:t>《固定源挥发性有机物综合排放标准第6部分：其他行业》（DB34/4812.6-2024）中“化学纤维制造工业所有企业”</w:t>
            </w:r>
          </w:p>
        </w:tc>
      </w:tr>
      <w:tr w14:paraId="24A4B2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891" w:hRule="atLeast"/>
          <w:jc w:val="center"/>
        </w:trPr>
        <w:tc>
          <w:tcPr>
            <w:tcW w:w="1193" w:type="dxa"/>
            <w:vMerge w:val="continue"/>
            <w:noWrap w:val="0"/>
            <w:vAlign w:val="center"/>
          </w:tcPr>
          <w:p w14:paraId="76E07704">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p>
        </w:tc>
        <w:tc>
          <w:tcPr>
            <w:tcW w:w="978" w:type="dxa"/>
            <w:noWrap w:val="0"/>
            <w:vAlign w:val="center"/>
          </w:tcPr>
          <w:p w14:paraId="1DA5D440">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val="en-US" w:eastAsia="zh-CN"/>
              </w:rPr>
            </w:pPr>
            <w:r>
              <w:rPr>
                <w:rFonts w:hint="eastAsia" w:ascii="Times New Roman" w:hAnsi="Times New Roman" w:eastAsia="宋体" w:cs="Times New Roman"/>
                <w:b w:val="0"/>
                <w:bCs/>
                <w:color w:val="auto"/>
                <w:sz w:val="21"/>
                <w:szCs w:val="24"/>
                <w:highlight w:val="none"/>
                <w:lang w:eastAsia="zh-CN"/>
              </w:rPr>
              <w:t>厂区内</w:t>
            </w:r>
          </w:p>
        </w:tc>
        <w:tc>
          <w:tcPr>
            <w:tcW w:w="1684" w:type="dxa"/>
            <w:noWrap w:val="0"/>
            <w:vAlign w:val="center"/>
          </w:tcPr>
          <w:p w14:paraId="3F017478">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val="en-US" w:eastAsia="zh-CN"/>
              </w:rPr>
            </w:pPr>
            <w:r>
              <w:rPr>
                <w:rFonts w:hint="default" w:ascii="Times New Roman" w:hAnsi="Times New Roman" w:eastAsia="宋体" w:cs="Times New Roman"/>
                <w:b w:val="0"/>
                <w:bCs/>
                <w:color w:val="auto"/>
                <w:sz w:val="21"/>
                <w:szCs w:val="24"/>
                <w:highlight w:val="none"/>
              </w:rPr>
              <w:t>非甲烷总烃</w:t>
            </w:r>
          </w:p>
        </w:tc>
        <w:tc>
          <w:tcPr>
            <w:tcW w:w="3558" w:type="dxa"/>
            <w:noWrap w:val="0"/>
            <w:vAlign w:val="center"/>
          </w:tcPr>
          <w:p w14:paraId="5AC2F0C3">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val="en-US" w:eastAsia="zh-CN"/>
              </w:rPr>
            </w:pPr>
            <w:r>
              <w:rPr>
                <w:rFonts w:hint="eastAsia" w:ascii="Times New Roman" w:hAnsi="Times New Roman" w:eastAsia="宋体" w:cs="Times New Roman"/>
                <w:b w:val="0"/>
                <w:bCs/>
                <w:color w:val="auto"/>
                <w:sz w:val="21"/>
                <w:szCs w:val="24"/>
                <w:highlight w:val="none"/>
                <w:lang w:val="en-US" w:eastAsia="zh-CN"/>
              </w:rPr>
              <w:t>/</w:t>
            </w:r>
          </w:p>
        </w:tc>
        <w:tc>
          <w:tcPr>
            <w:tcW w:w="2334" w:type="dxa"/>
            <w:vMerge w:val="restart"/>
            <w:noWrap w:val="0"/>
            <w:vAlign w:val="center"/>
          </w:tcPr>
          <w:p w14:paraId="22A7342E">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eastAsia="zh-CN"/>
              </w:rPr>
            </w:pPr>
            <w:r>
              <w:rPr>
                <w:rFonts w:hint="eastAsia" w:cs="Times New Roman"/>
                <w:b w:val="0"/>
                <w:bCs/>
                <w:color w:val="auto"/>
                <w:sz w:val="21"/>
                <w:szCs w:val="24"/>
                <w:highlight w:val="none"/>
                <w:lang w:val="en-US" w:eastAsia="zh-CN"/>
              </w:rPr>
              <w:t>厂区内</w:t>
            </w:r>
            <w:r>
              <w:rPr>
                <w:rFonts w:hint="default" w:ascii="Times New Roman" w:hAnsi="Times New Roman" w:eastAsia="宋体" w:cs="Times New Roman"/>
                <w:b w:val="0"/>
                <w:bCs/>
                <w:color w:val="auto"/>
                <w:sz w:val="21"/>
                <w:szCs w:val="24"/>
                <w:highlight w:val="none"/>
                <w:lang w:eastAsia="zh-CN"/>
              </w:rPr>
              <w:t>执行《固定源挥发性有机物综合排放标准第六部分：其他行业》（DB34/4812.6-2024）</w:t>
            </w:r>
            <w:r>
              <w:rPr>
                <w:rFonts w:hint="eastAsia" w:cs="Times New Roman"/>
                <w:b w:val="0"/>
                <w:bCs/>
                <w:color w:val="auto"/>
                <w:highlight w:val="none"/>
                <w:lang w:val="en-US" w:eastAsia="zh-CN"/>
              </w:rPr>
              <w:t>中</w:t>
            </w:r>
            <w:r>
              <w:rPr>
                <w:rFonts w:hint="default" w:ascii="Times New Roman" w:hAnsi="Times New Roman" w:eastAsia="宋体" w:cs="Times New Roman"/>
                <w:b w:val="0"/>
                <w:bCs/>
                <w:color w:val="auto"/>
                <w:sz w:val="21"/>
                <w:szCs w:val="24"/>
                <w:highlight w:val="none"/>
                <w:lang w:eastAsia="zh-CN"/>
              </w:rPr>
              <w:t>相关标准</w:t>
            </w:r>
          </w:p>
          <w:p w14:paraId="10089924">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val="en-US" w:eastAsia="zh-CN"/>
              </w:rPr>
            </w:pPr>
            <w:r>
              <w:rPr>
                <w:rFonts w:hint="eastAsia" w:cs="Times New Roman"/>
                <w:b w:val="0"/>
                <w:bCs/>
                <w:color w:val="auto"/>
                <w:sz w:val="21"/>
                <w:szCs w:val="24"/>
                <w:highlight w:val="none"/>
                <w:lang w:val="en-US" w:eastAsia="zh-CN"/>
              </w:rPr>
              <w:t>厂界</w:t>
            </w:r>
            <w:r>
              <w:rPr>
                <w:rFonts w:hint="default" w:ascii="Times New Roman" w:hAnsi="Times New Roman" w:eastAsia="宋体" w:cs="Times New Roman"/>
                <w:b w:val="0"/>
                <w:bCs/>
                <w:color w:val="auto"/>
                <w:sz w:val="21"/>
                <w:szCs w:val="24"/>
                <w:highlight w:val="none"/>
                <w:lang w:eastAsia="zh-CN"/>
              </w:rPr>
              <w:t>排放执行《大气污染物综合排放标准》（GB16297-1996）无组织排放监控浓度限值要求；</w:t>
            </w:r>
          </w:p>
        </w:tc>
      </w:tr>
      <w:tr w14:paraId="144D0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193" w:type="dxa"/>
            <w:vMerge w:val="continue"/>
            <w:noWrap w:val="0"/>
            <w:vAlign w:val="center"/>
          </w:tcPr>
          <w:p w14:paraId="6D928484">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p>
        </w:tc>
        <w:tc>
          <w:tcPr>
            <w:tcW w:w="978" w:type="dxa"/>
            <w:noWrap w:val="0"/>
            <w:vAlign w:val="center"/>
          </w:tcPr>
          <w:p w14:paraId="6B7A26A1">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val="en-US" w:eastAsia="zh-CN"/>
              </w:rPr>
            </w:pPr>
            <w:r>
              <w:rPr>
                <w:rFonts w:hint="default" w:ascii="Times New Roman" w:hAnsi="Times New Roman" w:eastAsia="宋体" w:cs="Times New Roman"/>
                <w:b w:val="0"/>
                <w:bCs/>
                <w:color w:val="auto"/>
                <w:sz w:val="21"/>
                <w:szCs w:val="24"/>
                <w:highlight w:val="none"/>
              </w:rPr>
              <w:t>无组织</w:t>
            </w:r>
          </w:p>
        </w:tc>
        <w:tc>
          <w:tcPr>
            <w:tcW w:w="1684" w:type="dxa"/>
            <w:noWrap w:val="0"/>
            <w:vAlign w:val="center"/>
          </w:tcPr>
          <w:p w14:paraId="22CAD141">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val="en-US" w:eastAsia="zh-CN"/>
              </w:rPr>
            </w:pPr>
            <w:r>
              <w:rPr>
                <w:rFonts w:hint="default" w:ascii="Times New Roman" w:hAnsi="Times New Roman" w:eastAsia="宋体" w:cs="Times New Roman"/>
                <w:b w:val="0"/>
                <w:bCs/>
                <w:color w:val="auto"/>
                <w:sz w:val="21"/>
                <w:szCs w:val="24"/>
                <w:highlight w:val="none"/>
              </w:rPr>
              <w:t>非甲烷总烃</w:t>
            </w:r>
          </w:p>
        </w:tc>
        <w:tc>
          <w:tcPr>
            <w:tcW w:w="3558" w:type="dxa"/>
            <w:noWrap w:val="0"/>
            <w:vAlign w:val="center"/>
          </w:tcPr>
          <w:p w14:paraId="4BD4D9CF">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val="en-US" w:eastAsia="zh-CN"/>
              </w:rPr>
            </w:pPr>
            <w:r>
              <w:rPr>
                <w:rFonts w:hint="eastAsia" w:ascii="Times New Roman" w:hAnsi="Times New Roman" w:eastAsia="宋体" w:cs="Times New Roman"/>
                <w:b w:val="0"/>
                <w:bCs/>
                <w:color w:val="auto"/>
                <w:sz w:val="21"/>
                <w:szCs w:val="24"/>
                <w:highlight w:val="none"/>
                <w:lang w:val="en-US" w:eastAsia="zh-CN"/>
              </w:rPr>
              <w:t>/</w:t>
            </w:r>
          </w:p>
        </w:tc>
        <w:tc>
          <w:tcPr>
            <w:tcW w:w="2334" w:type="dxa"/>
            <w:vMerge w:val="continue"/>
            <w:noWrap w:val="0"/>
            <w:vAlign w:val="center"/>
          </w:tcPr>
          <w:p w14:paraId="50E71972">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val="en-US" w:eastAsia="zh-CN"/>
              </w:rPr>
            </w:pPr>
          </w:p>
        </w:tc>
      </w:tr>
      <w:tr w14:paraId="337761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71" w:hRule="atLeast"/>
          <w:jc w:val="center"/>
        </w:trPr>
        <w:tc>
          <w:tcPr>
            <w:tcW w:w="1193" w:type="dxa"/>
            <w:vMerge w:val="restart"/>
            <w:noWrap w:val="0"/>
            <w:vAlign w:val="center"/>
          </w:tcPr>
          <w:p w14:paraId="3CAB0095">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地表水</w:t>
            </w:r>
          </w:p>
          <w:p w14:paraId="190A0FC6">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环境</w:t>
            </w:r>
          </w:p>
        </w:tc>
        <w:tc>
          <w:tcPr>
            <w:tcW w:w="978" w:type="dxa"/>
            <w:noWrap w:val="0"/>
            <w:vAlign w:val="center"/>
          </w:tcPr>
          <w:p w14:paraId="281B5142">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生活污水</w:t>
            </w:r>
          </w:p>
        </w:tc>
        <w:tc>
          <w:tcPr>
            <w:tcW w:w="1684" w:type="dxa"/>
            <w:noWrap w:val="0"/>
            <w:vAlign w:val="center"/>
          </w:tcPr>
          <w:p w14:paraId="1BE78CEE">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val="en-US" w:eastAsia="zh-CN"/>
              </w:rPr>
            </w:pPr>
            <w:r>
              <w:rPr>
                <w:rFonts w:hint="default" w:ascii="Times New Roman" w:hAnsi="Times New Roman" w:eastAsia="宋体" w:cs="Times New Roman"/>
                <w:b w:val="0"/>
                <w:bCs/>
                <w:color w:val="auto"/>
                <w:sz w:val="21"/>
                <w:szCs w:val="24"/>
                <w:highlight w:val="none"/>
              </w:rPr>
              <w:t>COD、BOD</w:t>
            </w:r>
            <w:r>
              <w:rPr>
                <w:rFonts w:hint="default" w:ascii="Times New Roman" w:hAnsi="Times New Roman" w:eastAsia="宋体" w:cs="Times New Roman"/>
                <w:b w:val="0"/>
                <w:bCs/>
                <w:color w:val="auto"/>
                <w:sz w:val="21"/>
                <w:szCs w:val="24"/>
                <w:highlight w:val="none"/>
                <w:vertAlign w:val="subscript"/>
              </w:rPr>
              <w:t>5</w:t>
            </w:r>
            <w:r>
              <w:rPr>
                <w:rFonts w:hint="default" w:ascii="Times New Roman" w:hAnsi="Times New Roman" w:eastAsia="宋体" w:cs="Times New Roman"/>
                <w:b w:val="0"/>
                <w:bCs/>
                <w:color w:val="auto"/>
                <w:sz w:val="21"/>
                <w:szCs w:val="24"/>
                <w:highlight w:val="none"/>
              </w:rPr>
              <w:t>、SS、氨氮</w:t>
            </w:r>
          </w:p>
        </w:tc>
        <w:tc>
          <w:tcPr>
            <w:tcW w:w="3558" w:type="dxa"/>
            <w:noWrap w:val="0"/>
            <w:vAlign w:val="center"/>
          </w:tcPr>
          <w:p w14:paraId="1B6AE002">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eastAsia" w:ascii="Times New Roman" w:hAnsi="Times New Roman" w:eastAsia="宋体" w:cs="Times New Roman"/>
                <w:b w:val="0"/>
                <w:bCs/>
                <w:color w:val="auto"/>
                <w:sz w:val="21"/>
                <w:szCs w:val="24"/>
                <w:highlight w:val="none"/>
                <w:lang w:val="en-US" w:eastAsia="zh-CN"/>
              </w:rPr>
              <w:t>生活污水经</w:t>
            </w:r>
            <w:r>
              <w:rPr>
                <w:rFonts w:hint="default" w:ascii="Times New Roman" w:hAnsi="Times New Roman" w:eastAsia="宋体" w:cs="Times New Roman"/>
                <w:b w:val="0"/>
                <w:bCs/>
                <w:color w:val="auto"/>
                <w:sz w:val="21"/>
                <w:szCs w:val="24"/>
                <w:highlight w:val="none"/>
                <w:lang w:val="en-US" w:eastAsia="zh-CN"/>
              </w:rPr>
              <w:t>化粪池</w:t>
            </w:r>
            <w:r>
              <w:rPr>
                <w:rFonts w:hint="eastAsia" w:ascii="Times New Roman" w:hAnsi="Times New Roman" w:cs="Times New Roman"/>
                <w:b w:val="0"/>
                <w:bCs/>
                <w:color w:val="auto"/>
                <w:sz w:val="21"/>
                <w:szCs w:val="24"/>
                <w:highlight w:val="none"/>
                <w:lang w:val="en-US" w:eastAsia="zh-CN"/>
              </w:rPr>
              <w:t>收集</w:t>
            </w:r>
            <w:r>
              <w:rPr>
                <w:rFonts w:hint="eastAsia" w:ascii="Times New Roman" w:hAnsi="Times New Roman" w:eastAsia="宋体" w:cs="Times New Roman"/>
                <w:b w:val="0"/>
                <w:bCs/>
                <w:color w:val="auto"/>
                <w:sz w:val="21"/>
                <w:szCs w:val="24"/>
                <w:highlight w:val="none"/>
                <w:lang w:val="en-US" w:eastAsia="zh-CN"/>
              </w:rPr>
              <w:t>后经</w:t>
            </w:r>
            <w:r>
              <w:rPr>
                <w:rFonts w:hint="eastAsia" w:cs="Times New Roman"/>
                <w:b w:val="0"/>
                <w:bCs/>
                <w:color w:val="auto"/>
                <w:sz w:val="21"/>
                <w:szCs w:val="24"/>
                <w:highlight w:val="none"/>
                <w:lang w:val="en-US" w:eastAsia="zh-CN"/>
              </w:rPr>
              <w:t>市政</w:t>
            </w:r>
            <w:r>
              <w:rPr>
                <w:rFonts w:hint="eastAsia" w:ascii="Times New Roman" w:hAnsi="Times New Roman" w:eastAsia="宋体" w:cs="Times New Roman"/>
                <w:b w:val="0"/>
                <w:bCs/>
                <w:color w:val="auto"/>
                <w:sz w:val="21"/>
                <w:szCs w:val="24"/>
                <w:highlight w:val="none"/>
                <w:lang w:val="en-US" w:eastAsia="zh-CN"/>
              </w:rPr>
              <w:t>管网进入</w:t>
            </w:r>
            <w:r>
              <w:rPr>
                <w:rFonts w:hint="eastAsia" w:cs="宋体"/>
                <w:b w:val="0"/>
                <w:bCs/>
                <w:color w:val="auto"/>
                <w:kern w:val="0"/>
                <w:sz w:val="21"/>
                <w:szCs w:val="24"/>
                <w:highlight w:val="none"/>
                <w:lang w:val="en-US" w:eastAsia="zh-CN" w:bidi="ar"/>
              </w:rPr>
              <w:t>五河县经济开发区污水处理厂</w:t>
            </w:r>
          </w:p>
        </w:tc>
        <w:tc>
          <w:tcPr>
            <w:tcW w:w="2334" w:type="dxa"/>
            <w:noWrap w:val="0"/>
            <w:vAlign w:val="center"/>
          </w:tcPr>
          <w:p w14:paraId="0AF552E8">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val="en-US" w:eastAsia="zh-CN"/>
              </w:rPr>
            </w:pPr>
            <w:r>
              <w:rPr>
                <w:rFonts w:hint="eastAsia" w:cs="宋体"/>
                <w:b w:val="0"/>
                <w:bCs/>
                <w:color w:val="auto"/>
                <w:kern w:val="0"/>
                <w:sz w:val="21"/>
                <w:szCs w:val="24"/>
                <w:highlight w:val="none"/>
                <w:lang w:val="en-US" w:eastAsia="zh-CN" w:bidi="ar"/>
              </w:rPr>
              <w:t>五河县经济开发区污水处理厂</w:t>
            </w:r>
            <w:r>
              <w:rPr>
                <w:rFonts w:hint="default" w:ascii="Times New Roman" w:hAnsi="Times New Roman" w:eastAsia="宋体" w:cs="Times New Roman"/>
                <w:b w:val="0"/>
                <w:bCs/>
                <w:color w:val="auto"/>
                <w:sz w:val="21"/>
                <w:szCs w:val="24"/>
                <w:highlight w:val="none"/>
                <w:lang w:val="en-US" w:eastAsia="zh-CN"/>
              </w:rPr>
              <w:t>接管</w:t>
            </w:r>
            <w:r>
              <w:rPr>
                <w:rFonts w:hint="eastAsia" w:ascii="Times New Roman" w:hAnsi="Times New Roman" w:eastAsia="宋体" w:cs="Times New Roman"/>
                <w:b w:val="0"/>
                <w:bCs/>
                <w:color w:val="auto"/>
                <w:sz w:val="21"/>
                <w:szCs w:val="24"/>
                <w:highlight w:val="none"/>
                <w:lang w:val="en-US" w:eastAsia="zh-CN"/>
              </w:rPr>
              <w:t>限值和《污水综合排放标准》（GB8978-1996）表4中三级标准排放限值</w:t>
            </w:r>
          </w:p>
        </w:tc>
      </w:tr>
      <w:tr w14:paraId="50313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71" w:hRule="atLeast"/>
          <w:jc w:val="center"/>
        </w:trPr>
        <w:tc>
          <w:tcPr>
            <w:tcW w:w="1193" w:type="dxa"/>
            <w:vMerge w:val="continue"/>
            <w:noWrap w:val="0"/>
            <w:vAlign w:val="center"/>
          </w:tcPr>
          <w:p w14:paraId="450B7FB6">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rPr>
            </w:pPr>
          </w:p>
        </w:tc>
        <w:tc>
          <w:tcPr>
            <w:tcW w:w="978" w:type="dxa"/>
            <w:noWrap w:val="0"/>
            <w:vAlign w:val="center"/>
          </w:tcPr>
          <w:p w14:paraId="5C55AE80">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val="en-US" w:eastAsia="zh-CN"/>
              </w:rPr>
            </w:pPr>
            <w:r>
              <w:rPr>
                <w:rFonts w:hint="eastAsia" w:cs="Times New Roman"/>
                <w:b w:val="0"/>
                <w:bCs/>
                <w:color w:val="auto"/>
                <w:sz w:val="21"/>
                <w:szCs w:val="24"/>
                <w:highlight w:val="none"/>
                <w:lang w:val="en-US" w:eastAsia="zh-CN"/>
              </w:rPr>
              <w:t>生产废水</w:t>
            </w:r>
          </w:p>
        </w:tc>
        <w:tc>
          <w:tcPr>
            <w:tcW w:w="1684" w:type="dxa"/>
            <w:noWrap w:val="0"/>
            <w:vAlign w:val="center"/>
          </w:tcPr>
          <w:p w14:paraId="0E285ADF">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val="en-US" w:eastAsia="zh-CN"/>
              </w:rPr>
            </w:pPr>
            <w:r>
              <w:rPr>
                <w:rFonts w:hint="default" w:ascii="Times New Roman" w:hAnsi="Times New Roman" w:eastAsia="宋体" w:cs="Times New Roman"/>
                <w:b w:val="0"/>
                <w:bCs/>
                <w:color w:val="auto"/>
                <w:sz w:val="21"/>
                <w:szCs w:val="24"/>
                <w:highlight w:val="none"/>
              </w:rPr>
              <w:t>COD、BOD</w:t>
            </w:r>
            <w:r>
              <w:rPr>
                <w:rFonts w:hint="default" w:ascii="Times New Roman" w:hAnsi="Times New Roman" w:eastAsia="宋体" w:cs="Times New Roman"/>
                <w:b w:val="0"/>
                <w:bCs/>
                <w:color w:val="auto"/>
                <w:sz w:val="21"/>
                <w:szCs w:val="24"/>
                <w:highlight w:val="none"/>
                <w:vertAlign w:val="subscript"/>
              </w:rPr>
              <w:t>5</w:t>
            </w:r>
            <w:r>
              <w:rPr>
                <w:rFonts w:hint="default" w:ascii="Times New Roman" w:hAnsi="Times New Roman" w:eastAsia="宋体" w:cs="Times New Roman"/>
                <w:b w:val="0"/>
                <w:bCs/>
                <w:color w:val="auto"/>
                <w:sz w:val="21"/>
                <w:szCs w:val="24"/>
                <w:highlight w:val="none"/>
              </w:rPr>
              <w:t>、SS、氨氮</w:t>
            </w:r>
            <w:r>
              <w:rPr>
                <w:rFonts w:hint="eastAsia" w:ascii="Times New Roman" w:hAnsi="Times New Roman" w:eastAsia="宋体" w:cs="Times New Roman"/>
                <w:b w:val="0"/>
                <w:bCs/>
                <w:color w:val="auto"/>
                <w:sz w:val="21"/>
                <w:szCs w:val="24"/>
                <w:highlight w:val="none"/>
                <w:lang w:eastAsia="zh-CN"/>
              </w:rPr>
              <w:t>、</w:t>
            </w:r>
            <w:r>
              <w:rPr>
                <w:rFonts w:hint="eastAsia" w:ascii="Times New Roman" w:hAnsi="Times New Roman" w:eastAsia="宋体" w:cs="Times New Roman"/>
                <w:b w:val="0"/>
                <w:bCs/>
                <w:color w:val="auto"/>
                <w:sz w:val="21"/>
                <w:szCs w:val="24"/>
                <w:highlight w:val="none"/>
                <w:lang w:val="en-US" w:eastAsia="zh-CN"/>
              </w:rPr>
              <w:t>石油类、总锑</w:t>
            </w:r>
          </w:p>
        </w:tc>
        <w:tc>
          <w:tcPr>
            <w:tcW w:w="3558" w:type="dxa"/>
            <w:noWrap w:val="0"/>
            <w:vAlign w:val="center"/>
          </w:tcPr>
          <w:p w14:paraId="4A6A2D5F">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val="en-US" w:eastAsia="zh-CN"/>
              </w:rPr>
            </w:pPr>
            <w:r>
              <w:rPr>
                <w:rFonts w:hint="eastAsia" w:cs="Times New Roman"/>
                <w:b w:val="0"/>
                <w:bCs/>
                <w:color w:val="auto"/>
                <w:sz w:val="21"/>
                <w:szCs w:val="24"/>
                <w:highlight w:val="none"/>
                <w:lang w:val="en-US" w:eastAsia="zh-CN"/>
              </w:rPr>
              <w:t>生产废水经园区“隔油+气浮+好氧生化+二级沉淀+过滤”处理设施处理后95%回用于织造用水，5%排入市政管网进入五河县经济开发区污水处理厂处理</w:t>
            </w:r>
          </w:p>
        </w:tc>
        <w:tc>
          <w:tcPr>
            <w:tcW w:w="2334" w:type="dxa"/>
            <w:noWrap w:val="0"/>
            <w:vAlign w:val="center"/>
          </w:tcPr>
          <w:p w14:paraId="4DC2655E">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lang w:val="en-US"/>
              </w:rPr>
            </w:pPr>
            <w:r>
              <w:rPr>
                <w:rFonts w:hint="eastAsia" w:ascii="Times New Roman" w:hAnsi="Times New Roman" w:eastAsia="宋体" w:cs="Times New Roman"/>
                <w:b w:val="0"/>
                <w:bCs/>
                <w:color w:val="auto"/>
                <w:sz w:val="21"/>
                <w:szCs w:val="24"/>
                <w:highlight w:val="none"/>
                <w:lang w:val="en-US" w:eastAsia="zh-CN"/>
              </w:rPr>
              <w:t>外排综合废水水质能够满足《纺织染整工业水污染物排放标准》（GB4287-2012)表2中间接排放限值及其2015年修改单要求、五河县城南污水处理厂接管限值要求以及《污水综合排放标准》（GB8978-1996）中三级标准；回用水执行《城市污水</w:t>
            </w:r>
            <w:r>
              <w:rPr>
                <w:rFonts w:hint="eastAsia" w:ascii="Times New Roman" w:hAnsi="Times New Roman" w:eastAsia="宋体" w:cs="Times New Roman"/>
                <w:b w:val="0"/>
                <w:bCs/>
                <w:color w:val="auto"/>
                <w:kern w:val="0"/>
                <w:sz w:val="21"/>
                <w:szCs w:val="16"/>
                <w:lang w:val="en-US" w:eastAsia="zh-CN" w:bidi="ar-SA"/>
              </w:rPr>
              <w:t>再生利用 工业用水水质》GB/T19923-2024表1中的相关限值</w:t>
            </w:r>
          </w:p>
        </w:tc>
      </w:tr>
      <w:tr w14:paraId="22EB4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193" w:type="dxa"/>
            <w:noWrap w:val="0"/>
            <w:vAlign w:val="center"/>
          </w:tcPr>
          <w:p w14:paraId="7819D5DF">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声环境</w:t>
            </w:r>
          </w:p>
        </w:tc>
        <w:tc>
          <w:tcPr>
            <w:tcW w:w="978" w:type="dxa"/>
            <w:noWrap w:val="0"/>
            <w:vAlign w:val="center"/>
          </w:tcPr>
          <w:p w14:paraId="0032E8C3">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生产设备</w:t>
            </w:r>
          </w:p>
        </w:tc>
        <w:tc>
          <w:tcPr>
            <w:tcW w:w="1684" w:type="dxa"/>
            <w:noWrap w:val="0"/>
            <w:vAlign w:val="center"/>
          </w:tcPr>
          <w:p w14:paraId="3E8F7DD8">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设备噪声</w:t>
            </w:r>
          </w:p>
        </w:tc>
        <w:tc>
          <w:tcPr>
            <w:tcW w:w="3558" w:type="dxa"/>
            <w:noWrap w:val="0"/>
            <w:vAlign w:val="center"/>
          </w:tcPr>
          <w:p w14:paraId="12344512">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lang w:val="en-US" w:eastAsia="zh-CN"/>
              </w:rPr>
              <w:t>采取</w:t>
            </w:r>
            <w:r>
              <w:rPr>
                <w:rFonts w:hint="default" w:ascii="Times New Roman" w:hAnsi="Times New Roman" w:eastAsia="宋体" w:cs="Times New Roman"/>
                <w:b w:val="0"/>
                <w:bCs/>
                <w:color w:val="auto"/>
                <w:sz w:val="21"/>
                <w:szCs w:val="24"/>
                <w:highlight w:val="none"/>
                <w:lang w:eastAsia="zh-CN"/>
              </w:rPr>
              <w:t>选用低噪设备、厂房隔声、基础减振</w:t>
            </w:r>
            <w:r>
              <w:rPr>
                <w:rFonts w:hint="default" w:ascii="Times New Roman" w:hAnsi="Times New Roman" w:eastAsia="宋体" w:cs="Times New Roman"/>
                <w:b w:val="0"/>
                <w:bCs/>
                <w:color w:val="auto"/>
                <w:sz w:val="21"/>
                <w:szCs w:val="24"/>
                <w:highlight w:val="none"/>
              </w:rPr>
              <w:t>等</w:t>
            </w:r>
            <w:r>
              <w:rPr>
                <w:rFonts w:hint="default" w:ascii="Times New Roman" w:hAnsi="Times New Roman" w:eastAsia="宋体" w:cs="Times New Roman"/>
                <w:b w:val="0"/>
                <w:bCs/>
                <w:color w:val="auto"/>
                <w:sz w:val="21"/>
                <w:szCs w:val="24"/>
                <w:highlight w:val="none"/>
                <w:lang w:val="en-US" w:eastAsia="zh-CN"/>
              </w:rPr>
              <w:t>降噪</w:t>
            </w:r>
            <w:r>
              <w:rPr>
                <w:rFonts w:hint="default" w:ascii="Times New Roman" w:hAnsi="Times New Roman" w:eastAsia="宋体" w:cs="Times New Roman"/>
                <w:b w:val="0"/>
                <w:bCs/>
                <w:color w:val="auto"/>
                <w:sz w:val="21"/>
                <w:szCs w:val="24"/>
                <w:highlight w:val="none"/>
              </w:rPr>
              <w:t>措施</w:t>
            </w:r>
          </w:p>
        </w:tc>
        <w:tc>
          <w:tcPr>
            <w:tcW w:w="2334" w:type="dxa"/>
            <w:noWrap w:val="0"/>
            <w:vAlign w:val="center"/>
          </w:tcPr>
          <w:p w14:paraId="686243BD">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《工业企业厂界环境噪声排放标准》（GB12348-2008）中</w:t>
            </w:r>
            <w:r>
              <w:rPr>
                <w:rFonts w:hint="default" w:ascii="Times New Roman" w:hAnsi="Times New Roman" w:eastAsia="宋体" w:cs="Times New Roman"/>
                <w:b w:val="0"/>
                <w:bCs/>
                <w:color w:val="auto"/>
                <w:sz w:val="21"/>
                <w:szCs w:val="24"/>
                <w:highlight w:val="none"/>
                <w:lang w:val="en-US" w:eastAsia="zh-CN"/>
              </w:rPr>
              <w:t>3</w:t>
            </w:r>
            <w:r>
              <w:rPr>
                <w:rFonts w:hint="default" w:ascii="Times New Roman" w:hAnsi="Times New Roman" w:eastAsia="宋体" w:cs="Times New Roman"/>
                <w:b w:val="0"/>
                <w:bCs/>
                <w:color w:val="auto"/>
                <w:sz w:val="21"/>
                <w:szCs w:val="24"/>
                <w:highlight w:val="none"/>
              </w:rPr>
              <w:t>类标准限值</w:t>
            </w:r>
          </w:p>
        </w:tc>
      </w:tr>
      <w:tr w14:paraId="50BD53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193" w:type="dxa"/>
            <w:noWrap w:val="0"/>
            <w:vAlign w:val="center"/>
          </w:tcPr>
          <w:p w14:paraId="43C6A81C">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电磁辐射</w:t>
            </w:r>
          </w:p>
        </w:tc>
        <w:tc>
          <w:tcPr>
            <w:tcW w:w="978" w:type="dxa"/>
            <w:noWrap w:val="0"/>
            <w:vAlign w:val="center"/>
          </w:tcPr>
          <w:p w14:paraId="0F20C52F">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w:t>
            </w:r>
          </w:p>
        </w:tc>
        <w:tc>
          <w:tcPr>
            <w:tcW w:w="1684" w:type="dxa"/>
            <w:noWrap w:val="0"/>
            <w:vAlign w:val="center"/>
          </w:tcPr>
          <w:p w14:paraId="0A78319D">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w:t>
            </w:r>
          </w:p>
        </w:tc>
        <w:tc>
          <w:tcPr>
            <w:tcW w:w="3558" w:type="dxa"/>
            <w:noWrap w:val="0"/>
            <w:vAlign w:val="center"/>
          </w:tcPr>
          <w:p w14:paraId="085D8D3D">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w:t>
            </w:r>
          </w:p>
        </w:tc>
        <w:tc>
          <w:tcPr>
            <w:tcW w:w="2334" w:type="dxa"/>
            <w:noWrap w:val="0"/>
            <w:vAlign w:val="center"/>
          </w:tcPr>
          <w:p w14:paraId="27623714">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w:t>
            </w:r>
          </w:p>
        </w:tc>
      </w:tr>
      <w:tr w14:paraId="36402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193" w:type="dxa"/>
            <w:noWrap w:val="0"/>
            <w:vAlign w:val="center"/>
          </w:tcPr>
          <w:p w14:paraId="24A17D5C">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固体废物</w:t>
            </w:r>
          </w:p>
        </w:tc>
        <w:tc>
          <w:tcPr>
            <w:tcW w:w="8554" w:type="dxa"/>
            <w:gridSpan w:val="4"/>
            <w:noWrap w:val="0"/>
            <w:vAlign w:val="center"/>
          </w:tcPr>
          <w:p w14:paraId="2F37F5FF">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b w:val="0"/>
                <w:bCs/>
                <w:color w:val="auto"/>
                <w:sz w:val="21"/>
                <w:szCs w:val="24"/>
                <w:highlight w:val="none"/>
                <w:lang w:eastAsia="zh-CN"/>
              </w:rPr>
            </w:pPr>
            <w:r>
              <w:rPr>
                <w:rFonts w:hint="default" w:ascii="Times New Roman" w:hAnsi="Times New Roman" w:eastAsia="宋体" w:cs="Times New Roman"/>
                <w:b w:val="0"/>
                <w:bCs/>
                <w:color w:val="auto"/>
                <w:sz w:val="21"/>
                <w:szCs w:val="24"/>
                <w:highlight w:val="none"/>
                <w:lang w:eastAsia="zh-CN"/>
              </w:rPr>
              <w:t>固废分类收集、分类贮存；设置一般固废区、</w:t>
            </w:r>
            <w:r>
              <w:rPr>
                <w:rFonts w:hint="default" w:ascii="Times New Roman" w:hAnsi="Times New Roman" w:eastAsia="宋体" w:cs="Times New Roman"/>
                <w:b w:val="0"/>
                <w:bCs/>
                <w:color w:val="auto"/>
                <w:sz w:val="21"/>
                <w:szCs w:val="24"/>
                <w:highlight w:val="none"/>
                <w:lang w:val="en-US" w:eastAsia="zh-CN"/>
              </w:rPr>
              <w:t>危废暂存间</w:t>
            </w:r>
            <w:r>
              <w:rPr>
                <w:rFonts w:hint="default" w:ascii="Times New Roman" w:hAnsi="Times New Roman" w:eastAsia="宋体" w:cs="Times New Roman"/>
                <w:b w:val="0"/>
                <w:bCs/>
                <w:color w:val="auto"/>
                <w:sz w:val="21"/>
                <w:szCs w:val="24"/>
                <w:highlight w:val="none"/>
                <w:lang w:eastAsia="zh-CN"/>
              </w:rPr>
              <w:t>。</w:t>
            </w:r>
          </w:p>
          <w:p w14:paraId="5AF27AEA">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b w:val="0"/>
                <w:bCs/>
                <w:color w:val="auto"/>
                <w:sz w:val="21"/>
                <w:szCs w:val="24"/>
                <w:highlight w:val="none"/>
                <w:lang w:eastAsia="zh-CN"/>
              </w:rPr>
            </w:pPr>
            <w:r>
              <w:rPr>
                <w:rFonts w:hint="default" w:ascii="Times New Roman" w:hAnsi="Times New Roman" w:eastAsia="宋体" w:cs="Times New Roman"/>
                <w:b w:val="0"/>
                <w:bCs/>
                <w:color w:val="auto"/>
                <w:sz w:val="21"/>
                <w:szCs w:val="24"/>
                <w:highlight w:val="none"/>
                <w:lang w:eastAsia="zh-CN"/>
              </w:rPr>
              <w:t>项目建成后产生的固体废物为一般固废</w:t>
            </w:r>
            <w:r>
              <w:rPr>
                <w:rFonts w:hint="eastAsia" w:ascii="Times New Roman" w:hAnsi="Times New Roman" w:eastAsia="宋体" w:cs="Times New Roman"/>
                <w:b w:val="0"/>
                <w:bCs/>
                <w:color w:val="auto"/>
                <w:sz w:val="21"/>
                <w:szCs w:val="24"/>
                <w:highlight w:val="none"/>
                <w:lang w:eastAsia="zh-CN"/>
              </w:rPr>
              <w:t>、</w:t>
            </w:r>
            <w:r>
              <w:rPr>
                <w:rFonts w:hint="eastAsia" w:ascii="Times New Roman" w:hAnsi="Times New Roman" w:eastAsia="宋体" w:cs="Times New Roman"/>
                <w:b w:val="0"/>
                <w:bCs/>
                <w:color w:val="auto"/>
                <w:sz w:val="21"/>
                <w:szCs w:val="24"/>
                <w:highlight w:val="none"/>
                <w:lang w:val="en-US" w:eastAsia="zh-CN"/>
              </w:rPr>
              <w:t>生活垃圾</w:t>
            </w:r>
            <w:r>
              <w:rPr>
                <w:rFonts w:hint="default" w:ascii="Times New Roman" w:hAnsi="Times New Roman" w:eastAsia="宋体" w:cs="Times New Roman"/>
                <w:b w:val="0"/>
                <w:bCs/>
                <w:color w:val="auto"/>
                <w:sz w:val="21"/>
                <w:szCs w:val="24"/>
                <w:highlight w:val="none"/>
                <w:lang w:val="en-US" w:eastAsia="zh-CN"/>
              </w:rPr>
              <w:t>和危险废物</w:t>
            </w:r>
            <w:r>
              <w:rPr>
                <w:rFonts w:hint="default" w:ascii="Times New Roman" w:hAnsi="Times New Roman" w:eastAsia="宋体" w:cs="Times New Roman"/>
                <w:b w:val="0"/>
                <w:bCs/>
                <w:color w:val="auto"/>
                <w:sz w:val="21"/>
                <w:szCs w:val="24"/>
                <w:highlight w:val="none"/>
                <w:lang w:eastAsia="zh-CN"/>
              </w:rPr>
              <w:t>。</w:t>
            </w:r>
          </w:p>
          <w:p w14:paraId="69CB23C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b w:val="0"/>
                <w:bCs/>
                <w:color w:val="auto"/>
                <w:sz w:val="21"/>
                <w:szCs w:val="24"/>
                <w:highlight w:val="none"/>
                <w:lang w:val="en-US" w:eastAsia="zh-CN"/>
              </w:rPr>
            </w:pPr>
            <w:r>
              <w:rPr>
                <w:rFonts w:hint="eastAsia" w:ascii="Times New Roman" w:hAnsi="Times New Roman" w:eastAsia="宋体" w:cs="Times New Roman"/>
                <w:b w:val="0"/>
                <w:bCs/>
                <w:color w:val="auto"/>
                <w:sz w:val="21"/>
                <w:szCs w:val="24"/>
                <w:highlight w:val="none"/>
                <w:lang w:val="en-US" w:eastAsia="zh-CN"/>
              </w:rPr>
              <w:t>①</w:t>
            </w:r>
            <w:r>
              <w:rPr>
                <w:rFonts w:hint="default" w:ascii="Times New Roman" w:hAnsi="Times New Roman" w:eastAsia="宋体" w:cs="Times New Roman"/>
                <w:b w:val="0"/>
                <w:bCs/>
                <w:color w:val="auto"/>
                <w:sz w:val="21"/>
                <w:szCs w:val="24"/>
                <w:highlight w:val="none"/>
                <w:lang w:eastAsia="zh-CN"/>
              </w:rPr>
              <w:t>一般固废为</w:t>
            </w:r>
            <w:r>
              <w:rPr>
                <w:rFonts w:hint="eastAsia" w:ascii="Times New Roman" w:hAnsi="Times New Roman" w:eastAsia="宋体" w:cs="Times New Roman"/>
                <w:b w:val="0"/>
                <w:bCs/>
                <w:color w:val="auto"/>
                <w:sz w:val="21"/>
                <w:szCs w:val="24"/>
                <w:highlight w:val="none"/>
                <w:lang w:val="en-US" w:eastAsia="zh-CN"/>
              </w:rPr>
              <w:t>废丝、废布料、废包装材料</w:t>
            </w:r>
            <w:r>
              <w:rPr>
                <w:rFonts w:hint="eastAsia" w:cs="Times New Roman"/>
                <w:b w:val="0"/>
                <w:bCs/>
                <w:color w:val="auto"/>
                <w:sz w:val="21"/>
                <w:szCs w:val="24"/>
                <w:highlight w:val="none"/>
                <w:lang w:val="en-US" w:eastAsia="zh-CN"/>
              </w:rPr>
              <w:t>、</w:t>
            </w:r>
            <w:r>
              <w:rPr>
                <w:rFonts w:hint="eastAsia" w:ascii="宋体" w:hAnsi="宋体" w:eastAsia="宋体" w:cs="宋体"/>
                <w:kern w:val="2"/>
                <w:sz w:val="21"/>
                <w:szCs w:val="21"/>
                <w:lang w:eastAsia="zh-CN"/>
              </w:rPr>
              <w:t>污水处理站生化污泥</w:t>
            </w:r>
            <w:r>
              <w:rPr>
                <w:rFonts w:hint="default" w:ascii="Times New Roman" w:hAnsi="Times New Roman" w:eastAsia="宋体" w:cs="Times New Roman"/>
                <w:b w:val="0"/>
                <w:bCs/>
                <w:color w:val="auto"/>
                <w:sz w:val="21"/>
                <w:szCs w:val="24"/>
                <w:highlight w:val="none"/>
                <w:lang w:val="en-US" w:eastAsia="zh-CN"/>
              </w:rPr>
              <w:t>等。</w:t>
            </w:r>
          </w:p>
          <w:p w14:paraId="2EC02243">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b w:val="0"/>
                <w:bCs/>
                <w:color w:val="auto"/>
                <w:sz w:val="21"/>
                <w:szCs w:val="24"/>
                <w:highlight w:val="none"/>
                <w:lang w:val="en-US" w:eastAsia="zh-CN"/>
              </w:rPr>
            </w:pPr>
            <w:r>
              <w:rPr>
                <w:rFonts w:hint="eastAsia" w:ascii="Times New Roman" w:hAnsi="Times New Roman" w:eastAsia="宋体" w:cs="Times New Roman"/>
                <w:b w:val="0"/>
                <w:bCs/>
                <w:color w:val="auto"/>
                <w:sz w:val="21"/>
                <w:szCs w:val="24"/>
                <w:highlight w:val="none"/>
                <w:lang w:val="en-US" w:eastAsia="zh-CN"/>
              </w:rPr>
              <w:t>废丝、废布料、废包装材料</w:t>
            </w:r>
            <w:r>
              <w:rPr>
                <w:rFonts w:hint="eastAsia" w:cs="Times New Roman"/>
                <w:b w:val="0"/>
                <w:bCs/>
                <w:color w:val="auto"/>
                <w:sz w:val="21"/>
                <w:szCs w:val="24"/>
                <w:highlight w:val="none"/>
                <w:lang w:val="en-US" w:eastAsia="zh-CN"/>
              </w:rPr>
              <w:t>、</w:t>
            </w:r>
            <w:r>
              <w:rPr>
                <w:rFonts w:hint="eastAsia" w:ascii="宋体" w:hAnsi="宋体" w:eastAsia="宋体" w:cs="宋体"/>
                <w:kern w:val="2"/>
                <w:sz w:val="21"/>
                <w:szCs w:val="21"/>
                <w:lang w:eastAsia="zh-CN"/>
              </w:rPr>
              <w:t>污水处理站生化污泥</w:t>
            </w:r>
            <w:r>
              <w:rPr>
                <w:rFonts w:hint="default" w:ascii="Times New Roman" w:hAnsi="Times New Roman" w:eastAsia="宋体" w:cs="Times New Roman"/>
                <w:b w:val="0"/>
                <w:bCs/>
                <w:color w:val="auto"/>
                <w:sz w:val="21"/>
                <w:szCs w:val="24"/>
                <w:highlight w:val="none"/>
                <w:lang w:val="en-US" w:eastAsia="zh-CN"/>
              </w:rPr>
              <w:t>收集后定期外</w:t>
            </w:r>
            <w:r>
              <w:rPr>
                <w:rFonts w:hint="eastAsia" w:ascii="Times New Roman" w:hAnsi="Times New Roman" w:eastAsia="宋体" w:cs="Times New Roman"/>
                <w:b w:val="0"/>
                <w:bCs/>
                <w:color w:val="auto"/>
                <w:sz w:val="21"/>
                <w:szCs w:val="24"/>
                <w:highlight w:val="none"/>
                <w:lang w:val="en-US" w:eastAsia="zh-CN"/>
              </w:rPr>
              <w:t>。</w:t>
            </w:r>
          </w:p>
          <w:p w14:paraId="2840C8AA">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b w:val="0"/>
                <w:bCs/>
                <w:color w:val="auto"/>
                <w:sz w:val="21"/>
                <w:szCs w:val="24"/>
                <w:highlight w:val="none"/>
                <w:lang w:val="en-US" w:eastAsia="zh-CN"/>
              </w:rPr>
            </w:pPr>
            <w:r>
              <w:rPr>
                <w:rFonts w:hint="default" w:ascii="Times New Roman" w:hAnsi="Times New Roman" w:eastAsia="宋体" w:cs="Times New Roman"/>
                <w:b w:val="0"/>
                <w:bCs/>
                <w:color w:val="auto"/>
                <w:sz w:val="21"/>
                <w:szCs w:val="24"/>
                <w:highlight w:val="none"/>
                <w:lang w:val="en-US" w:eastAsia="zh-CN"/>
              </w:rPr>
              <w:t>②生活垃圾由当地环卫部门统一清运。</w:t>
            </w:r>
          </w:p>
          <w:p w14:paraId="57E5EDA0">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b w:val="0"/>
                <w:bCs/>
                <w:color w:val="auto"/>
                <w:sz w:val="21"/>
                <w:szCs w:val="24"/>
                <w:highlight w:val="none"/>
                <w:lang w:eastAsia="zh-CN"/>
              </w:rPr>
            </w:pPr>
            <w:r>
              <w:rPr>
                <w:rFonts w:hint="eastAsia" w:ascii="Times New Roman" w:hAnsi="Times New Roman" w:eastAsia="宋体" w:cs="Times New Roman"/>
                <w:b w:val="0"/>
                <w:bCs/>
                <w:color w:val="auto"/>
                <w:sz w:val="21"/>
                <w:szCs w:val="24"/>
                <w:highlight w:val="none"/>
                <w:lang w:val="en-US" w:eastAsia="zh-CN"/>
              </w:rPr>
              <w:t>②</w:t>
            </w:r>
            <w:r>
              <w:rPr>
                <w:rFonts w:hint="default" w:ascii="Times New Roman" w:hAnsi="Times New Roman" w:eastAsia="宋体" w:cs="Times New Roman"/>
                <w:b w:val="0"/>
                <w:bCs/>
                <w:color w:val="auto"/>
                <w:sz w:val="21"/>
                <w:szCs w:val="24"/>
                <w:highlight w:val="none"/>
                <w:lang w:eastAsia="zh-CN"/>
              </w:rPr>
              <w:t>危险</w:t>
            </w:r>
            <w:r>
              <w:rPr>
                <w:rFonts w:hint="default" w:ascii="Times New Roman" w:hAnsi="Times New Roman" w:eastAsia="宋体" w:cs="Times New Roman"/>
                <w:b w:val="0"/>
                <w:bCs/>
                <w:color w:val="auto"/>
                <w:sz w:val="21"/>
                <w:szCs w:val="24"/>
                <w:highlight w:val="none"/>
                <w:lang w:val="en-US" w:eastAsia="zh-CN"/>
              </w:rPr>
              <w:t>废物为</w:t>
            </w:r>
            <w:r>
              <w:rPr>
                <w:rFonts w:hint="eastAsia" w:ascii="Times New Roman" w:hAnsi="Times New Roman" w:eastAsia="宋体" w:cs="Times New Roman"/>
                <w:b w:val="0"/>
                <w:bCs/>
                <w:color w:val="auto"/>
                <w:sz w:val="21"/>
                <w:szCs w:val="24"/>
                <w:highlight w:val="none"/>
                <w:lang w:val="en-US" w:eastAsia="zh-CN"/>
              </w:rPr>
              <w:t>废油、废机油、机油桶、</w:t>
            </w:r>
            <w:r>
              <w:rPr>
                <w:rFonts w:hint="eastAsia" w:cs="Times New Roman"/>
                <w:b w:val="0"/>
                <w:bCs/>
                <w:color w:val="auto"/>
                <w:sz w:val="21"/>
                <w:szCs w:val="24"/>
                <w:highlight w:val="none"/>
                <w:lang w:val="en-US" w:eastAsia="zh-CN"/>
              </w:rPr>
              <w:t>废油剂桶</w:t>
            </w:r>
            <w:r>
              <w:rPr>
                <w:rFonts w:hint="eastAsia" w:ascii="Times New Roman" w:hAnsi="Times New Roman" w:eastAsia="宋体" w:cs="Times New Roman"/>
                <w:b w:val="0"/>
                <w:bCs/>
                <w:color w:val="auto"/>
                <w:sz w:val="21"/>
                <w:szCs w:val="24"/>
                <w:highlight w:val="none"/>
                <w:lang w:val="en-US" w:eastAsia="zh-CN"/>
              </w:rPr>
              <w:t>、废活性炭</w:t>
            </w:r>
            <w:r>
              <w:rPr>
                <w:rFonts w:hint="eastAsia" w:cs="Times New Roman"/>
                <w:b w:val="0"/>
                <w:bCs/>
                <w:color w:val="auto"/>
                <w:sz w:val="21"/>
                <w:szCs w:val="24"/>
                <w:highlight w:val="none"/>
                <w:lang w:val="en-US" w:eastAsia="zh-CN"/>
              </w:rPr>
              <w:t>、废催化剂</w:t>
            </w:r>
            <w:r>
              <w:rPr>
                <w:rFonts w:hint="eastAsia" w:ascii="Times New Roman" w:hAnsi="Times New Roman" w:eastAsia="宋体" w:cs="Times New Roman"/>
                <w:b w:val="0"/>
                <w:bCs/>
                <w:color w:val="auto"/>
                <w:sz w:val="21"/>
                <w:szCs w:val="24"/>
                <w:highlight w:val="none"/>
                <w:lang w:val="en-US" w:eastAsia="zh-CN"/>
              </w:rPr>
              <w:t>和废含油抹布和废含油手套</w:t>
            </w:r>
            <w:r>
              <w:rPr>
                <w:rFonts w:hint="eastAsia" w:ascii="Times New Roman" w:hAnsi="Times New Roman" w:eastAsia="宋体" w:cs="Times New Roman"/>
                <w:b w:val="0"/>
                <w:bCs/>
                <w:color w:val="auto"/>
                <w:sz w:val="21"/>
                <w:szCs w:val="24"/>
                <w:highlight w:val="none"/>
                <w:lang w:eastAsia="zh-CN"/>
              </w:rPr>
              <w:t>。</w:t>
            </w:r>
          </w:p>
          <w:p w14:paraId="46BFA50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b w:val="0"/>
                <w:bCs/>
                <w:color w:val="auto"/>
                <w:sz w:val="21"/>
                <w:szCs w:val="24"/>
                <w:highlight w:val="none"/>
                <w:lang w:eastAsia="zh-CN"/>
              </w:rPr>
            </w:pPr>
            <w:r>
              <w:rPr>
                <w:rFonts w:hint="eastAsia" w:ascii="Times New Roman" w:hAnsi="Times New Roman" w:eastAsia="宋体" w:cs="Times New Roman"/>
                <w:b w:val="0"/>
                <w:bCs/>
                <w:color w:val="auto"/>
                <w:sz w:val="21"/>
                <w:szCs w:val="24"/>
                <w:highlight w:val="none"/>
                <w:lang w:val="en-US" w:eastAsia="zh-CN"/>
              </w:rPr>
              <w:t>废油、废机油、机油桶、废活性炭和废含油抹布和废含油手套</w:t>
            </w:r>
            <w:r>
              <w:rPr>
                <w:rFonts w:hint="default" w:ascii="Times New Roman" w:hAnsi="Times New Roman" w:eastAsia="宋体" w:cs="Times New Roman"/>
                <w:b w:val="0"/>
                <w:bCs/>
                <w:color w:val="auto"/>
                <w:sz w:val="21"/>
                <w:szCs w:val="24"/>
                <w:highlight w:val="none"/>
                <w:lang w:eastAsia="zh-CN"/>
              </w:rPr>
              <w:t>收集后暂存于危废暂存间，定期委托有资质单位处置。</w:t>
            </w:r>
          </w:p>
          <w:p w14:paraId="6183F9EB">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b w:val="0"/>
                <w:bCs/>
                <w:color w:val="auto"/>
                <w:sz w:val="21"/>
                <w:szCs w:val="24"/>
                <w:highlight w:val="none"/>
                <w:lang w:eastAsia="zh-CN"/>
              </w:rPr>
            </w:pPr>
            <w:r>
              <w:rPr>
                <w:rFonts w:hint="eastAsia" w:ascii="Times New Roman" w:hAnsi="Times New Roman" w:eastAsia="宋体" w:cs="Times New Roman"/>
                <w:b w:val="0"/>
                <w:bCs/>
                <w:color w:val="auto"/>
                <w:sz w:val="21"/>
                <w:szCs w:val="24"/>
                <w:highlight w:val="none"/>
                <w:lang w:val="en-US" w:eastAsia="zh-CN"/>
              </w:rPr>
              <w:t>机油桶、</w:t>
            </w:r>
            <w:r>
              <w:rPr>
                <w:rFonts w:hint="eastAsia" w:cs="Times New Roman"/>
                <w:b w:val="0"/>
                <w:bCs/>
                <w:color w:val="auto"/>
                <w:sz w:val="21"/>
                <w:szCs w:val="24"/>
                <w:highlight w:val="none"/>
                <w:lang w:val="en-US" w:eastAsia="zh-CN"/>
              </w:rPr>
              <w:t>废油剂桶包装完好的厂家回收</w:t>
            </w:r>
            <w:r>
              <w:rPr>
                <w:rFonts w:hint="eastAsia" w:ascii="Times New Roman" w:hAnsi="Times New Roman" w:eastAsia="宋体" w:cs="Times New Roman"/>
                <w:b w:val="0"/>
                <w:bCs/>
                <w:color w:val="auto"/>
                <w:sz w:val="21"/>
                <w:szCs w:val="24"/>
                <w:highlight w:val="none"/>
                <w:lang w:val="en-US" w:eastAsia="zh-CN"/>
              </w:rPr>
              <w:t>，破损严重的</w:t>
            </w:r>
            <w:r>
              <w:rPr>
                <w:rFonts w:hint="eastAsia" w:cs="Times New Roman"/>
                <w:b w:val="0"/>
                <w:bCs/>
                <w:color w:val="auto"/>
                <w:sz w:val="21"/>
                <w:szCs w:val="24"/>
                <w:highlight w:val="none"/>
                <w:lang w:val="en-US" w:eastAsia="zh-CN"/>
              </w:rPr>
              <w:t>当作</w:t>
            </w:r>
            <w:r>
              <w:rPr>
                <w:rFonts w:hint="eastAsia" w:ascii="Times New Roman" w:hAnsi="Times New Roman" w:eastAsia="宋体" w:cs="Times New Roman"/>
                <w:b w:val="0"/>
                <w:bCs/>
                <w:color w:val="auto"/>
                <w:sz w:val="21"/>
                <w:szCs w:val="24"/>
                <w:highlight w:val="none"/>
                <w:lang w:val="en-US" w:eastAsia="zh-CN"/>
              </w:rPr>
              <w:t>危废交由有资质单位处置。</w:t>
            </w:r>
          </w:p>
          <w:p w14:paraId="665B0459">
            <w:pPr>
              <w:pStyle w:val="4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lang w:eastAsia="zh-CN"/>
              </w:rPr>
              <w:t>一般工业固体废物</w:t>
            </w:r>
            <w:r>
              <w:rPr>
                <w:rFonts w:hint="default" w:ascii="Times New Roman" w:hAnsi="Times New Roman" w:eastAsia="宋体" w:cs="Times New Roman"/>
                <w:b w:val="0"/>
                <w:bCs/>
                <w:color w:val="auto"/>
                <w:sz w:val="21"/>
                <w:szCs w:val="24"/>
                <w:highlight w:val="none"/>
              </w:rPr>
              <w:t>贮存执行</w:t>
            </w:r>
            <w:r>
              <w:rPr>
                <w:rFonts w:hint="default" w:ascii="Times New Roman" w:hAnsi="Times New Roman" w:eastAsia="宋体" w:cs="Times New Roman"/>
                <w:b w:val="0"/>
                <w:bCs/>
                <w:color w:val="auto"/>
                <w:sz w:val="21"/>
                <w:szCs w:val="24"/>
                <w:highlight w:val="none"/>
                <w:lang w:eastAsia="zh-CN"/>
              </w:rPr>
              <w:t>《安徽省实施〈中华人民共和国固体废物污染环境防治法〉办法》</w:t>
            </w:r>
            <w:r>
              <w:rPr>
                <w:rFonts w:hint="default" w:ascii="Times New Roman" w:hAnsi="Times New Roman" w:eastAsia="宋体" w:cs="Times New Roman"/>
                <w:b w:val="0"/>
                <w:bCs/>
                <w:color w:val="auto"/>
                <w:sz w:val="21"/>
                <w:szCs w:val="24"/>
                <w:highlight w:val="none"/>
              </w:rPr>
              <w:t>中要求</w:t>
            </w:r>
            <w:r>
              <w:rPr>
                <w:rFonts w:hint="default" w:ascii="Times New Roman" w:hAnsi="Times New Roman" w:eastAsia="宋体" w:cs="Times New Roman"/>
                <w:b w:val="0"/>
                <w:bCs/>
                <w:color w:val="auto"/>
                <w:sz w:val="21"/>
                <w:szCs w:val="24"/>
                <w:highlight w:val="none"/>
                <w:lang w:eastAsia="zh-CN"/>
              </w:rPr>
              <w:t>；危险废物贮存执行《危险废物贮存污染控制标准》（GB18597-2023）中要求</w:t>
            </w:r>
            <w:r>
              <w:rPr>
                <w:rFonts w:hint="default" w:ascii="Times New Roman" w:hAnsi="Times New Roman" w:eastAsia="宋体" w:cs="Times New Roman"/>
                <w:b w:val="0"/>
                <w:bCs/>
                <w:color w:val="auto"/>
                <w:sz w:val="21"/>
                <w:szCs w:val="24"/>
                <w:highlight w:val="none"/>
              </w:rPr>
              <w:t>。</w:t>
            </w:r>
          </w:p>
        </w:tc>
      </w:tr>
      <w:tr w14:paraId="09A0F7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193" w:type="dxa"/>
            <w:noWrap w:val="0"/>
            <w:vAlign w:val="center"/>
          </w:tcPr>
          <w:p w14:paraId="024B69B8">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土壤及地下水污染防治措施</w:t>
            </w:r>
          </w:p>
        </w:tc>
        <w:tc>
          <w:tcPr>
            <w:tcW w:w="8554" w:type="dxa"/>
            <w:gridSpan w:val="4"/>
            <w:noWrap w:val="0"/>
            <w:vAlign w:val="center"/>
          </w:tcPr>
          <w:p w14:paraId="7753643E">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项目区按照相关防腐防渗要求采取分区防渗措施。</w:t>
            </w:r>
          </w:p>
        </w:tc>
      </w:tr>
      <w:tr w14:paraId="453FF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193" w:type="dxa"/>
            <w:noWrap w:val="0"/>
            <w:vAlign w:val="center"/>
          </w:tcPr>
          <w:p w14:paraId="2B7D4E49">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生态保护措施</w:t>
            </w:r>
          </w:p>
        </w:tc>
        <w:tc>
          <w:tcPr>
            <w:tcW w:w="8554" w:type="dxa"/>
            <w:gridSpan w:val="4"/>
            <w:noWrap w:val="0"/>
            <w:vAlign w:val="center"/>
          </w:tcPr>
          <w:p w14:paraId="16D96E3F">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w:t>
            </w:r>
          </w:p>
        </w:tc>
      </w:tr>
      <w:tr w14:paraId="5DBF4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193" w:type="dxa"/>
            <w:noWrap w:val="0"/>
            <w:vAlign w:val="center"/>
          </w:tcPr>
          <w:p w14:paraId="5CA6410A">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环境风险防范措施</w:t>
            </w:r>
          </w:p>
        </w:tc>
        <w:tc>
          <w:tcPr>
            <w:tcW w:w="8554" w:type="dxa"/>
            <w:gridSpan w:val="4"/>
            <w:noWrap w:val="0"/>
            <w:vAlign w:val="center"/>
          </w:tcPr>
          <w:p w14:paraId="68B0E8E0">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严格落实各项风险防范措施；加强厂区环保设施日常管理工作；落实厂区分区防渗要求等措施。</w:t>
            </w:r>
          </w:p>
        </w:tc>
      </w:tr>
      <w:tr w14:paraId="274CD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193" w:type="dxa"/>
            <w:noWrap w:val="0"/>
            <w:vAlign w:val="center"/>
          </w:tcPr>
          <w:p w14:paraId="2E17E540">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其他环境管理要求</w:t>
            </w:r>
          </w:p>
        </w:tc>
        <w:tc>
          <w:tcPr>
            <w:tcW w:w="8554" w:type="dxa"/>
            <w:gridSpan w:val="4"/>
            <w:noWrap w:val="0"/>
            <w:vAlign w:val="center"/>
          </w:tcPr>
          <w:p w14:paraId="3793E3A9">
            <w:pPr>
              <w:pStyle w:val="38"/>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firstLine="0" w:firstLineChars="0"/>
              <w:textAlignment w:val="auto"/>
              <w:rPr>
                <w:rFonts w:hint="default" w:ascii="Times New Roman" w:hAnsi="Times New Roman" w:eastAsia="宋体" w:cs="Times New Roman"/>
                <w:b w:val="0"/>
                <w:bCs/>
                <w:color w:val="auto"/>
                <w:sz w:val="21"/>
                <w:szCs w:val="24"/>
                <w:highlight w:val="none"/>
              </w:rPr>
            </w:pPr>
            <w:r>
              <w:rPr>
                <w:rFonts w:hint="default" w:ascii="Times New Roman" w:hAnsi="Times New Roman" w:eastAsia="宋体" w:cs="Times New Roman"/>
                <w:b w:val="0"/>
                <w:bCs/>
                <w:color w:val="auto"/>
                <w:sz w:val="21"/>
                <w:szCs w:val="24"/>
                <w:highlight w:val="none"/>
              </w:rPr>
              <w:t>规范设置污水排污口、雨水排污口和废气排放口、定期维护环保处理设施、定期监测、加强厂区管理。</w:t>
            </w:r>
          </w:p>
        </w:tc>
      </w:tr>
    </w:tbl>
    <w:p w14:paraId="7B3A2813">
      <w:pPr>
        <w:keepNext w:val="0"/>
        <w:keepLines w:val="0"/>
        <w:pageBreakBefore w:val="0"/>
        <w:widowControl w:val="0"/>
        <w:shd w:val="clear" w:color="auto" w:fill="auto"/>
        <w:kinsoku/>
        <w:wordWrap/>
        <w:overflowPunct/>
        <w:topLinePunct/>
        <w:autoSpaceDE/>
        <w:autoSpaceDN/>
        <w:bidi w:val="0"/>
        <w:adjustRightInd w:val="0"/>
        <w:snapToGrid w:val="0"/>
        <w:spacing w:before="120" w:beforeLines="50" w:line="360" w:lineRule="auto"/>
        <w:jc w:val="center"/>
        <w:textAlignment w:val="auto"/>
        <w:outlineLvl w:val="0"/>
        <w:rPr>
          <w:rStyle w:val="35"/>
          <w:rFonts w:hint="default" w:ascii="Times New Roman" w:hAnsi="Times New Roman" w:cs="Times New Roman"/>
          <w:color w:val="auto"/>
          <w:highlight w:val="none"/>
        </w:rPr>
      </w:pPr>
      <w:r>
        <w:rPr>
          <w:rFonts w:hint="default" w:ascii="Times New Roman" w:hAnsi="Times New Roman" w:cs="Times New Roman"/>
          <w:snapToGrid w:val="0"/>
          <w:color w:val="auto"/>
          <w:highlight w:val="none"/>
        </w:rPr>
        <w:br w:type="page"/>
      </w:r>
      <w:r>
        <w:rPr>
          <w:rStyle w:val="35"/>
          <w:rFonts w:hint="default" w:ascii="Times New Roman" w:hAnsi="Times New Roman" w:cs="Times New Roman"/>
          <w:color w:val="auto"/>
          <w:highlight w:val="none"/>
        </w:rPr>
        <w:t>六、结论</w:t>
      </w:r>
    </w:p>
    <w:tbl>
      <w:tblPr>
        <w:tblStyle w:val="26"/>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51"/>
      </w:tblGrid>
      <w:tr w14:paraId="1B6AE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80" w:hRule="atLeast"/>
          <w:jc w:val="center"/>
        </w:trPr>
        <w:tc>
          <w:tcPr>
            <w:tcW w:w="9751" w:type="dxa"/>
            <w:noWrap w:val="0"/>
            <w:vAlign w:val="top"/>
          </w:tcPr>
          <w:p w14:paraId="7E502048">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p>
          <w:p w14:paraId="41871E66">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p>
          <w:p w14:paraId="39B4D7A1">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p>
          <w:p w14:paraId="2AE31DD4">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p>
          <w:p w14:paraId="5CF5C809">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p>
          <w:p w14:paraId="131F69F2">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p>
          <w:p w14:paraId="051171B2">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p>
          <w:p w14:paraId="0B225546">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p>
          <w:p w14:paraId="083A5B44">
            <w:pPr>
              <w:pStyle w:val="42"/>
              <w:keepNext w:val="0"/>
              <w:keepLines w:val="0"/>
              <w:pageBreakBefore w:val="0"/>
              <w:suppressLineNumbers w:val="0"/>
              <w:kinsoku/>
              <w:wordWrap/>
              <w:bidi w:val="0"/>
              <w:adjustRightInd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建设项目厂址地理位置优越，交通便利，选址合适、可行，项目符合国家和地方相关产业政策要求；项目所产生的污染物均采取了有效的污染控制措施，污染物可确保达标排放，不会降低评价区域环境质量现状。项目建成投入使用后项目对环境的影响程度较小，在认真落实相关污染防治措施后，严格做到污染防治措施与主体工程</w:t>
            </w:r>
            <w:r>
              <w:rPr>
                <w:rFonts w:hint="eastAsia" w:cs="Times New Roman"/>
                <w:color w:val="auto"/>
                <w:highlight w:val="none"/>
                <w:lang w:eastAsia="zh-CN"/>
              </w:rPr>
              <w:t>“</w:t>
            </w:r>
            <w:r>
              <w:rPr>
                <w:rFonts w:hint="default" w:ascii="Times New Roman" w:hAnsi="Times New Roman" w:cs="Times New Roman"/>
                <w:color w:val="auto"/>
                <w:highlight w:val="none"/>
              </w:rPr>
              <w:t>三同时</w:t>
            </w:r>
            <w:r>
              <w:rPr>
                <w:rFonts w:hint="eastAsia" w:cs="Times New Roman"/>
                <w:color w:val="auto"/>
                <w:highlight w:val="none"/>
                <w:lang w:eastAsia="zh-CN"/>
              </w:rPr>
              <w:t>”</w:t>
            </w:r>
            <w:r>
              <w:rPr>
                <w:rFonts w:hint="default" w:ascii="Times New Roman" w:hAnsi="Times New Roman" w:cs="Times New Roman"/>
                <w:color w:val="auto"/>
                <w:highlight w:val="none"/>
              </w:rPr>
              <w:t>制度即</w:t>
            </w:r>
            <w:r>
              <w:rPr>
                <w:rFonts w:hint="eastAsia" w:cs="Times New Roman"/>
                <w:color w:val="auto"/>
                <w:highlight w:val="none"/>
                <w:lang w:eastAsia="zh-CN"/>
              </w:rPr>
              <w:t>“</w:t>
            </w:r>
            <w:r>
              <w:rPr>
                <w:rFonts w:hint="default" w:ascii="Times New Roman" w:hAnsi="Times New Roman" w:cs="Times New Roman"/>
                <w:color w:val="auto"/>
                <w:highlight w:val="none"/>
              </w:rPr>
              <w:t>同时设计、同时施工、同时投产</w:t>
            </w:r>
            <w:r>
              <w:rPr>
                <w:rFonts w:hint="eastAsia" w:cs="Times New Roman"/>
                <w:color w:val="auto"/>
                <w:highlight w:val="none"/>
                <w:lang w:eastAsia="zh-CN"/>
              </w:rPr>
              <w:t>”</w:t>
            </w:r>
            <w:r>
              <w:rPr>
                <w:rFonts w:hint="default" w:ascii="Times New Roman" w:hAnsi="Times New Roman" w:cs="Times New Roman"/>
                <w:color w:val="auto"/>
                <w:highlight w:val="none"/>
              </w:rPr>
              <w:t>，污染物均可实现达标排放，对周围环境的影响较小，从</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角度分析，</w:t>
            </w:r>
            <w:r>
              <w:rPr>
                <w:rFonts w:hint="eastAsia" w:cs="Times New Roman"/>
                <w:color w:val="auto"/>
                <w:highlight w:val="none"/>
                <w:lang w:val="en-US" w:eastAsia="zh-CN"/>
              </w:rPr>
              <w:t>本</w:t>
            </w:r>
            <w:r>
              <w:rPr>
                <w:rFonts w:hint="default" w:ascii="Times New Roman" w:hAnsi="Times New Roman" w:cs="Times New Roman"/>
                <w:color w:val="auto"/>
                <w:highlight w:val="none"/>
              </w:rPr>
              <w:t>项目建设是可行的。</w:t>
            </w:r>
          </w:p>
        </w:tc>
      </w:tr>
    </w:tbl>
    <w:p w14:paraId="7E65A3CE">
      <w:pPr>
        <w:keepNext w:val="0"/>
        <w:keepLines w:val="0"/>
        <w:pageBreakBefore w:val="0"/>
        <w:widowControl w:val="0"/>
        <w:shd w:val="clear" w:color="auto" w:fill="auto"/>
        <w:kinsoku/>
        <w:wordWrap/>
        <w:overflowPunct/>
        <w:topLinePunct/>
        <w:autoSpaceDE/>
        <w:autoSpaceDN/>
        <w:bidi w:val="0"/>
        <w:adjustRightInd w:val="0"/>
        <w:snapToGrid w:val="0"/>
        <w:textAlignment w:val="auto"/>
        <w:rPr>
          <w:rFonts w:hint="default" w:ascii="Times New Roman" w:hAnsi="Times New Roman" w:cs="Times New Roman"/>
          <w:color w:val="auto"/>
          <w:highlight w:val="none"/>
        </w:rPr>
        <w:sectPr>
          <w:pgSz w:w="11905" w:h="16838"/>
          <w:pgMar w:top="1134" w:right="1134" w:bottom="1134" w:left="1134" w:header="737" w:footer="737" w:gutter="0"/>
          <w:pgBorders>
            <w:top w:val="none" w:sz="0" w:space="0"/>
            <w:left w:val="none" w:sz="0" w:space="0"/>
            <w:bottom w:val="none" w:sz="0" w:space="0"/>
            <w:right w:val="none" w:sz="0" w:space="0"/>
          </w:pgBorders>
          <w:pgNumType w:fmt="decimal"/>
          <w:cols w:space="0" w:num="1"/>
          <w:rtlGutter w:val="0"/>
          <w:docGrid w:linePitch="312" w:charSpace="0"/>
        </w:sectPr>
      </w:pPr>
    </w:p>
    <w:p w14:paraId="5C8E0C02">
      <w:pPr>
        <w:pStyle w:val="44"/>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附表</w:t>
      </w:r>
    </w:p>
    <w:p w14:paraId="3D5164E5">
      <w:pPr>
        <w:pStyle w:val="3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建设项目污染物排放量汇总表</w:t>
      </w:r>
    </w:p>
    <w:tbl>
      <w:tblPr>
        <w:tblStyle w:val="26"/>
        <w:tblW w:w="146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304"/>
        <w:gridCol w:w="2494"/>
        <w:gridCol w:w="1644"/>
        <w:gridCol w:w="1304"/>
        <w:gridCol w:w="1644"/>
        <w:gridCol w:w="1531"/>
        <w:gridCol w:w="1644"/>
        <w:gridCol w:w="1871"/>
        <w:gridCol w:w="1247"/>
      </w:tblGrid>
      <w:tr w14:paraId="553CA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91" w:hRule="atLeast"/>
          <w:tblHeader/>
          <w:jc w:val="center"/>
        </w:trPr>
        <w:tc>
          <w:tcPr>
            <w:tcW w:w="1304" w:type="dxa"/>
            <w:tcBorders>
              <w:tl2br w:val="single" w:color="auto" w:sz="4" w:space="0"/>
            </w:tcBorders>
            <w:noWrap w:val="0"/>
            <w:tcMar>
              <w:left w:w="28" w:type="dxa"/>
              <w:right w:w="28" w:type="dxa"/>
            </w:tcMar>
            <w:vAlign w:val="center"/>
          </w:tcPr>
          <w:p w14:paraId="5AAB3C77">
            <w:pPr>
              <w:pStyle w:val="41"/>
              <w:keepNext w:val="0"/>
              <w:keepLines w:val="0"/>
              <w:suppressLineNumbers w:val="0"/>
              <w:bidi w:val="0"/>
              <w:spacing w:before="0" w:beforeAutospacing="0" w:after="0" w:afterAutospacing="0"/>
              <w:ind w:left="0" w:right="0"/>
              <w:jc w:val="right"/>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项目</w:t>
            </w:r>
          </w:p>
          <w:p w14:paraId="42DBE17A">
            <w:pPr>
              <w:pStyle w:val="41"/>
              <w:keepNext w:val="0"/>
              <w:keepLines w:val="0"/>
              <w:suppressLineNumbers w:val="0"/>
              <w:bidi w:val="0"/>
              <w:spacing w:before="0" w:beforeAutospacing="0" w:after="0" w:afterAutospacing="0"/>
              <w:ind w:left="0" w:right="0"/>
              <w:jc w:val="left"/>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分类</w:t>
            </w:r>
          </w:p>
        </w:tc>
        <w:tc>
          <w:tcPr>
            <w:tcW w:w="2494" w:type="dxa"/>
            <w:noWrap w:val="0"/>
            <w:tcMar>
              <w:left w:w="28" w:type="dxa"/>
              <w:right w:w="28" w:type="dxa"/>
            </w:tcMar>
            <w:vAlign w:val="center"/>
          </w:tcPr>
          <w:p w14:paraId="0B60EEAF">
            <w:pPr>
              <w:pStyle w:val="41"/>
              <w:keepNext w:val="0"/>
              <w:keepLines w:val="0"/>
              <w:suppressLineNumbers w:val="0"/>
              <w:bidi w:val="0"/>
              <w:spacing w:before="0" w:beforeAutospacing="0" w:after="0" w:afterAutospacing="0"/>
              <w:ind w:left="0" w:right="0"/>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污染物名称</w:t>
            </w:r>
          </w:p>
        </w:tc>
        <w:tc>
          <w:tcPr>
            <w:tcW w:w="1644" w:type="dxa"/>
            <w:noWrap w:val="0"/>
            <w:tcMar>
              <w:left w:w="28" w:type="dxa"/>
              <w:right w:w="28" w:type="dxa"/>
            </w:tcMar>
            <w:vAlign w:val="center"/>
          </w:tcPr>
          <w:p w14:paraId="3EE41E9D">
            <w:pPr>
              <w:pStyle w:val="41"/>
              <w:keepNext w:val="0"/>
              <w:keepLines w:val="0"/>
              <w:suppressLineNumbers w:val="0"/>
              <w:bidi w:val="0"/>
              <w:spacing w:before="0" w:beforeAutospacing="0" w:after="0" w:afterAutospacing="0"/>
              <w:ind w:left="0" w:right="0"/>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lang w:eastAsia="zh-CN"/>
              </w:rPr>
              <w:t>现有项目</w:t>
            </w:r>
            <w:r>
              <w:rPr>
                <w:rFonts w:hint="default" w:ascii="Times New Roman" w:hAnsi="Times New Roman" w:eastAsia="宋体"/>
                <w:b/>
                <w:color w:val="auto"/>
                <w:sz w:val="21"/>
                <w:szCs w:val="21"/>
                <w:highlight w:val="none"/>
              </w:rPr>
              <w:t>排放量（固体废物产生量）</w:t>
            </w:r>
            <w:r>
              <w:rPr>
                <w:rFonts w:hint="default" w:ascii="Times New Roman" w:hAnsi="Times New Roman" w:eastAsia="宋体"/>
                <w:b/>
                <w:color w:val="auto"/>
                <w:sz w:val="21"/>
                <w:szCs w:val="21"/>
                <w:highlight w:val="none"/>
              </w:rPr>
              <w:fldChar w:fldCharType="begin"/>
            </w:r>
            <w:r>
              <w:rPr>
                <w:rFonts w:hint="default" w:ascii="Times New Roman" w:hAnsi="Times New Roman" w:eastAsia="宋体"/>
                <w:b/>
                <w:color w:val="auto"/>
                <w:sz w:val="21"/>
                <w:szCs w:val="21"/>
                <w:highlight w:val="none"/>
              </w:rPr>
              <w:instrText xml:space="preserve">=1\*GB3\*MERGEFORMAT</w:instrText>
            </w:r>
            <w:r>
              <w:rPr>
                <w:rFonts w:hint="default" w:ascii="Times New Roman" w:hAnsi="Times New Roman" w:eastAsia="宋体"/>
                <w:b/>
                <w:color w:val="auto"/>
                <w:sz w:val="21"/>
                <w:szCs w:val="21"/>
                <w:highlight w:val="none"/>
              </w:rPr>
              <w:fldChar w:fldCharType="separate"/>
            </w:r>
            <w:r>
              <w:rPr>
                <w:rFonts w:hint="default" w:ascii="Times New Roman" w:hAnsi="Times New Roman" w:eastAsia="宋体"/>
                <w:b/>
                <w:color w:val="auto"/>
                <w:sz w:val="21"/>
                <w:szCs w:val="21"/>
                <w:highlight w:val="none"/>
              </w:rPr>
              <w:t>①</w:t>
            </w:r>
            <w:r>
              <w:rPr>
                <w:rFonts w:hint="default" w:ascii="Times New Roman" w:hAnsi="Times New Roman" w:eastAsia="宋体"/>
                <w:b/>
                <w:color w:val="auto"/>
                <w:sz w:val="21"/>
                <w:szCs w:val="21"/>
                <w:highlight w:val="none"/>
              </w:rPr>
              <w:fldChar w:fldCharType="end"/>
            </w:r>
          </w:p>
        </w:tc>
        <w:tc>
          <w:tcPr>
            <w:tcW w:w="1304" w:type="dxa"/>
            <w:noWrap w:val="0"/>
            <w:tcMar>
              <w:left w:w="28" w:type="dxa"/>
              <w:right w:w="28" w:type="dxa"/>
            </w:tcMar>
            <w:vAlign w:val="center"/>
          </w:tcPr>
          <w:p w14:paraId="7DF9D592">
            <w:pPr>
              <w:pStyle w:val="41"/>
              <w:keepNext w:val="0"/>
              <w:keepLines w:val="0"/>
              <w:suppressLineNumbers w:val="0"/>
              <w:bidi w:val="0"/>
              <w:spacing w:before="0" w:beforeAutospacing="0" w:after="0" w:afterAutospacing="0"/>
              <w:ind w:left="0" w:right="0"/>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lang w:eastAsia="zh-CN"/>
              </w:rPr>
              <w:t>现有项目</w:t>
            </w:r>
            <w:r>
              <w:rPr>
                <w:rFonts w:hint="default" w:ascii="Times New Roman" w:hAnsi="Times New Roman" w:eastAsia="宋体"/>
                <w:b/>
                <w:color w:val="auto"/>
                <w:sz w:val="21"/>
                <w:szCs w:val="21"/>
                <w:highlight w:val="none"/>
              </w:rPr>
              <w:t>许可排放量</w:t>
            </w:r>
          </w:p>
          <w:p w14:paraId="7C3EEB99">
            <w:pPr>
              <w:pStyle w:val="41"/>
              <w:keepNext w:val="0"/>
              <w:keepLines w:val="0"/>
              <w:suppressLineNumbers w:val="0"/>
              <w:bidi w:val="0"/>
              <w:spacing w:before="0" w:beforeAutospacing="0" w:after="0" w:afterAutospacing="0"/>
              <w:ind w:left="0" w:right="0"/>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fldChar w:fldCharType="begin"/>
            </w:r>
            <w:r>
              <w:rPr>
                <w:rFonts w:hint="default" w:ascii="Times New Roman" w:hAnsi="Times New Roman" w:eastAsia="宋体"/>
                <w:b/>
                <w:color w:val="auto"/>
                <w:sz w:val="21"/>
                <w:szCs w:val="21"/>
                <w:highlight w:val="none"/>
              </w:rPr>
              <w:instrText xml:space="preserve">=2\*GB3\*MERGEFORMAT</w:instrText>
            </w:r>
            <w:r>
              <w:rPr>
                <w:rFonts w:hint="default" w:ascii="Times New Roman" w:hAnsi="Times New Roman" w:eastAsia="宋体"/>
                <w:b/>
                <w:color w:val="auto"/>
                <w:sz w:val="21"/>
                <w:szCs w:val="21"/>
                <w:highlight w:val="none"/>
              </w:rPr>
              <w:fldChar w:fldCharType="separate"/>
            </w:r>
            <w:r>
              <w:rPr>
                <w:rFonts w:hint="default" w:ascii="Times New Roman" w:hAnsi="Times New Roman" w:eastAsia="宋体"/>
                <w:b/>
                <w:color w:val="auto"/>
                <w:sz w:val="21"/>
                <w:szCs w:val="21"/>
                <w:highlight w:val="none"/>
              </w:rPr>
              <w:t>②</w:t>
            </w:r>
            <w:r>
              <w:rPr>
                <w:rFonts w:hint="default" w:ascii="Times New Roman" w:hAnsi="Times New Roman" w:eastAsia="宋体"/>
                <w:b/>
                <w:color w:val="auto"/>
                <w:sz w:val="21"/>
                <w:szCs w:val="21"/>
                <w:highlight w:val="none"/>
              </w:rPr>
              <w:fldChar w:fldCharType="end"/>
            </w:r>
          </w:p>
        </w:tc>
        <w:tc>
          <w:tcPr>
            <w:tcW w:w="1644" w:type="dxa"/>
            <w:noWrap w:val="0"/>
            <w:tcMar>
              <w:left w:w="28" w:type="dxa"/>
              <w:right w:w="28" w:type="dxa"/>
            </w:tcMar>
            <w:vAlign w:val="center"/>
          </w:tcPr>
          <w:p w14:paraId="18F623C6">
            <w:pPr>
              <w:pStyle w:val="41"/>
              <w:keepNext w:val="0"/>
              <w:keepLines w:val="0"/>
              <w:suppressLineNumbers w:val="0"/>
              <w:bidi w:val="0"/>
              <w:spacing w:before="0" w:beforeAutospacing="0" w:after="0" w:afterAutospacing="0"/>
              <w:ind w:left="0" w:right="0"/>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在建工程排放量（固体废物产生量）</w:t>
            </w:r>
            <w:r>
              <w:rPr>
                <w:rFonts w:hint="default" w:ascii="Times New Roman" w:hAnsi="Times New Roman" w:eastAsia="宋体"/>
                <w:b/>
                <w:color w:val="auto"/>
                <w:sz w:val="21"/>
                <w:szCs w:val="21"/>
                <w:highlight w:val="none"/>
              </w:rPr>
              <w:fldChar w:fldCharType="begin"/>
            </w:r>
            <w:r>
              <w:rPr>
                <w:rFonts w:hint="default" w:ascii="Times New Roman" w:hAnsi="Times New Roman" w:eastAsia="宋体"/>
                <w:b/>
                <w:color w:val="auto"/>
                <w:sz w:val="21"/>
                <w:szCs w:val="21"/>
                <w:highlight w:val="none"/>
              </w:rPr>
              <w:instrText xml:space="preserve">=3\*GB3\*MERGEFORMAT</w:instrText>
            </w:r>
            <w:r>
              <w:rPr>
                <w:rFonts w:hint="default" w:ascii="Times New Roman" w:hAnsi="Times New Roman" w:eastAsia="宋体"/>
                <w:b/>
                <w:color w:val="auto"/>
                <w:sz w:val="21"/>
                <w:szCs w:val="21"/>
                <w:highlight w:val="none"/>
              </w:rPr>
              <w:fldChar w:fldCharType="separate"/>
            </w:r>
            <w:r>
              <w:rPr>
                <w:rFonts w:hint="default" w:ascii="Times New Roman" w:hAnsi="Times New Roman" w:eastAsia="宋体"/>
                <w:b/>
                <w:color w:val="auto"/>
                <w:sz w:val="21"/>
                <w:szCs w:val="21"/>
                <w:highlight w:val="none"/>
              </w:rPr>
              <w:t>③</w:t>
            </w:r>
            <w:r>
              <w:rPr>
                <w:rFonts w:hint="default" w:ascii="Times New Roman" w:hAnsi="Times New Roman" w:eastAsia="宋体"/>
                <w:b/>
                <w:color w:val="auto"/>
                <w:sz w:val="21"/>
                <w:szCs w:val="21"/>
                <w:highlight w:val="none"/>
              </w:rPr>
              <w:fldChar w:fldCharType="end"/>
            </w:r>
          </w:p>
        </w:tc>
        <w:tc>
          <w:tcPr>
            <w:tcW w:w="1531" w:type="dxa"/>
            <w:noWrap w:val="0"/>
            <w:tcMar>
              <w:left w:w="28" w:type="dxa"/>
              <w:right w:w="28" w:type="dxa"/>
            </w:tcMar>
            <w:vAlign w:val="center"/>
          </w:tcPr>
          <w:p w14:paraId="7135C8E3">
            <w:pPr>
              <w:pStyle w:val="41"/>
              <w:keepNext w:val="0"/>
              <w:keepLines w:val="0"/>
              <w:suppressLineNumbers w:val="0"/>
              <w:bidi w:val="0"/>
              <w:spacing w:before="0" w:beforeAutospacing="0" w:after="0" w:afterAutospacing="0"/>
              <w:ind w:left="0" w:right="0"/>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本项目排放量（固体废物产生量）</w:t>
            </w:r>
            <w:r>
              <w:rPr>
                <w:rFonts w:hint="default" w:ascii="Times New Roman" w:hAnsi="Times New Roman" w:eastAsia="宋体"/>
                <w:b/>
                <w:color w:val="auto"/>
                <w:sz w:val="21"/>
                <w:szCs w:val="21"/>
                <w:highlight w:val="none"/>
              </w:rPr>
              <w:fldChar w:fldCharType="begin"/>
            </w:r>
            <w:r>
              <w:rPr>
                <w:rFonts w:hint="default" w:ascii="Times New Roman" w:hAnsi="Times New Roman" w:eastAsia="宋体"/>
                <w:b/>
                <w:color w:val="auto"/>
                <w:sz w:val="21"/>
                <w:szCs w:val="21"/>
                <w:highlight w:val="none"/>
              </w:rPr>
              <w:instrText xml:space="preserve">=4\*GB3\*MERGEFORMAT</w:instrText>
            </w:r>
            <w:r>
              <w:rPr>
                <w:rFonts w:hint="default" w:ascii="Times New Roman" w:hAnsi="Times New Roman" w:eastAsia="宋体"/>
                <w:b/>
                <w:color w:val="auto"/>
                <w:sz w:val="21"/>
                <w:szCs w:val="21"/>
                <w:highlight w:val="none"/>
              </w:rPr>
              <w:fldChar w:fldCharType="separate"/>
            </w:r>
            <w:r>
              <w:rPr>
                <w:rFonts w:hint="default" w:ascii="Times New Roman" w:hAnsi="Times New Roman" w:eastAsia="宋体"/>
                <w:b/>
                <w:color w:val="auto"/>
                <w:sz w:val="21"/>
                <w:szCs w:val="21"/>
                <w:highlight w:val="none"/>
              </w:rPr>
              <w:t>④</w:t>
            </w:r>
            <w:r>
              <w:rPr>
                <w:rFonts w:hint="default" w:ascii="Times New Roman" w:hAnsi="Times New Roman" w:eastAsia="宋体"/>
                <w:b/>
                <w:color w:val="auto"/>
                <w:sz w:val="21"/>
                <w:szCs w:val="21"/>
                <w:highlight w:val="none"/>
              </w:rPr>
              <w:fldChar w:fldCharType="end"/>
            </w:r>
          </w:p>
        </w:tc>
        <w:tc>
          <w:tcPr>
            <w:tcW w:w="1644" w:type="dxa"/>
            <w:noWrap w:val="0"/>
            <w:tcMar>
              <w:left w:w="28" w:type="dxa"/>
              <w:right w:w="28" w:type="dxa"/>
            </w:tcMar>
            <w:vAlign w:val="center"/>
          </w:tcPr>
          <w:p w14:paraId="2B80DD2D">
            <w:pPr>
              <w:pStyle w:val="41"/>
              <w:keepNext w:val="0"/>
              <w:keepLines w:val="0"/>
              <w:suppressLineNumbers w:val="0"/>
              <w:bidi w:val="0"/>
              <w:spacing w:before="0" w:beforeAutospacing="0" w:after="0" w:afterAutospacing="0"/>
              <w:ind w:left="0" w:right="0"/>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以新带老削减量（新建项目不填）</w:t>
            </w:r>
            <w:r>
              <w:rPr>
                <w:rFonts w:hint="default" w:ascii="Times New Roman" w:hAnsi="Times New Roman" w:eastAsia="宋体"/>
                <w:b/>
                <w:color w:val="auto"/>
                <w:sz w:val="21"/>
                <w:szCs w:val="21"/>
                <w:highlight w:val="none"/>
              </w:rPr>
              <w:fldChar w:fldCharType="begin"/>
            </w:r>
            <w:r>
              <w:rPr>
                <w:rFonts w:hint="default" w:ascii="Times New Roman" w:hAnsi="Times New Roman" w:eastAsia="宋体"/>
                <w:b/>
                <w:color w:val="auto"/>
                <w:sz w:val="21"/>
                <w:szCs w:val="21"/>
                <w:highlight w:val="none"/>
              </w:rPr>
              <w:instrText xml:space="preserve">=5\*GB3\*MERGEFORMAT</w:instrText>
            </w:r>
            <w:r>
              <w:rPr>
                <w:rFonts w:hint="default" w:ascii="Times New Roman" w:hAnsi="Times New Roman" w:eastAsia="宋体"/>
                <w:b/>
                <w:color w:val="auto"/>
                <w:sz w:val="21"/>
                <w:szCs w:val="21"/>
                <w:highlight w:val="none"/>
              </w:rPr>
              <w:fldChar w:fldCharType="separate"/>
            </w:r>
            <w:r>
              <w:rPr>
                <w:rFonts w:hint="default" w:ascii="Times New Roman" w:hAnsi="Times New Roman" w:eastAsia="宋体"/>
                <w:b/>
                <w:color w:val="auto"/>
                <w:sz w:val="21"/>
                <w:szCs w:val="21"/>
                <w:highlight w:val="none"/>
              </w:rPr>
              <w:t>⑤</w:t>
            </w:r>
            <w:r>
              <w:rPr>
                <w:rFonts w:hint="default" w:ascii="Times New Roman" w:hAnsi="Times New Roman" w:eastAsia="宋体"/>
                <w:b/>
                <w:color w:val="auto"/>
                <w:sz w:val="21"/>
                <w:szCs w:val="21"/>
                <w:highlight w:val="none"/>
              </w:rPr>
              <w:fldChar w:fldCharType="end"/>
            </w:r>
          </w:p>
        </w:tc>
        <w:tc>
          <w:tcPr>
            <w:tcW w:w="1871" w:type="dxa"/>
            <w:noWrap w:val="0"/>
            <w:tcMar>
              <w:left w:w="28" w:type="dxa"/>
              <w:right w:w="28" w:type="dxa"/>
            </w:tcMar>
            <w:vAlign w:val="center"/>
          </w:tcPr>
          <w:p w14:paraId="5301E475">
            <w:pPr>
              <w:pStyle w:val="41"/>
              <w:keepNext w:val="0"/>
              <w:keepLines w:val="0"/>
              <w:suppressLineNumbers w:val="0"/>
              <w:bidi w:val="0"/>
              <w:spacing w:before="0" w:beforeAutospacing="0" w:after="0" w:afterAutospacing="0"/>
              <w:ind w:left="0" w:right="0"/>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本项目建成后全厂排放量（固体废物产生量）</w:t>
            </w:r>
            <w:r>
              <w:rPr>
                <w:rFonts w:hint="default" w:ascii="Times New Roman" w:hAnsi="Times New Roman" w:eastAsia="宋体"/>
                <w:b/>
                <w:color w:val="auto"/>
                <w:sz w:val="21"/>
                <w:szCs w:val="21"/>
                <w:highlight w:val="none"/>
              </w:rPr>
              <w:fldChar w:fldCharType="begin"/>
            </w:r>
            <w:r>
              <w:rPr>
                <w:rFonts w:hint="default" w:ascii="Times New Roman" w:hAnsi="Times New Roman" w:eastAsia="宋体"/>
                <w:b/>
                <w:color w:val="auto"/>
                <w:sz w:val="21"/>
                <w:szCs w:val="21"/>
                <w:highlight w:val="none"/>
              </w:rPr>
              <w:instrText xml:space="preserve">=6\*GB3\*MERGEFORMAT</w:instrText>
            </w:r>
            <w:r>
              <w:rPr>
                <w:rFonts w:hint="default" w:ascii="Times New Roman" w:hAnsi="Times New Roman" w:eastAsia="宋体"/>
                <w:b/>
                <w:color w:val="auto"/>
                <w:sz w:val="21"/>
                <w:szCs w:val="21"/>
                <w:highlight w:val="none"/>
              </w:rPr>
              <w:fldChar w:fldCharType="separate"/>
            </w:r>
            <w:r>
              <w:rPr>
                <w:rFonts w:hint="default" w:ascii="Times New Roman" w:hAnsi="Times New Roman" w:eastAsia="宋体"/>
                <w:b/>
                <w:color w:val="auto"/>
                <w:sz w:val="21"/>
                <w:szCs w:val="21"/>
                <w:highlight w:val="none"/>
              </w:rPr>
              <w:t>⑥</w:t>
            </w:r>
            <w:r>
              <w:rPr>
                <w:rFonts w:hint="default" w:ascii="Times New Roman" w:hAnsi="Times New Roman" w:eastAsia="宋体"/>
                <w:b/>
                <w:color w:val="auto"/>
                <w:sz w:val="21"/>
                <w:szCs w:val="21"/>
                <w:highlight w:val="none"/>
              </w:rPr>
              <w:fldChar w:fldCharType="end"/>
            </w:r>
          </w:p>
        </w:tc>
        <w:tc>
          <w:tcPr>
            <w:tcW w:w="1247" w:type="dxa"/>
            <w:noWrap w:val="0"/>
            <w:tcMar>
              <w:left w:w="28" w:type="dxa"/>
              <w:right w:w="28" w:type="dxa"/>
            </w:tcMar>
            <w:vAlign w:val="center"/>
          </w:tcPr>
          <w:p w14:paraId="4F51A20E">
            <w:pPr>
              <w:pStyle w:val="41"/>
              <w:keepNext w:val="0"/>
              <w:keepLines w:val="0"/>
              <w:suppressLineNumbers w:val="0"/>
              <w:bidi w:val="0"/>
              <w:spacing w:before="0" w:beforeAutospacing="0" w:after="0" w:afterAutospacing="0"/>
              <w:ind w:left="0" w:right="0"/>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变化量</w:t>
            </w:r>
          </w:p>
          <w:p w14:paraId="6A47093B">
            <w:pPr>
              <w:pStyle w:val="41"/>
              <w:keepNext w:val="0"/>
              <w:keepLines w:val="0"/>
              <w:suppressLineNumbers w:val="0"/>
              <w:bidi w:val="0"/>
              <w:spacing w:before="0" w:beforeAutospacing="0" w:after="0" w:afterAutospacing="0"/>
              <w:ind w:left="0" w:right="0"/>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fldChar w:fldCharType="begin"/>
            </w:r>
            <w:r>
              <w:rPr>
                <w:rFonts w:hint="default" w:ascii="Times New Roman" w:hAnsi="Times New Roman" w:eastAsia="宋体"/>
                <w:b/>
                <w:color w:val="auto"/>
                <w:sz w:val="21"/>
                <w:szCs w:val="21"/>
                <w:highlight w:val="none"/>
              </w:rPr>
              <w:instrText xml:space="preserve">=7\*GB3\*MERGEFORMAT</w:instrText>
            </w:r>
            <w:r>
              <w:rPr>
                <w:rFonts w:hint="default" w:ascii="Times New Roman" w:hAnsi="Times New Roman" w:eastAsia="宋体"/>
                <w:b/>
                <w:color w:val="auto"/>
                <w:sz w:val="21"/>
                <w:szCs w:val="21"/>
                <w:highlight w:val="none"/>
              </w:rPr>
              <w:fldChar w:fldCharType="separate"/>
            </w:r>
            <w:r>
              <w:rPr>
                <w:rFonts w:hint="default" w:ascii="Times New Roman" w:hAnsi="Times New Roman" w:eastAsia="宋体"/>
                <w:b/>
                <w:color w:val="auto"/>
                <w:sz w:val="21"/>
                <w:szCs w:val="21"/>
                <w:highlight w:val="none"/>
              </w:rPr>
              <w:t>⑦</w:t>
            </w:r>
            <w:r>
              <w:rPr>
                <w:rFonts w:hint="default" w:ascii="Times New Roman" w:hAnsi="Times New Roman" w:eastAsia="宋体"/>
                <w:b/>
                <w:color w:val="auto"/>
                <w:sz w:val="21"/>
                <w:szCs w:val="21"/>
                <w:highlight w:val="none"/>
              </w:rPr>
              <w:fldChar w:fldCharType="end"/>
            </w:r>
          </w:p>
        </w:tc>
      </w:tr>
      <w:tr w14:paraId="7CE3A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noWrap w:val="0"/>
            <w:vAlign w:val="center"/>
          </w:tcPr>
          <w:p w14:paraId="56B05F53">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废气</w:t>
            </w:r>
          </w:p>
        </w:tc>
        <w:tc>
          <w:tcPr>
            <w:tcW w:w="2494" w:type="dxa"/>
            <w:noWrap w:val="0"/>
            <w:vAlign w:val="center"/>
          </w:tcPr>
          <w:p w14:paraId="45E7CB6C">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非甲烷总烃</w:t>
            </w:r>
          </w:p>
        </w:tc>
        <w:tc>
          <w:tcPr>
            <w:tcW w:w="1644" w:type="dxa"/>
            <w:noWrap w:val="0"/>
            <w:vAlign w:val="center"/>
          </w:tcPr>
          <w:p w14:paraId="67E65ED2">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w:t>
            </w:r>
          </w:p>
        </w:tc>
        <w:tc>
          <w:tcPr>
            <w:tcW w:w="1304" w:type="dxa"/>
            <w:noWrap w:val="0"/>
            <w:vAlign w:val="center"/>
          </w:tcPr>
          <w:p w14:paraId="216B0CF7">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w:t>
            </w:r>
          </w:p>
        </w:tc>
        <w:tc>
          <w:tcPr>
            <w:tcW w:w="1644" w:type="dxa"/>
            <w:noWrap w:val="0"/>
            <w:vAlign w:val="center"/>
          </w:tcPr>
          <w:p w14:paraId="27B8E8F2">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w:t>
            </w:r>
          </w:p>
        </w:tc>
        <w:tc>
          <w:tcPr>
            <w:tcW w:w="1531" w:type="dxa"/>
            <w:noWrap w:val="0"/>
            <w:vAlign w:val="center"/>
          </w:tcPr>
          <w:p w14:paraId="54CFB981">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Cs w:val="20"/>
                <w:highlight w:val="none"/>
                <w:lang w:val="en-US" w:eastAsia="zh-CN"/>
              </w:rPr>
              <w:t>1.2498</w:t>
            </w:r>
          </w:p>
        </w:tc>
        <w:tc>
          <w:tcPr>
            <w:tcW w:w="1644" w:type="dxa"/>
            <w:noWrap w:val="0"/>
            <w:vAlign w:val="center"/>
          </w:tcPr>
          <w:p w14:paraId="5C3857BE">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1871" w:type="dxa"/>
            <w:noWrap w:val="0"/>
            <w:vAlign w:val="center"/>
          </w:tcPr>
          <w:p w14:paraId="5BDD7170">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Cs w:val="20"/>
                <w:highlight w:val="none"/>
                <w:lang w:val="en-US" w:eastAsia="zh-CN"/>
              </w:rPr>
              <w:t>1.2498</w:t>
            </w:r>
          </w:p>
        </w:tc>
        <w:tc>
          <w:tcPr>
            <w:tcW w:w="1247" w:type="dxa"/>
            <w:noWrap w:val="0"/>
            <w:vAlign w:val="center"/>
          </w:tcPr>
          <w:p w14:paraId="624B171C">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r>
              <w:rPr>
                <w:rFonts w:hint="eastAsia" w:cs="Times New Roman"/>
                <w:b w:val="0"/>
                <w:bCs/>
                <w:color w:val="auto"/>
                <w:szCs w:val="20"/>
                <w:highlight w:val="none"/>
                <w:lang w:val="en-US" w:eastAsia="zh-CN"/>
              </w:rPr>
              <w:t>1.2498</w:t>
            </w:r>
          </w:p>
        </w:tc>
      </w:tr>
      <w:tr w14:paraId="768BD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restart"/>
            <w:noWrap w:val="0"/>
            <w:vAlign w:val="center"/>
          </w:tcPr>
          <w:p w14:paraId="32C6ECD0">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废水</w:t>
            </w:r>
          </w:p>
        </w:tc>
        <w:tc>
          <w:tcPr>
            <w:tcW w:w="2494" w:type="dxa"/>
            <w:noWrap w:val="0"/>
            <w:vAlign w:val="center"/>
          </w:tcPr>
          <w:p w14:paraId="375B7552">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COD</w:t>
            </w:r>
          </w:p>
        </w:tc>
        <w:tc>
          <w:tcPr>
            <w:tcW w:w="1644" w:type="dxa"/>
            <w:noWrap w:val="0"/>
            <w:vAlign w:val="center"/>
          </w:tcPr>
          <w:p w14:paraId="4903057C">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w:t>
            </w:r>
          </w:p>
        </w:tc>
        <w:tc>
          <w:tcPr>
            <w:tcW w:w="1304" w:type="dxa"/>
            <w:noWrap w:val="0"/>
            <w:vAlign w:val="center"/>
          </w:tcPr>
          <w:p w14:paraId="69916E83">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w:t>
            </w:r>
          </w:p>
        </w:tc>
        <w:tc>
          <w:tcPr>
            <w:tcW w:w="1644" w:type="dxa"/>
            <w:noWrap w:val="0"/>
            <w:vAlign w:val="center"/>
          </w:tcPr>
          <w:p w14:paraId="0CCD9879">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0C070A3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 xml:space="preserve">1.0112 </w:t>
            </w:r>
          </w:p>
        </w:tc>
        <w:tc>
          <w:tcPr>
            <w:tcW w:w="1644" w:type="dxa"/>
            <w:noWrap w:val="0"/>
            <w:vAlign w:val="center"/>
          </w:tcPr>
          <w:p w14:paraId="2A5BA913">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1871" w:type="dxa"/>
            <w:shd w:val="clear" w:color="auto" w:fill="auto"/>
            <w:noWrap w:val="0"/>
            <w:vAlign w:val="center"/>
          </w:tcPr>
          <w:p w14:paraId="5A1E75C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 xml:space="preserve">1.0112 </w:t>
            </w:r>
          </w:p>
        </w:tc>
        <w:tc>
          <w:tcPr>
            <w:tcW w:w="1247" w:type="dxa"/>
            <w:shd w:val="clear" w:color="auto" w:fill="auto"/>
            <w:noWrap w:val="0"/>
            <w:vAlign w:val="center"/>
          </w:tcPr>
          <w:p w14:paraId="1743382F">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 xml:space="preserve">1.0112 </w:t>
            </w:r>
          </w:p>
        </w:tc>
      </w:tr>
      <w:tr w14:paraId="29420B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continue"/>
            <w:noWrap w:val="0"/>
            <w:vAlign w:val="center"/>
          </w:tcPr>
          <w:p w14:paraId="70C778DA">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p>
        </w:tc>
        <w:tc>
          <w:tcPr>
            <w:tcW w:w="2494" w:type="dxa"/>
            <w:noWrap w:val="0"/>
            <w:vAlign w:val="center"/>
          </w:tcPr>
          <w:p w14:paraId="4B189EB7">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BOD</w:t>
            </w:r>
            <w:r>
              <w:rPr>
                <w:rFonts w:hint="default" w:ascii="Times New Roman" w:hAnsi="Times New Roman" w:eastAsia="宋体"/>
                <w:b w:val="0"/>
                <w:bCs/>
                <w:color w:val="auto"/>
                <w:sz w:val="21"/>
                <w:szCs w:val="21"/>
                <w:highlight w:val="none"/>
                <w:vertAlign w:val="subscript"/>
              </w:rPr>
              <w:t>5</w:t>
            </w:r>
          </w:p>
        </w:tc>
        <w:tc>
          <w:tcPr>
            <w:tcW w:w="1644" w:type="dxa"/>
            <w:noWrap w:val="0"/>
            <w:vAlign w:val="center"/>
          </w:tcPr>
          <w:p w14:paraId="2684A5A9">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w:t>
            </w:r>
          </w:p>
        </w:tc>
        <w:tc>
          <w:tcPr>
            <w:tcW w:w="1304" w:type="dxa"/>
            <w:noWrap w:val="0"/>
            <w:vAlign w:val="center"/>
          </w:tcPr>
          <w:p w14:paraId="2A3ADBBF">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644" w:type="dxa"/>
            <w:noWrap w:val="0"/>
            <w:vAlign w:val="center"/>
          </w:tcPr>
          <w:p w14:paraId="5A17455C">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717251D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 xml:space="preserve">0.2528 </w:t>
            </w:r>
          </w:p>
        </w:tc>
        <w:tc>
          <w:tcPr>
            <w:tcW w:w="1644" w:type="dxa"/>
            <w:noWrap w:val="0"/>
            <w:vAlign w:val="center"/>
          </w:tcPr>
          <w:p w14:paraId="2EA12974">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1871" w:type="dxa"/>
            <w:shd w:val="clear" w:color="auto" w:fill="auto"/>
            <w:noWrap w:val="0"/>
            <w:vAlign w:val="center"/>
          </w:tcPr>
          <w:p w14:paraId="073D04F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 xml:space="preserve">0.2528 </w:t>
            </w:r>
          </w:p>
        </w:tc>
        <w:tc>
          <w:tcPr>
            <w:tcW w:w="1247" w:type="dxa"/>
            <w:shd w:val="clear" w:color="auto" w:fill="auto"/>
            <w:noWrap w:val="0"/>
            <w:vAlign w:val="center"/>
          </w:tcPr>
          <w:p w14:paraId="3962027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 xml:space="preserve">0.2528 </w:t>
            </w:r>
          </w:p>
        </w:tc>
      </w:tr>
      <w:tr w14:paraId="479E3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continue"/>
            <w:noWrap w:val="0"/>
            <w:vAlign w:val="center"/>
          </w:tcPr>
          <w:p w14:paraId="504397B4">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p>
        </w:tc>
        <w:tc>
          <w:tcPr>
            <w:tcW w:w="2494" w:type="dxa"/>
            <w:noWrap w:val="0"/>
            <w:vAlign w:val="center"/>
          </w:tcPr>
          <w:p w14:paraId="0A5A5CCA">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lang w:val="en-US" w:eastAsia="zh-CN"/>
              </w:rPr>
            </w:pPr>
            <w:r>
              <w:rPr>
                <w:rFonts w:hint="default" w:ascii="Times New Roman" w:hAnsi="Times New Roman" w:eastAsia="宋体"/>
                <w:b w:val="0"/>
                <w:bCs/>
                <w:color w:val="auto"/>
                <w:sz w:val="21"/>
                <w:szCs w:val="21"/>
                <w:highlight w:val="none"/>
                <w:lang w:eastAsia="zh-CN"/>
              </w:rPr>
              <w:t>NH₃-N</w:t>
            </w:r>
          </w:p>
        </w:tc>
        <w:tc>
          <w:tcPr>
            <w:tcW w:w="1644" w:type="dxa"/>
            <w:noWrap w:val="0"/>
            <w:vAlign w:val="center"/>
          </w:tcPr>
          <w:p w14:paraId="7BF65075">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w:t>
            </w:r>
          </w:p>
        </w:tc>
        <w:tc>
          <w:tcPr>
            <w:tcW w:w="1304" w:type="dxa"/>
            <w:noWrap w:val="0"/>
            <w:vAlign w:val="center"/>
          </w:tcPr>
          <w:p w14:paraId="60E0400D">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644" w:type="dxa"/>
            <w:noWrap w:val="0"/>
            <w:vAlign w:val="center"/>
          </w:tcPr>
          <w:p w14:paraId="673CF8DB">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1C920BE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 xml:space="preserve">0.2528 </w:t>
            </w:r>
          </w:p>
        </w:tc>
        <w:tc>
          <w:tcPr>
            <w:tcW w:w="1644" w:type="dxa"/>
            <w:noWrap w:val="0"/>
            <w:vAlign w:val="center"/>
          </w:tcPr>
          <w:p w14:paraId="06B37E6D">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1871" w:type="dxa"/>
            <w:shd w:val="clear" w:color="auto" w:fill="auto"/>
            <w:noWrap w:val="0"/>
            <w:vAlign w:val="center"/>
          </w:tcPr>
          <w:p w14:paraId="4EEE68B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 xml:space="preserve">0.2528 </w:t>
            </w:r>
          </w:p>
        </w:tc>
        <w:tc>
          <w:tcPr>
            <w:tcW w:w="1247" w:type="dxa"/>
            <w:shd w:val="clear" w:color="auto" w:fill="auto"/>
            <w:noWrap w:val="0"/>
            <w:vAlign w:val="center"/>
          </w:tcPr>
          <w:p w14:paraId="7449170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 xml:space="preserve">0.2528 </w:t>
            </w:r>
          </w:p>
        </w:tc>
      </w:tr>
      <w:tr w14:paraId="5C4C9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continue"/>
            <w:noWrap w:val="0"/>
            <w:vAlign w:val="center"/>
          </w:tcPr>
          <w:p w14:paraId="636FFA93">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p>
        </w:tc>
        <w:tc>
          <w:tcPr>
            <w:tcW w:w="2494" w:type="dxa"/>
            <w:noWrap w:val="0"/>
            <w:vAlign w:val="center"/>
          </w:tcPr>
          <w:p w14:paraId="7FF5926F">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SS</w:t>
            </w:r>
          </w:p>
        </w:tc>
        <w:tc>
          <w:tcPr>
            <w:tcW w:w="1644" w:type="dxa"/>
            <w:noWrap w:val="0"/>
            <w:vAlign w:val="center"/>
          </w:tcPr>
          <w:p w14:paraId="50933F34">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w:t>
            </w:r>
          </w:p>
        </w:tc>
        <w:tc>
          <w:tcPr>
            <w:tcW w:w="1304" w:type="dxa"/>
            <w:noWrap w:val="0"/>
            <w:vAlign w:val="center"/>
          </w:tcPr>
          <w:p w14:paraId="4E4D426A">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644" w:type="dxa"/>
            <w:noWrap w:val="0"/>
            <w:vAlign w:val="center"/>
          </w:tcPr>
          <w:p w14:paraId="11BE7F61">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1EA00E76">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 xml:space="preserve">0.0506 </w:t>
            </w:r>
          </w:p>
        </w:tc>
        <w:tc>
          <w:tcPr>
            <w:tcW w:w="1644" w:type="dxa"/>
            <w:noWrap w:val="0"/>
            <w:vAlign w:val="center"/>
          </w:tcPr>
          <w:p w14:paraId="65FCC7F4">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1871" w:type="dxa"/>
            <w:shd w:val="clear" w:color="auto" w:fill="auto"/>
            <w:noWrap w:val="0"/>
            <w:vAlign w:val="center"/>
          </w:tcPr>
          <w:p w14:paraId="094F3A8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 xml:space="preserve">0.0506 </w:t>
            </w:r>
          </w:p>
        </w:tc>
        <w:tc>
          <w:tcPr>
            <w:tcW w:w="1247" w:type="dxa"/>
            <w:shd w:val="clear" w:color="auto" w:fill="auto"/>
            <w:noWrap w:val="0"/>
            <w:vAlign w:val="center"/>
          </w:tcPr>
          <w:p w14:paraId="1C2763C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 xml:space="preserve">0.0506 </w:t>
            </w:r>
          </w:p>
        </w:tc>
      </w:tr>
      <w:tr w14:paraId="7B65D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continue"/>
            <w:noWrap w:val="0"/>
            <w:vAlign w:val="center"/>
          </w:tcPr>
          <w:p w14:paraId="4CDE9CEF">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p>
        </w:tc>
        <w:tc>
          <w:tcPr>
            <w:tcW w:w="2494" w:type="dxa"/>
            <w:noWrap w:val="0"/>
            <w:vAlign w:val="center"/>
          </w:tcPr>
          <w:p w14:paraId="07799800">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lang w:val="en-US" w:eastAsia="zh-CN"/>
              </w:rPr>
            </w:pPr>
            <w:r>
              <w:rPr>
                <w:rFonts w:hint="eastAsia"/>
                <w:b w:val="0"/>
                <w:bCs/>
                <w:color w:val="auto"/>
                <w:sz w:val="21"/>
                <w:szCs w:val="21"/>
                <w:highlight w:val="none"/>
                <w:lang w:val="en-US" w:eastAsia="zh-CN"/>
              </w:rPr>
              <w:t>石油类</w:t>
            </w:r>
          </w:p>
        </w:tc>
        <w:tc>
          <w:tcPr>
            <w:tcW w:w="1644" w:type="dxa"/>
            <w:noWrap w:val="0"/>
            <w:vAlign w:val="center"/>
          </w:tcPr>
          <w:p w14:paraId="69C28C5C">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304" w:type="dxa"/>
            <w:noWrap w:val="0"/>
            <w:vAlign w:val="center"/>
          </w:tcPr>
          <w:p w14:paraId="36F143D1">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644" w:type="dxa"/>
            <w:noWrap w:val="0"/>
            <w:vAlign w:val="center"/>
          </w:tcPr>
          <w:p w14:paraId="13443B05">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6B0B8F0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 xml:space="preserve">0.0241 </w:t>
            </w:r>
          </w:p>
        </w:tc>
        <w:tc>
          <w:tcPr>
            <w:tcW w:w="1644" w:type="dxa"/>
            <w:noWrap w:val="0"/>
            <w:vAlign w:val="center"/>
          </w:tcPr>
          <w:p w14:paraId="56793C5C">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1871" w:type="dxa"/>
            <w:shd w:val="clear" w:color="auto" w:fill="auto"/>
            <w:noWrap w:val="0"/>
            <w:vAlign w:val="center"/>
          </w:tcPr>
          <w:p w14:paraId="1B4D938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 xml:space="preserve">0.0241 </w:t>
            </w:r>
          </w:p>
        </w:tc>
        <w:tc>
          <w:tcPr>
            <w:tcW w:w="1247" w:type="dxa"/>
            <w:shd w:val="clear" w:color="auto" w:fill="auto"/>
            <w:noWrap w:val="0"/>
            <w:vAlign w:val="center"/>
          </w:tcPr>
          <w:p w14:paraId="27572B6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 xml:space="preserve">0.0241 </w:t>
            </w:r>
          </w:p>
        </w:tc>
      </w:tr>
      <w:tr w14:paraId="50EC9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continue"/>
            <w:noWrap w:val="0"/>
            <w:vAlign w:val="center"/>
          </w:tcPr>
          <w:p w14:paraId="32CA007B">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p>
        </w:tc>
        <w:tc>
          <w:tcPr>
            <w:tcW w:w="2494" w:type="dxa"/>
            <w:noWrap w:val="0"/>
            <w:vAlign w:val="center"/>
          </w:tcPr>
          <w:p w14:paraId="23BC5869">
            <w:pPr>
              <w:pStyle w:val="38"/>
              <w:keepNext w:val="0"/>
              <w:keepLines w:val="0"/>
              <w:suppressLineNumbers w:val="0"/>
              <w:bidi w:val="0"/>
              <w:spacing w:before="0" w:beforeAutospacing="0" w:after="0" w:afterAutospacing="0"/>
              <w:ind w:left="0" w:right="0"/>
              <w:rPr>
                <w:rFonts w:hint="eastAsia" w:ascii="Times New Roman" w:hAnsi="Times New Roman" w:eastAsia="宋体"/>
                <w:b w:val="0"/>
                <w:bCs/>
                <w:color w:val="auto"/>
                <w:sz w:val="21"/>
                <w:szCs w:val="21"/>
                <w:highlight w:val="none"/>
                <w:lang w:val="en-US" w:eastAsia="zh-CN"/>
              </w:rPr>
            </w:pPr>
            <w:r>
              <w:rPr>
                <w:rFonts w:hint="eastAsia"/>
                <w:b w:val="0"/>
                <w:bCs/>
                <w:color w:val="auto"/>
                <w:sz w:val="21"/>
                <w:szCs w:val="21"/>
                <w:highlight w:val="none"/>
                <w:lang w:val="en-US" w:eastAsia="zh-CN"/>
              </w:rPr>
              <w:t>总锑</w:t>
            </w:r>
          </w:p>
        </w:tc>
        <w:tc>
          <w:tcPr>
            <w:tcW w:w="1644" w:type="dxa"/>
            <w:noWrap w:val="0"/>
            <w:vAlign w:val="center"/>
          </w:tcPr>
          <w:p w14:paraId="4D9CCC85">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304" w:type="dxa"/>
            <w:noWrap w:val="0"/>
            <w:vAlign w:val="center"/>
          </w:tcPr>
          <w:p w14:paraId="1DE382BC">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644" w:type="dxa"/>
            <w:noWrap w:val="0"/>
            <w:vAlign w:val="center"/>
          </w:tcPr>
          <w:p w14:paraId="458A10EA">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17DB60E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 xml:space="preserve">0.0024 </w:t>
            </w:r>
          </w:p>
        </w:tc>
        <w:tc>
          <w:tcPr>
            <w:tcW w:w="1644" w:type="dxa"/>
            <w:noWrap w:val="0"/>
            <w:vAlign w:val="center"/>
          </w:tcPr>
          <w:p w14:paraId="389A4935">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1871" w:type="dxa"/>
            <w:shd w:val="clear" w:color="auto" w:fill="auto"/>
            <w:noWrap w:val="0"/>
            <w:vAlign w:val="center"/>
          </w:tcPr>
          <w:p w14:paraId="57D6F88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 xml:space="preserve">0.0024 </w:t>
            </w:r>
          </w:p>
        </w:tc>
        <w:tc>
          <w:tcPr>
            <w:tcW w:w="1247" w:type="dxa"/>
            <w:shd w:val="clear" w:color="auto" w:fill="auto"/>
            <w:noWrap w:val="0"/>
            <w:vAlign w:val="center"/>
          </w:tcPr>
          <w:p w14:paraId="597D742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 xml:space="preserve">0.0024 </w:t>
            </w:r>
          </w:p>
        </w:tc>
      </w:tr>
      <w:tr w14:paraId="09EE59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restart"/>
            <w:noWrap w:val="0"/>
            <w:vAlign w:val="center"/>
          </w:tcPr>
          <w:p w14:paraId="400F22B8">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一般工业固体废物</w:t>
            </w:r>
          </w:p>
        </w:tc>
        <w:tc>
          <w:tcPr>
            <w:tcW w:w="2494" w:type="dxa"/>
            <w:shd w:val="clear" w:color="auto" w:fill="auto"/>
            <w:noWrap w:val="0"/>
            <w:vAlign w:val="center"/>
          </w:tcPr>
          <w:p w14:paraId="586DAA96">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生活垃圾</w:t>
            </w:r>
          </w:p>
        </w:tc>
        <w:tc>
          <w:tcPr>
            <w:tcW w:w="1644" w:type="dxa"/>
            <w:noWrap w:val="0"/>
            <w:vAlign w:val="center"/>
          </w:tcPr>
          <w:p w14:paraId="5CDAE79C">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w:t>
            </w:r>
          </w:p>
        </w:tc>
        <w:tc>
          <w:tcPr>
            <w:tcW w:w="1304" w:type="dxa"/>
            <w:noWrap w:val="0"/>
            <w:vAlign w:val="center"/>
          </w:tcPr>
          <w:p w14:paraId="1E7B9547">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644" w:type="dxa"/>
            <w:noWrap w:val="0"/>
            <w:vAlign w:val="center"/>
          </w:tcPr>
          <w:p w14:paraId="10D1C082">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79B9B8D4">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15</w:t>
            </w:r>
          </w:p>
        </w:tc>
        <w:tc>
          <w:tcPr>
            <w:tcW w:w="1644" w:type="dxa"/>
            <w:noWrap w:val="0"/>
            <w:vAlign w:val="center"/>
          </w:tcPr>
          <w:p w14:paraId="308294C7">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1871" w:type="dxa"/>
            <w:shd w:val="clear" w:color="auto" w:fill="auto"/>
            <w:noWrap w:val="0"/>
            <w:vAlign w:val="center"/>
          </w:tcPr>
          <w:p w14:paraId="0DAC409C">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15</w:t>
            </w:r>
          </w:p>
        </w:tc>
        <w:tc>
          <w:tcPr>
            <w:tcW w:w="1247" w:type="dxa"/>
            <w:shd w:val="clear" w:color="auto" w:fill="auto"/>
            <w:noWrap w:val="0"/>
            <w:vAlign w:val="center"/>
          </w:tcPr>
          <w:p w14:paraId="30D6A67C">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15</w:t>
            </w:r>
          </w:p>
        </w:tc>
      </w:tr>
      <w:tr w14:paraId="72B487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continue"/>
            <w:noWrap w:val="0"/>
            <w:vAlign w:val="center"/>
          </w:tcPr>
          <w:p w14:paraId="5F7BBAA6">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p>
        </w:tc>
        <w:tc>
          <w:tcPr>
            <w:tcW w:w="2494" w:type="dxa"/>
            <w:shd w:val="clear" w:color="auto" w:fill="auto"/>
            <w:noWrap w:val="0"/>
            <w:vAlign w:val="center"/>
          </w:tcPr>
          <w:p w14:paraId="66EDE0A3">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废丝</w:t>
            </w:r>
          </w:p>
        </w:tc>
        <w:tc>
          <w:tcPr>
            <w:tcW w:w="1644" w:type="dxa"/>
            <w:noWrap w:val="0"/>
            <w:vAlign w:val="center"/>
          </w:tcPr>
          <w:p w14:paraId="6D3044F5">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w:t>
            </w:r>
          </w:p>
        </w:tc>
        <w:tc>
          <w:tcPr>
            <w:tcW w:w="1304" w:type="dxa"/>
            <w:noWrap w:val="0"/>
            <w:vAlign w:val="center"/>
          </w:tcPr>
          <w:p w14:paraId="1A1CFD80">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644" w:type="dxa"/>
            <w:noWrap w:val="0"/>
            <w:vAlign w:val="center"/>
          </w:tcPr>
          <w:p w14:paraId="7EAEDFCB">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7CF3B634">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bidi="ar-SA"/>
              </w:rPr>
              <w:t>60</w:t>
            </w:r>
          </w:p>
        </w:tc>
        <w:tc>
          <w:tcPr>
            <w:tcW w:w="1644" w:type="dxa"/>
            <w:noWrap w:val="0"/>
            <w:vAlign w:val="center"/>
          </w:tcPr>
          <w:p w14:paraId="6D749A99">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w:t>
            </w:r>
          </w:p>
        </w:tc>
        <w:tc>
          <w:tcPr>
            <w:tcW w:w="1871" w:type="dxa"/>
            <w:shd w:val="clear" w:color="auto" w:fill="auto"/>
            <w:noWrap w:val="0"/>
            <w:vAlign w:val="center"/>
          </w:tcPr>
          <w:p w14:paraId="7A66799D">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bidi="ar-SA"/>
              </w:rPr>
              <w:t>60</w:t>
            </w:r>
          </w:p>
        </w:tc>
        <w:tc>
          <w:tcPr>
            <w:tcW w:w="1247" w:type="dxa"/>
            <w:shd w:val="clear" w:color="auto" w:fill="auto"/>
            <w:noWrap w:val="0"/>
            <w:vAlign w:val="center"/>
          </w:tcPr>
          <w:p w14:paraId="15B95472">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bidi="ar-SA"/>
              </w:rPr>
              <w:t>60</w:t>
            </w:r>
          </w:p>
        </w:tc>
      </w:tr>
      <w:tr w14:paraId="11195A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continue"/>
            <w:noWrap w:val="0"/>
            <w:vAlign w:val="center"/>
          </w:tcPr>
          <w:p w14:paraId="12F8FB59">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p>
        </w:tc>
        <w:tc>
          <w:tcPr>
            <w:tcW w:w="2494" w:type="dxa"/>
            <w:shd w:val="clear" w:color="auto" w:fill="auto"/>
            <w:noWrap w:val="0"/>
            <w:vAlign w:val="center"/>
          </w:tcPr>
          <w:p w14:paraId="4C88F08A">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废布料</w:t>
            </w:r>
          </w:p>
        </w:tc>
        <w:tc>
          <w:tcPr>
            <w:tcW w:w="1644" w:type="dxa"/>
            <w:noWrap w:val="0"/>
            <w:vAlign w:val="center"/>
          </w:tcPr>
          <w:p w14:paraId="446FDFB4">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304" w:type="dxa"/>
            <w:noWrap w:val="0"/>
            <w:vAlign w:val="center"/>
          </w:tcPr>
          <w:p w14:paraId="6ED59BEE">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644" w:type="dxa"/>
            <w:noWrap w:val="0"/>
            <w:vAlign w:val="center"/>
          </w:tcPr>
          <w:p w14:paraId="4961C424">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5C7EDCD3">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bidi="ar-SA"/>
              </w:rPr>
              <w:t>5</w:t>
            </w:r>
          </w:p>
        </w:tc>
        <w:tc>
          <w:tcPr>
            <w:tcW w:w="1644" w:type="dxa"/>
            <w:noWrap w:val="0"/>
            <w:vAlign w:val="center"/>
          </w:tcPr>
          <w:p w14:paraId="7EAE6538">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w:t>
            </w:r>
          </w:p>
        </w:tc>
        <w:tc>
          <w:tcPr>
            <w:tcW w:w="1871" w:type="dxa"/>
            <w:shd w:val="clear" w:color="auto" w:fill="auto"/>
            <w:noWrap w:val="0"/>
            <w:vAlign w:val="center"/>
          </w:tcPr>
          <w:p w14:paraId="23FFBCE6">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bidi="ar-SA"/>
              </w:rPr>
              <w:t>5</w:t>
            </w:r>
          </w:p>
        </w:tc>
        <w:tc>
          <w:tcPr>
            <w:tcW w:w="1247" w:type="dxa"/>
            <w:shd w:val="clear" w:color="auto" w:fill="auto"/>
            <w:noWrap w:val="0"/>
            <w:vAlign w:val="center"/>
          </w:tcPr>
          <w:p w14:paraId="5405084D">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bidi="ar-SA"/>
              </w:rPr>
              <w:t>5</w:t>
            </w:r>
          </w:p>
        </w:tc>
      </w:tr>
      <w:tr w14:paraId="47367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continue"/>
            <w:noWrap w:val="0"/>
            <w:vAlign w:val="center"/>
          </w:tcPr>
          <w:p w14:paraId="267FCFD3">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p>
        </w:tc>
        <w:tc>
          <w:tcPr>
            <w:tcW w:w="2494" w:type="dxa"/>
            <w:shd w:val="clear" w:color="auto" w:fill="auto"/>
            <w:noWrap w:val="0"/>
            <w:vAlign w:val="center"/>
          </w:tcPr>
          <w:p w14:paraId="603AC279">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废包装材料</w:t>
            </w:r>
          </w:p>
        </w:tc>
        <w:tc>
          <w:tcPr>
            <w:tcW w:w="1644" w:type="dxa"/>
            <w:noWrap w:val="0"/>
            <w:vAlign w:val="center"/>
          </w:tcPr>
          <w:p w14:paraId="4251E53B">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304" w:type="dxa"/>
            <w:noWrap w:val="0"/>
            <w:vAlign w:val="center"/>
          </w:tcPr>
          <w:p w14:paraId="3BFD3777">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644" w:type="dxa"/>
            <w:noWrap w:val="0"/>
            <w:vAlign w:val="center"/>
          </w:tcPr>
          <w:p w14:paraId="4A14996D">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1D62F68F">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bidi="ar-SA"/>
              </w:rPr>
              <w:t>120</w:t>
            </w:r>
          </w:p>
        </w:tc>
        <w:tc>
          <w:tcPr>
            <w:tcW w:w="1644" w:type="dxa"/>
            <w:noWrap w:val="0"/>
            <w:vAlign w:val="center"/>
          </w:tcPr>
          <w:p w14:paraId="163C62AE">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w:t>
            </w:r>
          </w:p>
        </w:tc>
        <w:tc>
          <w:tcPr>
            <w:tcW w:w="1871" w:type="dxa"/>
            <w:shd w:val="clear" w:color="auto" w:fill="auto"/>
            <w:noWrap w:val="0"/>
            <w:vAlign w:val="center"/>
          </w:tcPr>
          <w:p w14:paraId="7E935C58">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bidi="ar-SA"/>
              </w:rPr>
              <w:t>120</w:t>
            </w:r>
          </w:p>
        </w:tc>
        <w:tc>
          <w:tcPr>
            <w:tcW w:w="1247" w:type="dxa"/>
            <w:shd w:val="clear" w:color="auto" w:fill="auto"/>
            <w:noWrap w:val="0"/>
            <w:vAlign w:val="center"/>
          </w:tcPr>
          <w:p w14:paraId="4F0AAD82">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bidi="ar-SA"/>
              </w:rPr>
              <w:t>120</w:t>
            </w:r>
          </w:p>
        </w:tc>
      </w:tr>
      <w:tr w14:paraId="63DD8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continue"/>
            <w:noWrap w:val="0"/>
            <w:vAlign w:val="center"/>
          </w:tcPr>
          <w:p w14:paraId="1F8D719F">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p>
        </w:tc>
        <w:tc>
          <w:tcPr>
            <w:tcW w:w="2494" w:type="dxa"/>
            <w:shd w:val="clear" w:color="auto" w:fill="auto"/>
            <w:noWrap w:val="0"/>
            <w:vAlign w:val="center"/>
          </w:tcPr>
          <w:p w14:paraId="7D0DD268">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bidi="ar-SA"/>
              </w:rPr>
              <w:t>污水处理站生化污泥</w:t>
            </w:r>
          </w:p>
        </w:tc>
        <w:tc>
          <w:tcPr>
            <w:tcW w:w="1644" w:type="dxa"/>
            <w:noWrap w:val="0"/>
            <w:vAlign w:val="center"/>
          </w:tcPr>
          <w:p w14:paraId="5A7AADCF">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lang w:val="en-US" w:eastAsia="zh-CN"/>
              </w:rPr>
            </w:pPr>
            <w:r>
              <w:rPr>
                <w:rFonts w:hint="eastAsia"/>
                <w:b w:val="0"/>
                <w:bCs/>
                <w:color w:val="auto"/>
                <w:sz w:val="21"/>
                <w:szCs w:val="21"/>
                <w:highlight w:val="none"/>
                <w:lang w:val="en-US" w:eastAsia="zh-CN"/>
              </w:rPr>
              <w:t>/</w:t>
            </w:r>
          </w:p>
        </w:tc>
        <w:tc>
          <w:tcPr>
            <w:tcW w:w="1304" w:type="dxa"/>
            <w:noWrap w:val="0"/>
            <w:vAlign w:val="center"/>
          </w:tcPr>
          <w:p w14:paraId="1D0F8536">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644" w:type="dxa"/>
            <w:noWrap w:val="0"/>
            <w:vAlign w:val="center"/>
          </w:tcPr>
          <w:p w14:paraId="340A1FD1">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3434FCAE">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bidi="ar-SA"/>
              </w:rPr>
              <w:t>216.73</w:t>
            </w:r>
          </w:p>
        </w:tc>
        <w:tc>
          <w:tcPr>
            <w:tcW w:w="1644" w:type="dxa"/>
            <w:noWrap w:val="0"/>
            <w:vAlign w:val="center"/>
          </w:tcPr>
          <w:p w14:paraId="10F268A4">
            <w:pPr>
              <w:pStyle w:val="38"/>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w:t>
            </w:r>
          </w:p>
        </w:tc>
        <w:tc>
          <w:tcPr>
            <w:tcW w:w="1871" w:type="dxa"/>
            <w:shd w:val="clear" w:color="auto" w:fill="auto"/>
            <w:noWrap w:val="0"/>
            <w:vAlign w:val="center"/>
          </w:tcPr>
          <w:p w14:paraId="1A46ED18">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bidi="ar-SA"/>
              </w:rPr>
              <w:t>216.73</w:t>
            </w:r>
          </w:p>
        </w:tc>
        <w:tc>
          <w:tcPr>
            <w:tcW w:w="1247" w:type="dxa"/>
            <w:shd w:val="clear" w:color="auto" w:fill="auto"/>
            <w:noWrap w:val="0"/>
            <w:vAlign w:val="center"/>
          </w:tcPr>
          <w:p w14:paraId="45B5FD69">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bidi="ar-SA"/>
              </w:rPr>
              <w:t>216.73</w:t>
            </w:r>
          </w:p>
        </w:tc>
      </w:tr>
      <w:tr w14:paraId="454412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restart"/>
            <w:noWrap w:val="0"/>
            <w:vAlign w:val="center"/>
          </w:tcPr>
          <w:p w14:paraId="272AE8D8">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lang w:val="en-US" w:eastAsia="zh-CN"/>
              </w:rPr>
              <w:t>危险废物</w:t>
            </w:r>
          </w:p>
        </w:tc>
        <w:tc>
          <w:tcPr>
            <w:tcW w:w="2494" w:type="dxa"/>
            <w:shd w:val="clear" w:color="auto" w:fill="auto"/>
            <w:noWrap w:val="0"/>
            <w:vAlign w:val="center"/>
          </w:tcPr>
          <w:p w14:paraId="11717FBA">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废油</w:t>
            </w:r>
          </w:p>
        </w:tc>
        <w:tc>
          <w:tcPr>
            <w:tcW w:w="1644" w:type="dxa"/>
            <w:noWrap w:val="0"/>
            <w:vAlign w:val="center"/>
          </w:tcPr>
          <w:p w14:paraId="7B6CFE85">
            <w:pPr>
              <w:pStyle w:val="38"/>
              <w:keepNext w:val="0"/>
              <w:keepLines w:val="0"/>
              <w:suppressLineNumbers w:val="0"/>
              <w:bidi w:val="0"/>
              <w:spacing w:before="0" w:beforeAutospacing="0" w:after="0" w:afterAutospacing="0"/>
              <w:ind w:left="0" w:leftChars="0" w:right="0" w:right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304" w:type="dxa"/>
            <w:noWrap w:val="0"/>
            <w:vAlign w:val="center"/>
          </w:tcPr>
          <w:p w14:paraId="2B327CAB">
            <w:pPr>
              <w:pStyle w:val="38"/>
              <w:keepNext w:val="0"/>
              <w:keepLines w:val="0"/>
              <w:suppressLineNumbers w:val="0"/>
              <w:bidi w:val="0"/>
              <w:spacing w:before="0" w:beforeAutospacing="0" w:after="0" w:afterAutospacing="0"/>
              <w:ind w:left="0" w:leftChars="0" w:right="0" w:right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644" w:type="dxa"/>
            <w:noWrap w:val="0"/>
            <w:vAlign w:val="center"/>
          </w:tcPr>
          <w:p w14:paraId="5B82A4F1">
            <w:pPr>
              <w:pStyle w:val="38"/>
              <w:keepNext w:val="0"/>
              <w:keepLines w:val="0"/>
              <w:suppressLineNumbers w:val="0"/>
              <w:bidi w:val="0"/>
              <w:spacing w:before="0" w:beforeAutospacing="0" w:after="0" w:afterAutospacing="0"/>
              <w:ind w:left="0" w:leftChars="0" w:right="0" w:right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3BEF5F81">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bidi="ar-SA"/>
              </w:rPr>
              <w:t>0.8</w:t>
            </w:r>
          </w:p>
        </w:tc>
        <w:tc>
          <w:tcPr>
            <w:tcW w:w="1644" w:type="dxa"/>
            <w:noWrap w:val="0"/>
            <w:vAlign w:val="center"/>
          </w:tcPr>
          <w:p w14:paraId="7F1AFE0A">
            <w:pPr>
              <w:pStyle w:val="38"/>
              <w:keepNext w:val="0"/>
              <w:keepLines w:val="0"/>
              <w:suppressLineNumbers w:val="0"/>
              <w:bidi w:val="0"/>
              <w:spacing w:before="0" w:beforeAutospacing="0" w:after="0" w:afterAutospacing="0"/>
              <w:ind w:left="0" w:leftChars="0" w:right="0" w:right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871" w:type="dxa"/>
            <w:shd w:val="clear" w:color="auto" w:fill="auto"/>
            <w:noWrap w:val="0"/>
            <w:vAlign w:val="center"/>
          </w:tcPr>
          <w:p w14:paraId="1CDBD0E0">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bidi="ar-SA"/>
              </w:rPr>
              <w:t>0.8</w:t>
            </w:r>
          </w:p>
        </w:tc>
        <w:tc>
          <w:tcPr>
            <w:tcW w:w="1247" w:type="dxa"/>
            <w:shd w:val="clear" w:color="auto" w:fill="auto"/>
            <w:noWrap w:val="0"/>
            <w:vAlign w:val="center"/>
          </w:tcPr>
          <w:p w14:paraId="05D81220">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bidi="ar-SA"/>
              </w:rPr>
              <w:t>0.8</w:t>
            </w:r>
          </w:p>
        </w:tc>
      </w:tr>
      <w:tr w14:paraId="0A6075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continue"/>
            <w:noWrap w:val="0"/>
            <w:vAlign w:val="center"/>
          </w:tcPr>
          <w:p w14:paraId="0ACB6CD7">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p>
        </w:tc>
        <w:tc>
          <w:tcPr>
            <w:tcW w:w="2494" w:type="dxa"/>
            <w:shd w:val="clear" w:color="auto" w:fill="auto"/>
            <w:noWrap w:val="0"/>
            <w:vAlign w:val="center"/>
          </w:tcPr>
          <w:p w14:paraId="16E5A283">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废机油</w:t>
            </w:r>
          </w:p>
        </w:tc>
        <w:tc>
          <w:tcPr>
            <w:tcW w:w="1644" w:type="dxa"/>
            <w:noWrap w:val="0"/>
            <w:vAlign w:val="center"/>
          </w:tcPr>
          <w:p w14:paraId="27AE5A07">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304" w:type="dxa"/>
            <w:noWrap w:val="0"/>
            <w:vAlign w:val="center"/>
          </w:tcPr>
          <w:p w14:paraId="0CDF7974">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644" w:type="dxa"/>
            <w:noWrap w:val="0"/>
            <w:vAlign w:val="center"/>
          </w:tcPr>
          <w:p w14:paraId="6DB21257">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35096645">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bidi="ar-SA"/>
              </w:rPr>
              <w:t>0.5</w:t>
            </w:r>
          </w:p>
        </w:tc>
        <w:tc>
          <w:tcPr>
            <w:tcW w:w="1644" w:type="dxa"/>
            <w:noWrap w:val="0"/>
            <w:vAlign w:val="center"/>
          </w:tcPr>
          <w:p w14:paraId="4CE01ACC">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w:t>
            </w:r>
          </w:p>
        </w:tc>
        <w:tc>
          <w:tcPr>
            <w:tcW w:w="1871" w:type="dxa"/>
            <w:shd w:val="clear" w:color="auto" w:fill="auto"/>
            <w:noWrap w:val="0"/>
            <w:vAlign w:val="center"/>
          </w:tcPr>
          <w:p w14:paraId="16A7DA5A">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bidi="ar-SA"/>
              </w:rPr>
              <w:t>0.5</w:t>
            </w:r>
          </w:p>
        </w:tc>
        <w:tc>
          <w:tcPr>
            <w:tcW w:w="1247" w:type="dxa"/>
            <w:shd w:val="clear" w:color="auto" w:fill="auto"/>
            <w:noWrap w:val="0"/>
            <w:vAlign w:val="center"/>
          </w:tcPr>
          <w:p w14:paraId="75DBBCCF">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bidi="ar-SA"/>
              </w:rPr>
              <w:t>0.5</w:t>
            </w:r>
          </w:p>
        </w:tc>
      </w:tr>
      <w:tr w14:paraId="7C72FE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continue"/>
            <w:noWrap w:val="0"/>
            <w:vAlign w:val="center"/>
          </w:tcPr>
          <w:p w14:paraId="2B8388AE">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p>
        </w:tc>
        <w:tc>
          <w:tcPr>
            <w:tcW w:w="2494" w:type="dxa"/>
            <w:shd w:val="clear" w:color="auto" w:fill="auto"/>
            <w:noWrap w:val="0"/>
            <w:vAlign w:val="center"/>
          </w:tcPr>
          <w:p w14:paraId="09614244">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废活性炭</w:t>
            </w:r>
          </w:p>
        </w:tc>
        <w:tc>
          <w:tcPr>
            <w:tcW w:w="1644" w:type="dxa"/>
            <w:noWrap w:val="0"/>
            <w:vAlign w:val="center"/>
          </w:tcPr>
          <w:p w14:paraId="4CC398FF">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304" w:type="dxa"/>
            <w:noWrap w:val="0"/>
            <w:vAlign w:val="center"/>
          </w:tcPr>
          <w:p w14:paraId="426398F2">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644" w:type="dxa"/>
            <w:noWrap w:val="0"/>
            <w:vAlign w:val="center"/>
          </w:tcPr>
          <w:p w14:paraId="5F9ED3CA">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5623B088">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highlight w:val="none"/>
                <w:lang w:val="en-US" w:eastAsia="zh-CN"/>
              </w:rPr>
              <w:t>1.67</w:t>
            </w:r>
          </w:p>
        </w:tc>
        <w:tc>
          <w:tcPr>
            <w:tcW w:w="1644" w:type="dxa"/>
            <w:noWrap w:val="0"/>
            <w:vAlign w:val="center"/>
          </w:tcPr>
          <w:p w14:paraId="5D59A9D4">
            <w:pPr>
              <w:pStyle w:val="3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w:t>
            </w:r>
          </w:p>
        </w:tc>
        <w:tc>
          <w:tcPr>
            <w:tcW w:w="1871" w:type="dxa"/>
            <w:shd w:val="clear" w:color="auto" w:fill="auto"/>
            <w:noWrap w:val="0"/>
            <w:vAlign w:val="center"/>
          </w:tcPr>
          <w:p w14:paraId="5BA84FD9">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highlight w:val="none"/>
                <w:lang w:val="en-US" w:eastAsia="zh-CN"/>
              </w:rPr>
              <w:t>1.67</w:t>
            </w:r>
          </w:p>
        </w:tc>
        <w:tc>
          <w:tcPr>
            <w:tcW w:w="1247" w:type="dxa"/>
            <w:shd w:val="clear" w:color="auto" w:fill="auto"/>
            <w:noWrap w:val="0"/>
            <w:vAlign w:val="center"/>
          </w:tcPr>
          <w:p w14:paraId="6EA393BC">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eastAsia" w:cs="Times New Roman"/>
                <w:b w:val="0"/>
                <w:bCs/>
                <w:color w:val="auto"/>
                <w:highlight w:val="none"/>
                <w:lang w:val="en-US" w:eastAsia="zh-CN"/>
              </w:rPr>
              <w:t>1.67</w:t>
            </w:r>
          </w:p>
        </w:tc>
      </w:tr>
      <w:tr w14:paraId="347FAA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continue"/>
            <w:noWrap w:val="0"/>
            <w:vAlign w:val="center"/>
          </w:tcPr>
          <w:p w14:paraId="6BC26888">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p>
        </w:tc>
        <w:tc>
          <w:tcPr>
            <w:tcW w:w="2494" w:type="dxa"/>
            <w:shd w:val="clear" w:color="auto" w:fill="auto"/>
            <w:noWrap w:val="0"/>
            <w:vAlign w:val="center"/>
          </w:tcPr>
          <w:p w14:paraId="3A200CEC">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废催化剂</w:t>
            </w:r>
          </w:p>
        </w:tc>
        <w:tc>
          <w:tcPr>
            <w:tcW w:w="1644" w:type="dxa"/>
            <w:noWrap w:val="0"/>
            <w:vAlign w:val="center"/>
          </w:tcPr>
          <w:p w14:paraId="26F0374C">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304" w:type="dxa"/>
            <w:noWrap w:val="0"/>
            <w:vAlign w:val="center"/>
          </w:tcPr>
          <w:p w14:paraId="0C9BB37D">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644" w:type="dxa"/>
            <w:noWrap w:val="0"/>
            <w:vAlign w:val="center"/>
          </w:tcPr>
          <w:p w14:paraId="2F821260">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17FE2745">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cs="Times New Roman"/>
                <w:b w:val="0"/>
                <w:bCs/>
                <w:color w:val="auto"/>
                <w:highlight w:val="none"/>
                <w:lang w:val="en-US" w:eastAsia="zh-CN"/>
              </w:rPr>
            </w:pPr>
            <w:r>
              <w:rPr>
                <w:rFonts w:hint="eastAsia" w:cs="Times New Roman"/>
                <w:b w:val="0"/>
                <w:bCs/>
                <w:color w:val="auto"/>
                <w:highlight w:val="none"/>
                <w:lang w:val="en-US" w:eastAsia="zh-CN"/>
              </w:rPr>
              <w:t>0.2</w:t>
            </w:r>
          </w:p>
        </w:tc>
        <w:tc>
          <w:tcPr>
            <w:tcW w:w="1644" w:type="dxa"/>
            <w:noWrap w:val="0"/>
            <w:vAlign w:val="center"/>
          </w:tcPr>
          <w:p w14:paraId="499A6738">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p>
        </w:tc>
        <w:tc>
          <w:tcPr>
            <w:tcW w:w="1871" w:type="dxa"/>
            <w:shd w:val="clear" w:color="auto" w:fill="auto"/>
            <w:noWrap w:val="0"/>
            <w:vAlign w:val="center"/>
          </w:tcPr>
          <w:p w14:paraId="16AEE0C8">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cs="Times New Roman"/>
                <w:b w:val="0"/>
                <w:bCs/>
                <w:color w:val="auto"/>
                <w:highlight w:val="none"/>
                <w:lang w:val="en-US" w:eastAsia="zh-CN"/>
              </w:rPr>
            </w:pPr>
            <w:r>
              <w:rPr>
                <w:rFonts w:hint="eastAsia" w:cs="Times New Roman"/>
                <w:b w:val="0"/>
                <w:bCs/>
                <w:color w:val="auto"/>
                <w:highlight w:val="none"/>
                <w:lang w:val="en-US" w:eastAsia="zh-CN"/>
              </w:rPr>
              <w:t>0.2</w:t>
            </w:r>
          </w:p>
        </w:tc>
        <w:tc>
          <w:tcPr>
            <w:tcW w:w="1247" w:type="dxa"/>
            <w:shd w:val="clear" w:color="auto" w:fill="auto"/>
            <w:noWrap w:val="0"/>
            <w:vAlign w:val="center"/>
          </w:tcPr>
          <w:p w14:paraId="739C3286">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0.2</w:t>
            </w:r>
          </w:p>
        </w:tc>
      </w:tr>
      <w:tr w14:paraId="68599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continue"/>
            <w:noWrap w:val="0"/>
            <w:vAlign w:val="center"/>
          </w:tcPr>
          <w:p w14:paraId="70EA3993">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p>
        </w:tc>
        <w:tc>
          <w:tcPr>
            <w:tcW w:w="2494" w:type="dxa"/>
            <w:shd w:val="clear" w:color="auto" w:fill="auto"/>
            <w:noWrap w:val="0"/>
            <w:vAlign w:val="center"/>
          </w:tcPr>
          <w:p w14:paraId="15D8FA7C">
            <w:pPr>
              <w:keepNext w:val="0"/>
              <w:keepLines w:val="0"/>
              <w:widowControl w:val="0"/>
              <w:suppressLineNumbers w:val="0"/>
              <w:topLinePunct/>
              <w:bidi w:val="0"/>
              <w:adjustRightInd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机油桶</w:t>
            </w:r>
          </w:p>
        </w:tc>
        <w:tc>
          <w:tcPr>
            <w:tcW w:w="1644" w:type="dxa"/>
            <w:noWrap w:val="0"/>
            <w:vAlign w:val="center"/>
          </w:tcPr>
          <w:p w14:paraId="2E0AA93E">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304" w:type="dxa"/>
            <w:noWrap w:val="0"/>
            <w:vAlign w:val="center"/>
          </w:tcPr>
          <w:p w14:paraId="0B1E61AD">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644" w:type="dxa"/>
            <w:noWrap w:val="0"/>
            <w:vAlign w:val="center"/>
          </w:tcPr>
          <w:p w14:paraId="1085B0BF">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2ADF989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4"/>
                <w:highlight w:val="none"/>
                <w:lang w:val="en-US" w:eastAsia="zh-CN" w:bidi="ar-SA"/>
              </w:rPr>
              <w:t>0.06</w:t>
            </w:r>
          </w:p>
        </w:tc>
        <w:tc>
          <w:tcPr>
            <w:tcW w:w="1644" w:type="dxa"/>
            <w:noWrap w:val="0"/>
            <w:vAlign w:val="center"/>
          </w:tcPr>
          <w:p w14:paraId="2DE3D232">
            <w:pPr>
              <w:pStyle w:val="3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w:t>
            </w:r>
          </w:p>
        </w:tc>
        <w:tc>
          <w:tcPr>
            <w:tcW w:w="1871" w:type="dxa"/>
            <w:shd w:val="clear" w:color="auto" w:fill="auto"/>
            <w:noWrap w:val="0"/>
            <w:vAlign w:val="center"/>
          </w:tcPr>
          <w:p w14:paraId="7538F38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4"/>
                <w:highlight w:val="none"/>
                <w:lang w:val="en-US" w:eastAsia="zh-CN" w:bidi="ar-SA"/>
              </w:rPr>
              <w:t>0.06</w:t>
            </w:r>
          </w:p>
        </w:tc>
        <w:tc>
          <w:tcPr>
            <w:tcW w:w="1247" w:type="dxa"/>
            <w:shd w:val="clear" w:color="auto" w:fill="auto"/>
            <w:noWrap w:val="0"/>
            <w:vAlign w:val="center"/>
          </w:tcPr>
          <w:p w14:paraId="72E96A8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kern w:val="2"/>
                <w:sz w:val="21"/>
                <w:szCs w:val="24"/>
                <w:highlight w:val="none"/>
                <w:lang w:val="en-US" w:eastAsia="zh-CN" w:bidi="ar-SA"/>
              </w:rPr>
              <w:t>0.06</w:t>
            </w:r>
          </w:p>
        </w:tc>
      </w:tr>
      <w:tr w14:paraId="5F004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continue"/>
            <w:noWrap w:val="0"/>
            <w:vAlign w:val="center"/>
          </w:tcPr>
          <w:p w14:paraId="44CA94CD">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p>
        </w:tc>
        <w:tc>
          <w:tcPr>
            <w:tcW w:w="2494" w:type="dxa"/>
            <w:shd w:val="clear" w:color="auto" w:fill="auto"/>
            <w:noWrap w:val="0"/>
            <w:vAlign w:val="center"/>
          </w:tcPr>
          <w:p w14:paraId="09565952">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bidi="ar-SA"/>
              </w:rPr>
              <w:t>废油剂桶</w:t>
            </w:r>
          </w:p>
        </w:tc>
        <w:tc>
          <w:tcPr>
            <w:tcW w:w="1644" w:type="dxa"/>
            <w:noWrap w:val="0"/>
            <w:vAlign w:val="center"/>
          </w:tcPr>
          <w:p w14:paraId="3F60B3CE">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eastAsia"/>
                <w:b w:val="0"/>
                <w:bCs/>
                <w:color w:val="auto"/>
                <w:sz w:val="21"/>
                <w:szCs w:val="21"/>
                <w:highlight w:val="none"/>
                <w:lang w:val="en-US" w:eastAsia="zh-CN"/>
              </w:rPr>
              <w:t>/</w:t>
            </w:r>
          </w:p>
        </w:tc>
        <w:tc>
          <w:tcPr>
            <w:tcW w:w="1304" w:type="dxa"/>
            <w:noWrap w:val="0"/>
            <w:vAlign w:val="center"/>
          </w:tcPr>
          <w:p w14:paraId="5FD938EE">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644" w:type="dxa"/>
            <w:noWrap w:val="0"/>
            <w:vAlign w:val="center"/>
          </w:tcPr>
          <w:p w14:paraId="7EC19597">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4DAF134F">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bidi="ar-SA"/>
              </w:rPr>
              <w:t>0.12</w:t>
            </w:r>
          </w:p>
        </w:tc>
        <w:tc>
          <w:tcPr>
            <w:tcW w:w="1644" w:type="dxa"/>
            <w:noWrap w:val="0"/>
            <w:vAlign w:val="center"/>
          </w:tcPr>
          <w:p w14:paraId="77ABCE41">
            <w:pPr>
              <w:pStyle w:val="3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w:t>
            </w:r>
          </w:p>
        </w:tc>
        <w:tc>
          <w:tcPr>
            <w:tcW w:w="1871" w:type="dxa"/>
            <w:shd w:val="clear" w:color="auto" w:fill="auto"/>
            <w:noWrap w:val="0"/>
            <w:vAlign w:val="center"/>
          </w:tcPr>
          <w:p w14:paraId="66EAFDF9">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bidi="ar-SA"/>
              </w:rPr>
              <w:t>0.12</w:t>
            </w:r>
          </w:p>
        </w:tc>
        <w:tc>
          <w:tcPr>
            <w:tcW w:w="1247" w:type="dxa"/>
            <w:shd w:val="clear" w:color="auto" w:fill="auto"/>
            <w:noWrap w:val="0"/>
            <w:vAlign w:val="center"/>
          </w:tcPr>
          <w:p w14:paraId="7D9B3EAF">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eastAsia" w:cs="Times New Roman"/>
                <w:b w:val="0"/>
                <w:bCs w:val="0"/>
                <w:color w:val="auto"/>
                <w:sz w:val="21"/>
                <w:szCs w:val="21"/>
                <w:highlight w:val="none"/>
                <w:lang w:val="en-US" w:eastAsia="zh-CN" w:bidi="ar-SA"/>
              </w:rPr>
              <w:t>0.12</w:t>
            </w:r>
          </w:p>
        </w:tc>
      </w:tr>
      <w:tr w14:paraId="0C3C4E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304" w:type="dxa"/>
            <w:vMerge w:val="continue"/>
            <w:noWrap w:val="0"/>
            <w:vAlign w:val="center"/>
          </w:tcPr>
          <w:p w14:paraId="346C649C">
            <w:pPr>
              <w:pStyle w:val="38"/>
              <w:keepNext w:val="0"/>
              <w:keepLines w:val="0"/>
              <w:suppressLineNumbers w:val="0"/>
              <w:bidi w:val="0"/>
              <w:spacing w:before="0" w:beforeAutospacing="0" w:after="0" w:afterAutospacing="0"/>
              <w:ind w:left="0" w:right="0"/>
              <w:rPr>
                <w:rFonts w:hint="default" w:ascii="Times New Roman" w:hAnsi="Times New Roman" w:eastAsia="宋体"/>
                <w:b w:val="0"/>
                <w:bCs/>
                <w:color w:val="auto"/>
                <w:sz w:val="21"/>
                <w:szCs w:val="21"/>
                <w:highlight w:val="none"/>
              </w:rPr>
            </w:pPr>
          </w:p>
        </w:tc>
        <w:tc>
          <w:tcPr>
            <w:tcW w:w="2494" w:type="dxa"/>
            <w:shd w:val="clear" w:color="auto" w:fill="auto"/>
            <w:noWrap w:val="0"/>
            <w:vAlign w:val="center"/>
          </w:tcPr>
          <w:p w14:paraId="5A7E2E5F">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废含油抹布和废含油手套</w:t>
            </w:r>
          </w:p>
        </w:tc>
        <w:tc>
          <w:tcPr>
            <w:tcW w:w="1644" w:type="dxa"/>
            <w:noWrap w:val="0"/>
            <w:vAlign w:val="center"/>
          </w:tcPr>
          <w:p w14:paraId="099578A6">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304" w:type="dxa"/>
            <w:noWrap w:val="0"/>
            <w:vAlign w:val="center"/>
          </w:tcPr>
          <w:p w14:paraId="4273F9FB">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644" w:type="dxa"/>
            <w:noWrap w:val="0"/>
            <w:vAlign w:val="center"/>
          </w:tcPr>
          <w:p w14:paraId="07400AB1">
            <w:pPr>
              <w:pStyle w:val="3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b w:val="0"/>
                <w:bCs/>
                <w:color w:val="auto"/>
                <w:sz w:val="21"/>
                <w:szCs w:val="21"/>
                <w:highlight w:val="none"/>
              </w:rPr>
            </w:pPr>
            <w:r>
              <w:rPr>
                <w:rFonts w:hint="default" w:ascii="Times New Roman" w:hAnsi="Times New Roman" w:eastAsia="宋体"/>
                <w:b w:val="0"/>
                <w:bCs/>
                <w:color w:val="auto"/>
                <w:sz w:val="21"/>
                <w:szCs w:val="21"/>
                <w:highlight w:val="none"/>
              </w:rPr>
              <w:t>/</w:t>
            </w:r>
          </w:p>
        </w:tc>
        <w:tc>
          <w:tcPr>
            <w:tcW w:w="1531" w:type="dxa"/>
            <w:shd w:val="clear" w:color="auto" w:fill="auto"/>
            <w:noWrap w:val="0"/>
            <w:vAlign w:val="center"/>
          </w:tcPr>
          <w:p w14:paraId="4A1DC615">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0.01</w:t>
            </w:r>
          </w:p>
        </w:tc>
        <w:tc>
          <w:tcPr>
            <w:tcW w:w="1644" w:type="dxa"/>
            <w:noWrap w:val="0"/>
            <w:vAlign w:val="center"/>
          </w:tcPr>
          <w:p w14:paraId="7E003887">
            <w:pPr>
              <w:pStyle w:val="3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b w:val="0"/>
                <w:bCs/>
                <w:color w:val="auto"/>
                <w:sz w:val="21"/>
                <w:szCs w:val="21"/>
                <w:highlight w:val="none"/>
                <w:lang w:val="en-US" w:eastAsia="zh-CN"/>
              </w:rPr>
            </w:pPr>
            <w:r>
              <w:rPr>
                <w:rFonts w:hint="default" w:ascii="Times New Roman" w:hAnsi="Times New Roman" w:eastAsia="宋体"/>
                <w:b w:val="0"/>
                <w:bCs/>
                <w:color w:val="auto"/>
                <w:sz w:val="21"/>
                <w:szCs w:val="21"/>
                <w:highlight w:val="none"/>
              </w:rPr>
              <w:t>/</w:t>
            </w:r>
          </w:p>
        </w:tc>
        <w:tc>
          <w:tcPr>
            <w:tcW w:w="1871" w:type="dxa"/>
            <w:shd w:val="clear" w:color="auto" w:fill="auto"/>
            <w:noWrap w:val="0"/>
            <w:vAlign w:val="center"/>
          </w:tcPr>
          <w:p w14:paraId="6F7F9B0E">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0.01</w:t>
            </w:r>
          </w:p>
        </w:tc>
        <w:tc>
          <w:tcPr>
            <w:tcW w:w="1247" w:type="dxa"/>
            <w:shd w:val="clear" w:color="auto" w:fill="auto"/>
            <w:noWrap w:val="0"/>
            <w:vAlign w:val="center"/>
          </w:tcPr>
          <w:p w14:paraId="7EBE9A63">
            <w:pPr>
              <w:pStyle w:val="38"/>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bidi="ar-SA"/>
              </w:rPr>
              <w:t>0.01</w:t>
            </w:r>
          </w:p>
        </w:tc>
      </w:tr>
    </w:tbl>
    <w:p w14:paraId="428B7B9B">
      <w:pPr>
        <w:pStyle w:val="42"/>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=6\*GB3\*MERGEFORMAT</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⑥</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=1\*GB3\*MERGEFORMAT</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①</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=3\*GB3\*MERGEFORMAT</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③</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=4\*GB3\*MERGEFORMAT</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④</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=5\*GB3\*MERGEFORMAT</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⑤</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=7\*GB3\*MERGEFORMAT</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⑦</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=6\*GB3\*MERGEFORMAT</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⑥</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=1\*GB3\*MERGEFORMAT</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①</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；单位：t/a。</w:t>
      </w:r>
    </w:p>
    <w:sectPr>
      <w:footerReference r:id="rId7" w:type="default"/>
      <w:pgSz w:w="16838" w:h="11905" w:orient="landscape"/>
      <w:pgMar w:top="1134" w:right="1134" w:bottom="1134" w:left="1134" w:header="737" w:footer="737"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宋体-18030">
    <w:altName w:val="微软雅黑"/>
    <w:panose1 w:val="00000000000000000000"/>
    <w:charset w:val="86"/>
    <w:family w:val="modern"/>
    <w:pitch w:val="default"/>
    <w:sig w:usb0="00000000" w:usb1="00000000" w:usb2="000A005E"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548E1">
    <w:pPr>
      <w:tabs>
        <w:tab w:val="center" w:pos="4153"/>
        <w:tab w:val="right" w:pos="8306"/>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5CCAE">
    <w:pPr>
      <w:tabs>
        <w:tab w:val="center" w:pos="4153"/>
        <w:tab w:val="right" w:pos="8306"/>
      </w:tabs>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B5A513">
                          <w:pPr>
                            <w:tabs>
                              <w:tab w:val="center" w:pos="4153"/>
                              <w:tab w:val="right" w:pos="8306"/>
                            </w:tabs>
                            <w:rPr>
                              <w:rFonts w:ascii="宋体" w:hAnsi="宋体"/>
                              <w:sz w:val="28"/>
                              <w:szCs w:val="28"/>
                            </w:rPr>
                          </w:pPr>
                          <w:r>
                            <w:rPr>
                              <w:rFonts w:hint="eastAsia" w:ascii="宋体" w:hAnsi="宋体"/>
                              <w:sz w:val="28"/>
                              <w:szCs w:val="28"/>
                            </w:rPr>
                            <w:t>—</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9</w:t>
                          </w:r>
                          <w:r>
                            <w:rPr>
                              <w:rFonts w:ascii="宋体" w:hAnsi="宋体"/>
                              <w:sz w:val="26"/>
                              <w:szCs w:val="26"/>
                            </w:rPr>
                            <w:fldChar w:fldCharType="end"/>
                          </w:r>
                          <w:r>
                            <w:rPr>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JHL5pLgAQAAwQMAAA4AAAAA&#10;AAAAAQAgAAAAHgEAAGRycy9lMm9Eb2MueG1sUEsFBgAAAAAGAAYAWQEAAHAFAAAAAA==&#10;">
              <v:fill on="f" focussize="0,0"/>
              <v:stroke on="f"/>
              <v:imagedata o:title=""/>
              <o:lock v:ext="edit" aspectratio="f"/>
              <v:textbox inset="0mm,0mm,0mm,0mm" style="mso-fit-shape-to-text:t;">
                <w:txbxContent>
                  <w:p w14:paraId="18B5A513">
                    <w:pPr>
                      <w:tabs>
                        <w:tab w:val="center" w:pos="4153"/>
                        <w:tab w:val="right" w:pos="8306"/>
                      </w:tabs>
                      <w:rPr>
                        <w:rFonts w:ascii="宋体" w:hAnsi="宋体"/>
                        <w:sz w:val="28"/>
                        <w:szCs w:val="28"/>
                      </w:rPr>
                    </w:pPr>
                    <w:r>
                      <w:rPr>
                        <w:rFonts w:hint="eastAsia" w:ascii="宋体" w:hAnsi="宋体"/>
                        <w:sz w:val="28"/>
                        <w:szCs w:val="28"/>
                      </w:rPr>
                      <w:t>—</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9</w:t>
                    </w:r>
                    <w:r>
                      <w:rPr>
                        <w:rFonts w:ascii="宋体" w:hAnsi="宋体"/>
                        <w:sz w:val="26"/>
                        <w:szCs w:val="26"/>
                      </w:rPr>
                      <w:fldChar w:fldCharType="end"/>
                    </w:r>
                    <w:r>
                      <w:rPr>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9B97C">
    <w:pPr>
      <w:tabs>
        <w:tab w:val="center" w:pos="4153"/>
        <w:tab w:val="right" w:pos="8306"/>
      </w:tabs>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9E413D">
                          <w:pPr>
                            <w:tabs>
                              <w:tab w:val="center" w:pos="4153"/>
                              <w:tab w:val="right" w:pos="8306"/>
                            </w:tabs>
                            <w:rPr>
                              <w:rFonts w:ascii="宋体" w:hAnsi="宋体"/>
                              <w:sz w:val="28"/>
                              <w:szCs w:val="28"/>
                            </w:rPr>
                          </w:pPr>
                          <w:r>
                            <w:rPr>
                              <w:rFonts w:hint="eastAsia" w:ascii="宋体" w:hAnsi="宋体"/>
                              <w:sz w:val="28"/>
                              <w:szCs w:val="28"/>
                            </w:rPr>
                            <w:t>—</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11</w:t>
                          </w:r>
                          <w:r>
                            <w:rPr>
                              <w:rFonts w:ascii="宋体" w:hAnsi="宋体"/>
                              <w:sz w:val="26"/>
                              <w:szCs w:val="26"/>
                            </w:rPr>
                            <w:fldChar w:fldCharType="end"/>
                          </w:r>
                          <w:r>
                            <w:rPr>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I4n5KPgAQAAwQMAAA4AAAAA&#10;AAAAAQAgAAAAHgEAAGRycy9lMm9Eb2MueG1sUEsFBgAAAAAGAAYAWQEAAHAFAAAAAA==&#10;">
              <v:fill on="f" focussize="0,0"/>
              <v:stroke on="f"/>
              <v:imagedata o:title=""/>
              <o:lock v:ext="edit" aspectratio="f"/>
              <v:textbox inset="0mm,0mm,0mm,0mm" style="mso-fit-shape-to-text:t;">
                <w:txbxContent>
                  <w:p w14:paraId="609E413D">
                    <w:pPr>
                      <w:tabs>
                        <w:tab w:val="center" w:pos="4153"/>
                        <w:tab w:val="right" w:pos="8306"/>
                      </w:tabs>
                      <w:rPr>
                        <w:rFonts w:ascii="宋体" w:hAnsi="宋体"/>
                        <w:sz w:val="28"/>
                        <w:szCs w:val="28"/>
                      </w:rPr>
                    </w:pPr>
                    <w:r>
                      <w:rPr>
                        <w:rFonts w:hint="eastAsia" w:ascii="宋体" w:hAnsi="宋体"/>
                        <w:sz w:val="28"/>
                        <w:szCs w:val="28"/>
                      </w:rPr>
                      <w:t>—</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11</w:t>
                    </w:r>
                    <w:r>
                      <w:rPr>
                        <w:rFonts w:ascii="宋体" w:hAnsi="宋体"/>
                        <w:sz w:val="26"/>
                        <w:szCs w:val="26"/>
                      </w:rPr>
                      <w:fldChar w:fldCharType="end"/>
                    </w:r>
                    <w:r>
                      <w:rPr>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1A009">
    <w:pPr>
      <w:pBdr>
        <w:bottom w:val="none" w:color="auto" w:sz="0" w:space="0"/>
      </w:pBdr>
      <w:tabs>
        <w:tab w:val="center" w:pos="4153"/>
        <w:tab w:val="right" w:pos="8306"/>
      </w:tabs>
      <w:jc w:val="center"/>
      <w:rPr>
        <w:rFonts w:hint="eastAsia" w:ascii="仿宋" w:hAnsi="仿宋" w:eastAsia="仿宋" w:cs="仿宋"/>
        <w:sz w:val="21"/>
        <w:szCs w:val="21"/>
      </w:rPr>
    </w:pPr>
  </w:p>
  <w:p w14:paraId="07D909D8">
    <w:pPr>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28744">
    <w:pPr>
      <w:pBdr>
        <w:bottom w:val="single" w:color="auto" w:sz="4" w:space="0"/>
      </w:pBdr>
      <w:tabs>
        <w:tab w:val="center" w:pos="4153"/>
        <w:tab w:val="right" w:pos="8306"/>
      </w:tabs>
      <w:jc w:val="center"/>
      <w:rPr>
        <w:rFonts w:hint="eastAsia"/>
        <w:sz w:val="24"/>
        <w:szCs w:val="24"/>
      </w:rPr>
    </w:pPr>
    <w:r>
      <w:rPr>
        <w:rFonts w:hint="eastAsia" w:eastAsia="仿宋" w:cs="Times New Roman"/>
        <w:sz w:val="24"/>
        <w:szCs w:val="24"/>
        <w:lang w:val="en-US" w:eastAsia="zh-CN"/>
      </w:rPr>
      <w:t>安徽清鑫纺织有限公司年产8000万米汽车内饰、家居服饰高端面料智能制造项目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62CA9"/>
    <w:multiLevelType w:val="multilevel"/>
    <w:tmpl w:val="41862CA9"/>
    <w:lvl w:ilvl="0" w:tentative="0">
      <w:start w:val="1"/>
      <w:numFmt w:val="decimal"/>
      <w:pStyle w:val="3"/>
      <w:suff w:val="space"/>
      <w:lvlText w:val="%1"/>
      <w:lvlJc w:val="left"/>
      <w:pPr>
        <w:ind w:left="0" w:firstLine="0"/>
      </w:pPr>
      <w:rPr>
        <w:rFonts w:hint="eastAsia"/>
        <w:sz w:val="30"/>
        <w:szCs w:val="30"/>
      </w:rPr>
    </w:lvl>
    <w:lvl w:ilvl="1" w:tentative="0">
      <w:start w:val="1"/>
      <w:numFmt w:val="decimal"/>
      <w:suff w:val="space"/>
      <w:lvlText w:val="%1.%2"/>
      <w:lvlJc w:val="left"/>
      <w:pPr>
        <w:ind w:left="284"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0MTBlOTllYWFkMDE0MWY5NmFiMzQwMjJkNjI0NTEifQ=="/>
  </w:docVars>
  <w:rsids>
    <w:rsidRoot w:val="00172A27"/>
    <w:rsid w:val="000002F1"/>
    <w:rsid w:val="000060B3"/>
    <w:rsid w:val="00010534"/>
    <w:rsid w:val="00011781"/>
    <w:rsid w:val="00012FC7"/>
    <w:rsid w:val="00014D54"/>
    <w:rsid w:val="00016D8E"/>
    <w:rsid w:val="00022C11"/>
    <w:rsid w:val="0002561E"/>
    <w:rsid w:val="000273CC"/>
    <w:rsid w:val="000303B3"/>
    <w:rsid w:val="00032DC5"/>
    <w:rsid w:val="00033B03"/>
    <w:rsid w:val="00040102"/>
    <w:rsid w:val="00041843"/>
    <w:rsid w:val="0004264D"/>
    <w:rsid w:val="00043144"/>
    <w:rsid w:val="0004364B"/>
    <w:rsid w:val="00044EF2"/>
    <w:rsid w:val="00046C72"/>
    <w:rsid w:val="00046CA0"/>
    <w:rsid w:val="00050964"/>
    <w:rsid w:val="00051151"/>
    <w:rsid w:val="0005125F"/>
    <w:rsid w:val="000512E1"/>
    <w:rsid w:val="00051592"/>
    <w:rsid w:val="00053AE2"/>
    <w:rsid w:val="00054D06"/>
    <w:rsid w:val="0005517D"/>
    <w:rsid w:val="00060C6A"/>
    <w:rsid w:val="00061046"/>
    <w:rsid w:val="00061B1F"/>
    <w:rsid w:val="000656B1"/>
    <w:rsid w:val="00072670"/>
    <w:rsid w:val="000733C4"/>
    <w:rsid w:val="00074783"/>
    <w:rsid w:val="000749E3"/>
    <w:rsid w:val="000755F3"/>
    <w:rsid w:val="00076791"/>
    <w:rsid w:val="00076D34"/>
    <w:rsid w:val="0008070B"/>
    <w:rsid w:val="000810AC"/>
    <w:rsid w:val="00081654"/>
    <w:rsid w:val="00081A02"/>
    <w:rsid w:val="00082231"/>
    <w:rsid w:val="00087540"/>
    <w:rsid w:val="00092509"/>
    <w:rsid w:val="00092D38"/>
    <w:rsid w:val="0009377B"/>
    <w:rsid w:val="000942B7"/>
    <w:rsid w:val="0009714D"/>
    <w:rsid w:val="00097F13"/>
    <w:rsid w:val="000A002F"/>
    <w:rsid w:val="000A20C9"/>
    <w:rsid w:val="000A3F74"/>
    <w:rsid w:val="000A49E3"/>
    <w:rsid w:val="000A6343"/>
    <w:rsid w:val="000A648A"/>
    <w:rsid w:val="000B058F"/>
    <w:rsid w:val="000B4467"/>
    <w:rsid w:val="000B44D3"/>
    <w:rsid w:val="000B4DB9"/>
    <w:rsid w:val="000B6F3E"/>
    <w:rsid w:val="000B7EAF"/>
    <w:rsid w:val="000C024B"/>
    <w:rsid w:val="000C09AC"/>
    <w:rsid w:val="000C1FF9"/>
    <w:rsid w:val="000C3CCA"/>
    <w:rsid w:val="000C767F"/>
    <w:rsid w:val="000C7FD5"/>
    <w:rsid w:val="000D4E27"/>
    <w:rsid w:val="000D5A44"/>
    <w:rsid w:val="000E019D"/>
    <w:rsid w:val="000E0E35"/>
    <w:rsid w:val="000E0F36"/>
    <w:rsid w:val="000E28F5"/>
    <w:rsid w:val="000E3ED2"/>
    <w:rsid w:val="000E3FC3"/>
    <w:rsid w:val="000E467E"/>
    <w:rsid w:val="000E5612"/>
    <w:rsid w:val="000E5D71"/>
    <w:rsid w:val="000E68B6"/>
    <w:rsid w:val="000E7B1F"/>
    <w:rsid w:val="000F4C57"/>
    <w:rsid w:val="000F5645"/>
    <w:rsid w:val="000F6956"/>
    <w:rsid w:val="0010226B"/>
    <w:rsid w:val="0010295B"/>
    <w:rsid w:val="00106433"/>
    <w:rsid w:val="001079AA"/>
    <w:rsid w:val="0011306E"/>
    <w:rsid w:val="00114CF3"/>
    <w:rsid w:val="0011760F"/>
    <w:rsid w:val="00123E47"/>
    <w:rsid w:val="00125861"/>
    <w:rsid w:val="001315D9"/>
    <w:rsid w:val="00131F42"/>
    <w:rsid w:val="00133387"/>
    <w:rsid w:val="00133B96"/>
    <w:rsid w:val="00135135"/>
    <w:rsid w:val="001357F1"/>
    <w:rsid w:val="00140FA8"/>
    <w:rsid w:val="00142FEB"/>
    <w:rsid w:val="00143A2D"/>
    <w:rsid w:val="00145A41"/>
    <w:rsid w:val="001470B2"/>
    <w:rsid w:val="00150EAD"/>
    <w:rsid w:val="00151675"/>
    <w:rsid w:val="001517AA"/>
    <w:rsid w:val="00155351"/>
    <w:rsid w:val="001570FF"/>
    <w:rsid w:val="00157435"/>
    <w:rsid w:val="00160D04"/>
    <w:rsid w:val="00163FD9"/>
    <w:rsid w:val="00164FA3"/>
    <w:rsid w:val="001669D4"/>
    <w:rsid w:val="00171F6B"/>
    <w:rsid w:val="0017504D"/>
    <w:rsid w:val="001750E8"/>
    <w:rsid w:val="0017671A"/>
    <w:rsid w:val="00177422"/>
    <w:rsid w:val="0018099E"/>
    <w:rsid w:val="0018274C"/>
    <w:rsid w:val="00184590"/>
    <w:rsid w:val="00184E1B"/>
    <w:rsid w:val="00186BF0"/>
    <w:rsid w:val="001870D1"/>
    <w:rsid w:val="0018781E"/>
    <w:rsid w:val="0019262D"/>
    <w:rsid w:val="001A0E98"/>
    <w:rsid w:val="001A1848"/>
    <w:rsid w:val="001A1B35"/>
    <w:rsid w:val="001A2968"/>
    <w:rsid w:val="001A4716"/>
    <w:rsid w:val="001A48A2"/>
    <w:rsid w:val="001A6F61"/>
    <w:rsid w:val="001A7CDF"/>
    <w:rsid w:val="001B223C"/>
    <w:rsid w:val="001B3745"/>
    <w:rsid w:val="001B72B8"/>
    <w:rsid w:val="001C59CA"/>
    <w:rsid w:val="001C63A7"/>
    <w:rsid w:val="001C66E0"/>
    <w:rsid w:val="001C69B3"/>
    <w:rsid w:val="001D1BBF"/>
    <w:rsid w:val="001D4206"/>
    <w:rsid w:val="001D5595"/>
    <w:rsid w:val="001D5FB4"/>
    <w:rsid w:val="001D7874"/>
    <w:rsid w:val="001D7F22"/>
    <w:rsid w:val="001E5EBA"/>
    <w:rsid w:val="001E7019"/>
    <w:rsid w:val="001F0F17"/>
    <w:rsid w:val="001F1D2C"/>
    <w:rsid w:val="001F3347"/>
    <w:rsid w:val="001F3ADA"/>
    <w:rsid w:val="001F4D0A"/>
    <w:rsid w:val="001F644B"/>
    <w:rsid w:val="001F69E4"/>
    <w:rsid w:val="00200717"/>
    <w:rsid w:val="002067D1"/>
    <w:rsid w:val="0020709F"/>
    <w:rsid w:val="0020736B"/>
    <w:rsid w:val="002125B4"/>
    <w:rsid w:val="00212D25"/>
    <w:rsid w:val="00212FBA"/>
    <w:rsid w:val="00213991"/>
    <w:rsid w:val="00213CF6"/>
    <w:rsid w:val="00213F88"/>
    <w:rsid w:val="002155B8"/>
    <w:rsid w:val="00215AA4"/>
    <w:rsid w:val="00215E0B"/>
    <w:rsid w:val="002175E4"/>
    <w:rsid w:val="002226FD"/>
    <w:rsid w:val="002235CA"/>
    <w:rsid w:val="00224839"/>
    <w:rsid w:val="002249B2"/>
    <w:rsid w:val="00224DCC"/>
    <w:rsid w:val="00225378"/>
    <w:rsid w:val="002253A7"/>
    <w:rsid w:val="00226574"/>
    <w:rsid w:val="002268D5"/>
    <w:rsid w:val="002269F9"/>
    <w:rsid w:val="002278EC"/>
    <w:rsid w:val="0023280E"/>
    <w:rsid w:val="00234852"/>
    <w:rsid w:val="0023625C"/>
    <w:rsid w:val="002377D1"/>
    <w:rsid w:val="002424A7"/>
    <w:rsid w:val="002438E2"/>
    <w:rsid w:val="00245594"/>
    <w:rsid w:val="00247343"/>
    <w:rsid w:val="002506BC"/>
    <w:rsid w:val="00254345"/>
    <w:rsid w:val="00255439"/>
    <w:rsid w:val="002630BB"/>
    <w:rsid w:val="0026374D"/>
    <w:rsid w:val="00264557"/>
    <w:rsid w:val="00264FA5"/>
    <w:rsid w:val="00266F40"/>
    <w:rsid w:val="00267FD6"/>
    <w:rsid w:val="00270BE1"/>
    <w:rsid w:val="00272842"/>
    <w:rsid w:val="0027349C"/>
    <w:rsid w:val="00273563"/>
    <w:rsid w:val="00273833"/>
    <w:rsid w:val="00274EC8"/>
    <w:rsid w:val="00276D7B"/>
    <w:rsid w:val="00276E33"/>
    <w:rsid w:val="002805AB"/>
    <w:rsid w:val="00284204"/>
    <w:rsid w:val="00291773"/>
    <w:rsid w:val="0029196E"/>
    <w:rsid w:val="002920CE"/>
    <w:rsid w:val="00292BAB"/>
    <w:rsid w:val="00294A18"/>
    <w:rsid w:val="00296707"/>
    <w:rsid w:val="00296C70"/>
    <w:rsid w:val="002974FD"/>
    <w:rsid w:val="002A168C"/>
    <w:rsid w:val="002A355E"/>
    <w:rsid w:val="002A3DC7"/>
    <w:rsid w:val="002A412A"/>
    <w:rsid w:val="002A4228"/>
    <w:rsid w:val="002A6C82"/>
    <w:rsid w:val="002B0C30"/>
    <w:rsid w:val="002B247F"/>
    <w:rsid w:val="002B42F3"/>
    <w:rsid w:val="002B49E2"/>
    <w:rsid w:val="002B64B0"/>
    <w:rsid w:val="002B6923"/>
    <w:rsid w:val="002B7B00"/>
    <w:rsid w:val="002B7C44"/>
    <w:rsid w:val="002C2B17"/>
    <w:rsid w:val="002C4449"/>
    <w:rsid w:val="002C61F7"/>
    <w:rsid w:val="002D269B"/>
    <w:rsid w:val="002D3DD0"/>
    <w:rsid w:val="002E0A7A"/>
    <w:rsid w:val="002E1F3A"/>
    <w:rsid w:val="002E1F6F"/>
    <w:rsid w:val="002E21F1"/>
    <w:rsid w:val="002E298A"/>
    <w:rsid w:val="002E336F"/>
    <w:rsid w:val="002E6017"/>
    <w:rsid w:val="002E6413"/>
    <w:rsid w:val="002F128F"/>
    <w:rsid w:val="002F44C6"/>
    <w:rsid w:val="002F4AD4"/>
    <w:rsid w:val="00301978"/>
    <w:rsid w:val="0030332C"/>
    <w:rsid w:val="00303A46"/>
    <w:rsid w:val="00303F39"/>
    <w:rsid w:val="003051C2"/>
    <w:rsid w:val="003054F8"/>
    <w:rsid w:val="00305CE7"/>
    <w:rsid w:val="00307152"/>
    <w:rsid w:val="003073D0"/>
    <w:rsid w:val="00307A95"/>
    <w:rsid w:val="00311532"/>
    <w:rsid w:val="00311A5F"/>
    <w:rsid w:val="00312296"/>
    <w:rsid w:val="00314F0E"/>
    <w:rsid w:val="0031535E"/>
    <w:rsid w:val="00316629"/>
    <w:rsid w:val="00320FA7"/>
    <w:rsid w:val="00321D8E"/>
    <w:rsid w:val="00325928"/>
    <w:rsid w:val="00330605"/>
    <w:rsid w:val="00332863"/>
    <w:rsid w:val="00333180"/>
    <w:rsid w:val="00333A2A"/>
    <w:rsid w:val="00335D51"/>
    <w:rsid w:val="00335D84"/>
    <w:rsid w:val="00336416"/>
    <w:rsid w:val="0033684D"/>
    <w:rsid w:val="00337B42"/>
    <w:rsid w:val="0034155E"/>
    <w:rsid w:val="00341B42"/>
    <w:rsid w:val="0034348F"/>
    <w:rsid w:val="00345032"/>
    <w:rsid w:val="003532FE"/>
    <w:rsid w:val="003550AC"/>
    <w:rsid w:val="00356653"/>
    <w:rsid w:val="0035743F"/>
    <w:rsid w:val="00357BE2"/>
    <w:rsid w:val="00360E24"/>
    <w:rsid w:val="0036170C"/>
    <w:rsid w:val="00362EC7"/>
    <w:rsid w:val="00364315"/>
    <w:rsid w:val="003656DF"/>
    <w:rsid w:val="00366E0F"/>
    <w:rsid w:val="003714AA"/>
    <w:rsid w:val="00371723"/>
    <w:rsid w:val="00372F91"/>
    <w:rsid w:val="00377076"/>
    <w:rsid w:val="00377268"/>
    <w:rsid w:val="00381040"/>
    <w:rsid w:val="00381A72"/>
    <w:rsid w:val="00382DEE"/>
    <w:rsid w:val="00384676"/>
    <w:rsid w:val="00390857"/>
    <w:rsid w:val="00396E9F"/>
    <w:rsid w:val="003977C4"/>
    <w:rsid w:val="003A3053"/>
    <w:rsid w:val="003A4BF3"/>
    <w:rsid w:val="003B1576"/>
    <w:rsid w:val="003B420D"/>
    <w:rsid w:val="003B643A"/>
    <w:rsid w:val="003C28DE"/>
    <w:rsid w:val="003C3FC7"/>
    <w:rsid w:val="003C6C16"/>
    <w:rsid w:val="003C7B0A"/>
    <w:rsid w:val="003D0404"/>
    <w:rsid w:val="003D19D4"/>
    <w:rsid w:val="003D5583"/>
    <w:rsid w:val="003D6DF8"/>
    <w:rsid w:val="003D794D"/>
    <w:rsid w:val="003D79E7"/>
    <w:rsid w:val="003E0293"/>
    <w:rsid w:val="003E0BDE"/>
    <w:rsid w:val="003E2890"/>
    <w:rsid w:val="003E2B43"/>
    <w:rsid w:val="003E3058"/>
    <w:rsid w:val="003E6630"/>
    <w:rsid w:val="003E76A9"/>
    <w:rsid w:val="003E7DEC"/>
    <w:rsid w:val="003F0809"/>
    <w:rsid w:val="003F23CE"/>
    <w:rsid w:val="003F2496"/>
    <w:rsid w:val="003F279E"/>
    <w:rsid w:val="003F3DD6"/>
    <w:rsid w:val="003F42F4"/>
    <w:rsid w:val="003F6A8C"/>
    <w:rsid w:val="003F6BA5"/>
    <w:rsid w:val="003F755C"/>
    <w:rsid w:val="00406F01"/>
    <w:rsid w:val="00411CA3"/>
    <w:rsid w:val="00411D1B"/>
    <w:rsid w:val="00416C14"/>
    <w:rsid w:val="00416D50"/>
    <w:rsid w:val="00416FD5"/>
    <w:rsid w:val="00417772"/>
    <w:rsid w:val="00420E6A"/>
    <w:rsid w:val="004217E5"/>
    <w:rsid w:val="00425A9E"/>
    <w:rsid w:val="00426D6B"/>
    <w:rsid w:val="004277C9"/>
    <w:rsid w:val="00427803"/>
    <w:rsid w:val="00431E6C"/>
    <w:rsid w:val="00432C75"/>
    <w:rsid w:val="00433CE7"/>
    <w:rsid w:val="00436710"/>
    <w:rsid w:val="00437FEC"/>
    <w:rsid w:val="00441793"/>
    <w:rsid w:val="00443541"/>
    <w:rsid w:val="00444748"/>
    <w:rsid w:val="00445595"/>
    <w:rsid w:val="004479E5"/>
    <w:rsid w:val="00450FAC"/>
    <w:rsid w:val="00452738"/>
    <w:rsid w:val="00455379"/>
    <w:rsid w:val="00456091"/>
    <w:rsid w:val="00457B13"/>
    <w:rsid w:val="00463028"/>
    <w:rsid w:val="00466321"/>
    <w:rsid w:val="00470447"/>
    <w:rsid w:val="00470A3E"/>
    <w:rsid w:val="00470E84"/>
    <w:rsid w:val="00473031"/>
    <w:rsid w:val="00474151"/>
    <w:rsid w:val="00483F16"/>
    <w:rsid w:val="00484B9B"/>
    <w:rsid w:val="004855F6"/>
    <w:rsid w:val="0048661E"/>
    <w:rsid w:val="004874D5"/>
    <w:rsid w:val="00487D27"/>
    <w:rsid w:val="00491693"/>
    <w:rsid w:val="00494221"/>
    <w:rsid w:val="00494670"/>
    <w:rsid w:val="00494FFB"/>
    <w:rsid w:val="004958DC"/>
    <w:rsid w:val="00496DA9"/>
    <w:rsid w:val="004A1407"/>
    <w:rsid w:val="004A2281"/>
    <w:rsid w:val="004A3823"/>
    <w:rsid w:val="004A74BF"/>
    <w:rsid w:val="004B0D73"/>
    <w:rsid w:val="004B24B6"/>
    <w:rsid w:val="004B2B21"/>
    <w:rsid w:val="004C036E"/>
    <w:rsid w:val="004C0647"/>
    <w:rsid w:val="004C6992"/>
    <w:rsid w:val="004D07E4"/>
    <w:rsid w:val="004D5499"/>
    <w:rsid w:val="004D5ED6"/>
    <w:rsid w:val="004D6899"/>
    <w:rsid w:val="004D68F8"/>
    <w:rsid w:val="004D6EE3"/>
    <w:rsid w:val="004D71B5"/>
    <w:rsid w:val="004D79F8"/>
    <w:rsid w:val="004E0863"/>
    <w:rsid w:val="004E2611"/>
    <w:rsid w:val="004E43BF"/>
    <w:rsid w:val="004E4DF6"/>
    <w:rsid w:val="004E6946"/>
    <w:rsid w:val="004E7843"/>
    <w:rsid w:val="004F1218"/>
    <w:rsid w:val="004F1AD8"/>
    <w:rsid w:val="004F2DC0"/>
    <w:rsid w:val="004F3DE9"/>
    <w:rsid w:val="004F66DE"/>
    <w:rsid w:val="004F70BB"/>
    <w:rsid w:val="005039CB"/>
    <w:rsid w:val="0050558F"/>
    <w:rsid w:val="00505CA1"/>
    <w:rsid w:val="00506286"/>
    <w:rsid w:val="0050638A"/>
    <w:rsid w:val="0050693D"/>
    <w:rsid w:val="005102A0"/>
    <w:rsid w:val="00510813"/>
    <w:rsid w:val="00511990"/>
    <w:rsid w:val="00511DE0"/>
    <w:rsid w:val="005120DB"/>
    <w:rsid w:val="00514870"/>
    <w:rsid w:val="00514B9B"/>
    <w:rsid w:val="00517F02"/>
    <w:rsid w:val="00524303"/>
    <w:rsid w:val="0052459C"/>
    <w:rsid w:val="005258A2"/>
    <w:rsid w:val="00527E70"/>
    <w:rsid w:val="00533BFA"/>
    <w:rsid w:val="00535022"/>
    <w:rsid w:val="0053718B"/>
    <w:rsid w:val="00537C28"/>
    <w:rsid w:val="005401AE"/>
    <w:rsid w:val="00542E07"/>
    <w:rsid w:val="0054508A"/>
    <w:rsid w:val="00545424"/>
    <w:rsid w:val="00545D78"/>
    <w:rsid w:val="00553E30"/>
    <w:rsid w:val="005548B5"/>
    <w:rsid w:val="00554A7B"/>
    <w:rsid w:val="0055572C"/>
    <w:rsid w:val="0055574E"/>
    <w:rsid w:val="00556B5F"/>
    <w:rsid w:val="005574FC"/>
    <w:rsid w:val="0056106A"/>
    <w:rsid w:val="00563274"/>
    <w:rsid w:val="00564911"/>
    <w:rsid w:val="00566645"/>
    <w:rsid w:val="005714C6"/>
    <w:rsid w:val="00571B20"/>
    <w:rsid w:val="005720AE"/>
    <w:rsid w:val="00577718"/>
    <w:rsid w:val="00582E6E"/>
    <w:rsid w:val="00583020"/>
    <w:rsid w:val="0058523E"/>
    <w:rsid w:val="005865DC"/>
    <w:rsid w:val="00586FEC"/>
    <w:rsid w:val="00593490"/>
    <w:rsid w:val="00594D77"/>
    <w:rsid w:val="005969E4"/>
    <w:rsid w:val="00597A6C"/>
    <w:rsid w:val="005A06B7"/>
    <w:rsid w:val="005A0CCB"/>
    <w:rsid w:val="005A0F66"/>
    <w:rsid w:val="005A0FB6"/>
    <w:rsid w:val="005A1759"/>
    <w:rsid w:val="005A2D64"/>
    <w:rsid w:val="005A6564"/>
    <w:rsid w:val="005A68A7"/>
    <w:rsid w:val="005A7208"/>
    <w:rsid w:val="005A7F51"/>
    <w:rsid w:val="005B1D21"/>
    <w:rsid w:val="005B1F70"/>
    <w:rsid w:val="005B238C"/>
    <w:rsid w:val="005B2B9A"/>
    <w:rsid w:val="005C088A"/>
    <w:rsid w:val="005C381C"/>
    <w:rsid w:val="005C38F6"/>
    <w:rsid w:val="005C4D2E"/>
    <w:rsid w:val="005D13B5"/>
    <w:rsid w:val="005D2854"/>
    <w:rsid w:val="005D36AB"/>
    <w:rsid w:val="005D4582"/>
    <w:rsid w:val="005D4603"/>
    <w:rsid w:val="005D4CAC"/>
    <w:rsid w:val="005D61EB"/>
    <w:rsid w:val="005D63ED"/>
    <w:rsid w:val="005F037B"/>
    <w:rsid w:val="005F0697"/>
    <w:rsid w:val="005F219D"/>
    <w:rsid w:val="005F29AA"/>
    <w:rsid w:val="005F2F6A"/>
    <w:rsid w:val="005F481F"/>
    <w:rsid w:val="005F65CD"/>
    <w:rsid w:val="005F7127"/>
    <w:rsid w:val="006140F3"/>
    <w:rsid w:val="00615EA1"/>
    <w:rsid w:val="00617CC3"/>
    <w:rsid w:val="00621C19"/>
    <w:rsid w:val="0062225F"/>
    <w:rsid w:val="006336EF"/>
    <w:rsid w:val="006360BD"/>
    <w:rsid w:val="006377A6"/>
    <w:rsid w:val="00637A3D"/>
    <w:rsid w:val="006411EF"/>
    <w:rsid w:val="00641E35"/>
    <w:rsid w:val="00643BE3"/>
    <w:rsid w:val="00645991"/>
    <w:rsid w:val="006503B3"/>
    <w:rsid w:val="00652E85"/>
    <w:rsid w:val="00654DC3"/>
    <w:rsid w:val="00665BAD"/>
    <w:rsid w:val="00666383"/>
    <w:rsid w:val="0066795B"/>
    <w:rsid w:val="0067092F"/>
    <w:rsid w:val="00672977"/>
    <w:rsid w:val="006748B8"/>
    <w:rsid w:val="00675481"/>
    <w:rsid w:val="0067722F"/>
    <w:rsid w:val="006775C3"/>
    <w:rsid w:val="00680B68"/>
    <w:rsid w:val="00687A37"/>
    <w:rsid w:val="00687D2C"/>
    <w:rsid w:val="006911F9"/>
    <w:rsid w:val="0069166C"/>
    <w:rsid w:val="0069290A"/>
    <w:rsid w:val="0069356E"/>
    <w:rsid w:val="006948F4"/>
    <w:rsid w:val="00694990"/>
    <w:rsid w:val="0069744B"/>
    <w:rsid w:val="0069775A"/>
    <w:rsid w:val="00697813"/>
    <w:rsid w:val="006A09F1"/>
    <w:rsid w:val="006A3EE8"/>
    <w:rsid w:val="006A72B0"/>
    <w:rsid w:val="006A72BF"/>
    <w:rsid w:val="006B03F2"/>
    <w:rsid w:val="006B31C3"/>
    <w:rsid w:val="006B37DC"/>
    <w:rsid w:val="006B4F68"/>
    <w:rsid w:val="006B6D1F"/>
    <w:rsid w:val="006C0592"/>
    <w:rsid w:val="006C1F77"/>
    <w:rsid w:val="006C272E"/>
    <w:rsid w:val="006C5479"/>
    <w:rsid w:val="006C6354"/>
    <w:rsid w:val="006D0CE9"/>
    <w:rsid w:val="006D13B5"/>
    <w:rsid w:val="006D3700"/>
    <w:rsid w:val="006D3E0F"/>
    <w:rsid w:val="006E0737"/>
    <w:rsid w:val="006E12FF"/>
    <w:rsid w:val="006E4952"/>
    <w:rsid w:val="006E4A62"/>
    <w:rsid w:val="006E607E"/>
    <w:rsid w:val="006E6810"/>
    <w:rsid w:val="006E7372"/>
    <w:rsid w:val="006F1C92"/>
    <w:rsid w:val="007007DA"/>
    <w:rsid w:val="0070308C"/>
    <w:rsid w:val="00706C5D"/>
    <w:rsid w:val="0071172C"/>
    <w:rsid w:val="00713498"/>
    <w:rsid w:val="007145B2"/>
    <w:rsid w:val="00715CF3"/>
    <w:rsid w:val="007200AE"/>
    <w:rsid w:val="007208D7"/>
    <w:rsid w:val="00723E51"/>
    <w:rsid w:val="00726300"/>
    <w:rsid w:val="00727183"/>
    <w:rsid w:val="007274CA"/>
    <w:rsid w:val="00731411"/>
    <w:rsid w:val="00732078"/>
    <w:rsid w:val="00732922"/>
    <w:rsid w:val="00733E26"/>
    <w:rsid w:val="00734569"/>
    <w:rsid w:val="00734E7A"/>
    <w:rsid w:val="00734F24"/>
    <w:rsid w:val="00742E94"/>
    <w:rsid w:val="00743067"/>
    <w:rsid w:val="00744674"/>
    <w:rsid w:val="00750260"/>
    <w:rsid w:val="0075130D"/>
    <w:rsid w:val="0075162E"/>
    <w:rsid w:val="0075194C"/>
    <w:rsid w:val="00753B19"/>
    <w:rsid w:val="00754034"/>
    <w:rsid w:val="00754621"/>
    <w:rsid w:val="00755DF0"/>
    <w:rsid w:val="00756556"/>
    <w:rsid w:val="00757B9E"/>
    <w:rsid w:val="007618C4"/>
    <w:rsid w:val="00765FDE"/>
    <w:rsid w:val="00766872"/>
    <w:rsid w:val="00767980"/>
    <w:rsid w:val="00770B19"/>
    <w:rsid w:val="00771B65"/>
    <w:rsid w:val="00771B68"/>
    <w:rsid w:val="00773916"/>
    <w:rsid w:val="0077463F"/>
    <w:rsid w:val="00775E82"/>
    <w:rsid w:val="00776648"/>
    <w:rsid w:val="0077693A"/>
    <w:rsid w:val="007818B4"/>
    <w:rsid w:val="0078346A"/>
    <w:rsid w:val="007836EA"/>
    <w:rsid w:val="00784CDA"/>
    <w:rsid w:val="0078768E"/>
    <w:rsid w:val="00790550"/>
    <w:rsid w:val="007906C4"/>
    <w:rsid w:val="00793B1B"/>
    <w:rsid w:val="007940EA"/>
    <w:rsid w:val="007958E0"/>
    <w:rsid w:val="0079606D"/>
    <w:rsid w:val="007967E8"/>
    <w:rsid w:val="007A04E6"/>
    <w:rsid w:val="007A14B3"/>
    <w:rsid w:val="007A2170"/>
    <w:rsid w:val="007A22BF"/>
    <w:rsid w:val="007A3323"/>
    <w:rsid w:val="007A3406"/>
    <w:rsid w:val="007A6C49"/>
    <w:rsid w:val="007A6F63"/>
    <w:rsid w:val="007B0235"/>
    <w:rsid w:val="007B2894"/>
    <w:rsid w:val="007B4D0D"/>
    <w:rsid w:val="007B72B8"/>
    <w:rsid w:val="007B7A58"/>
    <w:rsid w:val="007C0F2D"/>
    <w:rsid w:val="007C2043"/>
    <w:rsid w:val="007C21B5"/>
    <w:rsid w:val="007C3482"/>
    <w:rsid w:val="007D0D61"/>
    <w:rsid w:val="007D6A53"/>
    <w:rsid w:val="007D6E67"/>
    <w:rsid w:val="007D7598"/>
    <w:rsid w:val="007E2EF7"/>
    <w:rsid w:val="007E4BD2"/>
    <w:rsid w:val="007E6AE0"/>
    <w:rsid w:val="007F0A1D"/>
    <w:rsid w:val="007F0AAD"/>
    <w:rsid w:val="007F27CB"/>
    <w:rsid w:val="007F6C6F"/>
    <w:rsid w:val="00801393"/>
    <w:rsid w:val="00802C50"/>
    <w:rsid w:val="00802F88"/>
    <w:rsid w:val="00804AF6"/>
    <w:rsid w:val="008102F1"/>
    <w:rsid w:val="00811B71"/>
    <w:rsid w:val="0081293E"/>
    <w:rsid w:val="00814795"/>
    <w:rsid w:val="00815465"/>
    <w:rsid w:val="00817E9A"/>
    <w:rsid w:val="00824069"/>
    <w:rsid w:val="008272BB"/>
    <w:rsid w:val="0083050D"/>
    <w:rsid w:val="008306BD"/>
    <w:rsid w:val="00830F13"/>
    <w:rsid w:val="00831A80"/>
    <w:rsid w:val="00833743"/>
    <w:rsid w:val="008340A4"/>
    <w:rsid w:val="008344DD"/>
    <w:rsid w:val="008365E0"/>
    <w:rsid w:val="00844285"/>
    <w:rsid w:val="0084455C"/>
    <w:rsid w:val="008466CD"/>
    <w:rsid w:val="00847DE1"/>
    <w:rsid w:val="00854BCA"/>
    <w:rsid w:val="008555F9"/>
    <w:rsid w:val="00866A89"/>
    <w:rsid w:val="00867FFD"/>
    <w:rsid w:val="00870620"/>
    <w:rsid w:val="0087135F"/>
    <w:rsid w:val="0087167F"/>
    <w:rsid w:val="008726A5"/>
    <w:rsid w:val="00872D94"/>
    <w:rsid w:val="00875C04"/>
    <w:rsid w:val="00880364"/>
    <w:rsid w:val="00882AEA"/>
    <w:rsid w:val="00884810"/>
    <w:rsid w:val="00885B23"/>
    <w:rsid w:val="00886778"/>
    <w:rsid w:val="00891592"/>
    <w:rsid w:val="0089189B"/>
    <w:rsid w:val="00891E9E"/>
    <w:rsid w:val="00893649"/>
    <w:rsid w:val="0089540A"/>
    <w:rsid w:val="008955DE"/>
    <w:rsid w:val="00896747"/>
    <w:rsid w:val="008A2F68"/>
    <w:rsid w:val="008B1170"/>
    <w:rsid w:val="008B146B"/>
    <w:rsid w:val="008B2ECD"/>
    <w:rsid w:val="008B357E"/>
    <w:rsid w:val="008B3F5B"/>
    <w:rsid w:val="008B434C"/>
    <w:rsid w:val="008B4FA6"/>
    <w:rsid w:val="008B5282"/>
    <w:rsid w:val="008B73C2"/>
    <w:rsid w:val="008B7C17"/>
    <w:rsid w:val="008C2D01"/>
    <w:rsid w:val="008C40E6"/>
    <w:rsid w:val="008C6556"/>
    <w:rsid w:val="008D0F7A"/>
    <w:rsid w:val="008D1B77"/>
    <w:rsid w:val="008D313A"/>
    <w:rsid w:val="008D5A78"/>
    <w:rsid w:val="008D68E4"/>
    <w:rsid w:val="008E0506"/>
    <w:rsid w:val="008E0C60"/>
    <w:rsid w:val="008E0CFF"/>
    <w:rsid w:val="008E1DC3"/>
    <w:rsid w:val="008E5D6B"/>
    <w:rsid w:val="008E76F0"/>
    <w:rsid w:val="008E7DEC"/>
    <w:rsid w:val="008F15FE"/>
    <w:rsid w:val="008F2D29"/>
    <w:rsid w:val="008F5187"/>
    <w:rsid w:val="008F60D8"/>
    <w:rsid w:val="008F6EB2"/>
    <w:rsid w:val="008F7661"/>
    <w:rsid w:val="00900FCB"/>
    <w:rsid w:val="009024CD"/>
    <w:rsid w:val="00902727"/>
    <w:rsid w:val="00902C2A"/>
    <w:rsid w:val="0090312B"/>
    <w:rsid w:val="00906441"/>
    <w:rsid w:val="00911692"/>
    <w:rsid w:val="00913B9C"/>
    <w:rsid w:val="00914C51"/>
    <w:rsid w:val="0091736D"/>
    <w:rsid w:val="00920750"/>
    <w:rsid w:val="00920B00"/>
    <w:rsid w:val="009224FE"/>
    <w:rsid w:val="0092676D"/>
    <w:rsid w:val="009269A2"/>
    <w:rsid w:val="00930024"/>
    <w:rsid w:val="0093037A"/>
    <w:rsid w:val="009310A2"/>
    <w:rsid w:val="009320F9"/>
    <w:rsid w:val="00936276"/>
    <w:rsid w:val="00936848"/>
    <w:rsid w:val="0094108D"/>
    <w:rsid w:val="0094154D"/>
    <w:rsid w:val="00943DD8"/>
    <w:rsid w:val="009444C8"/>
    <w:rsid w:val="00950240"/>
    <w:rsid w:val="0095101F"/>
    <w:rsid w:val="00951547"/>
    <w:rsid w:val="0095155F"/>
    <w:rsid w:val="00953D9C"/>
    <w:rsid w:val="00954429"/>
    <w:rsid w:val="009563CE"/>
    <w:rsid w:val="00960FF6"/>
    <w:rsid w:val="009614D0"/>
    <w:rsid w:val="00962205"/>
    <w:rsid w:val="0096657E"/>
    <w:rsid w:val="00973FB8"/>
    <w:rsid w:val="009762CD"/>
    <w:rsid w:val="00976328"/>
    <w:rsid w:val="0097680D"/>
    <w:rsid w:val="00977A0E"/>
    <w:rsid w:val="00982438"/>
    <w:rsid w:val="00983564"/>
    <w:rsid w:val="0098404C"/>
    <w:rsid w:val="00985283"/>
    <w:rsid w:val="0099404E"/>
    <w:rsid w:val="0099452D"/>
    <w:rsid w:val="00995992"/>
    <w:rsid w:val="00997D30"/>
    <w:rsid w:val="009A03E5"/>
    <w:rsid w:val="009A0E3C"/>
    <w:rsid w:val="009A0ED2"/>
    <w:rsid w:val="009A0F3B"/>
    <w:rsid w:val="009A13B3"/>
    <w:rsid w:val="009A1BB4"/>
    <w:rsid w:val="009A2628"/>
    <w:rsid w:val="009A3200"/>
    <w:rsid w:val="009A37BE"/>
    <w:rsid w:val="009A38E3"/>
    <w:rsid w:val="009A7605"/>
    <w:rsid w:val="009A79D9"/>
    <w:rsid w:val="009B0897"/>
    <w:rsid w:val="009B4C4E"/>
    <w:rsid w:val="009B6912"/>
    <w:rsid w:val="009B7330"/>
    <w:rsid w:val="009B781F"/>
    <w:rsid w:val="009B7BD9"/>
    <w:rsid w:val="009C7AE2"/>
    <w:rsid w:val="009C7DD5"/>
    <w:rsid w:val="009D0D56"/>
    <w:rsid w:val="009D0EA3"/>
    <w:rsid w:val="009D213F"/>
    <w:rsid w:val="009D3880"/>
    <w:rsid w:val="009D6407"/>
    <w:rsid w:val="009E227D"/>
    <w:rsid w:val="009E335F"/>
    <w:rsid w:val="009E5019"/>
    <w:rsid w:val="009E70F5"/>
    <w:rsid w:val="009F0645"/>
    <w:rsid w:val="009F28F7"/>
    <w:rsid w:val="009F2E6D"/>
    <w:rsid w:val="009F4C1B"/>
    <w:rsid w:val="00A010BF"/>
    <w:rsid w:val="00A04F1B"/>
    <w:rsid w:val="00A0501B"/>
    <w:rsid w:val="00A06BDB"/>
    <w:rsid w:val="00A07650"/>
    <w:rsid w:val="00A10993"/>
    <w:rsid w:val="00A1182A"/>
    <w:rsid w:val="00A11F50"/>
    <w:rsid w:val="00A14719"/>
    <w:rsid w:val="00A14947"/>
    <w:rsid w:val="00A16BE5"/>
    <w:rsid w:val="00A3020E"/>
    <w:rsid w:val="00A30B82"/>
    <w:rsid w:val="00A3295D"/>
    <w:rsid w:val="00A32A83"/>
    <w:rsid w:val="00A3470B"/>
    <w:rsid w:val="00A368DB"/>
    <w:rsid w:val="00A37CD2"/>
    <w:rsid w:val="00A40483"/>
    <w:rsid w:val="00A42231"/>
    <w:rsid w:val="00A423AA"/>
    <w:rsid w:val="00A42F47"/>
    <w:rsid w:val="00A53EC6"/>
    <w:rsid w:val="00A54CD9"/>
    <w:rsid w:val="00A55C0F"/>
    <w:rsid w:val="00A566D5"/>
    <w:rsid w:val="00A5739E"/>
    <w:rsid w:val="00A6244D"/>
    <w:rsid w:val="00A641EB"/>
    <w:rsid w:val="00A67D58"/>
    <w:rsid w:val="00A67EEF"/>
    <w:rsid w:val="00A72F57"/>
    <w:rsid w:val="00A75DC2"/>
    <w:rsid w:val="00A763C6"/>
    <w:rsid w:val="00A80B5A"/>
    <w:rsid w:val="00A81D22"/>
    <w:rsid w:val="00A8354E"/>
    <w:rsid w:val="00A83AD0"/>
    <w:rsid w:val="00A84F6E"/>
    <w:rsid w:val="00A8713F"/>
    <w:rsid w:val="00A87F74"/>
    <w:rsid w:val="00A90479"/>
    <w:rsid w:val="00A90BA1"/>
    <w:rsid w:val="00A91A0F"/>
    <w:rsid w:val="00A91EFA"/>
    <w:rsid w:val="00A954B1"/>
    <w:rsid w:val="00A959C7"/>
    <w:rsid w:val="00A95A9A"/>
    <w:rsid w:val="00A96482"/>
    <w:rsid w:val="00A97848"/>
    <w:rsid w:val="00A97A9A"/>
    <w:rsid w:val="00AA0671"/>
    <w:rsid w:val="00AA15E3"/>
    <w:rsid w:val="00AA2531"/>
    <w:rsid w:val="00AA3CEC"/>
    <w:rsid w:val="00AA423C"/>
    <w:rsid w:val="00AB1812"/>
    <w:rsid w:val="00AB1E09"/>
    <w:rsid w:val="00AB35C0"/>
    <w:rsid w:val="00AB5330"/>
    <w:rsid w:val="00AB7747"/>
    <w:rsid w:val="00AB7A64"/>
    <w:rsid w:val="00AC14CE"/>
    <w:rsid w:val="00AC2A56"/>
    <w:rsid w:val="00AC2AAA"/>
    <w:rsid w:val="00AD055E"/>
    <w:rsid w:val="00AD47A7"/>
    <w:rsid w:val="00AD488D"/>
    <w:rsid w:val="00AD558A"/>
    <w:rsid w:val="00AD76E7"/>
    <w:rsid w:val="00AE30B0"/>
    <w:rsid w:val="00AE30C4"/>
    <w:rsid w:val="00AE4805"/>
    <w:rsid w:val="00AE4E5E"/>
    <w:rsid w:val="00AF0CBF"/>
    <w:rsid w:val="00AF1302"/>
    <w:rsid w:val="00AF19F8"/>
    <w:rsid w:val="00AF257F"/>
    <w:rsid w:val="00AF33CF"/>
    <w:rsid w:val="00AF4D50"/>
    <w:rsid w:val="00AF5A36"/>
    <w:rsid w:val="00AF5E10"/>
    <w:rsid w:val="00AF6179"/>
    <w:rsid w:val="00AF7125"/>
    <w:rsid w:val="00B02D76"/>
    <w:rsid w:val="00B0507A"/>
    <w:rsid w:val="00B057ED"/>
    <w:rsid w:val="00B06E28"/>
    <w:rsid w:val="00B1295A"/>
    <w:rsid w:val="00B13186"/>
    <w:rsid w:val="00B14E1A"/>
    <w:rsid w:val="00B15661"/>
    <w:rsid w:val="00B15CE6"/>
    <w:rsid w:val="00B2084B"/>
    <w:rsid w:val="00B20A45"/>
    <w:rsid w:val="00B217BE"/>
    <w:rsid w:val="00B22BA0"/>
    <w:rsid w:val="00B22C5C"/>
    <w:rsid w:val="00B24F30"/>
    <w:rsid w:val="00B26C7B"/>
    <w:rsid w:val="00B31ABF"/>
    <w:rsid w:val="00B32447"/>
    <w:rsid w:val="00B33BE3"/>
    <w:rsid w:val="00B406C6"/>
    <w:rsid w:val="00B501EF"/>
    <w:rsid w:val="00B51CB3"/>
    <w:rsid w:val="00B52690"/>
    <w:rsid w:val="00B53B5D"/>
    <w:rsid w:val="00B54816"/>
    <w:rsid w:val="00B556B9"/>
    <w:rsid w:val="00B6055E"/>
    <w:rsid w:val="00B61856"/>
    <w:rsid w:val="00B6317D"/>
    <w:rsid w:val="00B64427"/>
    <w:rsid w:val="00B701B7"/>
    <w:rsid w:val="00B71F65"/>
    <w:rsid w:val="00B76110"/>
    <w:rsid w:val="00B76409"/>
    <w:rsid w:val="00B7723F"/>
    <w:rsid w:val="00B80534"/>
    <w:rsid w:val="00B8433C"/>
    <w:rsid w:val="00B85520"/>
    <w:rsid w:val="00B87491"/>
    <w:rsid w:val="00B92181"/>
    <w:rsid w:val="00B953CB"/>
    <w:rsid w:val="00B95CDD"/>
    <w:rsid w:val="00B9618E"/>
    <w:rsid w:val="00BA0EEE"/>
    <w:rsid w:val="00BA1A55"/>
    <w:rsid w:val="00BA29E9"/>
    <w:rsid w:val="00BA2DA8"/>
    <w:rsid w:val="00BA3803"/>
    <w:rsid w:val="00BA4238"/>
    <w:rsid w:val="00BA7142"/>
    <w:rsid w:val="00BA75EB"/>
    <w:rsid w:val="00BA7CA7"/>
    <w:rsid w:val="00BB03F8"/>
    <w:rsid w:val="00BB1235"/>
    <w:rsid w:val="00BB237C"/>
    <w:rsid w:val="00BB410D"/>
    <w:rsid w:val="00BB41A3"/>
    <w:rsid w:val="00BB56C8"/>
    <w:rsid w:val="00BB5D1A"/>
    <w:rsid w:val="00BC32DC"/>
    <w:rsid w:val="00BC35B6"/>
    <w:rsid w:val="00BC36A0"/>
    <w:rsid w:val="00BC757B"/>
    <w:rsid w:val="00BD01A8"/>
    <w:rsid w:val="00BD1509"/>
    <w:rsid w:val="00BD1729"/>
    <w:rsid w:val="00BD1B51"/>
    <w:rsid w:val="00BD4596"/>
    <w:rsid w:val="00BE1405"/>
    <w:rsid w:val="00BE1545"/>
    <w:rsid w:val="00BE312D"/>
    <w:rsid w:val="00BE32F3"/>
    <w:rsid w:val="00BE578A"/>
    <w:rsid w:val="00BF1C20"/>
    <w:rsid w:val="00BF3CC9"/>
    <w:rsid w:val="00BF52BD"/>
    <w:rsid w:val="00BF706B"/>
    <w:rsid w:val="00C00523"/>
    <w:rsid w:val="00C00A14"/>
    <w:rsid w:val="00C011CF"/>
    <w:rsid w:val="00C01DE2"/>
    <w:rsid w:val="00C054D9"/>
    <w:rsid w:val="00C05991"/>
    <w:rsid w:val="00C10578"/>
    <w:rsid w:val="00C12DE3"/>
    <w:rsid w:val="00C135BC"/>
    <w:rsid w:val="00C1389B"/>
    <w:rsid w:val="00C14B91"/>
    <w:rsid w:val="00C15C95"/>
    <w:rsid w:val="00C16233"/>
    <w:rsid w:val="00C17F01"/>
    <w:rsid w:val="00C2280E"/>
    <w:rsid w:val="00C24BF6"/>
    <w:rsid w:val="00C2596A"/>
    <w:rsid w:val="00C27537"/>
    <w:rsid w:val="00C30769"/>
    <w:rsid w:val="00C30909"/>
    <w:rsid w:val="00C328FE"/>
    <w:rsid w:val="00C33507"/>
    <w:rsid w:val="00C33848"/>
    <w:rsid w:val="00C34DAD"/>
    <w:rsid w:val="00C36F7B"/>
    <w:rsid w:val="00C43750"/>
    <w:rsid w:val="00C4409D"/>
    <w:rsid w:val="00C44772"/>
    <w:rsid w:val="00C44E72"/>
    <w:rsid w:val="00C45A06"/>
    <w:rsid w:val="00C46A2B"/>
    <w:rsid w:val="00C47E5B"/>
    <w:rsid w:val="00C50B26"/>
    <w:rsid w:val="00C5134B"/>
    <w:rsid w:val="00C51E4F"/>
    <w:rsid w:val="00C528D4"/>
    <w:rsid w:val="00C54322"/>
    <w:rsid w:val="00C55BD2"/>
    <w:rsid w:val="00C55CCD"/>
    <w:rsid w:val="00C61E4B"/>
    <w:rsid w:val="00C621A8"/>
    <w:rsid w:val="00C63F1C"/>
    <w:rsid w:val="00C63F7E"/>
    <w:rsid w:val="00C64BFF"/>
    <w:rsid w:val="00C6664C"/>
    <w:rsid w:val="00C704E9"/>
    <w:rsid w:val="00C70F3D"/>
    <w:rsid w:val="00C74224"/>
    <w:rsid w:val="00C763C9"/>
    <w:rsid w:val="00C80057"/>
    <w:rsid w:val="00C81BA9"/>
    <w:rsid w:val="00C82232"/>
    <w:rsid w:val="00C82913"/>
    <w:rsid w:val="00C84172"/>
    <w:rsid w:val="00C84433"/>
    <w:rsid w:val="00C8508D"/>
    <w:rsid w:val="00C85F20"/>
    <w:rsid w:val="00C8683C"/>
    <w:rsid w:val="00C91C98"/>
    <w:rsid w:val="00C9289D"/>
    <w:rsid w:val="00C9301A"/>
    <w:rsid w:val="00C972B1"/>
    <w:rsid w:val="00CA2CCE"/>
    <w:rsid w:val="00CA43FD"/>
    <w:rsid w:val="00CA613C"/>
    <w:rsid w:val="00CA7EEA"/>
    <w:rsid w:val="00CA7EF8"/>
    <w:rsid w:val="00CB131F"/>
    <w:rsid w:val="00CB1EB4"/>
    <w:rsid w:val="00CB286B"/>
    <w:rsid w:val="00CB3C62"/>
    <w:rsid w:val="00CB51BD"/>
    <w:rsid w:val="00CB5A10"/>
    <w:rsid w:val="00CB77BE"/>
    <w:rsid w:val="00CC489B"/>
    <w:rsid w:val="00CD1788"/>
    <w:rsid w:val="00CD2BCD"/>
    <w:rsid w:val="00CD3A4C"/>
    <w:rsid w:val="00CD5003"/>
    <w:rsid w:val="00CD6FE2"/>
    <w:rsid w:val="00CE0964"/>
    <w:rsid w:val="00CE10E9"/>
    <w:rsid w:val="00CE2910"/>
    <w:rsid w:val="00CE5393"/>
    <w:rsid w:val="00CE72AE"/>
    <w:rsid w:val="00CF36BE"/>
    <w:rsid w:val="00CF4366"/>
    <w:rsid w:val="00CF5500"/>
    <w:rsid w:val="00CF5851"/>
    <w:rsid w:val="00CF6000"/>
    <w:rsid w:val="00CF64E1"/>
    <w:rsid w:val="00CF7B08"/>
    <w:rsid w:val="00D003F3"/>
    <w:rsid w:val="00D0098D"/>
    <w:rsid w:val="00D009BB"/>
    <w:rsid w:val="00D01E40"/>
    <w:rsid w:val="00D0364F"/>
    <w:rsid w:val="00D05028"/>
    <w:rsid w:val="00D066EC"/>
    <w:rsid w:val="00D06834"/>
    <w:rsid w:val="00D074CA"/>
    <w:rsid w:val="00D07B9F"/>
    <w:rsid w:val="00D1102F"/>
    <w:rsid w:val="00D136C8"/>
    <w:rsid w:val="00D14E95"/>
    <w:rsid w:val="00D17737"/>
    <w:rsid w:val="00D20B4D"/>
    <w:rsid w:val="00D23242"/>
    <w:rsid w:val="00D24FF0"/>
    <w:rsid w:val="00D30638"/>
    <w:rsid w:val="00D308ED"/>
    <w:rsid w:val="00D3269E"/>
    <w:rsid w:val="00D3394F"/>
    <w:rsid w:val="00D36D86"/>
    <w:rsid w:val="00D428AA"/>
    <w:rsid w:val="00D42A10"/>
    <w:rsid w:val="00D42B17"/>
    <w:rsid w:val="00D46520"/>
    <w:rsid w:val="00D5063D"/>
    <w:rsid w:val="00D50A34"/>
    <w:rsid w:val="00D50E40"/>
    <w:rsid w:val="00D53EFA"/>
    <w:rsid w:val="00D5688F"/>
    <w:rsid w:val="00D64AE1"/>
    <w:rsid w:val="00D66680"/>
    <w:rsid w:val="00D70859"/>
    <w:rsid w:val="00D70AFA"/>
    <w:rsid w:val="00D72607"/>
    <w:rsid w:val="00D84242"/>
    <w:rsid w:val="00D853EC"/>
    <w:rsid w:val="00D86331"/>
    <w:rsid w:val="00D903A3"/>
    <w:rsid w:val="00D91EDB"/>
    <w:rsid w:val="00D94A7C"/>
    <w:rsid w:val="00D95896"/>
    <w:rsid w:val="00D9637F"/>
    <w:rsid w:val="00D977C1"/>
    <w:rsid w:val="00DA3822"/>
    <w:rsid w:val="00DA5C53"/>
    <w:rsid w:val="00DA748B"/>
    <w:rsid w:val="00DB1FC6"/>
    <w:rsid w:val="00DB20F7"/>
    <w:rsid w:val="00DB24F3"/>
    <w:rsid w:val="00DB2983"/>
    <w:rsid w:val="00DC1257"/>
    <w:rsid w:val="00DC19CB"/>
    <w:rsid w:val="00DC3DC0"/>
    <w:rsid w:val="00DC4EEA"/>
    <w:rsid w:val="00DC5B2B"/>
    <w:rsid w:val="00DC5E6F"/>
    <w:rsid w:val="00DC7C1D"/>
    <w:rsid w:val="00DD0D13"/>
    <w:rsid w:val="00DD1F00"/>
    <w:rsid w:val="00DD318D"/>
    <w:rsid w:val="00DD7088"/>
    <w:rsid w:val="00DE02AD"/>
    <w:rsid w:val="00DE0994"/>
    <w:rsid w:val="00DE0A62"/>
    <w:rsid w:val="00DE1BE7"/>
    <w:rsid w:val="00DE2E2E"/>
    <w:rsid w:val="00DE5743"/>
    <w:rsid w:val="00DE6B3E"/>
    <w:rsid w:val="00DE7F18"/>
    <w:rsid w:val="00DF2E12"/>
    <w:rsid w:val="00DF3269"/>
    <w:rsid w:val="00DF4CEA"/>
    <w:rsid w:val="00DF50B9"/>
    <w:rsid w:val="00DF514A"/>
    <w:rsid w:val="00DF6690"/>
    <w:rsid w:val="00DF6804"/>
    <w:rsid w:val="00E0358D"/>
    <w:rsid w:val="00E04323"/>
    <w:rsid w:val="00E06091"/>
    <w:rsid w:val="00E070A2"/>
    <w:rsid w:val="00E0770D"/>
    <w:rsid w:val="00E12589"/>
    <w:rsid w:val="00E131FF"/>
    <w:rsid w:val="00E13486"/>
    <w:rsid w:val="00E14A42"/>
    <w:rsid w:val="00E16FE2"/>
    <w:rsid w:val="00E224A1"/>
    <w:rsid w:val="00E24731"/>
    <w:rsid w:val="00E2656A"/>
    <w:rsid w:val="00E30557"/>
    <w:rsid w:val="00E30FAC"/>
    <w:rsid w:val="00E358F0"/>
    <w:rsid w:val="00E36015"/>
    <w:rsid w:val="00E371FE"/>
    <w:rsid w:val="00E40880"/>
    <w:rsid w:val="00E412D0"/>
    <w:rsid w:val="00E474A5"/>
    <w:rsid w:val="00E51CC6"/>
    <w:rsid w:val="00E52F76"/>
    <w:rsid w:val="00E54D24"/>
    <w:rsid w:val="00E56322"/>
    <w:rsid w:val="00E573DB"/>
    <w:rsid w:val="00E60982"/>
    <w:rsid w:val="00E60A72"/>
    <w:rsid w:val="00E62C62"/>
    <w:rsid w:val="00E645F8"/>
    <w:rsid w:val="00E65438"/>
    <w:rsid w:val="00E654C1"/>
    <w:rsid w:val="00E65D97"/>
    <w:rsid w:val="00E66EB2"/>
    <w:rsid w:val="00E71E46"/>
    <w:rsid w:val="00E72A5A"/>
    <w:rsid w:val="00E73354"/>
    <w:rsid w:val="00E74996"/>
    <w:rsid w:val="00E77A49"/>
    <w:rsid w:val="00E80370"/>
    <w:rsid w:val="00E846E5"/>
    <w:rsid w:val="00E84814"/>
    <w:rsid w:val="00E85E26"/>
    <w:rsid w:val="00E865C2"/>
    <w:rsid w:val="00E91C8E"/>
    <w:rsid w:val="00E9242D"/>
    <w:rsid w:val="00E9352D"/>
    <w:rsid w:val="00E9520D"/>
    <w:rsid w:val="00E95B25"/>
    <w:rsid w:val="00EA058C"/>
    <w:rsid w:val="00EA0C18"/>
    <w:rsid w:val="00EA233A"/>
    <w:rsid w:val="00EA40E8"/>
    <w:rsid w:val="00EA4427"/>
    <w:rsid w:val="00EA52E9"/>
    <w:rsid w:val="00EB1C0E"/>
    <w:rsid w:val="00EB443B"/>
    <w:rsid w:val="00EB5255"/>
    <w:rsid w:val="00EB5C47"/>
    <w:rsid w:val="00EB60B2"/>
    <w:rsid w:val="00EB7E60"/>
    <w:rsid w:val="00EC4278"/>
    <w:rsid w:val="00EC5C36"/>
    <w:rsid w:val="00ED0639"/>
    <w:rsid w:val="00ED1585"/>
    <w:rsid w:val="00ED1E2A"/>
    <w:rsid w:val="00ED3BD8"/>
    <w:rsid w:val="00ED5986"/>
    <w:rsid w:val="00ED6E62"/>
    <w:rsid w:val="00EE2431"/>
    <w:rsid w:val="00EE4B04"/>
    <w:rsid w:val="00EE7CAD"/>
    <w:rsid w:val="00EF4755"/>
    <w:rsid w:val="00EF7135"/>
    <w:rsid w:val="00EF7950"/>
    <w:rsid w:val="00F027DB"/>
    <w:rsid w:val="00F036C9"/>
    <w:rsid w:val="00F0383C"/>
    <w:rsid w:val="00F05477"/>
    <w:rsid w:val="00F14A7A"/>
    <w:rsid w:val="00F16B71"/>
    <w:rsid w:val="00F20367"/>
    <w:rsid w:val="00F211EF"/>
    <w:rsid w:val="00F22985"/>
    <w:rsid w:val="00F22F9D"/>
    <w:rsid w:val="00F27441"/>
    <w:rsid w:val="00F318B3"/>
    <w:rsid w:val="00F3383E"/>
    <w:rsid w:val="00F339C3"/>
    <w:rsid w:val="00F36025"/>
    <w:rsid w:val="00F417B9"/>
    <w:rsid w:val="00F465A7"/>
    <w:rsid w:val="00F46AC7"/>
    <w:rsid w:val="00F471BC"/>
    <w:rsid w:val="00F50B7C"/>
    <w:rsid w:val="00F50CDF"/>
    <w:rsid w:val="00F50FC2"/>
    <w:rsid w:val="00F522AE"/>
    <w:rsid w:val="00F52A8D"/>
    <w:rsid w:val="00F550E6"/>
    <w:rsid w:val="00F66C2B"/>
    <w:rsid w:val="00F66F31"/>
    <w:rsid w:val="00F705B3"/>
    <w:rsid w:val="00F720D2"/>
    <w:rsid w:val="00F72CA9"/>
    <w:rsid w:val="00F73EEA"/>
    <w:rsid w:val="00F74345"/>
    <w:rsid w:val="00F76805"/>
    <w:rsid w:val="00F80083"/>
    <w:rsid w:val="00F80A0A"/>
    <w:rsid w:val="00F82B19"/>
    <w:rsid w:val="00F8591A"/>
    <w:rsid w:val="00F907CF"/>
    <w:rsid w:val="00F913CA"/>
    <w:rsid w:val="00F91C42"/>
    <w:rsid w:val="00F9212D"/>
    <w:rsid w:val="00F9257D"/>
    <w:rsid w:val="00F9432B"/>
    <w:rsid w:val="00F965DA"/>
    <w:rsid w:val="00FA00A3"/>
    <w:rsid w:val="00FA16CA"/>
    <w:rsid w:val="00FA406A"/>
    <w:rsid w:val="00FB429B"/>
    <w:rsid w:val="00FB4547"/>
    <w:rsid w:val="00FB503A"/>
    <w:rsid w:val="00FB516C"/>
    <w:rsid w:val="00FB62F5"/>
    <w:rsid w:val="00FC0051"/>
    <w:rsid w:val="00FC02BF"/>
    <w:rsid w:val="00FC0697"/>
    <w:rsid w:val="00FC206D"/>
    <w:rsid w:val="00FC2BA6"/>
    <w:rsid w:val="00FC3E1B"/>
    <w:rsid w:val="00FC572B"/>
    <w:rsid w:val="00FC5815"/>
    <w:rsid w:val="00FC5CFB"/>
    <w:rsid w:val="00FC6DE5"/>
    <w:rsid w:val="00FD0236"/>
    <w:rsid w:val="00FD18F4"/>
    <w:rsid w:val="00FD54DB"/>
    <w:rsid w:val="00FD619F"/>
    <w:rsid w:val="00FD7DD1"/>
    <w:rsid w:val="00FE1942"/>
    <w:rsid w:val="00FE2C1C"/>
    <w:rsid w:val="00FE3D8B"/>
    <w:rsid w:val="00FE5242"/>
    <w:rsid w:val="00FE5C0D"/>
    <w:rsid w:val="00FE5DE6"/>
    <w:rsid w:val="00FE7B94"/>
    <w:rsid w:val="00FF0116"/>
    <w:rsid w:val="00FF067D"/>
    <w:rsid w:val="00FF14DB"/>
    <w:rsid w:val="00FF2AF7"/>
    <w:rsid w:val="00FF4979"/>
    <w:rsid w:val="0100241C"/>
    <w:rsid w:val="0100296B"/>
    <w:rsid w:val="010030EE"/>
    <w:rsid w:val="0100390C"/>
    <w:rsid w:val="0100428E"/>
    <w:rsid w:val="01004F49"/>
    <w:rsid w:val="01011432"/>
    <w:rsid w:val="01011862"/>
    <w:rsid w:val="010158D6"/>
    <w:rsid w:val="01017684"/>
    <w:rsid w:val="0102159D"/>
    <w:rsid w:val="01026FFE"/>
    <w:rsid w:val="0103164E"/>
    <w:rsid w:val="010328FB"/>
    <w:rsid w:val="01032A2D"/>
    <w:rsid w:val="010331A3"/>
    <w:rsid w:val="01034EC1"/>
    <w:rsid w:val="010362D6"/>
    <w:rsid w:val="0104303E"/>
    <w:rsid w:val="0104780D"/>
    <w:rsid w:val="0105534D"/>
    <w:rsid w:val="01055C74"/>
    <w:rsid w:val="01057174"/>
    <w:rsid w:val="01062EEC"/>
    <w:rsid w:val="01065EEB"/>
    <w:rsid w:val="01066CBA"/>
    <w:rsid w:val="0107283E"/>
    <w:rsid w:val="0108018D"/>
    <w:rsid w:val="01081B3E"/>
    <w:rsid w:val="010827C0"/>
    <w:rsid w:val="0109200B"/>
    <w:rsid w:val="0109721A"/>
    <w:rsid w:val="01097CE8"/>
    <w:rsid w:val="010A11BF"/>
    <w:rsid w:val="010A29DC"/>
    <w:rsid w:val="010A478A"/>
    <w:rsid w:val="010A6538"/>
    <w:rsid w:val="010A6D7A"/>
    <w:rsid w:val="010B027B"/>
    <w:rsid w:val="010B264F"/>
    <w:rsid w:val="010B34F0"/>
    <w:rsid w:val="010B405F"/>
    <w:rsid w:val="010B6B00"/>
    <w:rsid w:val="010C0502"/>
    <w:rsid w:val="010C389A"/>
    <w:rsid w:val="010D6DB3"/>
    <w:rsid w:val="010D7DD7"/>
    <w:rsid w:val="010E63FF"/>
    <w:rsid w:val="010E6A9A"/>
    <w:rsid w:val="010E7C5D"/>
    <w:rsid w:val="010F0FD0"/>
    <w:rsid w:val="010F1DA1"/>
    <w:rsid w:val="010F3BA1"/>
    <w:rsid w:val="010F3C77"/>
    <w:rsid w:val="010F7111"/>
    <w:rsid w:val="010F7FF3"/>
    <w:rsid w:val="01101696"/>
    <w:rsid w:val="01104A8C"/>
    <w:rsid w:val="01105031"/>
    <w:rsid w:val="011078C7"/>
    <w:rsid w:val="01113333"/>
    <w:rsid w:val="011149CC"/>
    <w:rsid w:val="011164C1"/>
    <w:rsid w:val="01117677"/>
    <w:rsid w:val="0112363F"/>
    <w:rsid w:val="011253ED"/>
    <w:rsid w:val="0113077E"/>
    <w:rsid w:val="01136E98"/>
    <w:rsid w:val="01140732"/>
    <w:rsid w:val="01141165"/>
    <w:rsid w:val="011414DF"/>
    <w:rsid w:val="011439B2"/>
    <w:rsid w:val="011473B7"/>
    <w:rsid w:val="01154EDD"/>
    <w:rsid w:val="01155DA9"/>
    <w:rsid w:val="011562D2"/>
    <w:rsid w:val="01164AE6"/>
    <w:rsid w:val="01170BF2"/>
    <w:rsid w:val="01172A03"/>
    <w:rsid w:val="01176EA7"/>
    <w:rsid w:val="01176FE6"/>
    <w:rsid w:val="011819EA"/>
    <w:rsid w:val="01182082"/>
    <w:rsid w:val="01183B20"/>
    <w:rsid w:val="011857DF"/>
    <w:rsid w:val="011927D2"/>
    <w:rsid w:val="01192C1F"/>
    <w:rsid w:val="011949CD"/>
    <w:rsid w:val="011959AD"/>
    <w:rsid w:val="01197824"/>
    <w:rsid w:val="01197A5E"/>
    <w:rsid w:val="011A0CB4"/>
    <w:rsid w:val="011A3A97"/>
    <w:rsid w:val="011B310F"/>
    <w:rsid w:val="011B47C2"/>
    <w:rsid w:val="011B6997"/>
    <w:rsid w:val="011C0A03"/>
    <w:rsid w:val="011C5BC7"/>
    <w:rsid w:val="011D2710"/>
    <w:rsid w:val="011D4A64"/>
    <w:rsid w:val="011E1FE4"/>
    <w:rsid w:val="011E3835"/>
    <w:rsid w:val="011E3D92"/>
    <w:rsid w:val="011F210A"/>
    <w:rsid w:val="011F3E64"/>
    <w:rsid w:val="011F5C49"/>
    <w:rsid w:val="01201F10"/>
    <w:rsid w:val="01205D5C"/>
    <w:rsid w:val="01207B0A"/>
    <w:rsid w:val="01211AD4"/>
    <w:rsid w:val="012143A7"/>
    <w:rsid w:val="01215FB6"/>
    <w:rsid w:val="01217B00"/>
    <w:rsid w:val="01227446"/>
    <w:rsid w:val="01230861"/>
    <w:rsid w:val="01231B3C"/>
    <w:rsid w:val="01233A9E"/>
    <w:rsid w:val="01235B16"/>
    <w:rsid w:val="012368FC"/>
    <w:rsid w:val="0123710B"/>
    <w:rsid w:val="012375FA"/>
    <w:rsid w:val="012515C4"/>
    <w:rsid w:val="01253372"/>
    <w:rsid w:val="01255120"/>
    <w:rsid w:val="012552BC"/>
    <w:rsid w:val="01260E98"/>
    <w:rsid w:val="01261495"/>
    <w:rsid w:val="01264686"/>
    <w:rsid w:val="01264F2A"/>
    <w:rsid w:val="01270201"/>
    <w:rsid w:val="0127533C"/>
    <w:rsid w:val="01280DEF"/>
    <w:rsid w:val="012810B4"/>
    <w:rsid w:val="01281B77"/>
    <w:rsid w:val="01282E62"/>
    <w:rsid w:val="01290F7E"/>
    <w:rsid w:val="01291F96"/>
    <w:rsid w:val="012A0989"/>
    <w:rsid w:val="012A195D"/>
    <w:rsid w:val="012A2737"/>
    <w:rsid w:val="012A3512"/>
    <w:rsid w:val="012A4E2C"/>
    <w:rsid w:val="012A6BDB"/>
    <w:rsid w:val="012B04F7"/>
    <w:rsid w:val="012B1C39"/>
    <w:rsid w:val="012B4701"/>
    <w:rsid w:val="012B64AF"/>
    <w:rsid w:val="012B7068"/>
    <w:rsid w:val="012C1696"/>
    <w:rsid w:val="012C1988"/>
    <w:rsid w:val="012C2953"/>
    <w:rsid w:val="012C30C9"/>
    <w:rsid w:val="012D0479"/>
    <w:rsid w:val="012D2227"/>
    <w:rsid w:val="012D42FD"/>
    <w:rsid w:val="012D4559"/>
    <w:rsid w:val="012D7423"/>
    <w:rsid w:val="012D7A8C"/>
    <w:rsid w:val="012E2A11"/>
    <w:rsid w:val="012E72DF"/>
    <w:rsid w:val="012F2443"/>
    <w:rsid w:val="012F5F9F"/>
    <w:rsid w:val="01300309"/>
    <w:rsid w:val="013111CB"/>
    <w:rsid w:val="01311207"/>
    <w:rsid w:val="01311952"/>
    <w:rsid w:val="01311AEB"/>
    <w:rsid w:val="01314243"/>
    <w:rsid w:val="01317F69"/>
    <w:rsid w:val="01323A7E"/>
    <w:rsid w:val="01323CE1"/>
    <w:rsid w:val="01325A8F"/>
    <w:rsid w:val="01326F3B"/>
    <w:rsid w:val="0132783D"/>
    <w:rsid w:val="0133042E"/>
    <w:rsid w:val="01332F0E"/>
    <w:rsid w:val="013340D3"/>
    <w:rsid w:val="01334365"/>
    <w:rsid w:val="013369C0"/>
    <w:rsid w:val="01336C8A"/>
    <w:rsid w:val="01341807"/>
    <w:rsid w:val="013435B5"/>
    <w:rsid w:val="01347A59"/>
    <w:rsid w:val="01352F16"/>
    <w:rsid w:val="01353250"/>
    <w:rsid w:val="01357C1D"/>
    <w:rsid w:val="013637D1"/>
    <w:rsid w:val="0136417B"/>
    <w:rsid w:val="0136557F"/>
    <w:rsid w:val="01365D27"/>
    <w:rsid w:val="01366D4C"/>
    <w:rsid w:val="013672A7"/>
    <w:rsid w:val="0136732D"/>
    <w:rsid w:val="01370129"/>
    <w:rsid w:val="013707FE"/>
    <w:rsid w:val="01371B36"/>
    <w:rsid w:val="01380FE8"/>
    <w:rsid w:val="01382009"/>
    <w:rsid w:val="01384F8A"/>
    <w:rsid w:val="01384F91"/>
    <w:rsid w:val="01390070"/>
    <w:rsid w:val="01390BCC"/>
    <w:rsid w:val="01392684"/>
    <w:rsid w:val="01395070"/>
    <w:rsid w:val="01396E1E"/>
    <w:rsid w:val="013B4944"/>
    <w:rsid w:val="013B6B5D"/>
    <w:rsid w:val="013B6ED6"/>
    <w:rsid w:val="013C110B"/>
    <w:rsid w:val="013C147D"/>
    <w:rsid w:val="013C7638"/>
    <w:rsid w:val="013D290D"/>
    <w:rsid w:val="013D4B60"/>
    <w:rsid w:val="013D79A5"/>
    <w:rsid w:val="013E2686"/>
    <w:rsid w:val="013E4434"/>
    <w:rsid w:val="013E6BD6"/>
    <w:rsid w:val="013F2873"/>
    <w:rsid w:val="014001AC"/>
    <w:rsid w:val="01401F5A"/>
    <w:rsid w:val="01404096"/>
    <w:rsid w:val="014053C8"/>
    <w:rsid w:val="014063FE"/>
    <w:rsid w:val="01421B3E"/>
    <w:rsid w:val="01423F24"/>
    <w:rsid w:val="01425CA9"/>
    <w:rsid w:val="01427CA7"/>
    <w:rsid w:val="014325C0"/>
    <w:rsid w:val="014359D0"/>
    <w:rsid w:val="01437C9C"/>
    <w:rsid w:val="01440861"/>
    <w:rsid w:val="01441083"/>
    <w:rsid w:val="01441350"/>
    <w:rsid w:val="01443960"/>
    <w:rsid w:val="01443BEC"/>
    <w:rsid w:val="01444A6E"/>
    <w:rsid w:val="0144510F"/>
    <w:rsid w:val="014467CE"/>
    <w:rsid w:val="01447F7C"/>
    <w:rsid w:val="01452AE5"/>
    <w:rsid w:val="014546A5"/>
    <w:rsid w:val="01454F7B"/>
    <w:rsid w:val="014557C2"/>
    <w:rsid w:val="014632E9"/>
    <w:rsid w:val="01463C70"/>
    <w:rsid w:val="01466841"/>
    <w:rsid w:val="01471C6C"/>
    <w:rsid w:val="014757E4"/>
    <w:rsid w:val="01476590"/>
    <w:rsid w:val="0147778C"/>
    <w:rsid w:val="01483505"/>
    <w:rsid w:val="01486C7D"/>
    <w:rsid w:val="01487061"/>
    <w:rsid w:val="0148767A"/>
    <w:rsid w:val="014A102B"/>
    <w:rsid w:val="014A3A81"/>
    <w:rsid w:val="014A4B87"/>
    <w:rsid w:val="014A6652"/>
    <w:rsid w:val="014B01C7"/>
    <w:rsid w:val="014B54B7"/>
    <w:rsid w:val="014C1056"/>
    <w:rsid w:val="014C4DA3"/>
    <w:rsid w:val="014C6B51"/>
    <w:rsid w:val="014C7939"/>
    <w:rsid w:val="014D0B1B"/>
    <w:rsid w:val="014D28C9"/>
    <w:rsid w:val="014D4677"/>
    <w:rsid w:val="014F03EF"/>
    <w:rsid w:val="014F4893"/>
    <w:rsid w:val="014F6641"/>
    <w:rsid w:val="014F797C"/>
    <w:rsid w:val="01500973"/>
    <w:rsid w:val="015024C4"/>
    <w:rsid w:val="01503E86"/>
    <w:rsid w:val="01510884"/>
    <w:rsid w:val="01510DA4"/>
    <w:rsid w:val="015123B9"/>
    <w:rsid w:val="01514860"/>
    <w:rsid w:val="01515265"/>
    <w:rsid w:val="015156BB"/>
    <w:rsid w:val="01524DE4"/>
    <w:rsid w:val="01527204"/>
    <w:rsid w:val="01536809"/>
    <w:rsid w:val="01536B74"/>
    <w:rsid w:val="01540C7C"/>
    <w:rsid w:val="01547C22"/>
    <w:rsid w:val="01553765"/>
    <w:rsid w:val="01554165"/>
    <w:rsid w:val="015551B6"/>
    <w:rsid w:val="01555C08"/>
    <w:rsid w:val="01560A8F"/>
    <w:rsid w:val="0156177E"/>
    <w:rsid w:val="0156207A"/>
    <w:rsid w:val="0156352C"/>
    <w:rsid w:val="01563F22"/>
    <w:rsid w:val="015657AD"/>
    <w:rsid w:val="01565C22"/>
    <w:rsid w:val="0156624E"/>
    <w:rsid w:val="01567C26"/>
    <w:rsid w:val="0157021D"/>
    <w:rsid w:val="015754F6"/>
    <w:rsid w:val="01576248"/>
    <w:rsid w:val="015772A4"/>
    <w:rsid w:val="015777C6"/>
    <w:rsid w:val="01580C56"/>
    <w:rsid w:val="01582BC2"/>
    <w:rsid w:val="015844B9"/>
    <w:rsid w:val="01590B41"/>
    <w:rsid w:val="0159126E"/>
    <w:rsid w:val="0159301C"/>
    <w:rsid w:val="01596A64"/>
    <w:rsid w:val="015974C0"/>
    <w:rsid w:val="015A74DB"/>
    <w:rsid w:val="015B3238"/>
    <w:rsid w:val="015B4120"/>
    <w:rsid w:val="015B48ED"/>
    <w:rsid w:val="015B4FE6"/>
    <w:rsid w:val="015B6D94"/>
    <w:rsid w:val="015C2B0C"/>
    <w:rsid w:val="015C3000"/>
    <w:rsid w:val="015C3709"/>
    <w:rsid w:val="015C48BA"/>
    <w:rsid w:val="015D0D5E"/>
    <w:rsid w:val="015D1E09"/>
    <w:rsid w:val="015D4AF8"/>
    <w:rsid w:val="015D64D1"/>
    <w:rsid w:val="015E034F"/>
    <w:rsid w:val="015E0632"/>
    <w:rsid w:val="015E06FD"/>
    <w:rsid w:val="015E3387"/>
    <w:rsid w:val="015E38B7"/>
    <w:rsid w:val="015E3EC8"/>
    <w:rsid w:val="015E6884"/>
    <w:rsid w:val="015E784E"/>
    <w:rsid w:val="015F29D1"/>
    <w:rsid w:val="0160084E"/>
    <w:rsid w:val="01600A66"/>
    <w:rsid w:val="016025FC"/>
    <w:rsid w:val="016043AA"/>
    <w:rsid w:val="016073E8"/>
    <w:rsid w:val="01610122"/>
    <w:rsid w:val="01612950"/>
    <w:rsid w:val="01614E39"/>
    <w:rsid w:val="016234D2"/>
    <w:rsid w:val="016245C6"/>
    <w:rsid w:val="01625C5C"/>
    <w:rsid w:val="01626374"/>
    <w:rsid w:val="016320EC"/>
    <w:rsid w:val="01633E9B"/>
    <w:rsid w:val="01635C49"/>
    <w:rsid w:val="01640485"/>
    <w:rsid w:val="01641F27"/>
    <w:rsid w:val="016519C1"/>
    <w:rsid w:val="01655E65"/>
    <w:rsid w:val="016630DA"/>
    <w:rsid w:val="01670882"/>
    <w:rsid w:val="0167398B"/>
    <w:rsid w:val="0168325F"/>
    <w:rsid w:val="01687703"/>
    <w:rsid w:val="01695955"/>
    <w:rsid w:val="016A199B"/>
    <w:rsid w:val="016A347B"/>
    <w:rsid w:val="016A4161"/>
    <w:rsid w:val="016A4678"/>
    <w:rsid w:val="016A5229"/>
    <w:rsid w:val="016A54BD"/>
    <w:rsid w:val="016A6FD7"/>
    <w:rsid w:val="016B2607"/>
    <w:rsid w:val="016B4F29"/>
    <w:rsid w:val="016B7012"/>
    <w:rsid w:val="016C055C"/>
    <w:rsid w:val="016C0FA1"/>
    <w:rsid w:val="016C598B"/>
    <w:rsid w:val="016C71F3"/>
    <w:rsid w:val="016D007D"/>
    <w:rsid w:val="016D18A8"/>
    <w:rsid w:val="016D1D26"/>
    <w:rsid w:val="016D2931"/>
    <w:rsid w:val="016D2A9F"/>
    <w:rsid w:val="016D4D19"/>
    <w:rsid w:val="016D6AC7"/>
    <w:rsid w:val="016D6E1B"/>
    <w:rsid w:val="016E2E7C"/>
    <w:rsid w:val="016E3ECA"/>
    <w:rsid w:val="016F0644"/>
    <w:rsid w:val="016F283F"/>
    <w:rsid w:val="016F3DD0"/>
    <w:rsid w:val="016F430C"/>
    <w:rsid w:val="016F45ED"/>
    <w:rsid w:val="01703B2F"/>
    <w:rsid w:val="01704002"/>
    <w:rsid w:val="01706EDD"/>
    <w:rsid w:val="01710365"/>
    <w:rsid w:val="01714809"/>
    <w:rsid w:val="01722330"/>
    <w:rsid w:val="017240DE"/>
    <w:rsid w:val="017250E1"/>
    <w:rsid w:val="01737F74"/>
    <w:rsid w:val="017442FA"/>
    <w:rsid w:val="0174557D"/>
    <w:rsid w:val="0174695C"/>
    <w:rsid w:val="01747822"/>
    <w:rsid w:val="01747E56"/>
    <w:rsid w:val="01761C32"/>
    <w:rsid w:val="01762255"/>
    <w:rsid w:val="01763BCE"/>
    <w:rsid w:val="017641DF"/>
    <w:rsid w:val="0176597C"/>
    <w:rsid w:val="01771210"/>
    <w:rsid w:val="017716F4"/>
    <w:rsid w:val="01772A9E"/>
    <w:rsid w:val="017764E5"/>
    <w:rsid w:val="0177743A"/>
    <w:rsid w:val="01787946"/>
    <w:rsid w:val="01791910"/>
    <w:rsid w:val="0179546C"/>
    <w:rsid w:val="017954B7"/>
    <w:rsid w:val="017A08F7"/>
    <w:rsid w:val="017A141F"/>
    <w:rsid w:val="017A5BF5"/>
    <w:rsid w:val="017A5C75"/>
    <w:rsid w:val="017A7A1C"/>
    <w:rsid w:val="017B266A"/>
    <w:rsid w:val="017B2F92"/>
    <w:rsid w:val="017B3FF0"/>
    <w:rsid w:val="017B5688"/>
    <w:rsid w:val="017B7436"/>
    <w:rsid w:val="017C18D7"/>
    <w:rsid w:val="017C5480"/>
    <w:rsid w:val="017C6910"/>
    <w:rsid w:val="017C692E"/>
    <w:rsid w:val="017C6D0A"/>
    <w:rsid w:val="017D31AE"/>
    <w:rsid w:val="017D4F5C"/>
    <w:rsid w:val="017E2971"/>
    <w:rsid w:val="017E2A82"/>
    <w:rsid w:val="017E63B3"/>
    <w:rsid w:val="017E757F"/>
    <w:rsid w:val="017E7A72"/>
    <w:rsid w:val="017F3E01"/>
    <w:rsid w:val="017F5C35"/>
    <w:rsid w:val="017F5F1F"/>
    <w:rsid w:val="017F69D2"/>
    <w:rsid w:val="018003C3"/>
    <w:rsid w:val="01802C9E"/>
    <w:rsid w:val="01804A4C"/>
    <w:rsid w:val="018067FB"/>
    <w:rsid w:val="01806B0D"/>
    <w:rsid w:val="018079C1"/>
    <w:rsid w:val="01821366"/>
    <w:rsid w:val="01822573"/>
    <w:rsid w:val="01825879"/>
    <w:rsid w:val="01826A17"/>
    <w:rsid w:val="01830099"/>
    <w:rsid w:val="0183216B"/>
    <w:rsid w:val="01833C12"/>
    <w:rsid w:val="018362EB"/>
    <w:rsid w:val="01847B6F"/>
    <w:rsid w:val="01847ED1"/>
    <w:rsid w:val="018509BB"/>
    <w:rsid w:val="01851579"/>
    <w:rsid w:val="01852063"/>
    <w:rsid w:val="01853E11"/>
    <w:rsid w:val="01854EB5"/>
    <w:rsid w:val="01855D09"/>
    <w:rsid w:val="018615A0"/>
    <w:rsid w:val="018646FA"/>
    <w:rsid w:val="018703CE"/>
    <w:rsid w:val="01874753"/>
    <w:rsid w:val="01875DDB"/>
    <w:rsid w:val="01876068"/>
    <w:rsid w:val="01877B89"/>
    <w:rsid w:val="0188228E"/>
    <w:rsid w:val="01883901"/>
    <w:rsid w:val="018856AF"/>
    <w:rsid w:val="01891B53"/>
    <w:rsid w:val="01895A8A"/>
    <w:rsid w:val="01897A0D"/>
    <w:rsid w:val="01897A84"/>
    <w:rsid w:val="018A1427"/>
    <w:rsid w:val="018A2655"/>
    <w:rsid w:val="018A3635"/>
    <w:rsid w:val="018A486A"/>
    <w:rsid w:val="018A58CB"/>
    <w:rsid w:val="018A79CF"/>
    <w:rsid w:val="018B2776"/>
    <w:rsid w:val="018C1714"/>
    <w:rsid w:val="018C519F"/>
    <w:rsid w:val="018E3AC5"/>
    <w:rsid w:val="018E40A8"/>
    <w:rsid w:val="018E4ADF"/>
    <w:rsid w:val="018E53BB"/>
    <w:rsid w:val="018F02E6"/>
    <w:rsid w:val="018F3FE8"/>
    <w:rsid w:val="018F4A42"/>
    <w:rsid w:val="018F6A3E"/>
    <w:rsid w:val="01910DE7"/>
    <w:rsid w:val="0191134B"/>
    <w:rsid w:val="01911E00"/>
    <w:rsid w:val="019127B6"/>
    <w:rsid w:val="01915BF0"/>
    <w:rsid w:val="01916403"/>
    <w:rsid w:val="01916C5A"/>
    <w:rsid w:val="01916F40"/>
    <w:rsid w:val="019224F8"/>
    <w:rsid w:val="01924994"/>
    <w:rsid w:val="0192652E"/>
    <w:rsid w:val="01926537"/>
    <w:rsid w:val="019266AE"/>
    <w:rsid w:val="019319F0"/>
    <w:rsid w:val="019329D2"/>
    <w:rsid w:val="01933707"/>
    <w:rsid w:val="01934780"/>
    <w:rsid w:val="01936509"/>
    <w:rsid w:val="019404F8"/>
    <w:rsid w:val="019411A3"/>
    <w:rsid w:val="019422A6"/>
    <w:rsid w:val="01944054"/>
    <w:rsid w:val="0194674A"/>
    <w:rsid w:val="01956027"/>
    <w:rsid w:val="01960BF8"/>
    <w:rsid w:val="01964270"/>
    <w:rsid w:val="0196601E"/>
    <w:rsid w:val="01967DCC"/>
    <w:rsid w:val="01973518"/>
    <w:rsid w:val="01973B44"/>
    <w:rsid w:val="01981D96"/>
    <w:rsid w:val="01987FE8"/>
    <w:rsid w:val="01993D60"/>
    <w:rsid w:val="01997208"/>
    <w:rsid w:val="019978BC"/>
    <w:rsid w:val="019A35DA"/>
    <w:rsid w:val="019A551E"/>
    <w:rsid w:val="019A5FC8"/>
    <w:rsid w:val="019B0917"/>
    <w:rsid w:val="019B1886"/>
    <w:rsid w:val="019B4A6A"/>
    <w:rsid w:val="019C2363"/>
    <w:rsid w:val="019D14EF"/>
    <w:rsid w:val="019D4F91"/>
    <w:rsid w:val="019D55FE"/>
    <w:rsid w:val="019D7147"/>
    <w:rsid w:val="019E1F5B"/>
    <w:rsid w:val="019E3125"/>
    <w:rsid w:val="019E3997"/>
    <w:rsid w:val="019E4ED3"/>
    <w:rsid w:val="019F044A"/>
    <w:rsid w:val="019F1377"/>
    <w:rsid w:val="019F4ED7"/>
    <w:rsid w:val="01A00C4B"/>
    <w:rsid w:val="01A0487B"/>
    <w:rsid w:val="01A050EF"/>
    <w:rsid w:val="01A11117"/>
    <w:rsid w:val="01A155C5"/>
    <w:rsid w:val="01A15D0B"/>
    <w:rsid w:val="01A21D6C"/>
    <w:rsid w:val="01A22A15"/>
    <w:rsid w:val="01A27485"/>
    <w:rsid w:val="01A42261"/>
    <w:rsid w:val="01A46487"/>
    <w:rsid w:val="01A506ED"/>
    <w:rsid w:val="01A525C2"/>
    <w:rsid w:val="01A52705"/>
    <w:rsid w:val="01A52CC1"/>
    <w:rsid w:val="01A53138"/>
    <w:rsid w:val="01A544B3"/>
    <w:rsid w:val="01A549B3"/>
    <w:rsid w:val="01A551E1"/>
    <w:rsid w:val="01A55480"/>
    <w:rsid w:val="01A55B1C"/>
    <w:rsid w:val="01A56D65"/>
    <w:rsid w:val="01A63515"/>
    <w:rsid w:val="01A7022B"/>
    <w:rsid w:val="01A71545"/>
    <w:rsid w:val="01A71FD9"/>
    <w:rsid w:val="01A7300D"/>
    <w:rsid w:val="01A7589D"/>
    <w:rsid w:val="01A7647D"/>
    <w:rsid w:val="01A8432A"/>
    <w:rsid w:val="01A87AFF"/>
    <w:rsid w:val="01A91532"/>
    <w:rsid w:val="01A91775"/>
    <w:rsid w:val="01A96C88"/>
    <w:rsid w:val="01AA004B"/>
    <w:rsid w:val="01AA04FE"/>
    <w:rsid w:val="01AA09C8"/>
    <w:rsid w:val="01AA3877"/>
    <w:rsid w:val="01AA6A0A"/>
    <w:rsid w:val="01AA6DBD"/>
    <w:rsid w:val="01AB1AA8"/>
    <w:rsid w:val="01AB2A02"/>
    <w:rsid w:val="01AB5FEA"/>
    <w:rsid w:val="01AB6326"/>
    <w:rsid w:val="01AC22E6"/>
    <w:rsid w:val="01AC3A93"/>
    <w:rsid w:val="01AC3CE7"/>
    <w:rsid w:val="01AC5C2B"/>
    <w:rsid w:val="01AC65E1"/>
    <w:rsid w:val="01AC75F0"/>
    <w:rsid w:val="01AD1372"/>
    <w:rsid w:val="01AD42AE"/>
    <w:rsid w:val="01AD4D56"/>
    <w:rsid w:val="01AD5116"/>
    <w:rsid w:val="01AE15BA"/>
    <w:rsid w:val="01AE3368"/>
    <w:rsid w:val="01AE3CD0"/>
    <w:rsid w:val="01AE72B0"/>
    <w:rsid w:val="01AF1DAC"/>
    <w:rsid w:val="01AF3E48"/>
    <w:rsid w:val="01AF6C93"/>
    <w:rsid w:val="01AF70E0"/>
    <w:rsid w:val="01B02E25"/>
    <w:rsid w:val="01B110AA"/>
    <w:rsid w:val="01B129F6"/>
    <w:rsid w:val="01B12E58"/>
    <w:rsid w:val="01B140BF"/>
    <w:rsid w:val="01B14C06"/>
    <w:rsid w:val="01B1662B"/>
    <w:rsid w:val="01B20120"/>
    <w:rsid w:val="01B22814"/>
    <w:rsid w:val="01B25895"/>
    <w:rsid w:val="01B309E7"/>
    <w:rsid w:val="01B33084"/>
    <w:rsid w:val="01B34E22"/>
    <w:rsid w:val="01B36BD0"/>
    <w:rsid w:val="01B446F6"/>
    <w:rsid w:val="01B54699"/>
    <w:rsid w:val="01B55611"/>
    <w:rsid w:val="01B574E0"/>
    <w:rsid w:val="01B6046E"/>
    <w:rsid w:val="01B61672"/>
    <w:rsid w:val="01B66AA1"/>
    <w:rsid w:val="01B72B02"/>
    <w:rsid w:val="01B776CC"/>
    <w:rsid w:val="01B81A58"/>
    <w:rsid w:val="01B82438"/>
    <w:rsid w:val="01B846CC"/>
    <w:rsid w:val="01B85A2C"/>
    <w:rsid w:val="01B90155"/>
    <w:rsid w:val="01B91D0C"/>
    <w:rsid w:val="01B97F5E"/>
    <w:rsid w:val="01BA1892"/>
    <w:rsid w:val="01BA61B0"/>
    <w:rsid w:val="01BB2059"/>
    <w:rsid w:val="01BB3B57"/>
    <w:rsid w:val="01BB3CD7"/>
    <w:rsid w:val="01BB4E4D"/>
    <w:rsid w:val="01BB7833"/>
    <w:rsid w:val="01BB7D42"/>
    <w:rsid w:val="01BC39A2"/>
    <w:rsid w:val="01BD17FD"/>
    <w:rsid w:val="01BD7A4F"/>
    <w:rsid w:val="01BE3FEB"/>
    <w:rsid w:val="01BE66B1"/>
    <w:rsid w:val="01BE70EB"/>
    <w:rsid w:val="01BE7323"/>
    <w:rsid w:val="01BE7E04"/>
    <w:rsid w:val="01BF37C7"/>
    <w:rsid w:val="01BF5575"/>
    <w:rsid w:val="01BF7152"/>
    <w:rsid w:val="01C01C2E"/>
    <w:rsid w:val="01C02654"/>
    <w:rsid w:val="01C0309B"/>
    <w:rsid w:val="01C052F5"/>
    <w:rsid w:val="01C0753F"/>
    <w:rsid w:val="01C07A2D"/>
    <w:rsid w:val="01C16785"/>
    <w:rsid w:val="01C20BC1"/>
    <w:rsid w:val="01C2189F"/>
    <w:rsid w:val="01C2249A"/>
    <w:rsid w:val="01C225F2"/>
    <w:rsid w:val="01C26E13"/>
    <w:rsid w:val="01C310A5"/>
    <w:rsid w:val="01C34939"/>
    <w:rsid w:val="01C35FF8"/>
    <w:rsid w:val="01C42B8B"/>
    <w:rsid w:val="01C457A3"/>
    <w:rsid w:val="01C503E5"/>
    <w:rsid w:val="01C527E4"/>
    <w:rsid w:val="01C546B9"/>
    <w:rsid w:val="01C558D4"/>
    <w:rsid w:val="01C56903"/>
    <w:rsid w:val="01C57408"/>
    <w:rsid w:val="01C57CFF"/>
    <w:rsid w:val="01C60555"/>
    <w:rsid w:val="01C6467B"/>
    <w:rsid w:val="01C7267B"/>
    <w:rsid w:val="01C73287"/>
    <w:rsid w:val="01C761D7"/>
    <w:rsid w:val="01C80EB6"/>
    <w:rsid w:val="01C81F50"/>
    <w:rsid w:val="01C963F3"/>
    <w:rsid w:val="01CA216C"/>
    <w:rsid w:val="01CA5025"/>
    <w:rsid w:val="01CB0444"/>
    <w:rsid w:val="01CB0F78"/>
    <w:rsid w:val="01CB7837"/>
    <w:rsid w:val="01CB79DA"/>
    <w:rsid w:val="01CC0CC7"/>
    <w:rsid w:val="01CC1A40"/>
    <w:rsid w:val="01CC2797"/>
    <w:rsid w:val="01CC30EE"/>
    <w:rsid w:val="01CC5EE4"/>
    <w:rsid w:val="01CC6F34"/>
    <w:rsid w:val="01CD4D28"/>
    <w:rsid w:val="01CD73A3"/>
    <w:rsid w:val="01CD7566"/>
    <w:rsid w:val="01CD75C9"/>
    <w:rsid w:val="01CE0EDC"/>
    <w:rsid w:val="01CE3453"/>
    <w:rsid w:val="01CE3A0A"/>
    <w:rsid w:val="01CE57B8"/>
    <w:rsid w:val="01CE7A68"/>
    <w:rsid w:val="01CF1530"/>
    <w:rsid w:val="01CF32DE"/>
    <w:rsid w:val="01CF7782"/>
    <w:rsid w:val="01D02219"/>
    <w:rsid w:val="01D02BD5"/>
    <w:rsid w:val="01D05351"/>
    <w:rsid w:val="01D1061A"/>
    <w:rsid w:val="01D124C5"/>
    <w:rsid w:val="01D134FA"/>
    <w:rsid w:val="01D13CB3"/>
    <w:rsid w:val="01D152A8"/>
    <w:rsid w:val="01D17056"/>
    <w:rsid w:val="01D24B39"/>
    <w:rsid w:val="01D2770A"/>
    <w:rsid w:val="01D32DCE"/>
    <w:rsid w:val="01D332BE"/>
    <w:rsid w:val="01D34B7C"/>
    <w:rsid w:val="01D35D3E"/>
    <w:rsid w:val="01D408F4"/>
    <w:rsid w:val="01D4202A"/>
    <w:rsid w:val="01D46A5C"/>
    <w:rsid w:val="01D478EF"/>
    <w:rsid w:val="01D47CBB"/>
    <w:rsid w:val="01D534BA"/>
    <w:rsid w:val="01D54BFB"/>
    <w:rsid w:val="01D54D98"/>
    <w:rsid w:val="01D5538B"/>
    <w:rsid w:val="01D56040"/>
    <w:rsid w:val="01D628BE"/>
    <w:rsid w:val="01D6466C"/>
    <w:rsid w:val="01D6734A"/>
    <w:rsid w:val="01D709AB"/>
    <w:rsid w:val="01D83438"/>
    <w:rsid w:val="01D84888"/>
    <w:rsid w:val="01D86637"/>
    <w:rsid w:val="01D91393"/>
    <w:rsid w:val="01D9415D"/>
    <w:rsid w:val="01D94843"/>
    <w:rsid w:val="01D94A0C"/>
    <w:rsid w:val="01D95F0B"/>
    <w:rsid w:val="01D97003"/>
    <w:rsid w:val="01DA20AA"/>
    <w:rsid w:val="01DA23AF"/>
    <w:rsid w:val="01DB1C83"/>
    <w:rsid w:val="01DB1EFD"/>
    <w:rsid w:val="01DB2302"/>
    <w:rsid w:val="01DB3B8D"/>
    <w:rsid w:val="01DB6127"/>
    <w:rsid w:val="01DB6345"/>
    <w:rsid w:val="01DC1706"/>
    <w:rsid w:val="01DC2C55"/>
    <w:rsid w:val="01DC2F49"/>
    <w:rsid w:val="01DC4615"/>
    <w:rsid w:val="01DD3C4D"/>
    <w:rsid w:val="01DD59FB"/>
    <w:rsid w:val="01DD7621"/>
    <w:rsid w:val="01DE46A1"/>
    <w:rsid w:val="01DE57E8"/>
    <w:rsid w:val="01DE6D60"/>
    <w:rsid w:val="01DF087E"/>
    <w:rsid w:val="01DF2790"/>
    <w:rsid w:val="01DF4480"/>
    <w:rsid w:val="01DF494D"/>
    <w:rsid w:val="01DF713D"/>
    <w:rsid w:val="01DF79C5"/>
    <w:rsid w:val="01E00554"/>
    <w:rsid w:val="01E00F0A"/>
    <w:rsid w:val="01E01D0E"/>
    <w:rsid w:val="01E0373D"/>
    <w:rsid w:val="01E06BB5"/>
    <w:rsid w:val="01E07299"/>
    <w:rsid w:val="01E21263"/>
    <w:rsid w:val="01E23011"/>
    <w:rsid w:val="01E274B5"/>
    <w:rsid w:val="01E32515"/>
    <w:rsid w:val="01E36C5A"/>
    <w:rsid w:val="01E36F4E"/>
    <w:rsid w:val="01E41154"/>
    <w:rsid w:val="01E415D4"/>
    <w:rsid w:val="01E4249F"/>
    <w:rsid w:val="01E4322D"/>
    <w:rsid w:val="01E43A29"/>
    <w:rsid w:val="01E466C2"/>
    <w:rsid w:val="01E46D89"/>
    <w:rsid w:val="01E473CA"/>
    <w:rsid w:val="01E50D53"/>
    <w:rsid w:val="01E52B01"/>
    <w:rsid w:val="01E53B78"/>
    <w:rsid w:val="01E5715E"/>
    <w:rsid w:val="01E574C4"/>
    <w:rsid w:val="01E65B80"/>
    <w:rsid w:val="01E66B99"/>
    <w:rsid w:val="01E6735E"/>
    <w:rsid w:val="01E67753"/>
    <w:rsid w:val="01E704A0"/>
    <w:rsid w:val="01E70628"/>
    <w:rsid w:val="01E71C64"/>
    <w:rsid w:val="01E74520"/>
    <w:rsid w:val="01E7687A"/>
    <w:rsid w:val="01E82074"/>
    <w:rsid w:val="01E83014"/>
    <w:rsid w:val="01E90844"/>
    <w:rsid w:val="01E925F2"/>
    <w:rsid w:val="01E92D92"/>
    <w:rsid w:val="01E93890"/>
    <w:rsid w:val="01E94501"/>
    <w:rsid w:val="01E94CB0"/>
    <w:rsid w:val="01E97822"/>
    <w:rsid w:val="01EA2457"/>
    <w:rsid w:val="01EA4597"/>
    <w:rsid w:val="01EB0014"/>
    <w:rsid w:val="01EB0632"/>
    <w:rsid w:val="01EB45BC"/>
    <w:rsid w:val="01EC0334"/>
    <w:rsid w:val="01EC09D4"/>
    <w:rsid w:val="01EC2E82"/>
    <w:rsid w:val="01EC33A0"/>
    <w:rsid w:val="01ED40D7"/>
    <w:rsid w:val="01ED51FF"/>
    <w:rsid w:val="01EE19B6"/>
    <w:rsid w:val="01EE2BD1"/>
    <w:rsid w:val="01EE7C08"/>
    <w:rsid w:val="01EF572E"/>
    <w:rsid w:val="01EF6C32"/>
    <w:rsid w:val="01F03DBF"/>
    <w:rsid w:val="01F06499"/>
    <w:rsid w:val="01F1117B"/>
    <w:rsid w:val="01F11552"/>
    <w:rsid w:val="01F1594A"/>
    <w:rsid w:val="01F164E1"/>
    <w:rsid w:val="01F176F8"/>
    <w:rsid w:val="01F255B3"/>
    <w:rsid w:val="01F30663"/>
    <w:rsid w:val="01F3069B"/>
    <w:rsid w:val="01F30E07"/>
    <w:rsid w:val="01F3521E"/>
    <w:rsid w:val="01F35BDA"/>
    <w:rsid w:val="01F366FC"/>
    <w:rsid w:val="01F36FCC"/>
    <w:rsid w:val="01F40F97"/>
    <w:rsid w:val="01F42D45"/>
    <w:rsid w:val="01F5597A"/>
    <w:rsid w:val="01F571E8"/>
    <w:rsid w:val="01F62F61"/>
    <w:rsid w:val="01F64D0F"/>
    <w:rsid w:val="01F65A3E"/>
    <w:rsid w:val="01F65EA9"/>
    <w:rsid w:val="01F66ABD"/>
    <w:rsid w:val="01F70A2D"/>
    <w:rsid w:val="01F753C4"/>
    <w:rsid w:val="01F768F9"/>
    <w:rsid w:val="01F81425"/>
    <w:rsid w:val="01F82835"/>
    <w:rsid w:val="01F8578C"/>
    <w:rsid w:val="01F86CD9"/>
    <w:rsid w:val="01F86D12"/>
    <w:rsid w:val="01F9035B"/>
    <w:rsid w:val="01F909E5"/>
    <w:rsid w:val="01F9124D"/>
    <w:rsid w:val="01F92046"/>
    <w:rsid w:val="01F928B5"/>
    <w:rsid w:val="01FA184C"/>
    <w:rsid w:val="01FA3D45"/>
    <w:rsid w:val="01FA454F"/>
    <w:rsid w:val="01FA65AD"/>
    <w:rsid w:val="01FB2325"/>
    <w:rsid w:val="01FB51D5"/>
    <w:rsid w:val="01FC2C01"/>
    <w:rsid w:val="01FD0830"/>
    <w:rsid w:val="01FD1236"/>
    <w:rsid w:val="01FD26C6"/>
    <w:rsid w:val="01FD3FB9"/>
    <w:rsid w:val="01FE5971"/>
    <w:rsid w:val="01FF0067"/>
    <w:rsid w:val="01FF193E"/>
    <w:rsid w:val="01FF3CC7"/>
    <w:rsid w:val="01FF51F8"/>
    <w:rsid w:val="01FF5855"/>
    <w:rsid w:val="020007B9"/>
    <w:rsid w:val="02002788"/>
    <w:rsid w:val="02002ACB"/>
    <w:rsid w:val="0200592C"/>
    <w:rsid w:val="02005B8D"/>
    <w:rsid w:val="0200793B"/>
    <w:rsid w:val="02007BB7"/>
    <w:rsid w:val="02012C6D"/>
    <w:rsid w:val="020154B4"/>
    <w:rsid w:val="02016828"/>
    <w:rsid w:val="0202311A"/>
    <w:rsid w:val="020236B3"/>
    <w:rsid w:val="02024774"/>
    <w:rsid w:val="020250A8"/>
    <w:rsid w:val="02025461"/>
    <w:rsid w:val="02030DC7"/>
    <w:rsid w:val="02030E07"/>
    <w:rsid w:val="0203720D"/>
    <w:rsid w:val="0203725F"/>
    <w:rsid w:val="0204567E"/>
    <w:rsid w:val="0204742C"/>
    <w:rsid w:val="02050DFD"/>
    <w:rsid w:val="02052599"/>
    <w:rsid w:val="020531A4"/>
    <w:rsid w:val="02054F52"/>
    <w:rsid w:val="02056D6F"/>
    <w:rsid w:val="02057C43"/>
    <w:rsid w:val="0207062A"/>
    <w:rsid w:val="02070CCA"/>
    <w:rsid w:val="02071A61"/>
    <w:rsid w:val="02072A78"/>
    <w:rsid w:val="02073223"/>
    <w:rsid w:val="02074EA2"/>
    <w:rsid w:val="02076F1C"/>
    <w:rsid w:val="02077A6F"/>
    <w:rsid w:val="02081815"/>
    <w:rsid w:val="020860AC"/>
    <w:rsid w:val="02086349"/>
    <w:rsid w:val="02090B42"/>
    <w:rsid w:val="02094A42"/>
    <w:rsid w:val="02095E0A"/>
    <w:rsid w:val="020967F0"/>
    <w:rsid w:val="020A4606"/>
    <w:rsid w:val="020B1998"/>
    <w:rsid w:val="020B640B"/>
    <w:rsid w:val="020B6A0C"/>
    <w:rsid w:val="020C008E"/>
    <w:rsid w:val="020C0D2B"/>
    <w:rsid w:val="020C4532"/>
    <w:rsid w:val="020C4A76"/>
    <w:rsid w:val="020C62E0"/>
    <w:rsid w:val="020D21BB"/>
    <w:rsid w:val="020D347B"/>
    <w:rsid w:val="020D4C10"/>
    <w:rsid w:val="020D5375"/>
    <w:rsid w:val="020E02AA"/>
    <w:rsid w:val="020E2058"/>
    <w:rsid w:val="020E364B"/>
    <w:rsid w:val="020E466C"/>
    <w:rsid w:val="020E4D8C"/>
    <w:rsid w:val="020F419B"/>
    <w:rsid w:val="020F4ADB"/>
    <w:rsid w:val="020F5EE1"/>
    <w:rsid w:val="020F621C"/>
    <w:rsid w:val="020F7B7E"/>
    <w:rsid w:val="02103C86"/>
    <w:rsid w:val="02104022"/>
    <w:rsid w:val="02105DD0"/>
    <w:rsid w:val="02110B3C"/>
    <w:rsid w:val="02111264"/>
    <w:rsid w:val="02111B48"/>
    <w:rsid w:val="0211370D"/>
    <w:rsid w:val="021138F7"/>
    <w:rsid w:val="021213BB"/>
    <w:rsid w:val="0213141D"/>
    <w:rsid w:val="02133EB1"/>
    <w:rsid w:val="021358C1"/>
    <w:rsid w:val="02140FE9"/>
    <w:rsid w:val="02143CC9"/>
    <w:rsid w:val="021460C8"/>
    <w:rsid w:val="021474BD"/>
    <w:rsid w:val="0215094D"/>
    <w:rsid w:val="02151639"/>
    <w:rsid w:val="02160F0D"/>
    <w:rsid w:val="02161DDD"/>
    <w:rsid w:val="021639D3"/>
    <w:rsid w:val="021653B1"/>
    <w:rsid w:val="0216715F"/>
    <w:rsid w:val="02167E82"/>
    <w:rsid w:val="021749AE"/>
    <w:rsid w:val="02175693"/>
    <w:rsid w:val="02175E3E"/>
    <w:rsid w:val="0217640E"/>
    <w:rsid w:val="021806BE"/>
    <w:rsid w:val="02182ED7"/>
    <w:rsid w:val="02184331"/>
    <w:rsid w:val="02184C85"/>
    <w:rsid w:val="02185DB9"/>
    <w:rsid w:val="02186A33"/>
    <w:rsid w:val="021872CE"/>
    <w:rsid w:val="02191A39"/>
    <w:rsid w:val="02191E9F"/>
    <w:rsid w:val="02193C79"/>
    <w:rsid w:val="021A09FD"/>
    <w:rsid w:val="021A1BEE"/>
    <w:rsid w:val="021A332F"/>
    <w:rsid w:val="021A3B70"/>
    <w:rsid w:val="021A65F1"/>
    <w:rsid w:val="021B041A"/>
    <w:rsid w:val="021B1457"/>
    <w:rsid w:val="021B277E"/>
    <w:rsid w:val="021B4775"/>
    <w:rsid w:val="021C29C7"/>
    <w:rsid w:val="021D04ED"/>
    <w:rsid w:val="021D1CB0"/>
    <w:rsid w:val="021D229B"/>
    <w:rsid w:val="021D673F"/>
    <w:rsid w:val="021E51C5"/>
    <w:rsid w:val="021F386D"/>
    <w:rsid w:val="021F4265"/>
    <w:rsid w:val="021F6063"/>
    <w:rsid w:val="021F6B64"/>
    <w:rsid w:val="022018BD"/>
    <w:rsid w:val="02201D8C"/>
    <w:rsid w:val="02203B3A"/>
    <w:rsid w:val="022064BC"/>
    <w:rsid w:val="02206D48"/>
    <w:rsid w:val="022071A1"/>
    <w:rsid w:val="02210631"/>
    <w:rsid w:val="02213E04"/>
    <w:rsid w:val="02214DDB"/>
    <w:rsid w:val="02217FDE"/>
    <w:rsid w:val="02220164"/>
    <w:rsid w:val="02223D56"/>
    <w:rsid w:val="02224F61"/>
    <w:rsid w:val="02225B04"/>
    <w:rsid w:val="02231BA1"/>
    <w:rsid w:val="02235B0E"/>
    <w:rsid w:val="02235B58"/>
    <w:rsid w:val="02235DEC"/>
    <w:rsid w:val="022369B8"/>
    <w:rsid w:val="02240524"/>
    <w:rsid w:val="0224187C"/>
    <w:rsid w:val="0224362A"/>
    <w:rsid w:val="02245692"/>
    <w:rsid w:val="02246FB2"/>
    <w:rsid w:val="02250057"/>
    <w:rsid w:val="02251150"/>
    <w:rsid w:val="02252EE4"/>
    <w:rsid w:val="022533D7"/>
    <w:rsid w:val="02257FDB"/>
    <w:rsid w:val="022644A3"/>
    <w:rsid w:val="02264514"/>
    <w:rsid w:val="022655F4"/>
    <w:rsid w:val="0227091F"/>
    <w:rsid w:val="0227136C"/>
    <w:rsid w:val="0227311A"/>
    <w:rsid w:val="02274762"/>
    <w:rsid w:val="02277B67"/>
    <w:rsid w:val="02281A4B"/>
    <w:rsid w:val="02281DFD"/>
    <w:rsid w:val="0228510F"/>
    <w:rsid w:val="02286DC3"/>
    <w:rsid w:val="02287939"/>
    <w:rsid w:val="02290253"/>
    <w:rsid w:val="02293D43"/>
    <w:rsid w:val="02293F32"/>
    <w:rsid w:val="022946B0"/>
    <w:rsid w:val="022950E4"/>
    <w:rsid w:val="022A49B8"/>
    <w:rsid w:val="022A6766"/>
    <w:rsid w:val="022B0E5C"/>
    <w:rsid w:val="022B113F"/>
    <w:rsid w:val="022B2B73"/>
    <w:rsid w:val="022B2C0A"/>
    <w:rsid w:val="022B6823"/>
    <w:rsid w:val="022C1327"/>
    <w:rsid w:val="022C24DE"/>
    <w:rsid w:val="022C260F"/>
    <w:rsid w:val="022C5744"/>
    <w:rsid w:val="022C5D05"/>
    <w:rsid w:val="022C7CF7"/>
    <w:rsid w:val="022D1EF6"/>
    <w:rsid w:val="022D461B"/>
    <w:rsid w:val="022D6BD4"/>
    <w:rsid w:val="022E0064"/>
    <w:rsid w:val="022E14F4"/>
    <w:rsid w:val="022E14F7"/>
    <w:rsid w:val="022E2C35"/>
    <w:rsid w:val="022E44A8"/>
    <w:rsid w:val="022E5068"/>
    <w:rsid w:val="022E6257"/>
    <w:rsid w:val="022F029F"/>
    <w:rsid w:val="022F3155"/>
    <w:rsid w:val="022F72A4"/>
    <w:rsid w:val="022F7AD8"/>
    <w:rsid w:val="02300221"/>
    <w:rsid w:val="02302728"/>
    <w:rsid w:val="02303F46"/>
    <w:rsid w:val="02306473"/>
    <w:rsid w:val="0231298F"/>
    <w:rsid w:val="02313F99"/>
    <w:rsid w:val="023149C2"/>
    <w:rsid w:val="02315D47"/>
    <w:rsid w:val="02316844"/>
    <w:rsid w:val="023169E5"/>
    <w:rsid w:val="02317AF5"/>
    <w:rsid w:val="02320FA0"/>
    <w:rsid w:val="02327A3C"/>
    <w:rsid w:val="02330841"/>
    <w:rsid w:val="02333195"/>
    <w:rsid w:val="0233386D"/>
    <w:rsid w:val="02333ED6"/>
    <w:rsid w:val="02337CE0"/>
    <w:rsid w:val="0234354D"/>
    <w:rsid w:val="02344BB0"/>
    <w:rsid w:val="0234619E"/>
    <w:rsid w:val="02346E59"/>
    <w:rsid w:val="02355837"/>
    <w:rsid w:val="023603B2"/>
    <w:rsid w:val="023615AF"/>
    <w:rsid w:val="02363264"/>
    <w:rsid w:val="0236335D"/>
    <w:rsid w:val="02372857"/>
    <w:rsid w:val="023847AF"/>
    <w:rsid w:val="02385327"/>
    <w:rsid w:val="023868B8"/>
    <w:rsid w:val="023870D5"/>
    <w:rsid w:val="02390A8D"/>
    <w:rsid w:val="02395177"/>
    <w:rsid w:val="02397CB2"/>
    <w:rsid w:val="023A09D0"/>
    <w:rsid w:val="023A12FE"/>
    <w:rsid w:val="023A4968"/>
    <w:rsid w:val="023A4BFB"/>
    <w:rsid w:val="023A4FAE"/>
    <w:rsid w:val="023A50A2"/>
    <w:rsid w:val="023A5678"/>
    <w:rsid w:val="023B0973"/>
    <w:rsid w:val="023B2668"/>
    <w:rsid w:val="023B31B5"/>
    <w:rsid w:val="023B41C8"/>
    <w:rsid w:val="023B5CAB"/>
    <w:rsid w:val="023C42F2"/>
    <w:rsid w:val="023C4E17"/>
    <w:rsid w:val="023D0B8F"/>
    <w:rsid w:val="023D1F13"/>
    <w:rsid w:val="023D46EC"/>
    <w:rsid w:val="023E0FE9"/>
    <w:rsid w:val="023E3DE8"/>
    <w:rsid w:val="023E3FC3"/>
    <w:rsid w:val="023E462C"/>
    <w:rsid w:val="023F0464"/>
    <w:rsid w:val="023F2212"/>
    <w:rsid w:val="023F3BBA"/>
    <w:rsid w:val="023F5B7C"/>
    <w:rsid w:val="023F66B6"/>
    <w:rsid w:val="02402772"/>
    <w:rsid w:val="02404B2B"/>
    <w:rsid w:val="02405F8A"/>
    <w:rsid w:val="0241242E"/>
    <w:rsid w:val="02412C6C"/>
    <w:rsid w:val="024141DC"/>
    <w:rsid w:val="024157AE"/>
    <w:rsid w:val="0241685F"/>
    <w:rsid w:val="02417F8F"/>
    <w:rsid w:val="024217EA"/>
    <w:rsid w:val="02421D02"/>
    <w:rsid w:val="024242BB"/>
    <w:rsid w:val="02427F54"/>
    <w:rsid w:val="02430FFC"/>
    <w:rsid w:val="024342B5"/>
    <w:rsid w:val="02440DD1"/>
    <w:rsid w:val="02441D23"/>
    <w:rsid w:val="02441F1E"/>
    <w:rsid w:val="02442D33"/>
    <w:rsid w:val="02447828"/>
    <w:rsid w:val="024535A0"/>
    <w:rsid w:val="02457A2C"/>
    <w:rsid w:val="02460EBC"/>
    <w:rsid w:val="02466A00"/>
    <w:rsid w:val="0246777B"/>
    <w:rsid w:val="02467A44"/>
    <w:rsid w:val="024737BC"/>
    <w:rsid w:val="0247556A"/>
    <w:rsid w:val="02477318"/>
    <w:rsid w:val="024818A3"/>
    <w:rsid w:val="024855F6"/>
    <w:rsid w:val="024912E2"/>
    <w:rsid w:val="02497534"/>
    <w:rsid w:val="0249783D"/>
    <w:rsid w:val="024A0BB7"/>
    <w:rsid w:val="024B215D"/>
    <w:rsid w:val="024B344F"/>
    <w:rsid w:val="024B505A"/>
    <w:rsid w:val="024C119E"/>
    <w:rsid w:val="024C1BFA"/>
    <w:rsid w:val="024C2B81"/>
    <w:rsid w:val="024C61BE"/>
    <w:rsid w:val="024E06A7"/>
    <w:rsid w:val="024E0ADE"/>
    <w:rsid w:val="024F36AF"/>
    <w:rsid w:val="024F7796"/>
    <w:rsid w:val="02502671"/>
    <w:rsid w:val="025029CF"/>
    <w:rsid w:val="0250441F"/>
    <w:rsid w:val="02510197"/>
    <w:rsid w:val="02515CE4"/>
    <w:rsid w:val="02515FCF"/>
    <w:rsid w:val="0252142D"/>
    <w:rsid w:val="02531A6D"/>
    <w:rsid w:val="02535CBD"/>
    <w:rsid w:val="02541D7F"/>
    <w:rsid w:val="02552E4D"/>
    <w:rsid w:val="02553FFE"/>
    <w:rsid w:val="02554B84"/>
    <w:rsid w:val="02555DE0"/>
    <w:rsid w:val="02557C87"/>
    <w:rsid w:val="02557D02"/>
    <w:rsid w:val="025657AD"/>
    <w:rsid w:val="02566A6E"/>
    <w:rsid w:val="02566ACB"/>
    <w:rsid w:val="0256755B"/>
    <w:rsid w:val="0257032F"/>
    <w:rsid w:val="02570D58"/>
    <w:rsid w:val="02571E41"/>
    <w:rsid w:val="0257728E"/>
    <w:rsid w:val="02581525"/>
    <w:rsid w:val="025818BD"/>
    <w:rsid w:val="02581AD5"/>
    <w:rsid w:val="025832D3"/>
    <w:rsid w:val="025865F9"/>
    <w:rsid w:val="025870B9"/>
    <w:rsid w:val="02587777"/>
    <w:rsid w:val="02594C03"/>
    <w:rsid w:val="02595538"/>
    <w:rsid w:val="02595BF1"/>
    <w:rsid w:val="025976B3"/>
    <w:rsid w:val="025A160A"/>
    <w:rsid w:val="025A39CA"/>
    <w:rsid w:val="025A529E"/>
    <w:rsid w:val="025A5316"/>
    <w:rsid w:val="025A704C"/>
    <w:rsid w:val="025B2DC4"/>
    <w:rsid w:val="025C03B5"/>
    <w:rsid w:val="025C04B6"/>
    <w:rsid w:val="025C1016"/>
    <w:rsid w:val="025C279D"/>
    <w:rsid w:val="025C47A1"/>
    <w:rsid w:val="025C5CB3"/>
    <w:rsid w:val="025C5D21"/>
    <w:rsid w:val="025C6643"/>
    <w:rsid w:val="025D0792"/>
    <w:rsid w:val="025D2311"/>
    <w:rsid w:val="025D4D8E"/>
    <w:rsid w:val="025D6B3C"/>
    <w:rsid w:val="025E09CB"/>
    <w:rsid w:val="025E466E"/>
    <w:rsid w:val="025E5A54"/>
    <w:rsid w:val="025F0B06"/>
    <w:rsid w:val="025F1A63"/>
    <w:rsid w:val="025F28B4"/>
    <w:rsid w:val="025F6159"/>
    <w:rsid w:val="02600504"/>
    <w:rsid w:val="02602565"/>
    <w:rsid w:val="026041A7"/>
    <w:rsid w:val="02604634"/>
    <w:rsid w:val="02604CC4"/>
    <w:rsid w:val="0260595B"/>
    <w:rsid w:val="02607E88"/>
    <w:rsid w:val="02614FD5"/>
    <w:rsid w:val="0261662C"/>
    <w:rsid w:val="026223A4"/>
    <w:rsid w:val="0262657A"/>
    <w:rsid w:val="02631873"/>
    <w:rsid w:val="02632976"/>
    <w:rsid w:val="026406B8"/>
    <w:rsid w:val="02641C78"/>
    <w:rsid w:val="02642D03"/>
    <w:rsid w:val="02643149"/>
    <w:rsid w:val="02643356"/>
    <w:rsid w:val="02647ECA"/>
    <w:rsid w:val="0265528D"/>
    <w:rsid w:val="026558D4"/>
    <w:rsid w:val="02661E94"/>
    <w:rsid w:val="02664879"/>
    <w:rsid w:val="026659F0"/>
    <w:rsid w:val="02666C3B"/>
    <w:rsid w:val="02666D64"/>
    <w:rsid w:val="0267150D"/>
    <w:rsid w:val="02671768"/>
    <w:rsid w:val="0267346B"/>
    <w:rsid w:val="026779BA"/>
    <w:rsid w:val="02681684"/>
    <w:rsid w:val="02682C29"/>
    <w:rsid w:val="0268673B"/>
    <w:rsid w:val="02690314"/>
    <w:rsid w:val="02691984"/>
    <w:rsid w:val="02693733"/>
    <w:rsid w:val="026977E5"/>
    <w:rsid w:val="02697903"/>
    <w:rsid w:val="026A02B6"/>
    <w:rsid w:val="026A3EB7"/>
    <w:rsid w:val="026B0005"/>
    <w:rsid w:val="026B1259"/>
    <w:rsid w:val="026B1746"/>
    <w:rsid w:val="026B2DD3"/>
    <w:rsid w:val="026B3007"/>
    <w:rsid w:val="026B74AB"/>
    <w:rsid w:val="026D3223"/>
    <w:rsid w:val="026E00C7"/>
    <w:rsid w:val="026E0D49"/>
    <w:rsid w:val="026E2AF7"/>
    <w:rsid w:val="026E6F9B"/>
    <w:rsid w:val="026F1557"/>
    <w:rsid w:val="026F1C95"/>
    <w:rsid w:val="0270061D"/>
    <w:rsid w:val="02702C5C"/>
    <w:rsid w:val="02704AC1"/>
    <w:rsid w:val="0271122C"/>
    <w:rsid w:val="027122F1"/>
    <w:rsid w:val="027126A6"/>
    <w:rsid w:val="02714395"/>
    <w:rsid w:val="02720839"/>
    <w:rsid w:val="02725307"/>
    <w:rsid w:val="0272765D"/>
    <w:rsid w:val="027302F2"/>
    <w:rsid w:val="02731145"/>
    <w:rsid w:val="027313C9"/>
    <w:rsid w:val="027345B1"/>
    <w:rsid w:val="02734D97"/>
    <w:rsid w:val="02736001"/>
    <w:rsid w:val="027475EC"/>
    <w:rsid w:val="02747736"/>
    <w:rsid w:val="02750329"/>
    <w:rsid w:val="027607D9"/>
    <w:rsid w:val="02764CE6"/>
    <w:rsid w:val="02773ED9"/>
    <w:rsid w:val="02775E4F"/>
    <w:rsid w:val="02776F09"/>
    <w:rsid w:val="02783976"/>
    <w:rsid w:val="02783D4A"/>
    <w:rsid w:val="02785724"/>
    <w:rsid w:val="02786875"/>
    <w:rsid w:val="02791740"/>
    <w:rsid w:val="027921EC"/>
    <w:rsid w:val="02793CBF"/>
    <w:rsid w:val="02794AFF"/>
    <w:rsid w:val="027951DA"/>
    <w:rsid w:val="027A5940"/>
    <w:rsid w:val="027A63D5"/>
    <w:rsid w:val="027A666A"/>
    <w:rsid w:val="027A76EE"/>
    <w:rsid w:val="027B7AFA"/>
    <w:rsid w:val="027C16B8"/>
    <w:rsid w:val="027C26CB"/>
    <w:rsid w:val="027C5214"/>
    <w:rsid w:val="027D0F8C"/>
    <w:rsid w:val="027D2D3A"/>
    <w:rsid w:val="027D35FD"/>
    <w:rsid w:val="027D71DE"/>
    <w:rsid w:val="027E2A20"/>
    <w:rsid w:val="027E4FEB"/>
    <w:rsid w:val="027F2F56"/>
    <w:rsid w:val="027F4D04"/>
    <w:rsid w:val="027F6AB2"/>
    <w:rsid w:val="0280569F"/>
    <w:rsid w:val="02810A7C"/>
    <w:rsid w:val="02815339"/>
    <w:rsid w:val="02816CCE"/>
    <w:rsid w:val="028178EE"/>
    <w:rsid w:val="02817E66"/>
    <w:rsid w:val="02820350"/>
    <w:rsid w:val="0282105D"/>
    <w:rsid w:val="02825AE0"/>
    <w:rsid w:val="028265A2"/>
    <w:rsid w:val="02830E5D"/>
    <w:rsid w:val="02832A46"/>
    <w:rsid w:val="02834CB7"/>
    <w:rsid w:val="0284231A"/>
    <w:rsid w:val="028427AA"/>
    <w:rsid w:val="028440C8"/>
    <w:rsid w:val="02845C22"/>
    <w:rsid w:val="02850D74"/>
    <w:rsid w:val="02852198"/>
    <w:rsid w:val="0285372F"/>
    <w:rsid w:val="02867E41"/>
    <w:rsid w:val="02867FEC"/>
    <w:rsid w:val="028738CD"/>
    <w:rsid w:val="02873BB9"/>
    <w:rsid w:val="028777DE"/>
    <w:rsid w:val="0288005D"/>
    <w:rsid w:val="028804C0"/>
    <w:rsid w:val="02881E0B"/>
    <w:rsid w:val="02884D25"/>
    <w:rsid w:val="028916DF"/>
    <w:rsid w:val="02891DD2"/>
    <w:rsid w:val="0289577B"/>
    <w:rsid w:val="02895B83"/>
    <w:rsid w:val="028969DB"/>
    <w:rsid w:val="02896D70"/>
    <w:rsid w:val="028970C0"/>
    <w:rsid w:val="028A615F"/>
    <w:rsid w:val="028A7864"/>
    <w:rsid w:val="028B36A9"/>
    <w:rsid w:val="028B5457"/>
    <w:rsid w:val="028C0A7F"/>
    <w:rsid w:val="028C11CF"/>
    <w:rsid w:val="028D098E"/>
    <w:rsid w:val="028D1B18"/>
    <w:rsid w:val="028D1F0F"/>
    <w:rsid w:val="028D692C"/>
    <w:rsid w:val="028D7421"/>
    <w:rsid w:val="028E4F47"/>
    <w:rsid w:val="028E584C"/>
    <w:rsid w:val="028F7400"/>
    <w:rsid w:val="02900890"/>
    <w:rsid w:val="029010B2"/>
    <w:rsid w:val="029046A2"/>
    <w:rsid w:val="02912C2D"/>
    <w:rsid w:val="02913461"/>
    <w:rsid w:val="029167E5"/>
    <w:rsid w:val="02922C89"/>
    <w:rsid w:val="029263FA"/>
    <w:rsid w:val="02930042"/>
    <w:rsid w:val="02930952"/>
    <w:rsid w:val="0293255D"/>
    <w:rsid w:val="02936A01"/>
    <w:rsid w:val="02941DE2"/>
    <w:rsid w:val="0294285E"/>
    <w:rsid w:val="02946F76"/>
    <w:rsid w:val="02947AD6"/>
    <w:rsid w:val="029516E9"/>
    <w:rsid w:val="0295277A"/>
    <w:rsid w:val="029539EA"/>
    <w:rsid w:val="029562D6"/>
    <w:rsid w:val="02965E43"/>
    <w:rsid w:val="029702A0"/>
    <w:rsid w:val="02975A1C"/>
    <w:rsid w:val="02980A79"/>
    <w:rsid w:val="029815F3"/>
    <w:rsid w:val="02982D71"/>
    <w:rsid w:val="02985DC6"/>
    <w:rsid w:val="02987B74"/>
    <w:rsid w:val="029947C4"/>
    <w:rsid w:val="029955B5"/>
    <w:rsid w:val="02996752"/>
    <w:rsid w:val="029A0728"/>
    <w:rsid w:val="029A1B3E"/>
    <w:rsid w:val="029A2EF6"/>
    <w:rsid w:val="029A38EC"/>
    <w:rsid w:val="029A3B22"/>
    <w:rsid w:val="029A5C54"/>
    <w:rsid w:val="029A77E7"/>
    <w:rsid w:val="029A7F0D"/>
    <w:rsid w:val="029B6E53"/>
    <w:rsid w:val="029C147D"/>
    <w:rsid w:val="029C2E90"/>
    <w:rsid w:val="029C49A8"/>
    <w:rsid w:val="029C64DC"/>
    <w:rsid w:val="029C73FF"/>
    <w:rsid w:val="029C7664"/>
    <w:rsid w:val="029D2A40"/>
    <w:rsid w:val="029D2C34"/>
    <w:rsid w:val="029D33DC"/>
    <w:rsid w:val="029D45D5"/>
    <w:rsid w:val="029E162E"/>
    <w:rsid w:val="029E2E94"/>
    <w:rsid w:val="029F0F02"/>
    <w:rsid w:val="029F142A"/>
    <w:rsid w:val="029F146F"/>
    <w:rsid w:val="029F40A6"/>
    <w:rsid w:val="029F7154"/>
    <w:rsid w:val="02A02583"/>
    <w:rsid w:val="02A05C6C"/>
    <w:rsid w:val="02A1111E"/>
    <w:rsid w:val="02A1289B"/>
    <w:rsid w:val="02A12ECC"/>
    <w:rsid w:val="02A1535B"/>
    <w:rsid w:val="02A209F3"/>
    <w:rsid w:val="02A20FF6"/>
    <w:rsid w:val="02A30287"/>
    <w:rsid w:val="02A30447"/>
    <w:rsid w:val="02A31FBC"/>
    <w:rsid w:val="02A33BF4"/>
    <w:rsid w:val="02A3532F"/>
    <w:rsid w:val="02A35876"/>
    <w:rsid w:val="02A36C44"/>
    <w:rsid w:val="02A429BD"/>
    <w:rsid w:val="02A4476B"/>
    <w:rsid w:val="02A46D06"/>
    <w:rsid w:val="02A47576"/>
    <w:rsid w:val="02A51626"/>
    <w:rsid w:val="02A52D67"/>
    <w:rsid w:val="02A535D8"/>
    <w:rsid w:val="02A53952"/>
    <w:rsid w:val="02A57792"/>
    <w:rsid w:val="02A6029C"/>
    <w:rsid w:val="02A61AE1"/>
    <w:rsid w:val="02A62291"/>
    <w:rsid w:val="02A6513F"/>
    <w:rsid w:val="02A66735"/>
    <w:rsid w:val="02A67131"/>
    <w:rsid w:val="02A75687"/>
    <w:rsid w:val="02A76009"/>
    <w:rsid w:val="02A824AD"/>
    <w:rsid w:val="02A8425B"/>
    <w:rsid w:val="02A86B17"/>
    <w:rsid w:val="02A91108"/>
    <w:rsid w:val="02A95F67"/>
    <w:rsid w:val="02A97FA7"/>
    <w:rsid w:val="02AA05C4"/>
    <w:rsid w:val="02AA2C73"/>
    <w:rsid w:val="02AA5314"/>
    <w:rsid w:val="02AB22C6"/>
    <w:rsid w:val="02AB2E8E"/>
    <w:rsid w:val="02AB3612"/>
    <w:rsid w:val="02AB3D4B"/>
    <w:rsid w:val="02AB5AF9"/>
    <w:rsid w:val="02AB78A7"/>
    <w:rsid w:val="02AC0069"/>
    <w:rsid w:val="02AC5E79"/>
    <w:rsid w:val="02AC6352"/>
    <w:rsid w:val="02AD18FA"/>
    <w:rsid w:val="02AD40CA"/>
    <w:rsid w:val="02AD6017"/>
    <w:rsid w:val="02AD78A2"/>
    <w:rsid w:val="02AD7AC3"/>
    <w:rsid w:val="02AE1145"/>
    <w:rsid w:val="02AE55E9"/>
    <w:rsid w:val="02AE7397"/>
    <w:rsid w:val="02B0310F"/>
    <w:rsid w:val="02B03AEE"/>
    <w:rsid w:val="02B04EBD"/>
    <w:rsid w:val="02B074D5"/>
    <w:rsid w:val="02B1130A"/>
    <w:rsid w:val="02B12F0B"/>
    <w:rsid w:val="02B1551F"/>
    <w:rsid w:val="02B1779C"/>
    <w:rsid w:val="02B209D8"/>
    <w:rsid w:val="02B22A86"/>
    <w:rsid w:val="02B250DA"/>
    <w:rsid w:val="02B26E88"/>
    <w:rsid w:val="02B30FCF"/>
    <w:rsid w:val="02B315C6"/>
    <w:rsid w:val="02B32C00"/>
    <w:rsid w:val="02B33C2A"/>
    <w:rsid w:val="02B349AE"/>
    <w:rsid w:val="02B3536B"/>
    <w:rsid w:val="02B40E52"/>
    <w:rsid w:val="02B40F40"/>
    <w:rsid w:val="02B44579"/>
    <w:rsid w:val="02B448BA"/>
    <w:rsid w:val="02B45CAA"/>
    <w:rsid w:val="02B47C8B"/>
    <w:rsid w:val="02B510F2"/>
    <w:rsid w:val="02B5111B"/>
    <w:rsid w:val="02B51A82"/>
    <w:rsid w:val="02B56978"/>
    <w:rsid w:val="02B709D8"/>
    <w:rsid w:val="02B7624C"/>
    <w:rsid w:val="02B80216"/>
    <w:rsid w:val="02B811DD"/>
    <w:rsid w:val="02B81FC4"/>
    <w:rsid w:val="02B85917"/>
    <w:rsid w:val="02B86400"/>
    <w:rsid w:val="02B8660C"/>
    <w:rsid w:val="02B86778"/>
    <w:rsid w:val="02B9004B"/>
    <w:rsid w:val="02B9266D"/>
    <w:rsid w:val="02B96468"/>
    <w:rsid w:val="02B96FC1"/>
    <w:rsid w:val="02B976CF"/>
    <w:rsid w:val="02BA21E0"/>
    <w:rsid w:val="02BA3F8E"/>
    <w:rsid w:val="02BA7413"/>
    <w:rsid w:val="02BB05ED"/>
    <w:rsid w:val="02BB3935"/>
    <w:rsid w:val="02BB3A8B"/>
    <w:rsid w:val="02BB45F4"/>
    <w:rsid w:val="02BB4F8D"/>
    <w:rsid w:val="02BB6BFA"/>
    <w:rsid w:val="02BC3862"/>
    <w:rsid w:val="02BC7D06"/>
    <w:rsid w:val="02BD0FEE"/>
    <w:rsid w:val="02BD6865"/>
    <w:rsid w:val="02BE582C"/>
    <w:rsid w:val="02BF0073"/>
    <w:rsid w:val="02BF0D61"/>
    <w:rsid w:val="02BF15A4"/>
    <w:rsid w:val="02BF23EA"/>
    <w:rsid w:val="02BF3353"/>
    <w:rsid w:val="02BF390E"/>
    <w:rsid w:val="02BF48E5"/>
    <w:rsid w:val="02BF4C82"/>
    <w:rsid w:val="02BF4D9E"/>
    <w:rsid w:val="02BF64DF"/>
    <w:rsid w:val="02BF77F6"/>
    <w:rsid w:val="02C0796F"/>
    <w:rsid w:val="02C10148"/>
    <w:rsid w:val="02C10E79"/>
    <w:rsid w:val="02C170CB"/>
    <w:rsid w:val="02C32E43"/>
    <w:rsid w:val="02C3371F"/>
    <w:rsid w:val="02C40969"/>
    <w:rsid w:val="02C415C7"/>
    <w:rsid w:val="02C438DE"/>
    <w:rsid w:val="02C44E0D"/>
    <w:rsid w:val="02C45F4D"/>
    <w:rsid w:val="02C47780"/>
    <w:rsid w:val="02C53BD8"/>
    <w:rsid w:val="02C57515"/>
    <w:rsid w:val="02C60B85"/>
    <w:rsid w:val="02C620A0"/>
    <w:rsid w:val="02C622B0"/>
    <w:rsid w:val="02C62933"/>
    <w:rsid w:val="02C646E1"/>
    <w:rsid w:val="02C7081A"/>
    <w:rsid w:val="02C72207"/>
    <w:rsid w:val="02C74777"/>
    <w:rsid w:val="02C76C7A"/>
    <w:rsid w:val="02C77E91"/>
    <w:rsid w:val="02C804A8"/>
    <w:rsid w:val="02C81745"/>
    <w:rsid w:val="02C81FFD"/>
    <w:rsid w:val="02C8274F"/>
    <w:rsid w:val="02C848FD"/>
    <w:rsid w:val="02C85B56"/>
    <w:rsid w:val="02C8629C"/>
    <w:rsid w:val="02C866AB"/>
    <w:rsid w:val="02C941D1"/>
    <w:rsid w:val="02C94FBA"/>
    <w:rsid w:val="02C95F7F"/>
    <w:rsid w:val="02C96F57"/>
    <w:rsid w:val="02CA1EB1"/>
    <w:rsid w:val="02CA35F2"/>
    <w:rsid w:val="02CB7F49"/>
    <w:rsid w:val="02CD0AE3"/>
    <w:rsid w:val="02CD1F13"/>
    <w:rsid w:val="02CD3CC1"/>
    <w:rsid w:val="02CD4AFF"/>
    <w:rsid w:val="02CD5A6F"/>
    <w:rsid w:val="02CD6B86"/>
    <w:rsid w:val="02CD7101"/>
    <w:rsid w:val="02CE0832"/>
    <w:rsid w:val="02CE17E8"/>
    <w:rsid w:val="02CE324A"/>
    <w:rsid w:val="02CE3403"/>
    <w:rsid w:val="02CE3596"/>
    <w:rsid w:val="02CE3A9F"/>
    <w:rsid w:val="02CE5250"/>
    <w:rsid w:val="02CE75C7"/>
    <w:rsid w:val="02CF14AA"/>
    <w:rsid w:val="02CF2011"/>
    <w:rsid w:val="02CF2DDB"/>
    <w:rsid w:val="02CF2FD6"/>
    <w:rsid w:val="02CF487D"/>
    <w:rsid w:val="02CF4893"/>
    <w:rsid w:val="02CF6827"/>
    <w:rsid w:val="02D01D04"/>
    <w:rsid w:val="02D037B2"/>
    <w:rsid w:val="02D07125"/>
    <w:rsid w:val="02D0730E"/>
    <w:rsid w:val="02D107B8"/>
    <w:rsid w:val="02D12FE2"/>
    <w:rsid w:val="02D212D8"/>
    <w:rsid w:val="02D23086"/>
    <w:rsid w:val="02D33214"/>
    <w:rsid w:val="02D35DE5"/>
    <w:rsid w:val="02D41E83"/>
    <w:rsid w:val="02D45050"/>
    <w:rsid w:val="02D471DF"/>
    <w:rsid w:val="02D50DC8"/>
    <w:rsid w:val="02D52B76"/>
    <w:rsid w:val="02D534D5"/>
    <w:rsid w:val="02D542C1"/>
    <w:rsid w:val="02D66CA8"/>
    <w:rsid w:val="02D7069C"/>
    <w:rsid w:val="02D708F3"/>
    <w:rsid w:val="02D70973"/>
    <w:rsid w:val="02D71701"/>
    <w:rsid w:val="02D73B4C"/>
    <w:rsid w:val="02D74528"/>
    <w:rsid w:val="02D74766"/>
    <w:rsid w:val="02D74B40"/>
    <w:rsid w:val="02D74EC6"/>
    <w:rsid w:val="02D768EE"/>
    <w:rsid w:val="02D772AC"/>
    <w:rsid w:val="02D8171E"/>
    <w:rsid w:val="02D84414"/>
    <w:rsid w:val="02D867CE"/>
    <w:rsid w:val="02D86D80"/>
    <w:rsid w:val="02D908B8"/>
    <w:rsid w:val="02D91F7E"/>
    <w:rsid w:val="02D92666"/>
    <w:rsid w:val="02D96803"/>
    <w:rsid w:val="02D973F9"/>
    <w:rsid w:val="02DA1F3A"/>
    <w:rsid w:val="02DA2C98"/>
    <w:rsid w:val="02DA4630"/>
    <w:rsid w:val="02DA63DE"/>
    <w:rsid w:val="02DB29D5"/>
    <w:rsid w:val="02DB2E36"/>
    <w:rsid w:val="02DB4577"/>
    <w:rsid w:val="02DB6B5E"/>
    <w:rsid w:val="02DC317E"/>
    <w:rsid w:val="02DC3F04"/>
    <w:rsid w:val="02DC686C"/>
    <w:rsid w:val="02DC6980"/>
    <w:rsid w:val="02DD1A2B"/>
    <w:rsid w:val="02DE7ECC"/>
    <w:rsid w:val="02DF39F5"/>
    <w:rsid w:val="02E01C47"/>
    <w:rsid w:val="02E03CD2"/>
    <w:rsid w:val="02E0598D"/>
    <w:rsid w:val="02E1151B"/>
    <w:rsid w:val="02E12B71"/>
    <w:rsid w:val="02E132C9"/>
    <w:rsid w:val="02E20138"/>
    <w:rsid w:val="02E2075A"/>
    <w:rsid w:val="02E209F4"/>
    <w:rsid w:val="02E2613C"/>
    <w:rsid w:val="02E2635B"/>
    <w:rsid w:val="02E334E5"/>
    <w:rsid w:val="02E35293"/>
    <w:rsid w:val="02E3621E"/>
    <w:rsid w:val="02E37169"/>
    <w:rsid w:val="02E4100B"/>
    <w:rsid w:val="02E44052"/>
    <w:rsid w:val="02E55A0D"/>
    <w:rsid w:val="02E61B9F"/>
    <w:rsid w:val="02E64D83"/>
    <w:rsid w:val="02E6565C"/>
    <w:rsid w:val="02E65ED1"/>
    <w:rsid w:val="02E75CF1"/>
    <w:rsid w:val="02E80AFB"/>
    <w:rsid w:val="02E82052"/>
    <w:rsid w:val="02E828A9"/>
    <w:rsid w:val="02E84657"/>
    <w:rsid w:val="02E847B7"/>
    <w:rsid w:val="02E90185"/>
    <w:rsid w:val="02E93216"/>
    <w:rsid w:val="02EA479D"/>
    <w:rsid w:val="02EA4873"/>
    <w:rsid w:val="02EA6AA5"/>
    <w:rsid w:val="02EA7622"/>
    <w:rsid w:val="02EB05EB"/>
    <w:rsid w:val="02EB0CA0"/>
    <w:rsid w:val="02EB239A"/>
    <w:rsid w:val="02EB2463"/>
    <w:rsid w:val="02EB4148"/>
    <w:rsid w:val="02EB47D1"/>
    <w:rsid w:val="02EC1352"/>
    <w:rsid w:val="02EC1C41"/>
    <w:rsid w:val="02EC3DBB"/>
    <w:rsid w:val="02EC66FE"/>
    <w:rsid w:val="02ED4364"/>
    <w:rsid w:val="02ED4DAA"/>
    <w:rsid w:val="02ED50AA"/>
    <w:rsid w:val="02ED6112"/>
    <w:rsid w:val="02ED698C"/>
    <w:rsid w:val="02ED7EC0"/>
    <w:rsid w:val="02EE3C38"/>
    <w:rsid w:val="02EE5818"/>
    <w:rsid w:val="02EE59E6"/>
    <w:rsid w:val="02EE7E1C"/>
    <w:rsid w:val="02EF10DB"/>
    <w:rsid w:val="02EF1E8A"/>
    <w:rsid w:val="02EF28D7"/>
    <w:rsid w:val="02EF5309"/>
    <w:rsid w:val="02F0042A"/>
    <w:rsid w:val="02F03FF7"/>
    <w:rsid w:val="02F0530D"/>
    <w:rsid w:val="02F1113B"/>
    <w:rsid w:val="02F15352"/>
    <w:rsid w:val="02F2136E"/>
    <w:rsid w:val="02F214C0"/>
    <w:rsid w:val="02F2197A"/>
    <w:rsid w:val="02F21E1C"/>
    <w:rsid w:val="02F254D6"/>
    <w:rsid w:val="02F310BD"/>
    <w:rsid w:val="02F32FFC"/>
    <w:rsid w:val="02F4124E"/>
    <w:rsid w:val="02F43C68"/>
    <w:rsid w:val="02F44A29"/>
    <w:rsid w:val="02F456F2"/>
    <w:rsid w:val="02F531C6"/>
    <w:rsid w:val="02F54FC6"/>
    <w:rsid w:val="02F57F8E"/>
    <w:rsid w:val="02F6117F"/>
    <w:rsid w:val="02F67A3E"/>
    <w:rsid w:val="02F70D3E"/>
    <w:rsid w:val="02F7430E"/>
    <w:rsid w:val="02F76F90"/>
    <w:rsid w:val="02F80AD2"/>
    <w:rsid w:val="02F82B20"/>
    <w:rsid w:val="02F85C06"/>
    <w:rsid w:val="02F86670"/>
    <w:rsid w:val="02F909D0"/>
    <w:rsid w:val="02F9247C"/>
    <w:rsid w:val="02F92D08"/>
    <w:rsid w:val="02F94AB6"/>
    <w:rsid w:val="02F9540F"/>
    <w:rsid w:val="02F96569"/>
    <w:rsid w:val="02F96864"/>
    <w:rsid w:val="02FA082F"/>
    <w:rsid w:val="02FA438B"/>
    <w:rsid w:val="02FA6378"/>
    <w:rsid w:val="02FA74A3"/>
    <w:rsid w:val="02FB2A88"/>
    <w:rsid w:val="02FC0103"/>
    <w:rsid w:val="02FC06CB"/>
    <w:rsid w:val="02FC38B0"/>
    <w:rsid w:val="02FC45A7"/>
    <w:rsid w:val="02FC5DC6"/>
    <w:rsid w:val="02FC6355"/>
    <w:rsid w:val="02FC6EF9"/>
    <w:rsid w:val="02FE031F"/>
    <w:rsid w:val="02FE3CAF"/>
    <w:rsid w:val="02FE3E7B"/>
    <w:rsid w:val="02FE4CCA"/>
    <w:rsid w:val="02FE6BA6"/>
    <w:rsid w:val="02FF0DA1"/>
    <w:rsid w:val="02FF10FC"/>
    <w:rsid w:val="02FF68F3"/>
    <w:rsid w:val="02FF7BF3"/>
    <w:rsid w:val="030010FE"/>
    <w:rsid w:val="03004097"/>
    <w:rsid w:val="03005B97"/>
    <w:rsid w:val="03011019"/>
    <w:rsid w:val="03011BBD"/>
    <w:rsid w:val="03015719"/>
    <w:rsid w:val="030175A3"/>
    <w:rsid w:val="030222F3"/>
    <w:rsid w:val="03024234"/>
    <w:rsid w:val="03030BB2"/>
    <w:rsid w:val="03033541"/>
    <w:rsid w:val="03033783"/>
    <w:rsid w:val="03035935"/>
    <w:rsid w:val="03040B9E"/>
    <w:rsid w:val="03044D4A"/>
    <w:rsid w:val="03045209"/>
    <w:rsid w:val="03047C7A"/>
    <w:rsid w:val="030516AD"/>
    <w:rsid w:val="03053D35"/>
    <w:rsid w:val="030562C5"/>
    <w:rsid w:val="03057BA5"/>
    <w:rsid w:val="03057D6B"/>
    <w:rsid w:val="03060C74"/>
    <w:rsid w:val="03060F81"/>
    <w:rsid w:val="030624A9"/>
    <w:rsid w:val="03062D2F"/>
    <w:rsid w:val="03065425"/>
    <w:rsid w:val="03066CDD"/>
    <w:rsid w:val="03067533"/>
    <w:rsid w:val="03070644"/>
    <w:rsid w:val="03075604"/>
    <w:rsid w:val="03075710"/>
    <w:rsid w:val="03077F98"/>
    <w:rsid w:val="03082260"/>
    <w:rsid w:val="03082F4B"/>
    <w:rsid w:val="03083097"/>
    <w:rsid w:val="03084CFA"/>
    <w:rsid w:val="03086AA8"/>
    <w:rsid w:val="03092820"/>
    <w:rsid w:val="030933C3"/>
    <w:rsid w:val="03094A24"/>
    <w:rsid w:val="03096270"/>
    <w:rsid w:val="030A0A72"/>
    <w:rsid w:val="030A3426"/>
    <w:rsid w:val="030A46B9"/>
    <w:rsid w:val="030A4873"/>
    <w:rsid w:val="030A5EB4"/>
    <w:rsid w:val="030A6CC4"/>
    <w:rsid w:val="030B47EA"/>
    <w:rsid w:val="030B6598"/>
    <w:rsid w:val="030B7344"/>
    <w:rsid w:val="030C1843"/>
    <w:rsid w:val="030C3BC7"/>
    <w:rsid w:val="030D0562"/>
    <w:rsid w:val="030D2310"/>
    <w:rsid w:val="030E03CE"/>
    <w:rsid w:val="030E6D4F"/>
    <w:rsid w:val="030E7E36"/>
    <w:rsid w:val="030F42DA"/>
    <w:rsid w:val="030F6937"/>
    <w:rsid w:val="03101E00"/>
    <w:rsid w:val="03103BAE"/>
    <w:rsid w:val="03106DE8"/>
    <w:rsid w:val="0310723F"/>
    <w:rsid w:val="03114646"/>
    <w:rsid w:val="03115797"/>
    <w:rsid w:val="03120210"/>
    <w:rsid w:val="03120724"/>
    <w:rsid w:val="03123DCA"/>
    <w:rsid w:val="03125103"/>
    <w:rsid w:val="03134185"/>
    <w:rsid w:val="03134852"/>
    <w:rsid w:val="0313544C"/>
    <w:rsid w:val="031418F0"/>
    <w:rsid w:val="03144DDE"/>
    <w:rsid w:val="03145144"/>
    <w:rsid w:val="03154C4E"/>
    <w:rsid w:val="031573B1"/>
    <w:rsid w:val="03165668"/>
    <w:rsid w:val="03170FA2"/>
    <w:rsid w:val="031713E0"/>
    <w:rsid w:val="03171BF9"/>
    <w:rsid w:val="03183089"/>
    <w:rsid w:val="03190CB5"/>
    <w:rsid w:val="03191189"/>
    <w:rsid w:val="03191276"/>
    <w:rsid w:val="03192A63"/>
    <w:rsid w:val="03196F07"/>
    <w:rsid w:val="031A0F95"/>
    <w:rsid w:val="031A3501"/>
    <w:rsid w:val="031A67DB"/>
    <w:rsid w:val="031B02C9"/>
    <w:rsid w:val="031B2C7F"/>
    <w:rsid w:val="031C07A5"/>
    <w:rsid w:val="031C41E9"/>
    <w:rsid w:val="031C69F7"/>
    <w:rsid w:val="031E038B"/>
    <w:rsid w:val="031E62CB"/>
    <w:rsid w:val="031F00A6"/>
    <w:rsid w:val="031F2043"/>
    <w:rsid w:val="031F3DF1"/>
    <w:rsid w:val="03200295"/>
    <w:rsid w:val="032011BB"/>
    <w:rsid w:val="03204B4E"/>
    <w:rsid w:val="032064E7"/>
    <w:rsid w:val="032066D4"/>
    <w:rsid w:val="0321400D"/>
    <w:rsid w:val="03215DBB"/>
    <w:rsid w:val="03217B69"/>
    <w:rsid w:val="03221180"/>
    <w:rsid w:val="03222C91"/>
    <w:rsid w:val="03227E5E"/>
    <w:rsid w:val="03231B33"/>
    <w:rsid w:val="0323202B"/>
    <w:rsid w:val="03237D85"/>
    <w:rsid w:val="03241293"/>
    <w:rsid w:val="03246D18"/>
    <w:rsid w:val="03247659"/>
    <w:rsid w:val="03252ABC"/>
    <w:rsid w:val="03253AFD"/>
    <w:rsid w:val="0325568D"/>
    <w:rsid w:val="032558AB"/>
    <w:rsid w:val="03256ABC"/>
    <w:rsid w:val="03257104"/>
    <w:rsid w:val="0326092D"/>
    <w:rsid w:val="032612BA"/>
    <w:rsid w:val="03261624"/>
    <w:rsid w:val="032633D2"/>
    <w:rsid w:val="03265180"/>
    <w:rsid w:val="032653DC"/>
    <w:rsid w:val="0326588B"/>
    <w:rsid w:val="03266B1D"/>
    <w:rsid w:val="03271846"/>
    <w:rsid w:val="03275A62"/>
    <w:rsid w:val="03277FAD"/>
    <w:rsid w:val="0328400E"/>
    <w:rsid w:val="03284559"/>
    <w:rsid w:val="0328714A"/>
    <w:rsid w:val="0329128F"/>
    <w:rsid w:val="032928CD"/>
    <w:rsid w:val="0329549E"/>
    <w:rsid w:val="03295B2D"/>
    <w:rsid w:val="03296B3B"/>
    <w:rsid w:val="032A4C70"/>
    <w:rsid w:val="032B053F"/>
    <w:rsid w:val="032B100B"/>
    <w:rsid w:val="032C298F"/>
    <w:rsid w:val="032C4A4F"/>
    <w:rsid w:val="032C4E8C"/>
    <w:rsid w:val="032D29B2"/>
    <w:rsid w:val="032D4760"/>
    <w:rsid w:val="032D5EC3"/>
    <w:rsid w:val="032D650E"/>
    <w:rsid w:val="032E14C4"/>
    <w:rsid w:val="032E26CA"/>
    <w:rsid w:val="032E4D47"/>
    <w:rsid w:val="032E7E80"/>
    <w:rsid w:val="032F04D8"/>
    <w:rsid w:val="032F1310"/>
    <w:rsid w:val="032F2286"/>
    <w:rsid w:val="032F3072"/>
    <w:rsid w:val="032F654A"/>
    <w:rsid w:val="032F672A"/>
    <w:rsid w:val="03301303"/>
    <w:rsid w:val="03303212"/>
    <w:rsid w:val="03303343"/>
    <w:rsid w:val="03305FFE"/>
    <w:rsid w:val="03307B90"/>
    <w:rsid w:val="0331105F"/>
    <w:rsid w:val="03311CEA"/>
    <w:rsid w:val="033124A2"/>
    <w:rsid w:val="03314DFF"/>
    <w:rsid w:val="03314FB5"/>
    <w:rsid w:val="03315CCB"/>
    <w:rsid w:val="03323B24"/>
    <w:rsid w:val="03324D85"/>
    <w:rsid w:val="0332621A"/>
    <w:rsid w:val="0334103C"/>
    <w:rsid w:val="03342DD1"/>
    <w:rsid w:val="033455DC"/>
    <w:rsid w:val="03345AEF"/>
    <w:rsid w:val="033479E0"/>
    <w:rsid w:val="03351867"/>
    <w:rsid w:val="03353615"/>
    <w:rsid w:val="03353A41"/>
    <w:rsid w:val="03355182"/>
    <w:rsid w:val="0335776B"/>
    <w:rsid w:val="03357A55"/>
    <w:rsid w:val="0336367E"/>
    <w:rsid w:val="03373831"/>
    <w:rsid w:val="0337496E"/>
    <w:rsid w:val="033755DF"/>
    <w:rsid w:val="03377919"/>
    <w:rsid w:val="033836AB"/>
    <w:rsid w:val="03391E1F"/>
    <w:rsid w:val="03393105"/>
    <w:rsid w:val="03394EB3"/>
    <w:rsid w:val="0339679F"/>
    <w:rsid w:val="03396A24"/>
    <w:rsid w:val="033A110F"/>
    <w:rsid w:val="033A1E33"/>
    <w:rsid w:val="033A2C9E"/>
    <w:rsid w:val="033A6712"/>
    <w:rsid w:val="033B3004"/>
    <w:rsid w:val="033B3AE3"/>
    <w:rsid w:val="033B433A"/>
    <w:rsid w:val="033B50CF"/>
    <w:rsid w:val="033B547E"/>
    <w:rsid w:val="033B67E2"/>
    <w:rsid w:val="033B68B4"/>
    <w:rsid w:val="033B6E7D"/>
    <w:rsid w:val="033C0E47"/>
    <w:rsid w:val="033C1779"/>
    <w:rsid w:val="033C2BF5"/>
    <w:rsid w:val="033C4C00"/>
    <w:rsid w:val="033C78F7"/>
    <w:rsid w:val="033D092D"/>
    <w:rsid w:val="033E071B"/>
    <w:rsid w:val="033E4BBF"/>
    <w:rsid w:val="033E5AC4"/>
    <w:rsid w:val="033F32C3"/>
    <w:rsid w:val="033F6234"/>
    <w:rsid w:val="034002B5"/>
    <w:rsid w:val="03400B54"/>
    <w:rsid w:val="034026E5"/>
    <w:rsid w:val="03404493"/>
    <w:rsid w:val="034076C4"/>
    <w:rsid w:val="0341020B"/>
    <w:rsid w:val="03411FB9"/>
    <w:rsid w:val="03414C8F"/>
    <w:rsid w:val="03414D01"/>
    <w:rsid w:val="0341645D"/>
    <w:rsid w:val="03416905"/>
    <w:rsid w:val="03424F94"/>
    <w:rsid w:val="03426E87"/>
    <w:rsid w:val="034312C3"/>
    <w:rsid w:val="03431BCB"/>
    <w:rsid w:val="03433F84"/>
    <w:rsid w:val="03435D32"/>
    <w:rsid w:val="034477C7"/>
    <w:rsid w:val="03450965"/>
    <w:rsid w:val="03451AAA"/>
    <w:rsid w:val="03452FC4"/>
    <w:rsid w:val="03455F4E"/>
    <w:rsid w:val="03457CFC"/>
    <w:rsid w:val="03463753"/>
    <w:rsid w:val="03463A74"/>
    <w:rsid w:val="034649C6"/>
    <w:rsid w:val="034675D0"/>
    <w:rsid w:val="0347577D"/>
    <w:rsid w:val="0347730F"/>
    <w:rsid w:val="034778B7"/>
    <w:rsid w:val="0348159A"/>
    <w:rsid w:val="034872E6"/>
    <w:rsid w:val="034877EC"/>
    <w:rsid w:val="034900E2"/>
    <w:rsid w:val="03491EB7"/>
    <w:rsid w:val="03494317"/>
    <w:rsid w:val="034A3347"/>
    <w:rsid w:val="034A3564"/>
    <w:rsid w:val="034A6B2C"/>
    <w:rsid w:val="034A70C0"/>
    <w:rsid w:val="034C3817"/>
    <w:rsid w:val="034C72DC"/>
    <w:rsid w:val="034D095E"/>
    <w:rsid w:val="034D1BBC"/>
    <w:rsid w:val="034D3E5D"/>
    <w:rsid w:val="034D4E02"/>
    <w:rsid w:val="034D6BB0"/>
    <w:rsid w:val="034E0C84"/>
    <w:rsid w:val="034E3158"/>
    <w:rsid w:val="034F0B7A"/>
    <w:rsid w:val="034F152E"/>
    <w:rsid w:val="034F2928"/>
    <w:rsid w:val="034F46D6"/>
    <w:rsid w:val="034F75F0"/>
    <w:rsid w:val="03500416"/>
    <w:rsid w:val="0350044F"/>
    <w:rsid w:val="03500649"/>
    <w:rsid w:val="03504024"/>
    <w:rsid w:val="035045CE"/>
    <w:rsid w:val="0350481B"/>
    <w:rsid w:val="03507156"/>
    <w:rsid w:val="03511AD9"/>
    <w:rsid w:val="035166A0"/>
    <w:rsid w:val="03517430"/>
    <w:rsid w:val="03520F1F"/>
    <w:rsid w:val="03522419"/>
    <w:rsid w:val="035241C7"/>
    <w:rsid w:val="0352429D"/>
    <w:rsid w:val="03525F75"/>
    <w:rsid w:val="0352701F"/>
    <w:rsid w:val="03530BAA"/>
    <w:rsid w:val="035439F7"/>
    <w:rsid w:val="03546191"/>
    <w:rsid w:val="03552909"/>
    <w:rsid w:val="03553102"/>
    <w:rsid w:val="03557AFD"/>
    <w:rsid w:val="03561F09"/>
    <w:rsid w:val="03563CB7"/>
    <w:rsid w:val="035644BB"/>
    <w:rsid w:val="03564C06"/>
    <w:rsid w:val="035654B0"/>
    <w:rsid w:val="035662B5"/>
    <w:rsid w:val="0356706E"/>
    <w:rsid w:val="035717DD"/>
    <w:rsid w:val="035723C1"/>
    <w:rsid w:val="03575C81"/>
    <w:rsid w:val="03575F15"/>
    <w:rsid w:val="0358051C"/>
    <w:rsid w:val="03581012"/>
    <w:rsid w:val="035839B4"/>
    <w:rsid w:val="03586DDB"/>
    <w:rsid w:val="0359026B"/>
    <w:rsid w:val="035937A7"/>
    <w:rsid w:val="03597303"/>
    <w:rsid w:val="035A13E3"/>
    <w:rsid w:val="035A243A"/>
    <w:rsid w:val="035A25B5"/>
    <w:rsid w:val="035A307B"/>
    <w:rsid w:val="035A42CC"/>
    <w:rsid w:val="035A4CAD"/>
    <w:rsid w:val="035B0276"/>
    <w:rsid w:val="035B5C16"/>
    <w:rsid w:val="035B6E9D"/>
    <w:rsid w:val="035B751F"/>
    <w:rsid w:val="035C032D"/>
    <w:rsid w:val="035C3A22"/>
    <w:rsid w:val="035C6DF3"/>
    <w:rsid w:val="035C762A"/>
    <w:rsid w:val="035D10A2"/>
    <w:rsid w:val="035D17BD"/>
    <w:rsid w:val="035D32DE"/>
    <w:rsid w:val="035D3CD4"/>
    <w:rsid w:val="035D4954"/>
    <w:rsid w:val="035E01B3"/>
    <w:rsid w:val="035E2B6B"/>
    <w:rsid w:val="035E4919"/>
    <w:rsid w:val="035E5352"/>
    <w:rsid w:val="035E581E"/>
    <w:rsid w:val="035F2367"/>
    <w:rsid w:val="035F6345"/>
    <w:rsid w:val="035F6CAE"/>
    <w:rsid w:val="03600692"/>
    <w:rsid w:val="03603933"/>
    <w:rsid w:val="03606962"/>
    <w:rsid w:val="03617B21"/>
    <w:rsid w:val="03620D00"/>
    <w:rsid w:val="03621A93"/>
    <w:rsid w:val="03621F9A"/>
    <w:rsid w:val="03630182"/>
    <w:rsid w:val="0363076D"/>
    <w:rsid w:val="0363175D"/>
    <w:rsid w:val="03632DC9"/>
    <w:rsid w:val="03634626"/>
    <w:rsid w:val="03635D66"/>
    <w:rsid w:val="036363D4"/>
    <w:rsid w:val="03643306"/>
    <w:rsid w:val="03643B29"/>
    <w:rsid w:val="03645645"/>
    <w:rsid w:val="0364747B"/>
    <w:rsid w:val="0365214C"/>
    <w:rsid w:val="03653D6D"/>
    <w:rsid w:val="03653EFA"/>
    <w:rsid w:val="03661A20"/>
    <w:rsid w:val="03663FB0"/>
    <w:rsid w:val="0366495B"/>
    <w:rsid w:val="03665AD3"/>
    <w:rsid w:val="03667C72"/>
    <w:rsid w:val="036730D0"/>
    <w:rsid w:val="036743EC"/>
    <w:rsid w:val="03674964"/>
    <w:rsid w:val="03675EC4"/>
    <w:rsid w:val="0367724A"/>
    <w:rsid w:val="03681C3C"/>
    <w:rsid w:val="036839EA"/>
    <w:rsid w:val="03685E9F"/>
    <w:rsid w:val="0369010A"/>
    <w:rsid w:val="036926C6"/>
    <w:rsid w:val="036A030F"/>
    <w:rsid w:val="036A1510"/>
    <w:rsid w:val="036A59B4"/>
    <w:rsid w:val="036A7762"/>
    <w:rsid w:val="036B462D"/>
    <w:rsid w:val="036B5288"/>
    <w:rsid w:val="036B52E6"/>
    <w:rsid w:val="036C34DA"/>
    <w:rsid w:val="036D1000"/>
    <w:rsid w:val="036D2DAF"/>
    <w:rsid w:val="036D6FDA"/>
    <w:rsid w:val="036E009C"/>
    <w:rsid w:val="036E2742"/>
    <w:rsid w:val="036E3246"/>
    <w:rsid w:val="036F2FCB"/>
    <w:rsid w:val="036F510D"/>
    <w:rsid w:val="036F6B27"/>
    <w:rsid w:val="0370464D"/>
    <w:rsid w:val="0371289F"/>
    <w:rsid w:val="03716D43"/>
    <w:rsid w:val="037203C5"/>
    <w:rsid w:val="0372306B"/>
    <w:rsid w:val="03726617"/>
    <w:rsid w:val="037270A9"/>
    <w:rsid w:val="03732DE6"/>
    <w:rsid w:val="037339E3"/>
    <w:rsid w:val="03733C5F"/>
    <w:rsid w:val="03735124"/>
    <w:rsid w:val="037408D7"/>
    <w:rsid w:val="0374238F"/>
    <w:rsid w:val="03744328"/>
    <w:rsid w:val="037465B4"/>
    <w:rsid w:val="03761410"/>
    <w:rsid w:val="03764359"/>
    <w:rsid w:val="03766107"/>
    <w:rsid w:val="03770DEC"/>
    <w:rsid w:val="03771213"/>
    <w:rsid w:val="037800D1"/>
    <w:rsid w:val="03782ED4"/>
    <w:rsid w:val="03786553"/>
    <w:rsid w:val="03791753"/>
    <w:rsid w:val="03792426"/>
    <w:rsid w:val="03792EE3"/>
    <w:rsid w:val="03794DD4"/>
    <w:rsid w:val="03797855"/>
    <w:rsid w:val="037A0CE5"/>
    <w:rsid w:val="037A38B6"/>
    <w:rsid w:val="037A3B41"/>
    <w:rsid w:val="037B04F6"/>
    <w:rsid w:val="037B44B5"/>
    <w:rsid w:val="037B4D46"/>
    <w:rsid w:val="037B54CB"/>
    <w:rsid w:val="037B768C"/>
    <w:rsid w:val="037C5803"/>
    <w:rsid w:val="037C7496"/>
    <w:rsid w:val="037D0E27"/>
    <w:rsid w:val="037D124D"/>
    <w:rsid w:val="037D3E00"/>
    <w:rsid w:val="037D56E7"/>
    <w:rsid w:val="037D7666"/>
    <w:rsid w:val="037E2237"/>
    <w:rsid w:val="037E320E"/>
    <w:rsid w:val="037E6D6A"/>
    <w:rsid w:val="037F55BF"/>
    <w:rsid w:val="03800D34"/>
    <w:rsid w:val="03802553"/>
    <w:rsid w:val="03807728"/>
    <w:rsid w:val="038110CF"/>
    <w:rsid w:val="03812400"/>
    <w:rsid w:val="0381685A"/>
    <w:rsid w:val="038203D4"/>
    <w:rsid w:val="03821861"/>
    <w:rsid w:val="03822CFE"/>
    <w:rsid w:val="03830824"/>
    <w:rsid w:val="038325D2"/>
    <w:rsid w:val="038338A5"/>
    <w:rsid w:val="03836A76"/>
    <w:rsid w:val="0384057F"/>
    <w:rsid w:val="03842A81"/>
    <w:rsid w:val="03845AE4"/>
    <w:rsid w:val="038462CE"/>
    <w:rsid w:val="03846D97"/>
    <w:rsid w:val="03847539"/>
    <w:rsid w:val="03854510"/>
    <w:rsid w:val="0385459C"/>
    <w:rsid w:val="038548E1"/>
    <w:rsid w:val="0385634A"/>
    <w:rsid w:val="03856847"/>
    <w:rsid w:val="03861E59"/>
    <w:rsid w:val="03866968"/>
    <w:rsid w:val="03867D4B"/>
    <w:rsid w:val="03870314"/>
    <w:rsid w:val="038720C2"/>
    <w:rsid w:val="038722EC"/>
    <w:rsid w:val="03875D09"/>
    <w:rsid w:val="038768FD"/>
    <w:rsid w:val="0388060B"/>
    <w:rsid w:val="03883C99"/>
    <w:rsid w:val="03885E3A"/>
    <w:rsid w:val="03891DB3"/>
    <w:rsid w:val="0389734A"/>
    <w:rsid w:val="038A07DA"/>
    <w:rsid w:val="038A1BB2"/>
    <w:rsid w:val="038A33AB"/>
    <w:rsid w:val="038A3960"/>
    <w:rsid w:val="038A570F"/>
    <w:rsid w:val="038A7E04"/>
    <w:rsid w:val="038B0293"/>
    <w:rsid w:val="038B483B"/>
    <w:rsid w:val="038C592B"/>
    <w:rsid w:val="038C76D9"/>
    <w:rsid w:val="038D16A3"/>
    <w:rsid w:val="038D3451"/>
    <w:rsid w:val="038D3B93"/>
    <w:rsid w:val="038E0289"/>
    <w:rsid w:val="038E1D2C"/>
    <w:rsid w:val="038E4347"/>
    <w:rsid w:val="038F0F77"/>
    <w:rsid w:val="038F1A7B"/>
    <w:rsid w:val="038F3D7E"/>
    <w:rsid w:val="038F464C"/>
    <w:rsid w:val="038F4AD6"/>
    <w:rsid w:val="038F71C9"/>
    <w:rsid w:val="039051B2"/>
    <w:rsid w:val="03905ADC"/>
    <w:rsid w:val="03910A21"/>
    <w:rsid w:val="03912F41"/>
    <w:rsid w:val="0391510F"/>
    <w:rsid w:val="039203FC"/>
    <w:rsid w:val="0392072B"/>
    <w:rsid w:val="03920C44"/>
    <w:rsid w:val="039211E8"/>
    <w:rsid w:val="03921B3D"/>
    <w:rsid w:val="03931C0F"/>
    <w:rsid w:val="03932FCD"/>
    <w:rsid w:val="03934883"/>
    <w:rsid w:val="03934C51"/>
    <w:rsid w:val="039361B3"/>
    <w:rsid w:val="03936CB9"/>
    <w:rsid w:val="03936EA0"/>
    <w:rsid w:val="03942A31"/>
    <w:rsid w:val="0394445D"/>
    <w:rsid w:val="0394658D"/>
    <w:rsid w:val="0394702E"/>
    <w:rsid w:val="03951B0E"/>
    <w:rsid w:val="03953DFB"/>
    <w:rsid w:val="03954037"/>
    <w:rsid w:val="03960557"/>
    <w:rsid w:val="0396194E"/>
    <w:rsid w:val="03963238"/>
    <w:rsid w:val="03966ACE"/>
    <w:rsid w:val="039703BB"/>
    <w:rsid w:val="039703E0"/>
    <w:rsid w:val="0397607D"/>
    <w:rsid w:val="03982B9A"/>
    <w:rsid w:val="039842CF"/>
    <w:rsid w:val="039859AF"/>
    <w:rsid w:val="0398630E"/>
    <w:rsid w:val="03986975"/>
    <w:rsid w:val="03987992"/>
    <w:rsid w:val="03990047"/>
    <w:rsid w:val="03991DF6"/>
    <w:rsid w:val="0399335C"/>
    <w:rsid w:val="03993BA4"/>
    <w:rsid w:val="03993C05"/>
    <w:rsid w:val="03995D4F"/>
    <w:rsid w:val="039A058F"/>
    <w:rsid w:val="039A2138"/>
    <w:rsid w:val="039A563F"/>
    <w:rsid w:val="039B255D"/>
    <w:rsid w:val="039B28B0"/>
    <w:rsid w:val="039B3DC0"/>
    <w:rsid w:val="039B407E"/>
    <w:rsid w:val="039B4330"/>
    <w:rsid w:val="039B51AA"/>
    <w:rsid w:val="039C3694"/>
    <w:rsid w:val="039C407F"/>
    <w:rsid w:val="039C5442"/>
    <w:rsid w:val="039C7BA3"/>
    <w:rsid w:val="039D10D8"/>
    <w:rsid w:val="039D18E6"/>
    <w:rsid w:val="039D5B35"/>
    <w:rsid w:val="039D6D15"/>
    <w:rsid w:val="039E11BA"/>
    <w:rsid w:val="039E2CB1"/>
    <w:rsid w:val="039E565E"/>
    <w:rsid w:val="039E740C"/>
    <w:rsid w:val="039F0C9A"/>
    <w:rsid w:val="039F24A3"/>
    <w:rsid w:val="039F28A4"/>
    <w:rsid w:val="039F34D6"/>
    <w:rsid w:val="03A03D81"/>
    <w:rsid w:val="03A04F32"/>
    <w:rsid w:val="03A10CAA"/>
    <w:rsid w:val="03A16A61"/>
    <w:rsid w:val="03A17E8B"/>
    <w:rsid w:val="03A23D55"/>
    <w:rsid w:val="03A2514E"/>
    <w:rsid w:val="03A31381"/>
    <w:rsid w:val="03A32C74"/>
    <w:rsid w:val="03A367D0"/>
    <w:rsid w:val="03A40E71"/>
    <w:rsid w:val="03A430AB"/>
    <w:rsid w:val="03A4632C"/>
    <w:rsid w:val="03A5079A"/>
    <w:rsid w:val="03A52453"/>
    <w:rsid w:val="03A53375"/>
    <w:rsid w:val="03A55280"/>
    <w:rsid w:val="03A553E2"/>
    <w:rsid w:val="03A557D7"/>
    <w:rsid w:val="03A569EC"/>
    <w:rsid w:val="03A6122B"/>
    <w:rsid w:val="03A6249E"/>
    <w:rsid w:val="03A62D53"/>
    <w:rsid w:val="03A72272"/>
    <w:rsid w:val="03A72998"/>
    <w:rsid w:val="03A74512"/>
    <w:rsid w:val="03A762C0"/>
    <w:rsid w:val="03A8028B"/>
    <w:rsid w:val="03A951F3"/>
    <w:rsid w:val="03A964DC"/>
    <w:rsid w:val="03AA1254"/>
    <w:rsid w:val="03AA1971"/>
    <w:rsid w:val="03AA2CC4"/>
    <w:rsid w:val="03AA2FAF"/>
    <w:rsid w:val="03AA4003"/>
    <w:rsid w:val="03AA5DB1"/>
    <w:rsid w:val="03AA5ED2"/>
    <w:rsid w:val="03AA6683"/>
    <w:rsid w:val="03AA78F8"/>
    <w:rsid w:val="03AA7DC4"/>
    <w:rsid w:val="03AB0719"/>
    <w:rsid w:val="03AB1DDD"/>
    <w:rsid w:val="03AB68EA"/>
    <w:rsid w:val="03AC0A84"/>
    <w:rsid w:val="03AC1B29"/>
    <w:rsid w:val="03AC2D81"/>
    <w:rsid w:val="03AC3B74"/>
    <w:rsid w:val="03AC3DBD"/>
    <w:rsid w:val="03AD05F5"/>
    <w:rsid w:val="03AD4D2E"/>
    <w:rsid w:val="03AD58A1"/>
    <w:rsid w:val="03AD6D27"/>
    <w:rsid w:val="03AE1CD2"/>
    <w:rsid w:val="03AE23F1"/>
    <w:rsid w:val="03AE3AF3"/>
    <w:rsid w:val="03AE4595"/>
    <w:rsid w:val="03AE6494"/>
    <w:rsid w:val="03AE75E1"/>
    <w:rsid w:val="03AE7BD5"/>
    <w:rsid w:val="03AF1619"/>
    <w:rsid w:val="03AF33C7"/>
    <w:rsid w:val="03AF3C36"/>
    <w:rsid w:val="03AF616D"/>
    <w:rsid w:val="03AF74EB"/>
    <w:rsid w:val="03AF786B"/>
    <w:rsid w:val="03B00290"/>
    <w:rsid w:val="03B03C04"/>
    <w:rsid w:val="03B04F6B"/>
    <w:rsid w:val="03B10EED"/>
    <w:rsid w:val="03B12B27"/>
    <w:rsid w:val="03B1713F"/>
    <w:rsid w:val="03B210F7"/>
    <w:rsid w:val="03B22EB7"/>
    <w:rsid w:val="03B24C65"/>
    <w:rsid w:val="03B25314"/>
    <w:rsid w:val="03B2781F"/>
    <w:rsid w:val="03B336B0"/>
    <w:rsid w:val="03B35170"/>
    <w:rsid w:val="03B40390"/>
    <w:rsid w:val="03B44E81"/>
    <w:rsid w:val="03B46C2F"/>
    <w:rsid w:val="03B50E48"/>
    <w:rsid w:val="03B50F2A"/>
    <w:rsid w:val="03B60BF9"/>
    <w:rsid w:val="03B61135"/>
    <w:rsid w:val="03B629A7"/>
    <w:rsid w:val="03B63C7C"/>
    <w:rsid w:val="03B6459B"/>
    <w:rsid w:val="03B646D5"/>
    <w:rsid w:val="03B64756"/>
    <w:rsid w:val="03B66504"/>
    <w:rsid w:val="03B677F7"/>
    <w:rsid w:val="03B70C87"/>
    <w:rsid w:val="03B734E6"/>
    <w:rsid w:val="03B76E9E"/>
    <w:rsid w:val="03B77E93"/>
    <w:rsid w:val="03B804CE"/>
    <w:rsid w:val="03B80955"/>
    <w:rsid w:val="03B82117"/>
    <w:rsid w:val="03B83858"/>
    <w:rsid w:val="03B94246"/>
    <w:rsid w:val="03B94CE8"/>
    <w:rsid w:val="03B95248"/>
    <w:rsid w:val="03BA00D8"/>
    <w:rsid w:val="03BA0D49"/>
    <w:rsid w:val="03BA5FA7"/>
    <w:rsid w:val="03BB08A6"/>
    <w:rsid w:val="03BB0F7A"/>
    <w:rsid w:val="03BB1D6C"/>
    <w:rsid w:val="03BB232C"/>
    <w:rsid w:val="03BB25AE"/>
    <w:rsid w:val="03BB45AA"/>
    <w:rsid w:val="03BB4952"/>
    <w:rsid w:val="03BB7608"/>
    <w:rsid w:val="03BB7FBE"/>
    <w:rsid w:val="03BC7892"/>
    <w:rsid w:val="03BD578F"/>
    <w:rsid w:val="03BD5AE4"/>
    <w:rsid w:val="03BD623A"/>
    <w:rsid w:val="03BE160D"/>
    <w:rsid w:val="03BE3301"/>
    <w:rsid w:val="03BE76CA"/>
    <w:rsid w:val="03BF3924"/>
    <w:rsid w:val="03BF4E0E"/>
    <w:rsid w:val="03BF6974"/>
    <w:rsid w:val="03BF72D6"/>
    <w:rsid w:val="03C04BBB"/>
    <w:rsid w:val="03C055D4"/>
    <w:rsid w:val="03C07382"/>
    <w:rsid w:val="03C1490A"/>
    <w:rsid w:val="03C1667A"/>
    <w:rsid w:val="03C20C85"/>
    <w:rsid w:val="03C2134C"/>
    <w:rsid w:val="03C230FA"/>
    <w:rsid w:val="03C26973"/>
    <w:rsid w:val="03C2759E"/>
    <w:rsid w:val="03C3096B"/>
    <w:rsid w:val="03C3333F"/>
    <w:rsid w:val="03C350C4"/>
    <w:rsid w:val="03C4353C"/>
    <w:rsid w:val="03C43FFD"/>
    <w:rsid w:val="03C449CC"/>
    <w:rsid w:val="03C463D0"/>
    <w:rsid w:val="03C46BB5"/>
    <w:rsid w:val="03C50E3C"/>
    <w:rsid w:val="03C5171F"/>
    <w:rsid w:val="03C52BEB"/>
    <w:rsid w:val="03C53967"/>
    <w:rsid w:val="03C54999"/>
    <w:rsid w:val="03C64541"/>
    <w:rsid w:val="03C6471B"/>
    <w:rsid w:val="03C6588F"/>
    <w:rsid w:val="03C704D6"/>
    <w:rsid w:val="03C70711"/>
    <w:rsid w:val="03C72CA0"/>
    <w:rsid w:val="03C76963"/>
    <w:rsid w:val="03C821FC"/>
    <w:rsid w:val="03C84489"/>
    <w:rsid w:val="03C9092D"/>
    <w:rsid w:val="03C926DB"/>
    <w:rsid w:val="03C92813"/>
    <w:rsid w:val="03CA1FAF"/>
    <w:rsid w:val="03CA4762"/>
    <w:rsid w:val="03CB15BF"/>
    <w:rsid w:val="03CB1BE4"/>
    <w:rsid w:val="03CB1FDA"/>
    <w:rsid w:val="03CC07A2"/>
    <w:rsid w:val="03CC21CB"/>
    <w:rsid w:val="03CC38D4"/>
    <w:rsid w:val="03CC3F79"/>
    <w:rsid w:val="03CC5D27"/>
    <w:rsid w:val="03CD19B7"/>
    <w:rsid w:val="03CD1A9F"/>
    <w:rsid w:val="03CD2C61"/>
    <w:rsid w:val="03CD394B"/>
    <w:rsid w:val="03CE1846"/>
    <w:rsid w:val="03CE5A7E"/>
    <w:rsid w:val="03CE5F43"/>
    <w:rsid w:val="03CE7CF1"/>
    <w:rsid w:val="03CF419D"/>
    <w:rsid w:val="03CF6F0E"/>
    <w:rsid w:val="03CF75C5"/>
    <w:rsid w:val="03D025A8"/>
    <w:rsid w:val="03D02F6F"/>
    <w:rsid w:val="03D04A5A"/>
    <w:rsid w:val="03D061E4"/>
    <w:rsid w:val="03D16E47"/>
    <w:rsid w:val="03D171B2"/>
    <w:rsid w:val="03D176EF"/>
    <w:rsid w:val="03D224BD"/>
    <w:rsid w:val="03D22BD2"/>
    <w:rsid w:val="03D33F23"/>
    <w:rsid w:val="03D34673"/>
    <w:rsid w:val="03D348AC"/>
    <w:rsid w:val="03D35307"/>
    <w:rsid w:val="03D35B49"/>
    <w:rsid w:val="03D41080"/>
    <w:rsid w:val="03D42E2E"/>
    <w:rsid w:val="03D472D2"/>
    <w:rsid w:val="03D52D80"/>
    <w:rsid w:val="03D52F56"/>
    <w:rsid w:val="03D567D9"/>
    <w:rsid w:val="03D60A54"/>
    <w:rsid w:val="03D62CD5"/>
    <w:rsid w:val="03D657E6"/>
    <w:rsid w:val="03D66BA6"/>
    <w:rsid w:val="03D75FB2"/>
    <w:rsid w:val="03D75FE1"/>
    <w:rsid w:val="03D8291E"/>
    <w:rsid w:val="03D84273"/>
    <w:rsid w:val="03D91752"/>
    <w:rsid w:val="03D96696"/>
    <w:rsid w:val="03DA27DF"/>
    <w:rsid w:val="03DA4541"/>
    <w:rsid w:val="03DA4C9E"/>
    <w:rsid w:val="03DB0081"/>
    <w:rsid w:val="03DB0660"/>
    <w:rsid w:val="03DB121C"/>
    <w:rsid w:val="03DB240E"/>
    <w:rsid w:val="03DB352F"/>
    <w:rsid w:val="03DB41BC"/>
    <w:rsid w:val="03DB4C65"/>
    <w:rsid w:val="03DB6BF1"/>
    <w:rsid w:val="03DC1511"/>
    <w:rsid w:val="03DD29A1"/>
    <w:rsid w:val="03DD6186"/>
    <w:rsid w:val="03DD769E"/>
    <w:rsid w:val="03DD7B07"/>
    <w:rsid w:val="03DE1176"/>
    <w:rsid w:val="03DE197F"/>
    <w:rsid w:val="03DE35EF"/>
    <w:rsid w:val="03DE3727"/>
    <w:rsid w:val="03DF25F3"/>
    <w:rsid w:val="03DF4B90"/>
    <w:rsid w:val="03DF70E9"/>
    <w:rsid w:val="03E004D9"/>
    <w:rsid w:val="03E00AD0"/>
    <w:rsid w:val="03E017D2"/>
    <w:rsid w:val="03E04B6A"/>
    <w:rsid w:val="03E04C84"/>
    <w:rsid w:val="03E05C76"/>
    <w:rsid w:val="03E06657"/>
    <w:rsid w:val="03E06D69"/>
    <w:rsid w:val="03E07199"/>
    <w:rsid w:val="03E11322"/>
    <w:rsid w:val="03E13EF3"/>
    <w:rsid w:val="03E16C4E"/>
    <w:rsid w:val="03E16CBF"/>
    <w:rsid w:val="03E17915"/>
    <w:rsid w:val="03E219EE"/>
    <w:rsid w:val="03E21E8B"/>
    <w:rsid w:val="03E2554B"/>
    <w:rsid w:val="03E312C3"/>
    <w:rsid w:val="03E33071"/>
    <w:rsid w:val="03E337EF"/>
    <w:rsid w:val="03E341CD"/>
    <w:rsid w:val="03E413E4"/>
    <w:rsid w:val="03E46B9E"/>
    <w:rsid w:val="03E47515"/>
    <w:rsid w:val="03E53491"/>
    <w:rsid w:val="03E5590A"/>
    <w:rsid w:val="03E55A27"/>
    <w:rsid w:val="03E609EE"/>
    <w:rsid w:val="03E6714D"/>
    <w:rsid w:val="03E70DB3"/>
    <w:rsid w:val="03E72B61"/>
    <w:rsid w:val="03E7552B"/>
    <w:rsid w:val="03E75954"/>
    <w:rsid w:val="03E80687"/>
    <w:rsid w:val="03E811F5"/>
    <w:rsid w:val="03E84A27"/>
    <w:rsid w:val="03E86393"/>
    <w:rsid w:val="03E903D5"/>
    <w:rsid w:val="03E912DA"/>
    <w:rsid w:val="03E93A8E"/>
    <w:rsid w:val="03E94B2B"/>
    <w:rsid w:val="03E9547A"/>
    <w:rsid w:val="03E97CD4"/>
    <w:rsid w:val="03EA08A3"/>
    <w:rsid w:val="03EA2651"/>
    <w:rsid w:val="03EA5256"/>
    <w:rsid w:val="03EA76C0"/>
    <w:rsid w:val="03EA7B21"/>
    <w:rsid w:val="03EB097D"/>
    <w:rsid w:val="03EB2744"/>
    <w:rsid w:val="03EC0177"/>
    <w:rsid w:val="03EC0CDF"/>
    <w:rsid w:val="03EC264C"/>
    <w:rsid w:val="03EC2FDD"/>
    <w:rsid w:val="03ED2496"/>
    <w:rsid w:val="03ED68D9"/>
    <w:rsid w:val="03EE0393"/>
    <w:rsid w:val="03EE2141"/>
    <w:rsid w:val="03EE3926"/>
    <w:rsid w:val="03EE3EEF"/>
    <w:rsid w:val="03EF0C5F"/>
    <w:rsid w:val="03EF5EB9"/>
    <w:rsid w:val="03EF7C67"/>
    <w:rsid w:val="03F02558"/>
    <w:rsid w:val="03F028D7"/>
    <w:rsid w:val="03F139E0"/>
    <w:rsid w:val="03F1578E"/>
    <w:rsid w:val="03F22E3E"/>
    <w:rsid w:val="03F25030"/>
    <w:rsid w:val="03F35454"/>
    <w:rsid w:val="03F35B74"/>
    <w:rsid w:val="03F37758"/>
    <w:rsid w:val="03F40ED9"/>
    <w:rsid w:val="03F43BAA"/>
    <w:rsid w:val="03F44B88"/>
    <w:rsid w:val="03F4527E"/>
    <w:rsid w:val="03F4702C"/>
    <w:rsid w:val="03F50C28"/>
    <w:rsid w:val="03F51722"/>
    <w:rsid w:val="03F54334"/>
    <w:rsid w:val="03F620CD"/>
    <w:rsid w:val="03F62DA4"/>
    <w:rsid w:val="03F64C89"/>
    <w:rsid w:val="03F668A6"/>
    <w:rsid w:val="03F67248"/>
    <w:rsid w:val="03F67A9F"/>
    <w:rsid w:val="03F70CE9"/>
    <w:rsid w:val="03F70EE7"/>
    <w:rsid w:val="03F7499C"/>
    <w:rsid w:val="03F74F30"/>
    <w:rsid w:val="03F77A43"/>
    <w:rsid w:val="03F80CEA"/>
    <w:rsid w:val="03F84D6E"/>
    <w:rsid w:val="03F915E9"/>
    <w:rsid w:val="03F97E85"/>
    <w:rsid w:val="03FA1EE1"/>
    <w:rsid w:val="03FA61DB"/>
    <w:rsid w:val="03FA7C7C"/>
    <w:rsid w:val="03FB03BA"/>
    <w:rsid w:val="03FB485E"/>
    <w:rsid w:val="03FB660C"/>
    <w:rsid w:val="03FB766B"/>
    <w:rsid w:val="03FC449E"/>
    <w:rsid w:val="03FC5F2A"/>
    <w:rsid w:val="03FC6ED0"/>
    <w:rsid w:val="03FD05D6"/>
    <w:rsid w:val="03FD0AA2"/>
    <w:rsid w:val="03FD1D92"/>
    <w:rsid w:val="03FD1F8B"/>
    <w:rsid w:val="03FE41EE"/>
    <w:rsid w:val="03FE7EAB"/>
    <w:rsid w:val="03FF48AB"/>
    <w:rsid w:val="03FF5FEC"/>
    <w:rsid w:val="03FF60FC"/>
    <w:rsid w:val="0400399D"/>
    <w:rsid w:val="0400747C"/>
    <w:rsid w:val="040134DD"/>
    <w:rsid w:val="040137DD"/>
    <w:rsid w:val="040154C3"/>
    <w:rsid w:val="04017075"/>
    <w:rsid w:val="040177F9"/>
    <w:rsid w:val="04020CD6"/>
    <w:rsid w:val="04021373"/>
    <w:rsid w:val="04021749"/>
    <w:rsid w:val="0402322C"/>
    <w:rsid w:val="04025ABC"/>
    <w:rsid w:val="04025BED"/>
    <w:rsid w:val="04025E7E"/>
    <w:rsid w:val="0402799B"/>
    <w:rsid w:val="040354C1"/>
    <w:rsid w:val="04035A45"/>
    <w:rsid w:val="0404079F"/>
    <w:rsid w:val="04041965"/>
    <w:rsid w:val="04041FA7"/>
    <w:rsid w:val="04043713"/>
    <w:rsid w:val="04046137"/>
    <w:rsid w:val="04047CCB"/>
    <w:rsid w:val="04050CD2"/>
    <w:rsid w:val="04051239"/>
    <w:rsid w:val="04051E5E"/>
    <w:rsid w:val="040556DD"/>
    <w:rsid w:val="0405748B"/>
    <w:rsid w:val="0406756F"/>
    <w:rsid w:val="04074FB1"/>
    <w:rsid w:val="04080DCC"/>
    <w:rsid w:val="04082AD7"/>
    <w:rsid w:val="04084306"/>
    <w:rsid w:val="04085CDA"/>
    <w:rsid w:val="0408709E"/>
    <w:rsid w:val="04091561"/>
    <w:rsid w:val="04096F7B"/>
    <w:rsid w:val="040976D6"/>
    <w:rsid w:val="040A1839"/>
    <w:rsid w:val="040A299C"/>
    <w:rsid w:val="040A2CF3"/>
    <w:rsid w:val="040A30FF"/>
    <w:rsid w:val="040A32A7"/>
    <w:rsid w:val="040A4AA1"/>
    <w:rsid w:val="040A684F"/>
    <w:rsid w:val="040B1E30"/>
    <w:rsid w:val="040B57A7"/>
    <w:rsid w:val="040B612B"/>
    <w:rsid w:val="040C0819"/>
    <w:rsid w:val="040C1215"/>
    <w:rsid w:val="040C25C7"/>
    <w:rsid w:val="040C2A1E"/>
    <w:rsid w:val="040C49C7"/>
    <w:rsid w:val="040C6A6B"/>
    <w:rsid w:val="040D00EE"/>
    <w:rsid w:val="040D0423"/>
    <w:rsid w:val="040D0D81"/>
    <w:rsid w:val="040D1022"/>
    <w:rsid w:val="040D6EAF"/>
    <w:rsid w:val="040E11D0"/>
    <w:rsid w:val="040E230F"/>
    <w:rsid w:val="040E27E3"/>
    <w:rsid w:val="040E4592"/>
    <w:rsid w:val="040E548E"/>
    <w:rsid w:val="040E6340"/>
    <w:rsid w:val="040F20B8"/>
    <w:rsid w:val="040F4776"/>
    <w:rsid w:val="040F5AE1"/>
    <w:rsid w:val="041001C4"/>
    <w:rsid w:val="0410030A"/>
    <w:rsid w:val="04100401"/>
    <w:rsid w:val="04111891"/>
    <w:rsid w:val="04115E30"/>
    <w:rsid w:val="041161C8"/>
    <w:rsid w:val="04117BDE"/>
    <w:rsid w:val="041203DE"/>
    <w:rsid w:val="041227F8"/>
    <w:rsid w:val="04126254"/>
    <w:rsid w:val="0412795D"/>
    <w:rsid w:val="04130A6B"/>
    <w:rsid w:val="04131BA8"/>
    <w:rsid w:val="041328BF"/>
    <w:rsid w:val="04133956"/>
    <w:rsid w:val="0413414A"/>
    <w:rsid w:val="04134A25"/>
    <w:rsid w:val="04137DFA"/>
    <w:rsid w:val="0414147C"/>
    <w:rsid w:val="04141B44"/>
    <w:rsid w:val="041534AD"/>
    <w:rsid w:val="04153DCC"/>
    <w:rsid w:val="0415532F"/>
    <w:rsid w:val="04155920"/>
    <w:rsid w:val="041616A2"/>
    <w:rsid w:val="04163446"/>
    <w:rsid w:val="0416409B"/>
    <w:rsid w:val="041651F4"/>
    <w:rsid w:val="041651F5"/>
    <w:rsid w:val="041721AA"/>
    <w:rsid w:val="041805F4"/>
    <w:rsid w:val="0418069F"/>
    <w:rsid w:val="04180F6C"/>
    <w:rsid w:val="04185410"/>
    <w:rsid w:val="041901BA"/>
    <w:rsid w:val="04191764"/>
    <w:rsid w:val="04191CEA"/>
    <w:rsid w:val="041A1188"/>
    <w:rsid w:val="041A14B3"/>
    <w:rsid w:val="041A2A28"/>
    <w:rsid w:val="041A2BF4"/>
    <w:rsid w:val="041A2EBB"/>
    <w:rsid w:val="041B280B"/>
    <w:rsid w:val="041B68E0"/>
    <w:rsid w:val="041C00E5"/>
    <w:rsid w:val="041C59D8"/>
    <w:rsid w:val="041D414D"/>
    <w:rsid w:val="041D6583"/>
    <w:rsid w:val="041E22FB"/>
    <w:rsid w:val="041E2A05"/>
    <w:rsid w:val="041E2F50"/>
    <w:rsid w:val="041E58FF"/>
    <w:rsid w:val="041E6EF4"/>
    <w:rsid w:val="041F37E6"/>
    <w:rsid w:val="041F3E95"/>
    <w:rsid w:val="04202E24"/>
    <w:rsid w:val="04206F46"/>
    <w:rsid w:val="04207E21"/>
    <w:rsid w:val="04210871"/>
    <w:rsid w:val="04211386"/>
    <w:rsid w:val="04212517"/>
    <w:rsid w:val="042167B5"/>
    <w:rsid w:val="0421758F"/>
    <w:rsid w:val="04221DEB"/>
    <w:rsid w:val="04222816"/>
    <w:rsid w:val="04223B99"/>
    <w:rsid w:val="04226483"/>
    <w:rsid w:val="042277B0"/>
    <w:rsid w:val="042307FC"/>
    <w:rsid w:val="04230FBC"/>
    <w:rsid w:val="04245B63"/>
    <w:rsid w:val="04246877"/>
    <w:rsid w:val="04247911"/>
    <w:rsid w:val="0425149B"/>
    <w:rsid w:val="042518DB"/>
    <w:rsid w:val="04253689"/>
    <w:rsid w:val="04260110"/>
    <w:rsid w:val="042602AD"/>
    <w:rsid w:val="04260999"/>
    <w:rsid w:val="04261197"/>
    <w:rsid w:val="04263D68"/>
    <w:rsid w:val="042711AF"/>
    <w:rsid w:val="042712A7"/>
    <w:rsid w:val="0427212D"/>
    <w:rsid w:val="0427257C"/>
    <w:rsid w:val="042744E0"/>
    <w:rsid w:val="04281083"/>
    <w:rsid w:val="04283AB7"/>
    <w:rsid w:val="04284C5D"/>
    <w:rsid w:val="04286688"/>
    <w:rsid w:val="04286EF4"/>
    <w:rsid w:val="042913CB"/>
    <w:rsid w:val="04293179"/>
    <w:rsid w:val="04294F27"/>
    <w:rsid w:val="04297319"/>
    <w:rsid w:val="042A07CD"/>
    <w:rsid w:val="042A0CA0"/>
    <w:rsid w:val="042A1458"/>
    <w:rsid w:val="042A1C73"/>
    <w:rsid w:val="042B0F39"/>
    <w:rsid w:val="042B384A"/>
    <w:rsid w:val="042B454C"/>
    <w:rsid w:val="042B5143"/>
    <w:rsid w:val="042C2C6A"/>
    <w:rsid w:val="042C338C"/>
    <w:rsid w:val="042C5EEE"/>
    <w:rsid w:val="042D7A22"/>
    <w:rsid w:val="042E253E"/>
    <w:rsid w:val="042F4508"/>
    <w:rsid w:val="042F62B6"/>
    <w:rsid w:val="0430275A"/>
    <w:rsid w:val="04306128"/>
    <w:rsid w:val="04310280"/>
    <w:rsid w:val="0431202E"/>
    <w:rsid w:val="043162AA"/>
    <w:rsid w:val="043164D2"/>
    <w:rsid w:val="043204A6"/>
    <w:rsid w:val="04322765"/>
    <w:rsid w:val="04323002"/>
    <w:rsid w:val="0432434A"/>
    <w:rsid w:val="04333FF8"/>
    <w:rsid w:val="04335DA6"/>
    <w:rsid w:val="043379CC"/>
    <w:rsid w:val="04337D12"/>
    <w:rsid w:val="04343800"/>
    <w:rsid w:val="043438CC"/>
    <w:rsid w:val="04344679"/>
    <w:rsid w:val="0434636C"/>
    <w:rsid w:val="04350CB1"/>
    <w:rsid w:val="04350D16"/>
    <w:rsid w:val="04351B1E"/>
    <w:rsid w:val="04357C6B"/>
    <w:rsid w:val="04357D70"/>
    <w:rsid w:val="04360C8C"/>
    <w:rsid w:val="04363AE8"/>
    <w:rsid w:val="04366F4A"/>
    <w:rsid w:val="04367F86"/>
    <w:rsid w:val="04380A7C"/>
    <w:rsid w:val="043833BC"/>
    <w:rsid w:val="043846D3"/>
    <w:rsid w:val="0438617D"/>
    <w:rsid w:val="04387860"/>
    <w:rsid w:val="04390EE3"/>
    <w:rsid w:val="04395ECC"/>
    <w:rsid w:val="043A35D9"/>
    <w:rsid w:val="043A50E5"/>
    <w:rsid w:val="043A6282"/>
    <w:rsid w:val="043B1F2D"/>
    <w:rsid w:val="043B42C5"/>
    <w:rsid w:val="043B4C5B"/>
    <w:rsid w:val="043C068F"/>
    <w:rsid w:val="043C0CA8"/>
    <w:rsid w:val="043C3DF1"/>
    <w:rsid w:val="043D09D3"/>
    <w:rsid w:val="043D2098"/>
    <w:rsid w:val="043D4E77"/>
    <w:rsid w:val="043D5C0F"/>
    <w:rsid w:val="043D6C25"/>
    <w:rsid w:val="043E1D9D"/>
    <w:rsid w:val="043E2111"/>
    <w:rsid w:val="043F0BEF"/>
    <w:rsid w:val="043F474B"/>
    <w:rsid w:val="044004C3"/>
    <w:rsid w:val="04402271"/>
    <w:rsid w:val="04402F82"/>
    <w:rsid w:val="04411124"/>
    <w:rsid w:val="0441256D"/>
    <w:rsid w:val="0441273D"/>
    <w:rsid w:val="0441416E"/>
    <w:rsid w:val="0441727D"/>
    <w:rsid w:val="04421E00"/>
    <w:rsid w:val="0442248D"/>
    <w:rsid w:val="0442423B"/>
    <w:rsid w:val="044259F2"/>
    <w:rsid w:val="04425B09"/>
    <w:rsid w:val="04425FE9"/>
    <w:rsid w:val="044306A2"/>
    <w:rsid w:val="04433290"/>
    <w:rsid w:val="0443394E"/>
    <w:rsid w:val="0443678D"/>
    <w:rsid w:val="04441D61"/>
    <w:rsid w:val="04444353"/>
    <w:rsid w:val="04444720"/>
    <w:rsid w:val="0444583C"/>
    <w:rsid w:val="044464F2"/>
    <w:rsid w:val="04447FB3"/>
    <w:rsid w:val="0445017B"/>
    <w:rsid w:val="0445085D"/>
    <w:rsid w:val="04455AD9"/>
    <w:rsid w:val="04455BB0"/>
    <w:rsid w:val="04461F7D"/>
    <w:rsid w:val="04463D2B"/>
    <w:rsid w:val="044666A3"/>
    <w:rsid w:val="04466DCD"/>
    <w:rsid w:val="04471852"/>
    <w:rsid w:val="044730A1"/>
    <w:rsid w:val="044735EE"/>
    <w:rsid w:val="04473600"/>
    <w:rsid w:val="04477AA3"/>
    <w:rsid w:val="04483F82"/>
    <w:rsid w:val="04484531"/>
    <w:rsid w:val="04486BDD"/>
    <w:rsid w:val="04486FA6"/>
    <w:rsid w:val="0449381C"/>
    <w:rsid w:val="044955CA"/>
    <w:rsid w:val="04497378"/>
    <w:rsid w:val="044A1926"/>
    <w:rsid w:val="044A2F86"/>
    <w:rsid w:val="044A30F0"/>
    <w:rsid w:val="044A3B5D"/>
    <w:rsid w:val="044B1A22"/>
    <w:rsid w:val="044C1D78"/>
    <w:rsid w:val="044C330C"/>
    <w:rsid w:val="044C50BA"/>
    <w:rsid w:val="044C6E68"/>
    <w:rsid w:val="044D6F13"/>
    <w:rsid w:val="044E0E32"/>
    <w:rsid w:val="044E2BE0"/>
    <w:rsid w:val="044E498E"/>
    <w:rsid w:val="044E576B"/>
    <w:rsid w:val="044E72F2"/>
    <w:rsid w:val="044F1833"/>
    <w:rsid w:val="044F7FD7"/>
    <w:rsid w:val="04504BAA"/>
    <w:rsid w:val="04506958"/>
    <w:rsid w:val="04510922"/>
    <w:rsid w:val="045126D0"/>
    <w:rsid w:val="0451447E"/>
    <w:rsid w:val="04515894"/>
    <w:rsid w:val="04531644"/>
    <w:rsid w:val="04531FA4"/>
    <w:rsid w:val="04534325"/>
    <w:rsid w:val="04545D1C"/>
    <w:rsid w:val="04550468"/>
    <w:rsid w:val="0455059B"/>
    <w:rsid w:val="045521C0"/>
    <w:rsid w:val="04553F6E"/>
    <w:rsid w:val="04561A95"/>
    <w:rsid w:val="04565650"/>
    <w:rsid w:val="045661F7"/>
    <w:rsid w:val="04567CE7"/>
    <w:rsid w:val="045759F1"/>
    <w:rsid w:val="04575F38"/>
    <w:rsid w:val="04581455"/>
    <w:rsid w:val="04583A5F"/>
    <w:rsid w:val="0458580D"/>
    <w:rsid w:val="0459018C"/>
    <w:rsid w:val="04590FB1"/>
    <w:rsid w:val="045A0621"/>
    <w:rsid w:val="045A2E50"/>
    <w:rsid w:val="045A4943"/>
    <w:rsid w:val="045A6F69"/>
    <w:rsid w:val="045B35CF"/>
    <w:rsid w:val="045B3A87"/>
    <w:rsid w:val="045B52FD"/>
    <w:rsid w:val="045C08CC"/>
    <w:rsid w:val="045C1D31"/>
    <w:rsid w:val="045C290B"/>
    <w:rsid w:val="045C354F"/>
    <w:rsid w:val="045D1075"/>
    <w:rsid w:val="045D15A0"/>
    <w:rsid w:val="045D24FC"/>
    <w:rsid w:val="045D51A0"/>
    <w:rsid w:val="045D6A08"/>
    <w:rsid w:val="045F021B"/>
    <w:rsid w:val="045F1951"/>
    <w:rsid w:val="045F2A59"/>
    <w:rsid w:val="045F3810"/>
    <w:rsid w:val="045F4DED"/>
    <w:rsid w:val="045F6B9B"/>
    <w:rsid w:val="04600E02"/>
    <w:rsid w:val="046013AF"/>
    <w:rsid w:val="04602913"/>
    <w:rsid w:val="04603313"/>
    <w:rsid w:val="04610B65"/>
    <w:rsid w:val="0461327E"/>
    <w:rsid w:val="04613A44"/>
    <w:rsid w:val="046248DD"/>
    <w:rsid w:val="0462668B"/>
    <w:rsid w:val="046269ED"/>
    <w:rsid w:val="04627CA9"/>
    <w:rsid w:val="04635599"/>
    <w:rsid w:val="04640144"/>
    <w:rsid w:val="046425C9"/>
    <w:rsid w:val="046430C5"/>
    <w:rsid w:val="046431A8"/>
    <w:rsid w:val="04643D0A"/>
    <w:rsid w:val="046441B2"/>
    <w:rsid w:val="04647109"/>
    <w:rsid w:val="04651CD8"/>
    <w:rsid w:val="046631AC"/>
    <w:rsid w:val="0466374D"/>
    <w:rsid w:val="046643CE"/>
    <w:rsid w:val="0466502E"/>
    <w:rsid w:val="046674A7"/>
    <w:rsid w:val="04673CA2"/>
    <w:rsid w:val="04674951"/>
    <w:rsid w:val="04675A50"/>
    <w:rsid w:val="046823DA"/>
    <w:rsid w:val="04690342"/>
    <w:rsid w:val="046917C8"/>
    <w:rsid w:val="046919D2"/>
    <w:rsid w:val="04695C6C"/>
    <w:rsid w:val="04697A1A"/>
    <w:rsid w:val="046A48F9"/>
    <w:rsid w:val="046B11E4"/>
    <w:rsid w:val="046B19E4"/>
    <w:rsid w:val="046B3792"/>
    <w:rsid w:val="046B5540"/>
    <w:rsid w:val="046B5551"/>
    <w:rsid w:val="046B78CB"/>
    <w:rsid w:val="046C0D5B"/>
    <w:rsid w:val="046C12B8"/>
    <w:rsid w:val="046C2752"/>
    <w:rsid w:val="046C3066"/>
    <w:rsid w:val="046C3902"/>
    <w:rsid w:val="046C48D8"/>
    <w:rsid w:val="046C750A"/>
    <w:rsid w:val="046D11CB"/>
    <w:rsid w:val="046D1E66"/>
    <w:rsid w:val="046D332D"/>
    <w:rsid w:val="046D3644"/>
    <w:rsid w:val="046D3662"/>
    <w:rsid w:val="046D404A"/>
    <w:rsid w:val="046D4DBC"/>
    <w:rsid w:val="046D7939"/>
    <w:rsid w:val="046E2C14"/>
    <w:rsid w:val="046E3282"/>
    <w:rsid w:val="046E3F8C"/>
    <w:rsid w:val="046E5030"/>
    <w:rsid w:val="046E6DDE"/>
    <w:rsid w:val="046E7D42"/>
    <w:rsid w:val="046F65A8"/>
    <w:rsid w:val="04701E5C"/>
    <w:rsid w:val="04706FFA"/>
    <w:rsid w:val="047107B7"/>
    <w:rsid w:val="0471373D"/>
    <w:rsid w:val="04714B20"/>
    <w:rsid w:val="047168CE"/>
    <w:rsid w:val="04722D72"/>
    <w:rsid w:val="04734C87"/>
    <w:rsid w:val="047420BE"/>
    <w:rsid w:val="04743A13"/>
    <w:rsid w:val="04747874"/>
    <w:rsid w:val="047563BF"/>
    <w:rsid w:val="047649DE"/>
    <w:rsid w:val="047667CE"/>
    <w:rsid w:val="04766AF7"/>
    <w:rsid w:val="04771F18"/>
    <w:rsid w:val="04781A0B"/>
    <w:rsid w:val="04784101"/>
    <w:rsid w:val="047859CB"/>
    <w:rsid w:val="04787569"/>
    <w:rsid w:val="04787C5D"/>
    <w:rsid w:val="047902D8"/>
    <w:rsid w:val="0479335F"/>
    <w:rsid w:val="04794AA0"/>
    <w:rsid w:val="047A1C27"/>
    <w:rsid w:val="047A2348"/>
    <w:rsid w:val="047A3BAC"/>
    <w:rsid w:val="047A55FC"/>
    <w:rsid w:val="047A572F"/>
    <w:rsid w:val="047A5783"/>
    <w:rsid w:val="047B12DB"/>
    <w:rsid w:val="047B14FB"/>
    <w:rsid w:val="047B480A"/>
    <w:rsid w:val="047B5E58"/>
    <w:rsid w:val="047C0485"/>
    <w:rsid w:val="047C0850"/>
    <w:rsid w:val="047C2DCE"/>
    <w:rsid w:val="047C4CBA"/>
    <w:rsid w:val="047C599F"/>
    <w:rsid w:val="047D1717"/>
    <w:rsid w:val="047D1CE0"/>
    <w:rsid w:val="047D240C"/>
    <w:rsid w:val="047F0FEB"/>
    <w:rsid w:val="047F1AF0"/>
    <w:rsid w:val="047F2D99"/>
    <w:rsid w:val="047F6A01"/>
    <w:rsid w:val="047F723D"/>
    <w:rsid w:val="04801DA2"/>
    <w:rsid w:val="048021F5"/>
    <w:rsid w:val="04804BE5"/>
    <w:rsid w:val="04806B11"/>
    <w:rsid w:val="04812A0B"/>
    <w:rsid w:val="04812FB5"/>
    <w:rsid w:val="04813232"/>
    <w:rsid w:val="04814D63"/>
    <w:rsid w:val="04815AE1"/>
    <w:rsid w:val="04820ADC"/>
    <w:rsid w:val="04822D62"/>
    <w:rsid w:val="04823B58"/>
    <w:rsid w:val="04823B5E"/>
    <w:rsid w:val="04824892"/>
    <w:rsid w:val="04825077"/>
    <w:rsid w:val="048267DD"/>
    <w:rsid w:val="04830960"/>
    <w:rsid w:val="04830C86"/>
    <w:rsid w:val="048316D9"/>
    <w:rsid w:val="04840626"/>
    <w:rsid w:val="04841BB3"/>
    <w:rsid w:val="04844854"/>
    <w:rsid w:val="04846602"/>
    <w:rsid w:val="04847044"/>
    <w:rsid w:val="04851AD1"/>
    <w:rsid w:val="04854128"/>
    <w:rsid w:val="048605CC"/>
    <w:rsid w:val="04860EAC"/>
    <w:rsid w:val="04865C14"/>
    <w:rsid w:val="048670A4"/>
    <w:rsid w:val="04874344"/>
    <w:rsid w:val="04874381"/>
    <w:rsid w:val="04875963"/>
    <w:rsid w:val="048760F2"/>
    <w:rsid w:val="04877EA0"/>
    <w:rsid w:val="048819C4"/>
    <w:rsid w:val="048900BC"/>
    <w:rsid w:val="04891E6A"/>
    <w:rsid w:val="048927BD"/>
    <w:rsid w:val="04893B2C"/>
    <w:rsid w:val="04893C18"/>
    <w:rsid w:val="04897401"/>
    <w:rsid w:val="04897582"/>
    <w:rsid w:val="048A096A"/>
    <w:rsid w:val="048B0A6D"/>
    <w:rsid w:val="048B3E34"/>
    <w:rsid w:val="048B457B"/>
    <w:rsid w:val="048B7990"/>
    <w:rsid w:val="048C0345"/>
    <w:rsid w:val="048C0EF4"/>
    <w:rsid w:val="048C3481"/>
    <w:rsid w:val="048C3708"/>
    <w:rsid w:val="048C54B6"/>
    <w:rsid w:val="048C6E19"/>
    <w:rsid w:val="048C7EB5"/>
    <w:rsid w:val="048D0CF6"/>
    <w:rsid w:val="048D0E2D"/>
    <w:rsid w:val="048D643D"/>
    <w:rsid w:val="048E122E"/>
    <w:rsid w:val="048E3326"/>
    <w:rsid w:val="048E6B41"/>
    <w:rsid w:val="048E702B"/>
    <w:rsid w:val="048F1849"/>
    <w:rsid w:val="048F2FC2"/>
    <w:rsid w:val="048F391D"/>
    <w:rsid w:val="04900210"/>
    <w:rsid w:val="049006D3"/>
    <w:rsid w:val="0490144A"/>
    <w:rsid w:val="049031F8"/>
    <w:rsid w:val="04904FA7"/>
    <w:rsid w:val="04912689"/>
    <w:rsid w:val="04912ACD"/>
    <w:rsid w:val="0491595A"/>
    <w:rsid w:val="04922410"/>
    <w:rsid w:val="04923C3E"/>
    <w:rsid w:val="04924BB0"/>
    <w:rsid w:val="049251C3"/>
    <w:rsid w:val="049256F0"/>
    <w:rsid w:val="04926B8C"/>
    <w:rsid w:val="04926F71"/>
    <w:rsid w:val="0493386E"/>
    <w:rsid w:val="04933E65"/>
    <w:rsid w:val="04934A97"/>
    <w:rsid w:val="04936845"/>
    <w:rsid w:val="049413BF"/>
    <w:rsid w:val="0494241D"/>
    <w:rsid w:val="04950097"/>
    <w:rsid w:val="049525BD"/>
    <w:rsid w:val="04956A61"/>
    <w:rsid w:val="0496002A"/>
    <w:rsid w:val="04963562"/>
    <w:rsid w:val="04963FC8"/>
    <w:rsid w:val="04966335"/>
    <w:rsid w:val="04967885"/>
    <w:rsid w:val="04970029"/>
    <w:rsid w:val="049700B1"/>
    <w:rsid w:val="049727D9"/>
    <w:rsid w:val="04974587"/>
    <w:rsid w:val="049802FF"/>
    <w:rsid w:val="049820AD"/>
    <w:rsid w:val="0498252B"/>
    <w:rsid w:val="0498677E"/>
    <w:rsid w:val="04991296"/>
    <w:rsid w:val="049924DB"/>
    <w:rsid w:val="04995A55"/>
    <w:rsid w:val="049A5E25"/>
    <w:rsid w:val="049B0248"/>
    <w:rsid w:val="049B0460"/>
    <w:rsid w:val="049B394B"/>
    <w:rsid w:val="049B4795"/>
    <w:rsid w:val="049B5269"/>
    <w:rsid w:val="049B69AA"/>
    <w:rsid w:val="049C1B9D"/>
    <w:rsid w:val="049C57DC"/>
    <w:rsid w:val="049C7DEF"/>
    <w:rsid w:val="049C7E3A"/>
    <w:rsid w:val="049D12CA"/>
    <w:rsid w:val="049D275A"/>
    <w:rsid w:val="049D3B67"/>
    <w:rsid w:val="049D4081"/>
    <w:rsid w:val="049D4D0B"/>
    <w:rsid w:val="049E3BEA"/>
    <w:rsid w:val="049E6D7D"/>
    <w:rsid w:val="049E75BA"/>
    <w:rsid w:val="049F168E"/>
    <w:rsid w:val="049F2A54"/>
    <w:rsid w:val="049F51EA"/>
    <w:rsid w:val="049F6CE4"/>
    <w:rsid w:val="04A0038C"/>
    <w:rsid w:val="04A027E5"/>
    <w:rsid w:val="04A037F0"/>
    <w:rsid w:val="04A03D0B"/>
    <w:rsid w:val="04A060B3"/>
    <w:rsid w:val="04A13AB4"/>
    <w:rsid w:val="04A14A41"/>
    <w:rsid w:val="04A171B4"/>
    <w:rsid w:val="04A21185"/>
    <w:rsid w:val="04A27635"/>
    <w:rsid w:val="04A30256"/>
    <w:rsid w:val="04A32995"/>
    <w:rsid w:val="04A33772"/>
    <w:rsid w:val="04A34F0C"/>
    <w:rsid w:val="04A365CC"/>
    <w:rsid w:val="04A376B0"/>
    <w:rsid w:val="04A4119D"/>
    <w:rsid w:val="04A46B3E"/>
    <w:rsid w:val="04A46CA4"/>
    <w:rsid w:val="04A50EEC"/>
    <w:rsid w:val="04A5262D"/>
    <w:rsid w:val="04A52C0C"/>
    <w:rsid w:val="04A579CD"/>
    <w:rsid w:val="04A6254B"/>
    <w:rsid w:val="04A62A1C"/>
    <w:rsid w:val="04A647CA"/>
    <w:rsid w:val="04A66578"/>
    <w:rsid w:val="04A67EF6"/>
    <w:rsid w:val="04A80FAE"/>
    <w:rsid w:val="04A86794"/>
    <w:rsid w:val="04A90DE9"/>
    <w:rsid w:val="04A9147D"/>
    <w:rsid w:val="04A9250C"/>
    <w:rsid w:val="04A96068"/>
    <w:rsid w:val="04AB3B8E"/>
    <w:rsid w:val="04AB539E"/>
    <w:rsid w:val="04AB66EB"/>
    <w:rsid w:val="04AC355E"/>
    <w:rsid w:val="04AC3A33"/>
    <w:rsid w:val="04AC3BDE"/>
    <w:rsid w:val="04AC61EE"/>
    <w:rsid w:val="04AD0191"/>
    <w:rsid w:val="04AE2DB1"/>
    <w:rsid w:val="04AE367F"/>
    <w:rsid w:val="04AE3B99"/>
    <w:rsid w:val="04AE4E20"/>
    <w:rsid w:val="04AF2CD6"/>
    <w:rsid w:val="04AF4B6F"/>
    <w:rsid w:val="04B00329"/>
    <w:rsid w:val="04B0389B"/>
    <w:rsid w:val="04B03A65"/>
    <w:rsid w:val="04B05649"/>
    <w:rsid w:val="04B073F7"/>
    <w:rsid w:val="04B137A1"/>
    <w:rsid w:val="04B2316F"/>
    <w:rsid w:val="04B24908"/>
    <w:rsid w:val="04B30C95"/>
    <w:rsid w:val="04B43188"/>
    <w:rsid w:val="04B54A0D"/>
    <w:rsid w:val="04B622FE"/>
    <w:rsid w:val="04B62533"/>
    <w:rsid w:val="04B72604"/>
    <w:rsid w:val="04B74C29"/>
    <w:rsid w:val="04B769D7"/>
    <w:rsid w:val="04B80AA3"/>
    <w:rsid w:val="04B81A43"/>
    <w:rsid w:val="04B8274F"/>
    <w:rsid w:val="04B844FD"/>
    <w:rsid w:val="04B862AB"/>
    <w:rsid w:val="04B86A4B"/>
    <w:rsid w:val="04B907F2"/>
    <w:rsid w:val="04B91C36"/>
    <w:rsid w:val="04B944C7"/>
    <w:rsid w:val="04BA0275"/>
    <w:rsid w:val="04BA2023"/>
    <w:rsid w:val="04BA2DFB"/>
    <w:rsid w:val="04BA4A67"/>
    <w:rsid w:val="04BA57A5"/>
    <w:rsid w:val="04BA58D2"/>
    <w:rsid w:val="04BA64C7"/>
    <w:rsid w:val="04BB31C3"/>
    <w:rsid w:val="04BB33F2"/>
    <w:rsid w:val="04BB57D2"/>
    <w:rsid w:val="04BB7424"/>
    <w:rsid w:val="04BB76ED"/>
    <w:rsid w:val="04BC1BC1"/>
    <w:rsid w:val="04BC1F2C"/>
    <w:rsid w:val="04BC2106"/>
    <w:rsid w:val="04BC223F"/>
    <w:rsid w:val="04BC3FEE"/>
    <w:rsid w:val="04BC5D9C"/>
    <w:rsid w:val="04BD08D2"/>
    <w:rsid w:val="04BD0AB5"/>
    <w:rsid w:val="04BD38C2"/>
    <w:rsid w:val="04BD3A0F"/>
    <w:rsid w:val="04BD4BCE"/>
    <w:rsid w:val="04BD6A50"/>
    <w:rsid w:val="04BD7D66"/>
    <w:rsid w:val="04BE0603"/>
    <w:rsid w:val="04BE5FB8"/>
    <w:rsid w:val="04BE6DDF"/>
    <w:rsid w:val="04BE7436"/>
    <w:rsid w:val="04BF133C"/>
    <w:rsid w:val="04BF29D1"/>
    <w:rsid w:val="04BF3477"/>
    <w:rsid w:val="04BF3ADE"/>
    <w:rsid w:val="04BF5547"/>
    <w:rsid w:val="04BF588C"/>
    <w:rsid w:val="04BF5DA5"/>
    <w:rsid w:val="04BF6A88"/>
    <w:rsid w:val="04BF763A"/>
    <w:rsid w:val="04C03F31"/>
    <w:rsid w:val="04C04BAC"/>
    <w:rsid w:val="04C07235"/>
    <w:rsid w:val="04C07F12"/>
    <w:rsid w:val="04C11604"/>
    <w:rsid w:val="04C15B78"/>
    <w:rsid w:val="04C16813"/>
    <w:rsid w:val="04C169A1"/>
    <w:rsid w:val="04C16F84"/>
    <w:rsid w:val="04C17856"/>
    <w:rsid w:val="04C22541"/>
    <w:rsid w:val="04C2712A"/>
    <w:rsid w:val="04C335CE"/>
    <w:rsid w:val="04C3363B"/>
    <w:rsid w:val="04C35BB6"/>
    <w:rsid w:val="04C41F27"/>
    <w:rsid w:val="04C42EA2"/>
    <w:rsid w:val="04C43977"/>
    <w:rsid w:val="04C44C50"/>
    <w:rsid w:val="04C462FB"/>
    <w:rsid w:val="04C47046"/>
    <w:rsid w:val="04C473AF"/>
    <w:rsid w:val="04C47410"/>
    <w:rsid w:val="04C560E2"/>
    <w:rsid w:val="04C609C8"/>
    <w:rsid w:val="04C61966"/>
    <w:rsid w:val="04C64537"/>
    <w:rsid w:val="04C64E6C"/>
    <w:rsid w:val="04C7303D"/>
    <w:rsid w:val="04C75D62"/>
    <w:rsid w:val="04C76BDE"/>
    <w:rsid w:val="04C80BE4"/>
    <w:rsid w:val="04C8135B"/>
    <w:rsid w:val="04C82363"/>
    <w:rsid w:val="04C82992"/>
    <w:rsid w:val="04C83D5D"/>
    <w:rsid w:val="04C84286"/>
    <w:rsid w:val="04C84722"/>
    <w:rsid w:val="04C86060"/>
    <w:rsid w:val="04C86784"/>
    <w:rsid w:val="04C86E57"/>
    <w:rsid w:val="04C87BAE"/>
    <w:rsid w:val="04C904B8"/>
    <w:rsid w:val="04C94AE8"/>
    <w:rsid w:val="04C9670A"/>
    <w:rsid w:val="04CA2EB8"/>
    <w:rsid w:val="04CB3551"/>
    <w:rsid w:val="04CB4231"/>
    <w:rsid w:val="04CB5FDF"/>
    <w:rsid w:val="04CB7316"/>
    <w:rsid w:val="04CD0B1D"/>
    <w:rsid w:val="04CD11DA"/>
    <w:rsid w:val="04CD1CF2"/>
    <w:rsid w:val="04CD4E7B"/>
    <w:rsid w:val="04CD4F45"/>
    <w:rsid w:val="04CD61FB"/>
    <w:rsid w:val="04CD6C68"/>
    <w:rsid w:val="04CD7FA9"/>
    <w:rsid w:val="04CE0052"/>
    <w:rsid w:val="04CE1F73"/>
    <w:rsid w:val="04CF1588"/>
    <w:rsid w:val="04CF4159"/>
    <w:rsid w:val="04D018CB"/>
    <w:rsid w:val="04D055E9"/>
    <w:rsid w:val="04D05CEB"/>
    <w:rsid w:val="04D06D2A"/>
    <w:rsid w:val="04D15DEC"/>
    <w:rsid w:val="04D1736D"/>
    <w:rsid w:val="04D211E1"/>
    <w:rsid w:val="04D22F9E"/>
    <w:rsid w:val="04D23811"/>
    <w:rsid w:val="04D255BF"/>
    <w:rsid w:val="04D27B3C"/>
    <w:rsid w:val="04D31337"/>
    <w:rsid w:val="04D31C0F"/>
    <w:rsid w:val="04D476A3"/>
    <w:rsid w:val="04D53301"/>
    <w:rsid w:val="04D53B73"/>
    <w:rsid w:val="04D56E5D"/>
    <w:rsid w:val="04D64DB2"/>
    <w:rsid w:val="04D665FA"/>
    <w:rsid w:val="04D7068C"/>
    <w:rsid w:val="04D70E27"/>
    <w:rsid w:val="04D72BD5"/>
    <w:rsid w:val="04D73B10"/>
    <w:rsid w:val="04D74983"/>
    <w:rsid w:val="04D81792"/>
    <w:rsid w:val="04D85422"/>
    <w:rsid w:val="04D8591E"/>
    <w:rsid w:val="04D86878"/>
    <w:rsid w:val="04D8694E"/>
    <w:rsid w:val="04D92A8B"/>
    <w:rsid w:val="04D94B9F"/>
    <w:rsid w:val="04D95468"/>
    <w:rsid w:val="04D96F19"/>
    <w:rsid w:val="04DA0918"/>
    <w:rsid w:val="04DA30F8"/>
    <w:rsid w:val="04DA4474"/>
    <w:rsid w:val="04DA76E6"/>
    <w:rsid w:val="04DB26FC"/>
    <w:rsid w:val="04DB3E3D"/>
    <w:rsid w:val="04DC01EC"/>
    <w:rsid w:val="04DC0359"/>
    <w:rsid w:val="04DC4690"/>
    <w:rsid w:val="04DC569D"/>
    <w:rsid w:val="04DC643E"/>
    <w:rsid w:val="04DD3F64"/>
    <w:rsid w:val="04DE21B6"/>
    <w:rsid w:val="04DE530B"/>
    <w:rsid w:val="04DE5D9D"/>
    <w:rsid w:val="04DF140B"/>
    <w:rsid w:val="04DF1A8A"/>
    <w:rsid w:val="04DF2DF2"/>
    <w:rsid w:val="04DF5F2E"/>
    <w:rsid w:val="04DF7CDC"/>
    <w:rsid w:val="04E00720"/>
    <w:rsid w:val="04E11CA6"/>
    <w:rsid w:val="04E13A54"/>
    <w:rsid w:val="04E157D3"/>
    <w:rsid w:val="04E15802"/>
    <w:rsid w:val="04E2157A"/>
    <w:rsid w:val="04E225CF"/>
    <w:rsid w:val="04E230BB"/>
    <w:rsid w:val="04E24E53"/>
    <w:rsid w:val="04E34A92"/>
    <w:rsid w:val="04E3586E"/>
    <w:rsid w:val="04E35A1E"/>
    <w:rsid w:val="04E36E48"/>
    <w:rsid w:val="04E377CC"/>
    <w:rsid w:val="04E43544"/>
    <w:rsid w:val="04E44EEF"/>
    <w:rsid w:val="04E452F2"/>
    <w:rsid w:val="04E539C1"/>
    <w:rsid w:val="04E53EBD"/>
    <w:rsid w:val="04E55FDD"/>
    <w:rsid w:val="04E5637F"/>
    <w:rsid w:val="04E60A4D"/>
    <w:rsid w:val="04E60F50"/>
    <w:rsid w:val="04E6106A"/>
    <w:rsid w:val="04E623B8"/>
    <w:rsid w:val="04E6389C"/>
    <w:rsid w:val="04E66217"/>
    <w:rsid w:val="04E66ECC"/>
    <w:rsid w:val="04E71A2F"/>
    <w:rsid w:val="04E82717"/>
    <w:rsid w:val="04E83035"/>
    <w:rsid w:val="04E84DE3"/>
    <w:rsid w:val="04E868C1"/>
    <w:rsid w:val="04E86B91"/>
    <w:rsid w:val="04E90B5B"/>
    <w:rsid w:val="04E92909"/>
    <w:rsid w:val="04EA0131"/>
    <w:rsid w:val="04EA0D61"/>
    <w:rsid w:val="04EA7113"/>
    <w:rsid w:val="04EB042F"/>
    <w:rsid w:val="04EB099C"/>
    <w:rsid w:val="04EB1B83"/>
    <w:rsid w:val="04EB48D3"/>
    <w:rsid w:val="04EB4F2B"/>
    <w:rsid w:val="04EB6681"/>
    <w:rsid w:val="04EB738D"/>
    <w:rsid w:val="04EB770A"/>
    <w:rsid w:val="04EC0965"/>
    <w:rsid w:val="04EC217A"/>
    <w:rsid w:val="04EC3681"/>
    <w:rsid w:val="04EC4BCC"/>
    <w:rsid w:val="04EC4DC2"/>
    <w:rsid w:val="04ED4FAB"/>
    <w:rsid w:val="04ED6252"/>
    <w:rsid w:val="04ED6A6C"/>
    <w:rsid w:val="04ED7953"/>
    <w:rsid w:val="04EE14DD"/>
    <w:rsid w:val="04EE613D"/>
    <w:rsid w:val="04EE6171"/>
    <w:rsid w:val="04EE7F1F"/>
    <w:rsid w:val="04EF0A23"/>
    <w:rsid w:val="04EF2002"/>
    <w:rsid w:val="04EF236B"/>
    <w:rsid w:val="04F01EE9"/>
    <w:rsid w:val="04F0320F"/>
    <w:rsid w:val="04F03492"/>
    <w:rsid w:val="04F03C97"/>
    <w:rsid w:val="04F04BD3"/>
    <w:rsid w:val="04F05148"/>
    <w:rsid w:val="04F05A45"/>
    <w:rsid w:val="04F07461"/>
    <w:rsid w:val="04F12CB8"/>
    <w:rsid w:val="04F14B3B"/>
    <w:rsid w:val="04F217BD"/>
    <w:rsid w:val="04F2368C"/>
    <w:rsid w:val="04F27A0F"/>
    <w:rsid w:val="04F30983"/>
    <w:rsid w:val="04F32D53"/>
    <w:rsid w:val="04F36F3B"/>
    <w:rsid w:val="04F419D9"/>
    <w:rsid w:val="04F459FA"/>
    <w:rsid w:val="04F4690A"/>
    <w:rsid w:val="04F50D0F"/>
    <w:rsid w:val="04F512AE"/>
    <w:rsid w:val="04F55751"/>
    <w:rsid w:val="04F55E74"/>
    <w:rsid w:val="04F57370"/>
    <w:rsid w:val="04F574FF"/>
    <w:rsid w:val="04F632A9"/>
    <w:rsid w:val="04F67304"/>
    <w:rsid w:val="04F72791"/>
    <w:rsid w:val="04F80D9E"/>
    <w:rsid w:val="04F82B4C"/>
    <w:rsid w:val="04F85637"/>
    <w:rsid w:val="04F9361E"/>
    <w:rsid w:val="04F95306"/>
    <w:rsid w:val="04F96FF0"/>
    <w:rsid w:val="04FA295F"/>
    <w:rsid w:val="04FA2D68"/>
    <w:rsid w:val="04FA429D"/>
    <w:rsid w:val="04FA4B16"/>
    <w:rsid w:val="04FA68C4"/>
    <w:rsid w:val="04FB0ECF"/>
    <w:rsid w:val="04FB66AE"/>
    <w:rsid w:val="04FC263C"/>
    <w:rsid w:val="04FC43EA"/>
    <w:rsid w:val="04FC6AE0"/>
    <w:rsid w:val="04FC6D27"/>
    <w:rsid w:val="04FD7312"/>
    <w:rsid w:val="04FE4606"/>
    <w:rsid w:val="04FE63B4"/>
    <w:rsid w:val="04FF037E"/>
    <w:rsid w:val="04FF1A21"/>
    <w:rsid w:val="04FF1AF7"/>
    <w:rsid w:val="04FF212C"/>
    <w:rsid w:val="04FF5ED6"/>
    <w:rsid w:val="04FF748F"/>
    <w:rsid w:val="05015EA4"/>
    <w:rsid w:val="05025778"/>
    <w:rsid w:val="05031C1C"/>
    <w:rsid w:val="050339CA"/>
    <w:rsid w:val="050414F1"/>
    <w:rsid w:val="05043648"/>
    <w:rsid w:val="050444D9"/>
    <w:rsid w:val="05047743"/>
    <w:rsid w:val="05052E6B"/>
    <w:rsid w:val="050556EB"/>
    <w:rsid w:val="05055969"/>
    <w:rsid w:val="050634BB"/>
    <w:rsid w:val="05065269"/>
    <w:rsid w:val="05066DF9"/>
    <w:rsid w:val="05071D38"/>
    <w:rsid w:val="05076CA5"/>
    <w:rsid w:val="05080FE1"/>
    <w:rsid w:val="05081F51"/>
    <w:rsid w:val="05082D91"/>
    <w:rsid w:val="05085485"/>
    <w:rsid w:val="05087233"/>
    <w:rsid w:val="05094D59"/>
    <w:rsid w:val="05096B07"/>
    <w:rsid w:val="050A396A"/>
    <w:rsid w:val="050A3CD3"/>
    <w:rsid w:val="050A4B77"/>
    <w:rsid w:val="050B009A"/>
    <w:rsid w:val="050B0AD1"/>
    <w:rsid w:val="050B287F"/>
    <w:rsid w:val="050B3192"/>
    <w:rsid w:val="050B6188"/>
    <w:rsid w:val="050C2A4E"/>
    <w:rsid w:val="050C44A2"/>
    <w:rsid w:val="050D2A9B"/>
    <w:rsid w:val="050D2D69"/>
    <w:rsid w:val="050D4849"/>
    <w:rsid w:val="050D6CCC"/>
    <w:rsid w:val="050E0722"/>
    <w:rsid w:val="050E114B"/>
    <w:rsid w:val="050E236F"/>
    <w:rsid w:val="050E411D"/>
    <w:rsid w:val="050F0E65"/>
    <w:rsid w:val="05100C1A"/>
    <w:rsid w:val="0510138C"/>
    <w:rsid w:val="05104339"/>
    <w:rsid w:val="05110E6D"/>
    <w:rsid w:val="051200B1"/>
    <w:rsid w:val="05122636"/>
    <w:rsid w:val="0512539C"/>
    <w:rsid w:val="05125D68"/>
    <w:rsid w:val="05127654"/>
    <w:rsid w:val="05131707"/>
    <w:rsid w:val="05137986"/>
    <w:rsid w:val="0514288D"/>
    <w:rsid w:val="05143FCE"/>
    <w:rsid w:val="05144390"/>
    <w:rsid w:val="05145219"/>
    <w:rsid w:val="05145BD8"/>
    <w:rsid w:val="05147884"/>
    <w:rsid w:val="05151950"/>
    <w:rsid w:val="051528EC"/>
    <w:rsid w:val="051536FE"/>
    <w:rsid w:val="051554AC"/>
    <w:rsid w:val="05155EC6"/>
    <w:rsid w:val="051562D6"/>
    <w:rsid w:val="051566CB"/>
    <w:rsid w:val="05156D2E"/>
    <w:rsid w:val="0516051B"/>
    <w:rsid w:val="05161060"/>
    <w:rsid w:val="051615D5"/>
    <w:rsid w:val="05162EE3"/>
    <w:rsid w:val="05171224"/>
    <w:rsid w:val="051734DA"/>
    <w:rsid w:val="0517445A"/>
    <w:rsid w:val="051756C8"/>
    <w:rsid w:val="05177476"/>
    <w:rsid w:val="051803C3"/>
    <w:rsid w:val="0518120E"/>
    <w:rsid w:val="05184F9C"/>
    <w:rsid w:val="05190F7D"/>
    <w:rsid w:val="05191440"/>
    <w:rsid w:val="051931EE"/>
    <w:rsid w:val="0519438F"/>
    <w:rsid w:val="0519526F"/>
    <w:rsid w:val="051A1258"/>
    <w:rsid w:val="051A342A"/>
    <w:rsid w:val="051A52AD"/>
    <w:rsid w:val="051A6DB3"/>
    <w:rsid w:val="051A6F66"/>
    <w:rsid w:val="051B2B8F"/>
    <w:rsid w:val="051B5E9A"/>
    <w:rsid w:val="051C4A8C"/>
    <w:rsid w:val="051C683A"/>
    <w:rsid w:val="051D3BF0"/>
    <w:rsid w:val="051D3FFE"/>
    <w:rsid w:val="051E25B2"/>
    <w:rsid w:val="051E3CC3"/>
    <w:rsid w:val="051E6510"/>
    <w:rsid w:val="051E6A56"/>
    <w:rsid w:val="051F23AB"/>
    <w:rsid w:val="051F3568"/>
    <w:rsid w:val="05202571"/>
    <w:rsid w:val="052027CE"/>
    <w:rsid w:val="05204DDD"/>
    <w:rsid w:val="05206C6B"/>
    <w:rsid w:val="05207F0D"/>
    <w:rsid w:val="05210FB5"/>
    <w:rsid w:val="052120A3"/>
    <w:rsid w:val="05216546"/>
    <w:rsid w:val="0523403D"/>
    <w:rsid w:val="0523406D"/>
    <w:rsid w:val="05234F7D"/>
    <w:rsid w:val="05235E1B"/>
    <w:rsid w:val="05236321"/>
    <w:rsid w:val="05237A5D"/>
    <w:rsid w:val="05237BC9"/>
    <w:rsid w:val="05243941"/>
    <w:rsid w:val="052439F1"/>
    <w:rsid w:val="05244A16"/>
    <w:rsid w:val="05245038"/>
    <w:rsid w:val="05250C22"/>
    <w:rsid w:val="05252B7E"/>
    <w:rsid w:val="05260216"/>
    <w:rsid w:val="05263B5D"/>
    <w:rsid w:val="052663E3"/>
    <w:rsid w:val="052669B9"/>
    <w:rsid w:val="0527623C"/>
    <w:rsid w:val="052775C1"/>
    <w:rsid w:val="0528094A"/>
    <w:rsid w:val="052851DF"/>
    <w:rsid w:val="052878D5"/>
    <w:rsid w:val="05292229"/>
    <w:rsid w:val="05293D12"/>
    <w:rsid w:val="052971A9"/>
    <w:rsid w:val="05297E1E"/>
    <w:rsid w:val="052A3623"/>
    <w:rsid w:val="052A53FB"/>
    <w:rsid w:val="052A5AE8"/>
    <w:rsid w:val="052B1173"/>
    <w:rsid w:val="052B2F21"/>
    <w:rsid w:val="052C0037"/>
    <w:rsid w:val="052D18B4"/>
    <w:rsid w:val="052D1FA4"/>
    <w:rsid w:val="052D36E5"/>
    <w:rsid w:val="052D4EEB"/>
    <w:rsid w:val="052D6A5E"/>
    <w:rsid w:val="052D6C99"/>
    <w:rsid w:val="052E2CDE"/>
    <w:rsid w:val="052E38FE"/>
    <w:rsid w:val="052E656D"/>
    <w:rsid w:val="05300538"/>
    <w:rsid w:val="053022E6"/>
    <w:rsid w:val="0530678A"/>
    <w:rsid w:val="05307ED9"/>
    <w:rsid w:val="053134F6"/>
    <w:rsid w:val="05322502"/>
    <w:rsid w:val="0532326D"/>
    <w:rsid w:val="053242B0"/>
    <w:rsid w:val="0532712F"/>
    <w:rsid w:val="053309E7"/>
    <w:rsid w:val="053368DE"/>
    <w:rsid w:val="05341DD6"/>
    <w:rsid w:val="053461F1"/>
    <w:rsid w:val="05353DA0"/>
    <w:rsid w:val="05355B4E"/>
    <w:rsid w:val="053578FC"/>
    <w:rsid w:val="053631C5"/>
    <w:rsid w:val="053718C6"/>
    <w:rsid w:val="05374570"/>
    <w:rsid w:val="053807F8"/>
    <w:rsid w:val="053819E3"/>
    <w:rsid w:val="0538200B"/>
    <w:rsid w:val="0538630C"/>
    <w:rsid w:val="053932F3"/>
    <w:rsid w:val="05393890"/>
    <w:rsid w:val="05394859"/>
    <w:rsid w:val="0539561E"/>
    <w:rsid w:val="053A13B6"/>
    <w:rsid w:val="053A303F"/>
    <w:rsid w:val="053A4F12"/>
    <w:rsid w:val="053B6E11"/>
    <w:rsid w:val="053B7179"/>
    <w:rsid w:val="053C00E2"/>
    <w:rsid w:val="053C05BE"/>
    <w:rsid w:val="053C0C8A"/>
    <w:rsid w:val="053C512E"/>
    <w:rsid w:val="053C6EDC"/>
    <w:rsid w:val="053C7F19"/>
    <w:rsid w:val="053D40C1"/>
    <w:rsid w:val="053D42F2"/>
    <w:rsid w:val="053D7FF6"/>
    <w:rsid w:val="053E05ED"/>
    <w:rsid w:val="053E0B8B"/>
    <w:rsid w:val="053E0EA6"/>
    <w:rsid w:val="053E2C54"/>
    <w:rsid w:val="053E4419"/>
    <w:rsid w:val="053E5AFA"/>
    <w:rsid w:val="053F2561"/>
    <w:rsid w:val="053F548F"/>
    <w:rsid w:val="053F6F8A"/>
    <w:rsid w:val="0540041A"/>
    <w:rsid w:val="054016A6"/>
    <w:rsid w:val="05401B5B"/>
    <w:rsid w:val="05402A92"/>
    <w:rsid w:val="05407C69"/>
    <w:rsid w:val="05412745"/>
    <w:rsid w:val="05414242"/>
    <w:rsid w:val="054144F3"/>
    <w:rsid w:val="054162A1"/>
    <w:rsid w:val="054171FC"/>
    <w:rsid w:val="05421616"/>
    <w:rsid w:val="05422FAE"/>
    <w:rsid w:val="05424E30"/>
    <w:rsid w:val="0543026B"/>
    <w:rsid w:val="054347CF"/>
    <w:rsid w:val="0544028F"/>
    <w:rsid w:val="054413D2"/>
    <w:rsid w:val="0544196C"/>
    <w:rsid w:val="05441D1A"/>
    <w:rsid w:val="05444067"/>
    <w:rsid w:val="05445D91"/>
    <w:rsid w:val="05446D9B"/>
    <w:rsid w:val="05450C63"/>
    <w:rsid w:val="05451EB3"/>
    <w:rsid w:val="05452235"/>
    <w:rsid w:val="05453FE3"/>
    <w:rsid w:val="05455E5A"/>
    <w:rsid w:val="054605BE"/>
    <w:rsid w:val="05461B09"/>
    <w:rsid w:val="05465378"/>
    <w:rsid w:val="05465FAD"/>
    <w:rsid w:val="05473EBA"/>
    <w:rsid w:val="054777F1"/>
    <w:rsid w:val="054803DF"/>
    <w:rsid w:val="05482126"/>
    <w:rsid w:val="05482880"/>
    <w:rsid w:val="05485F66"/>
    <w:rsid w:val="05486BAC"/>
    <w:rsid w:val="0548762F"/>
    <w:rsid w:val="054933A7"/>
    <w:rsid w:val="0549373D"/>
    <w:rsid w:val="05497A50"/>
    <w:rsid w:val="054A0E25"/>
    <w:rsid w:val="054A15F9"/>
    <w:rsid w:val="054A784B"/>
    <w:rsid w:val="054B06FD"/>
    <w:rsid w:val="054B2723"/>
    <w:rsid w:val="054B35C3"/>
    <w:rsid w:val="054B6C6E"/>
    <w:rsid w:val="054B711F"/>
    <w:rsid w:val="054B7FF9"/>
    <w:rsid w:val="054C183E"/>
    <w:rsid w:val="054C1C16"/>
    <w:rsid w:val="054C2CE0"/>
    <w:rsid w:val="054C3D87"/>
    <w:rsid w:val="054C69BD"/>
    <w:rsid w:val="054D10EA"/>
    <w:rsid w:val="054D2E98"/>
    <w:rsid w:val="054D3ADB"/>
    <w:rsid w:val="054D49E3"/>
    <w:rsid w:val="054D5478"/>
    <w:rsid w:val="054D733B"/>
    <w:rsid w:val="054E09BE"/>
    <w:rsid w:val="054F06BB"/>
    <w:rsid w:val="054F4E62"/>
    <w:rsid w:val="05502988"/>
    <w:rsid w:val="05504736"/>
    <w:rsid w:val="0550782E"/>
    <w:rsid w:val="05516791"/>
    <w:rsid w:val="05517447"/>
    <w:rsid w:val="05524952"/>
    <w:rsid w:val="05526700"/>
    <w:rsid w:val="05532379"/>
    <w:rsid w:val="05532FF8"/>
    <w:rsid w:val="05533CBE"/>
    <w:rsid w:val="05535400"/>
    <w:rsid w:val="05536919"/>
    <w:rsid w:val="055406CA"/>
    <w:rsid w:val="05551D4C"/>
    <w:rsid w:val="05557F9E"/>
    <w:rsid w:val="0556252D"/>
    <w:rsid w:val="05563434"/>
    <w:rsid w:val="055656D6"/>
    <w:rsid w:val="05571F68"/>
    <w:rsid w:val="05573D16"/>
    <w:rsid w:val="05575AC4"/>
    <w:rsid w:val="05577733"/>
    <w:rsid w:val="05577DE1"/>
    <w:rsid w:val="05581271"/>
    <w:rsid w:val="055866A0"/>
    <w:rsid w:val="05590644"/>
    <w:rsid w:val="0559183C"/>
    <w:rsid w:val="05593077"/>
    <w:rsid w:val="055931ED"/>
    <w:rsid w:val="05595CE0"/>
    <w:rsid w:val="05597A8E"/>
    <w:rsid w:val="055A1A12"/>
    <w:rsid w:val="055A55B4"/>
    <w:rsid w:val="055A65D5"/>
    <w:rsid w:val="055A7363"/>
    <w:rsid w:val="055B169D"/>
    <w:rsid w:val="055B2C00"/>
    <w:rsid w:val="055B3806"/>
    <w:rsid w:val="055B38DE"/>
    <w:rsid w:val="055B5021"/>
    <w:rsid w:val="055C132D"/>
    <w:rsid w:val="055C1DA1"/>
    <w:rsid w:val="055C2510"/>
    <w:rsid w:val="055C30DB"/>
    <w:rsid w:val="055C3A53"/>
    <w:rsid w:val="055C4AE0"/>
    <w:rsid w:val="055C64B1"/>
    <w:rsid w:val="055D1F0C"/>
    <w:rsid w:val="055D2614"/>
    <w:rsid w:val="055D691F"/>
    <w:rsid w:val="055D7437"/>
    <w:rsid w:val="055D7941"/>
    <w:rsid w:val="055E32F7"/>
    <w:rsid w:val="055E6E53"/>
    <w:rsid w:val="055F2BCB"/>
    <w:rsid w:val="055F39A2"/>
    <w:rsid w:val="055F4E32"/>
    <w:rsid w:val="055F57D6"/>
    <w:rsid w:val="056005A9"/>
    <w:rsid w:val="056016E1"/>
    <w:rsid w:val="05604EDC"/>
    <w:rsid w:val="0560706F"/>
    <w:rsid w:val="05607A03"/>
    <w:rsid w:val="05613555"/>
    <w:rsid w:val="05615F60"/>
    <w:rsid w:val="05616943"/>
    <w:rsid w:val="0563090D"/>
    <w:rsid w:val="056326BB"/>
    <w:rsid w:val="056337B3"/>
    <w:rsid w:val="056401E1"/>
    <w:rsid w:val="0564417B"/>
    <w:rsid w:val="05645536"/>
    <w:rsid w:val="056469A6"/>
    <w:rsid w:val="05654685"/>
    <w:rsid w:val="05654D72"/>
    <w:rsid w:val="056559AA"/>
    <w:rsid w:val="05662134"/>
    <w:rsid w:val="056621AB"/>
    <w:rsid w:val="05663875"/>
    <w:rsid w:val="056703FD"/>
    <w:rsid w:val="05670D5F"/>
    <w:rsid w:val="05673681"/>
    <w:rsid w:val="0568505A"/>
    <w:rsid w:val="05687CD1"/>
    <w:rsid w:val="056930F4"/>
    <w:rsid w:val="056A1853"/>
    <w:rsid w:val="056A1C9B"/>
    <w:rsid w:val="056A6F2B"/>
    <w:rsid w:val="056B2174"/>
    <w:rsid w:val="056C1C51"/>
    <w:rsid w:val="056C5A14"/>
    <w:rsid w:val="056D0AEF"/>
    <w:rsid w:val="056D0F54"/>
    <w:rsid w:val="056D178C"/>
    <w:rsid w:val="056D271E"/>
    <w:rsid w:val="056D2DDB"/>
    <w:rsid w:val="056D4862"/>
    <w:rsid w:val="056D7A41"/>
    <w:rsid w:val="056E08C6"/>
    <w:rsid w:val="056E4346"/>
    <w:rsid w:val="056E50AE"/>
    <w:rsid w:val="056F1060"/>
    <w:rsid w:val="056F2442"/>
    <w:rsid w:val="056F2E0E"/>
    <w:rsid w:val="056F4E3B"/>
    <w:rsid w:val="056F7375"/>
    <w:rsid w:val="05704DD8"/>
    <w:rsid w:val="05705DB7"/>
    <w:rsid w:val="057118C4"/>
    <w:rsid w:val="0571302A"/>
    <w:rsid w:val="05720B50"/>
    <w:rsid w:val="057228FE"/>
    <w:rsid w:val="05722ADB"/>
    <w:rsid w:val="05725C3B"/>
    <w:rsid w:val="05726CCF"/>
    <w:rsid w:val="057272C8"/>
    <w:rsid w:val="0573117F"/>
    <w:rsid w:val="05731475"/>
    <w:rsid w:val="05740424"/>
    <w:rsid w:val="05742CD1"/>
    <w:rsid w:val="05743D3C"/>
    <w:rsid w:val="057448C8"/>
    <w:rsid w:val="05750978"/>
    <w:rsid w:val="05751155"/>
    <w:rsid w:val="057523EE"/>
    <w:rsid w:val="057531C4"/>
    <w:rsid w:val="0575419C"/>
    <w:rsid w:val="05757E15"/>
    <w:rsid w:val="05760640"/>
    <w:rsid w:val="057628E6"/>
    <w:rsid w:val="057723B1"/>
    <w:rsid w:val="0578110E"/>
    <w:rsid w:val="05781D8C"/>
    <w:rsid w:val="05785C8A"/>
    <w:rsid w:val="05790131"/>
    <w:rsid w:val="05791616"/>
    <w:rsid w:val="05792272"/>
    <w:rsid w:val="05792CC3"/>
    <w:rsid w:val="057937C0"/>
    <w:rsid w:val="05793C8D"/>
    <w:rsid w:val="057940B5"/>
    <w:rsid w:val="057A1A3A"/>
    <w:rsid w:val="057A5AA8"/>
    <w:rsid w:val="057A7F1A"/>
    <w:rsid w:val="057B2ECA"/>
    <w:rsid w:val="057B460B"/>
    <w:rsid w:val="057B5C57"/>
    <w:rsid w:val="057C09BF"/>
    <w:rsid w:val="057C100F"/>
    <w:rsid w:val="057C19CF"/>
    <w:rsid w:val="057C377D"/>
    <w:rsid w:val="057C552B"/>
    <w:rsid w:val="057D6F2B"/>
    <w:rsid w:val="057E03BB"/>
    <w:rsid w:val="057E2F8C"/>
    <w:rsid w:val="057E487B"/>
    <w:rsid w:val="057E6C28"/>
    <w:rsid w:val="057E74F5"/>
    <w:rsid w:val="057E78E8"/>
    <w:rsid w:val="057F35E8"/>
    <w:rsid w:val="057F6B5C"/>
    <w:rsid w:val="0580501B"/>
    <w:rsid w:val="058058AC"/>
    <w:rsid w:val="0580660F"/>
    <w:rsid w:val="05806815"/>
    <w:rsid w:val="058072FC"/>
    <w:rsid w:val="05810D93"/>
    <w:rsid w:val="05812B41"/>
    <w:rsid w:val="05815798"/>
    <w:rsid w:val="05816D3C"/>
    <w:rsid w:val="05816FE5"/>
    <w:rsid w:val="05817F7F"/>
    <w:rsid w:val="05827620"/>
    <w:rsid w:val="05827EE9"/>
    <w:rsid w:val="05832D5D"/>
    <w:rsid w:val="05832D9D"/>
    <w:rsid w:val="05836081"/>
    <w:rsid w:val="05842463"/>
    <w:rsid w:val="05843288"/>
    <w:rsid w:val="0584422D"/>
    <w:rsid w:val="0584521B"/>
    <w:rsid w:val="0584760A"/>
    <w:rsid w:val="05850883"/>
    <w:rsid w:val="05851B32"/>
    <w:rsid w:val="05852631"/>
    <w:rsid w:val="05853121"/>
    <w:rsid w:val="058549D8"/>
    <w:rsid w:val="05854D43"/>
    <w:rsid w:val="05856AD5"/>
    <w:rsid w:val="05862B69"/>
    <w:rsid w:val="058645FB"/>
    <w:rsid w:val="058663AA"/>
    <w:rsid w:val="05871627"/>
    <w:rsid w:val="05874A70"/>
    <w:rsid w:val="05875357"/>
    <w:rsid w:val="05875FBE"/>
    <w:rsid w:val="05882122"/>
    <w:rsid w:val="05886C0F"/>
    <w:rsid w:val="0589009F"/>
    <w:rsid w:val="058A1AE1"/>
    <w:rsid w:val="058A40EC"/>
    <w:rsid w:val="058A76B2"/>
    <w:rsid w:val="058B314E"/>
    <w:rsid w:val="058B39C0"/>
    <w:rsid w:val="058C1C12"/>
    <w:rsid w:val="058C3E4F"/>
    <w:rsid w:val="058C7435"/>
    <w:rsid w:val="058C7E64"/>
    <w:rsid w:val="058D14E6"/>
    <w:rsid w:val="058D2F07"/>
    <w:rsid w:val="058D3EFF"/>
    <w:rsid w:val="058D598A"/>
    <w:rsid w:val="058D7738"/>
    <w:rsid w:val="058E75D5"/>
    <w:rsid w:val="058F0ED4"/>
    <w:rsid w:val="058F1340"/>
    <w:rsid w:val="058F1702"/>
    <w:rsid w:val="058F34B0"/>
    <w:rsid w:val="058F5185"/>
    <w:rsid w:val="058F525E"/>
    <w:rsid w:val="05900FD6"/>
    <w:rsid w:val="059025D5"/>
    <w:rsid w:val="05910C43"/>
    <w:rsid w:val="0591221D"/>
    <w:rsid w:val="0591547A"/>
    <w:rsid w:val="05917228"/>
    <w:rsid w:val="05920444"/>
    <w:rsid w:val="05922FA0"/>
    <w:rsid w:val="05924A13"/>
    <w:rsid w:val="059268C4"/>
    <w:rsid w:val="05927CC1"/>
    <w:rsid w:val="05930833"/>
    <w:rsid w:val="059310F0"/>
    <w:rsid w:val="05931C65"/>
    <w:rsid w:val="059326B6"/>
    <w:rsid w:val="059353EB"/>
    <w:rsid w:val="05940AC6"/>
    <w:rsid w:val="05942874"/>
    <w:rsid w:val="059429E1"/>
    <w:rsid w:val="05943794"/>
    <w:rsid w:val="059451B2"/>
    <w:rsid w:val="05946D18"/>
    <w:rsid w:val="0595200F"/>
    <w:rsid w:val="05954729"/>
    <w:rsid w:val="05961213"/>
    <w:rsid w:val="05962A91"/>
    <w:rsid w:val="0596483F"/>
    <w:rsid w:val="0596630B"/>
    <w:rsid w:val="05967AD2"/>
    <w:rsid w:val="05972365"/>
    <w:rsid w:val="05975077"/>
    <w:rsid w:val="05976809"/>
    <w:rsid w:val="05977CB3"/>
    <w:rsid w:val="05986B21"/>
    <w:rsid w:val="0599223B"/>
    <w:rsid w:val="05993A63"/>
    <w:rsid w:val="05995C65"/>
    <w:rsid w:val="059960DD"/>
    <w:rsid w:val="05997E8B"/>
    <w:rsid w:val="059A2314"/>
    <w:rsid w:val="059A2B29"/>
    <w:rsid w:val="059A3C03"/>
    <w:rsid w:val="059A6453"/>
    <w:rsid w:val="059A6D39"/>
    <w:rsid w:val="059A73BF"/>
    <w:rsid w:val="059B00A7"/>
    <w:rsid w:val="059C0229"/>
    <w:rsid w:val="059C1287"/>
    <w:rsid w:val="059C18BA"/>
    <w:rsid w:val="059C3944"/>
    <w:rsid w:val="059C5BCD"/>
    <w:rsid w:val="059C797B"/>
    <w:rsid w:val="059D006E"/>
    <w:rsid w:val="059D3E1F"/>
    <w:rsid w:val="059D6892"/>
    <w:rsid w:val="059E0DDF"/>
    <w:rsid w:val="059F1B4A"/>
    <w:rsid w:val="059F4A0E"/>
    <w:rsid w:val="059F69F1"/>
    <w:rsid w:val="059F6ADB"/>
    <w:rsid w:val="05A0067C"/>
    <w:rsid w:val="05A01219"/>
    <w:rsid w:val="05A03931"/>
    <w:rsid w:val="05A04E96"/>
    <w:rsid w:val="05A05081"/>
    <w:rsid w:val="05A056BD"/>
    <w:rsid w:val="05A0746B"/>
    <w:rsid w:val="05A11842"/>
    <w:rsid w:val="05A131E3"/>
    <w:rsid w:val="05A14E20"/>
    <w:rsid w:val="05A1592D"/>
    <w:rsid w:val="05A16326"/>
    <w:rsid w:val="05A17791"/>
    <w:rsid w:val="05A22814"/>
    <w:rsid w:val="05A269DC"/>
    <w:rsid w:val="05A30D0A"/>
    <w:rsid w:val="05A3105A"/>
    <w:rsid w:val="05A32591"/>
    <w:rsid w:val="05A34B38"/>
    <w:rsid w:val="05A36F5B"/>
    <w:rsid w:val="05A43D0F"/>
    <w:rsid w:val="05A50F26"/>
    <w:rsid w:val="05A51B14"/>
    <w:rsid w:val="05A52CD4"/>
    <w:rsid w:val="05A53E09"/>
    <w:rsid w:val="05A54A82"/>
    <w:rsid w:val="05A60D08"/>
    <w:rsid w:val="05A625A8"/>
    <w:rsid w:val="05A66F69"/>
    <w:rsid w:val="05A72467"/>
    <w:rsid w:val="05A72E60"/>
    <w:rsid w:val="05A812CA"/>
    <w:rsid w:val="05A827C4"/>
    <w:rsid w:val="05A843F1"/>
    <w:rsid w:val="05A84572"/>
    <w:rsid w:val="05A90C13"/>
    <w:rsid w:val="05A94AB8"/>
    <w:rsid w:val="05A96DF8"/>
    <w:rsid w:val="05AA02EA"/>
    <w:rsid w:val="05AA2098"/>
    <w:rsid w:val="05AA4D7A"/>
    <w:rsid w:val="05AA4F93"/>
    <w:rsid w:val="05AA5F48"/>
    <w:rsid w:val="05AD1B88"/>
    <w:rsid w:val="05AD3936"/>
    <w:rsid w:val="05AD7DDA"/>
    <w:rsid w:val="05AE092A"/>
    <w:rsid w:val="05AE1F15"/>
    <w:rsid w:val="05AF3B52"/>
    <w:rsid w:val="05B102C5"/>
    <w:rsid w:val="05B11678"/>
    <w:rsid w:val="05B13057"/>
    <w:rsid w:val="05B13426"/>
    <w:rsid w:val="05B146DA"/>
    <w:rsid w:val="05B15FD7"/>
    <w:rsid w:val="05B20F4D"/>
    <w:rsid w:val="05B22460"/>
    <w:rsid w:val="05B253F0"/>
    <w:rsid w:val="05B2719F"/>
    <w:rsid w:val="05B32111"/>
    <w:rsid w:val="05B330BB"/>
    <w:rsid w:val="05B35630"/>
    <w:rsid w:val="05B4037F"/>
    <w:rsid w:val="05B41169"/>
    <w:rsid w:val="05B42F17"/>
    <w:rsid w:val="05B4479C"/>
    <w:rsid w:val="05B60A3D"/>
    <w:rsid w:val="05B65FA5"/>
    <w:rsid w:val="05B66C8F"/>
    <w:rsid w:val="05B670BC"/>
    <w:rsid w:val="05B67603"/>
    <w:rsid w:val="05B71C8D"/>
    <w:rsid w:val="05B73549"/>
    <w:rsid w:val="05B75A16"/>
    <w:rsid w:val="05B77AB2"/>
    <w:rsid w:val="05B808D0"/>
    <w:rsid w:val="05B80C2A"/>
    <w:rsid w:val="05B80C59"/>
    <w:rsid w:val="05B819DC"/>
    <w:rsid w:val="05B81CC8"/>
    <w:rsid w:val="05B85905"/>
    <w:rsid w:val="05B9052D"/>
    <w:rsid w:val="05B9128C"/>
    <w:rsid w:val="05B945AD"/>
    <w:rsid w:val="05BA2761"/>
    <w:rsid w:val="05BA4A1E"/>
    <w:rsid w:val="05BA55F4"/>
    <w:rsid w:val="05BA5A3D"/>
    <w:rsid w:val="05BA6ECD"/>
    <w:rsid w:val="05BB1297"/>
    <w:rsid w:val="05BB1A9E"/>
    <w:rsid w:val="05BB24F7"/>
    <w:rsid w:val="05BB42A5"/>
    <w:rsid w:val="05BC001D"/>
    <w:rsid w:val="05BC1B11"/>
    <w:rsid w:val="05BC1DCB"/>
    <w:rsid w:val="05BC2F2E"/>
    <w:rsid w:val="05BC516E"/>
    <w:rsid w:val="05BD2B25"/>
    <w:rsid w:val="05BD2B85"/>
    <w:rsid w:val="05BD43BE"/>
    <w:rsid w:val="05BD626F"/>
    <w:rsid w:val="05BE1BC4"/>
    <w:rsid w:val="05BE1FE7"/>
    <w:rsid w:val="05BE3D95"/>
    <w:rsid w:val="05BE584E"/>
    <w:rsid w:val="05BE78F1"/>
    <w:rsid w:val="05BF2307"/>
    <w:rsid w:val="05BF6486"/>
    <w:rsid w:val="05C018BB"/>
    <w:rsid w:val="05C0366A"/>
    <w:rsid w:val="05C109A5"/>
    <w:rsid w:val="05C11DBC"/>
    <w:rsid w:val="05C13FCE"/>
    <w:rsid w:val="05C1471D"/>
    <w:rsid w:val="05C14802"/>
    <w:rsid w:val="05C23393"/>
    <w:rsid w:val="05C30230"/>
    <w:rsid w:val="05C313AC"/>
    <w:rsid w:val="05C324F2"/>
    <w:rsid w:val="05C3315A"/>
    <w:rsid w:val="05C338C0"/>
    <w:rsid w:val="05C34B4B"/>
    <w:rsid w:val="05C35732"/>
    <w:rsid w:val="05C375AD"/>
    <w:rsid w:val="05C375FE"/>
    <w:rsid w:val="05C416C0"/>
    <w:rsid w:val="05C44900"/>
    <w:rsid w:val="05C501A9"/>
    <w:rsid w:val="05C50C80"/>
    <w:rsid w:val="05C55124"/>
    <w:rsid w:val="05C610F4"/>
    <w:rsid w:val="05C63FE0"/>
    <w:rsid w:val="05C649F8"/>
    <w:rsid w:val="05C6662C"/>
    <w:rsid w:val="05C74DD6"/>
    <w:rsid w:val="05C77594"/>
    <w:rsid w:val="05C80091"/>
    <w:rsid w:val="05C8093E"/>
    <w:rsid w:val="05C81483"/>
    <w:rsid w:val="05C814D1"/>
    <w:rsid w:val="05C82715"/>
    <w:rsid w:val="05C82DF3"/>
    <w:rsid w:val="05C864DB"/>
    <w:rsid w:val="05C869C2"/>
    <w:rsid w:val="05C92961"/>
    <w:rsid w:val="05C940A2"/>
    <w:rsid w:val="05C94625"/>
    <w:rsid w:val="05CA273A"/>
    <w:rsid w:val="05CA44E8"/>
    <w:rsid w:val="05CB0484"/>
    <w:rsid w:val="05CB25B4"/>
    <w:rsid w:val="05CB2CCC"/>
    <w:rsid w:val="05CB4CF8"/>
    <w:rsid w:val="05CC4F4D"/>
    <w:rsid w:val="05CC64B2"/>
    <w:rsid w:val="05CD5690"/>
    <w:rsid w:val="05CE4296"/>
    <w:rsid w:val="05CE6CEB"/>
    <w:rsid w:val="05CF1AFF"/>
    <w:rsid w:val="05CF57FA"/>
    <w:rsid w:val="05CF68C0"/>
    <w:rsid w:val="05CF7A54"/>
    <w:rsid w:val="05CF7D50"/>
    <w:rsid w:val="05D07D8E"/>
    <w:rsid w:val="05D120BC"/>
    <w:rsid w:val="05D13AC9"/>
    <w:rsid w:val="05D14044"/>
    <w:rsid w:val="05D215EF"/>
    <w:rsid w:val="05D2339D"/>
    <w:rsid w:val="05D249D0"/>
    <w:rsid w:val="05D25154"/>
    <w:rsid w:val="05D25FC5"/>
    <w:rsid w:val="05D278C5"/>
    <w:rsid w:val="05D37841"/>
    <w:rsid w:val="05D4198A"/>
    <w:rsid w:val="05D45367"/>
    <w:rsid w:val="05D5468C"/>
    <w:rsid w:val="05D55216"/>
    <w:rsid w:val="05D5767E"/>
    <w:rsid w:val="05D60826"/>
    <w:rsid w:val="05D60879"/>
    <w:rsid w:val="05D62E8D"/>
    <w:rsid w:val="05D64343"/>
    <w:rsid w:val="05D67331"/>
    <w:rsid w:val="05D709B3"/>
    <w:rsid w:val="05D76C05"/>
    <w:rsid w:val="05D830A9"/>
    <w:rsid w:val="05D83B97"/>
    <w:rsid w:val="05D85303"/>
    <w:rsid w:val="05D86F55"/>
    <w:rsid w:val="05D90BCF"/>
    <w:rsid w:val="05D92456"/>
    <w:rsid w:val="05D92727"/>
    <w:rsid w:val="05D9297D"/>
    <w:rsid w:val="05D92ABB"/>
    <w:rsid w:val="05D9472B"/>
    <w:rsid w:val="05D963ED"/>
    <w:rsid w:val="05D971CF"/>
    <w:rsid w:val="05DA0248"/>
    <w:rsid w:val="05DA1317"/>
    <w:rsid w:val="05DB439D"/>
    <w:rsid w:val="05DC0DD7"/>
    <w:rsid w:val="05DC3007"/>
    <w:rsid w:val="05DC421B"/>
    <w:rsid w:val="05DC5B87"/>
    <w:rsid w:val="05DD06BF"/>
    <w:rsid w:val="05DD246D"/>
    <w:rsid w:val="05DD2639"/>
    <w:rsid w:val="05DE1D42"/>
    <w:rsid w:val="05DE4419"/>
    <w:rsid w:val="05DE4E38"/>
    <w:rsid w:val="05DE5B4D"/>
    <w:rsid w:val="05DE61E6"/>
    <w:rsid w:val="05DE6A2F"/>
    <w:rsid w:val="05DF2C44"/>
    <w:rsid w:val="05DF4E50"/>
    <w:rsid w:val="05E01F5E"/>
    <w:rsid w:val="05E03529"/>
    <w:rsid w:val="05E03D0C"/>
    <w:rsid w:val="05E042B0"/>
    <w:rsid w:val="05E061E4"/>
    <w:rsid w:val="05E11832"/>
    <w:rsid w:val="05E12078"/>
    <w:rsid w:val="05E137B9"/>
    <w:rsid w:val="05E22153"/>
    <w:rsid w:val="05E239E4"/>
    <w:rsid w:val="05E23AE4"/>
    <w:rsid w:val="05E25CD6"/>
    <w:rsid w:val="05E27A84"/>
    <w:rsid w:val="05E30AB8"/>
    <w:rsid w:val="05E30CAA"/>
    <w:rsid w:val="05E3215D"/>
    <w:rsid w:val="05E337FC"/>
    <w:rsid w:val="05E41D18"/>
    <w:rsid w:val="05E4213A"/>
    <w:rsid w:val="05E42C60"/>
    <w:rsid w:val="05E47569"/>
    <w:rsid w:val="05E51322"/>
    <w:rsid w:val="05E5346D"/>
    <w:rsid w:val="05E5400A"/>
    <w:rsid w:val="05E57574"/>
    <w:rsid w:val="05E60A0F"/>
    <w:rsid w:val="05E60DFD"/>
    <w:rsid w:val="05E64A5A"/>
    <w:rsid w:val="05E732EC"/>
    <w:rsid w:val="05E76962"/>
    <w:rsid w:val="05E76C01"/>
    <w:rsid w:val="05E76E48"/>
    <w:rsid w:val="05E82BC0"/>
    <w:rsid w:val="05E855C0"/>
    <w:rsid w:val="05E86F30"/>
    <w:rsid w:val="05E8737A"/>
    <w:rsid w:val="05E90577"/>
    <w:rsid w:val="05E92D1E"/>
    <w:rsid w:val="05E951CD"/>
    <w:rsid w:val="05E97064"/>
    <w:rsid w:val="05EA2DDC"/>
    <w:rsid w:val="05EA350D"/>
    <w:rsid w:val="05EA3EAD"/>
    <w:rsid w:val="05EB46CF"/>
    <w:rsid w:val="05EB5B73"/>
    <w:rsid w:val="05EC0902"/>
    <w:rsid w:val="05EC21DD"/>
    <w:rsid w:val="05EC26B0"/>
    <w:rsid w:val="05EC2E44"/>
    <w:rsid w:val="05EC52BD"/>
    <w:rsid w:val="05EC5CFB"/>
    <w:rsid w:val="05ED01D7"/>
    <w:rsid w:val="05ED33D3"/>
    <w:rsid w:val="05ED615E"/>
    <w:rsid w:val="05ED6429"/>
    <w:rsid w:val="05EE071F"/>
    <w:rsid w:val="05EE2EB9"/>
    <w:rsid w:val="05EE5EAB"/>
    <w:rsid w:val="05EF071F"/>
    <w:rsid w:val="05EF21A1"/>
    <w:rsid w:val="05EF2519"/>
    <w:rsid w:val="05EF279D"/>
    <w:rsid w:val="05EF3F4F"/>
    <w:rsid w:val="05EF646B"/>
    <w:rsid w:val="05EF66F9"/>
    <w:rsid w:val="05EF724D"/>
    <w:rsid w:val="05F041E6"/>
    <w:rsid w:val="05F0785B"/>
    <w:rsid w:val="05F13B1F"/>
    <w:rsid w:val="05F15F19"/>
    <w:rsid w:val="05F17746"/>
    <w:rsid w:val="05F17CC7"/>
    <w:rsid w:val="05F20CF5"/>
    <w:rsid w:val="05F22FFD"/>
    <w:rsid w:val="05F23A3F"/>
    <w:rsid w:val="05F24A7B"/>
    <w:rsid w:val="05F25272"/>
    <w:rsid w:val="05F257ED"/>
    <w:rsid w:val="05F33201"/>
    <w:rsid w:val="05F332DC"/>
    <w:rsid w:val="05F408CB"/>
    <w:rsid w:val="05F477B7"/>
    <w:rsid w:val="05F530BF"/>
    <w:rsid w:val="05F61781"/>
    <w:rsid w:val="05F6197E"/>
    <w:rsid w:val="05F6263F"/>
    <w:rsid w:val="05F67BC2"/>
    <w:rsid w:val="05F71EB6"/>
    <w:rsid w:val="05F73D0F"/>
    <w:rsid w:val="05F805B0"/>
    <w:rsid w:val="05F81055"/>
    <w:rsid w:val="05F83EAE"/>
    <w:rsid w:val="05F872A7"/>
    <w:rsid w:val="05F92563"/>
    <w:rsid w:val="05F9301F"/>
    <w:rsid w:val="05F94CBD"/>
    <w:rsid w:val="05F96B7B"/>
    <w:rsid w:val="05FA2293"/>
    <w:rsid w:val="05FA743E"/>
    <w:rsid w:val="05FA76E4"/>
    <w:rsid w:val="05FB0720"/>
    <w:rsid w:val="05FB65E0"/>
    <w:rsid w:val="05FB6F31"/>
    <w:rsid w:val="05FB7E27"/>
    <w:rsid w:val="05FC19E1"/>
    <w:rsid w:val="05FD27C4"/>
    <w:rsid w:val="05FD2B10"/>
    <w:rsid w:val="05FD47B4"/>
    <w:rsid w:val="05FD48BE"/>
    <w:rsid w:val="05FD496D"/>
    <w:rsid w:val="05FD666C"/>
    <w:rsid w:val="05FE0636"/>
    <w:rsid w:val="05FE4192"/>
    <w:rsid w:val="05FE6D27"/>
    <w:rsid w:val="05FE6E47"/>
    <w:rsid w:val="05FE7941"/>
    <w:rsid w:val="05FF5014"/>
    <w:rsid w:val="05FF6D64"/>
    <w:rsid w:val="05FF7B22"/>
    <w:rsid w:val="060043AE"/>
    <w:rsid w:val="06005601"/>
    <w:rsid w:val="06007F0A"/>
    <w:rsid w:val="0601296A"/>
    <w:rsid w:val="06013A94"/>
    <w:rsid w:val="06020126"/>
    <w:rsid w:val="06020D60"/>
    <w:rsid w:val="06021ED4"/>
    <w:rsid w:val="06022A44"/>
    <w:rsid w:val="06024233"/>
    <w:rsid w:val="0602533E"/>
    <w:rsid w:val="06027304"/>
    <w:rsid w:val="060317A8"/>
    <w:rsid w:val="06033F82"/>
    <w:rsid w:val="060356C3"/>
    <w:rsid w:val="060379FA"/>
    <w:rsid w:val="060410C6"/>
    <w:rsid w:val="06042ADA"/>
    <w:rsid w:val="0604760A"/>
    <w:rsid w:val="0605216C"/>
    <w:rsid w:val="06053772"/>
    <w:rsid w:val="06057FE3"/>
    <w:rsid w:val="060602D8"/>
    <w:rsid w:val="06060C2E"/>
    <w:rsid w:val="06061473"/>
    <w:rsid w:val="06063926"/>
    <w:rsid w:val="06064044"/>
    <w:rsid w:val="0607573C"/>
    <w:rsid w:val="060774EA"/>
    <w:rsid w:val="060809FA"/>
    <w:rsid w:val="060814AC"/>
    <w:rsid w:val="06085010"/>
    <w:rsid w:val="06086B80"/>
    <w:rsid w:val="0609045C"/>
    <w:rsid w:val="06090DD5"/>
    <w:rsid w:val="060929C5"/>
    <w:rsid w:val="06093262"/>
    <w:rsid w:val="06096A54"/>
    <w:rsid w:val="060A0D89"/>
    <w:rsid w:val="060A2B37"/>
    <w:rsid w:val="060A3E55"/>
    <w:rsid w:val="060B4186"/>
    <w:rsid w:val="060B5E8D"/>
    <w:rsid w:val="060C02D0"/>
    <w:rsid w:val="060C1BDD"/>
    <w:rsid w:val="060C2D53"/>
    <w:rsid w:val="060C4B01"/>
    <w:rsid w:val="060C6775"/>
    <w:rsid w:val="060C69B2"/>
    <w:rsid w:val="060C7EB6"/>
    <w:rsid w:val="060E0879"/>
    <w:rsid w:val="060E0B16"/>
    <w:rsid w:val="060E16CF"/>
    <w:rsid w:val="060E6ACB"/>
    <w:rsid w:val="060F2843"/>
    <w:rsid w:val="060F3412"/>
    <w:rsid w:val="060F3C66"/>
    <w:rsid w:val="060F45F1"/>
    <w:rsid w:val="060F639F"/>
    <w:rsid w:val="06102D4A"/>
    <w:rsid w:val="06105A8B"/>
    <w:rsid w:val="06106A18"/>
    <w:rsid w:val="0611034D"/>
    <w:rsid w:val="06111157"/>
    <w:rsid w:val="06112117"/>
    <w:rsid w:val="06113EC5"/>
    <w:rsid w:val="0612484F"/>
    <w:rsid w:val="06127C3D"/>
    <w:rsid w:val="06132BBE"/>
    <w:rsid w:val="06133A77"/>
    <w:rsid w:val="06144F07"/>
    <w:rsid w:val="06147E59"/>
    <w:rsid w:val="061614DB"/>
    <w:rsid w:val="061623F8"/>
    <w:rsid w:val="06163647"/>
    <w:rsid w:val="0616597F"/>
    <w:rsid w:val="06167E6C"/>
    <w:rsid w:val="06175475"/>
    <w:rsid w:val="061816F7"/>
    <w:rsid w:val="0618241C"/>
    <w:rsid w:val="061834A6"/>
    <w:rsid w:val="06184BF0"/>
    <w:rsid w:val="06187C2B"/>
    <w:rsid w:val="06190FCC"/>
    <w:rsid w:val="061978E9"/>
    <w:rsid w:val="061A5470"/>
    <w:rsid w:val="061A6353"/>
    <w:rsid w:val="061B10F4"/>
    <w:rsid w:val="061B11E8"/>
    <w:rsid w:val="061B2209"/>
    <w:rsid w:val="061B2F96"/>
    <w:rsid w:val="061B498C"/>
    <w:rsid w:val="061C2F0C"/>
    <w:rsid w:val="061C499D"/>
    <w:rsid w:val="061D0ABC"/>
    <w:rsid w:val="061D3A4E"/>
    <w:rsid w:val="061D5FBD"/>
    <w:rsid w:val="061D71F7"/>
    <w:rsid w:val="061E27BA"/>
    <w:rsid w:val="061E4834"/>
    <w:rsid w:val="061F375B"/>
    <w:rsid w:val="061F45EE"/>
    <w:rsid w:val="06200301"/>
    <w:rsid w:val="062005AC"/>
    <w:rsid w:val="0620235A"/>
    <w:rsid w:val="0620522A"/>
    <w:rsid w:val="06205821"/>
    <w:rsid w:val="062067FE"/>
    <w:rsid w:val="0621326D"/>
    <w:rsid w:val="06213732"/>
    <w:rsid w:val="06215E18"/>
    <w:rsid w:val="0621750B"/>
    <w:rsid w:val="06217546"/>
    <w:rsid w:val="062220DC"/>
    <w:rsid w:val="0622219B"/>
    <w:rsid w:val="06222576"/>
    <w:rsid w:val="06231E4A"/>
    <w:rsid w:val="06233694"/>
    <w:rsid w:val="06233BF8"/>
    <w:rsid w:val="06243DD3"/>
    <w:rsid w:val="0624613D"/>
    <w:rsid w:val="0624728D"/>
    <w:rsid w:val="062500E4"/>
    <w:rsid w:val="06253E14"/>
    <w:rsid w:val="06257970"/>
    <w:rsid w:val="06261775"/>
    <w:rsid w:val="06261CC1"/>
    <w:rsid w:val="06263F80"/>
    <w:rsid w:val="062646F3"/>
    <w:rsid w:val="06271C8F"/>
    <w:rsid w:val="062736E9"/>
    <w:rsid w:val="06274ABE"/>
    <w:rsid w:val="062841F5"/>
    <w:rsid w:val="06284242"/>
    <w:rsid w:val="06287461"/>
    <w:rsid w:val="06293905"/>
    <w:rsid w:val="062956B3"/>
    <w:rsid w:val="062974EE"/>
    <w:rsid w:val="062A31D9"/>
    <w:rsid w:val="062A343F"/>
    <w:rsid w:val="062A39BB"/>
    <w:rsid w:val="062A5CA5"/>
    <w:rsid w:val="062A64C0"/>
    <w:rsid w:val="062A6909"/>
    <w:rsid w:val="062A6EE5"/>
    <w:rsid w:val="062C51A3"/>
    <w:rsid w:val="062C64C3"/>
    <w:rsid w:val="062C6F51"/>
    <w:rsid w:val="062D05D7"/>
    <w:rsid w:val="062E0F1B"/>
    <w:rsid w:val="062E2CC9"/>
    <w:rsid w:val="062E4A77"/>
    <w:rsid w:val="062F07EF"/>
    <w:rsid w:val="062F259D"/>
    <w:rsid w:val="062F6A41"/>
    <w:rsid w:val="06304C93"/>
    <w:rsid w:val="06310741"/>
    <w:rsid w:val="06312D21"/>
    <w:rsid w:val="06316315"/>
    <w:rsid w:val="063169E1"/>
    <w:rsid w:val="06317000"/>
    <w:rsid w:val="06321C67"/>
    <w:rsid w:val="0632741F"/>
    <w:rsid w:val="063302DF"/>
    <w:rsid w:val="06330CDE"/>
    <w:rsid w:val="0633172E"/>
    <w:rsid w:val="063444F1"/>
    <w:rsid w:val="0634474F"/>
    <w:rsid w:val="06345E06"/>
    <w:rsid w:val="063475BD"/>
    <w:rsid w:val="06350AA0"/>
    <w:rsid w:val="06350BB7"/>
    <w:rsid w:val="063522A9"/>
    <w:rsid w:val="063616E3"/>
    <w:rsid w:val="06362632"/>
    <w:rsid w:val="063630D5"/>
    <w:rsid w:val="0636392C"/>
    <w:rsid w:val="06366E11"/>
    <w:rsid w:val="06367DD0"/>
    <w:rsid w:val="063755CB"/>
    <w:rsid w:val="06380C0F"/>
    <w:rsid w:val="063814E6"/>
    <w:rsid w:val="06383B48"/>
    <w:rsid w:val="06384131"/>
    <w:rsid w:val="063852A3"/>
    <w:rsid w:val="06390977"/>
    <w:rsid w:val="0639166E"/>
    <w:rsid w:val="06392F51"/>
    <w:rsid w:val="0639341C"/>
    <w:rsid w:val="063954B7"/>
    <w:rsid w:val="06395792"/>
    <w:rsid w:val="063A0274"/>
    <w:rsid w:val="063A5C43"/>
    <w:rsid w:val="063B3638"/>
    <w:rsid w:val="063B7BD8"/>
    <w:rsid w:val="063D2F0C"/>
    <w:rsid w:val="063D4A54"/>
    <w:rsid w:val="063D4CBA"/>
    <w:rsid w:val="063D6935"/>
    <w:rsid w:val="063E0174"/>
    <w:rsid w:val="063E0583"/>
    <w:rsid w:val="063E0A32"/>
    <w:rsid w:val="063E24EA"/>
    <w:rsid w:val="063E2D45"/>
    <w:rsid w:val="063E6A19"/>
    <w:rsid w:val="063E7D85"/>
    <w:rsid w:val="063F4ED6"/>
    <w:rsid w:val="06400AEE"/>
    <w:rsid w:val="06402A94"/>
    <w:rsid w:val="064047AA"/>
    <w:rsid w:val="06405665"/>
    <w:rsid w:val="06405C08"/>
    <w:rsid w:val="064065CD"/>
    <w:rsid w:val="064077F7"/>
    <w:rsid w:val="06410C3A"/>
    <w:rsid w:val="0641371E"/>
    <w:rsid w:val="06413D56"/>
    <w:rsid w:val="06417385"/>
    <w:rsid w:val="06422C2D"/>
    <w:rsid w:val="06426774"/>
    <w:rsid w:val="06430F9E"/>
    <w:rsid w:val="06432B56"/>
    <w:rsid w:val="06434355"/>
    <w:rsid w:val="06436049"/>
    <w:rsid w:val="06440B61"/>
    <w:rsid w:val="064416CF"/>
    <w:rsid w:val="064424ED"/>
    <w:rsid w:val="0644429B"/>
    <w:rsid w:val="064442B3"/>
    <w:rsid w:val="06450013"/>
    <w:rsid w:val="06451DC1"/>
    <w:rsid w:val="06452B69"/>
    <w:rsid w:val="06456265"/>
    <w:rsid w:val="06460A54"/>
    <w:rsid w:val="064641C0"/>
    <w:rsid w:val="06467EC4"/>
    <w:rsid w:val="06471313"/>
    <w:rsid w:val="06471FDD"/>
    <w:rsid w:val="06472967"/>
    <w:rsid w:val="06473D8B"/>
    <w:rsid w:val="06476C40"/>
    <w:rsid w:val="06477D96"/>
    <w:rsid w:val="064810A9"/>
    <w:rsid w:val="0648365F"/>
    <w:rsid w:val="064918B1"/>
    <w:rsid w:val="06492A9B"/>
    <w:rsid w:val="06497B03"/>
    <w:rsid w:val="064A12E8"/>
    <w:rsid w:val="064A1BCE"/>
    <w:rsid w:val="064A255D"/>
    <w:rsid w:val="064A387B"/>
    <w:rsid w:val="064A5629"/>
    <w:rsid w:val="064A6717"/>
    <w:rsid w:val="064A73D7"/>
    <w:rsid w:val="064B220B"/>
    <w:rsid w:val="064B2E7C"/>
    <w:rsid w:val="064B3D03"/>
    <w:rsid w:val="064C0F85"/>
    <w:rsid w:val="064C0FFA"/>
    <w:rsid w:val="064C4294"/>
    <w:rsid w:val="064C4C64"/>
    <w:rsid w:val="064C5349"/>
    <w:rsid w:val="064C776E"/>
    <w:rsid w:val="064D14C2"/>
    <w:rsid w:val="064D5098"/>
    <w:rsid w:val="064E04AF"/>
    <w:rsid w:val="064E1C81"/>
    <w:rsid w:val="064E336B"/>
    <w:rsid w:val="064E6EC7"/>
    <w:rsid w:val="064E7C69"/>
    <w:rsid w:val="064E7D9C"/>
    <w:rsid w:val="064F10F9"/>
    <w:rsid w:val="064F2C3F"/>
    <w:rsid w:val="064F3CCA"/>
    <w:rsid w:val="064F49ED"/>
    <w:rsid w:val="064F7B33"/>
    <w:rsid w:val="064F7C3C"/>
    <w:rsid w:val="065007DB"/>
    <w:rsid w:val="06500E91"/>
    <w:rsid w:val="0650515A"/>
    <w:rsid w:val="0650549A"/>
    <w:rsid w:val="06510766"/>
    <w:rsid w:val="06514C09"/>
    <w:rsid w:val="065165EA"/>
    <w:rsid w:val="0652309F"/>
    <w:rsid w:val="06530982"/>
    <w:rsid w:val="06532D67"/>
    <w:rsid w:val="065347BE"/>
    <w:rsid w:val="06534A33"/>
    <w:rsid w:val="06540256"/>
    <w:rsid w:val="06551B4F"/>
    <w:rsid w:val="0655382A"/>
    <w:rsid w:val="06554F6B"/>
    <w:rsid w:val="06562220"/>
    <w:rsid w:val="06563FCE"/>
    <w:rsid w:val="06565574"/>
    <w:rsid w:val="065668D5"/>
    <w:rsid w:val="06571B7A"/>
    <w:rsid w:val="065765FD"/>
    <w:rsid w:val="06581AF4"/>
    <w:rsid w:val="06582C46"/>
    <w:rsid w:val="06585F98"/>
    <w:rsid w:val="06587D46"/>
    <w:rsid w:val="06591344"/>
    <w:rsid w:val="06594D7C"/>
    <w:rsid w:val="0659586C"/>
    <w:rsid w:val="065A19DE"/>
    <w:rsid w:val="065A2E52"/>
    <w:rsid w:val="065B15E4"/>
    <w:rsid w:val="065B1DC1"/>
    <w:rsid w:val="065B2E40"/>
    <w:rsid w:val="065B600F"/>
    <w:rsid w:val="065B7836"/>
    <w:rsid w:val="065B7A74"/>
    <w:rsid w:val="065C0E31"/>
    <w:rsid w:val="065C608B"/>
    <w:rsid w:val="065D0DE4"/>
    <w:rsid w:val="065D35AE"/>
    <w:rsid w:val="065D3999"/>
    <w:rsid w:val="065D6671"/>
    <w:rsid w:val="065E3BE1"/>
    <w:rsid w:val="065E7CB1"/>
    <w:rsid w:val="065F10D4"/>
    <w:rsid w:val="06604E4C"/>
    <w:rsid w:val="06606B9D"/>
    <w:rsid w:val="06606BFB"/>
    <w:rsid w:val="06606FF0"/>
    <w:rsid w:val="06610242"/>
    <w:rsid w:val="0661309E"/>
    <w:rsid w:val="0661350E"/>
    <w:rsid w:val="06613D86"/>
    <w:rsid w:val="06614085"/>
    <w:rsid w:val="06620BC5"/>
    <w:rsid w:val="06622973"/>
    <w:rsid w:val="0662384F"/>
    <w:rsid w:val="0662756F"/>
    <w:rsid w:val="06631051"/>
    <w:rsid w:val="06632E56"/>
    <w:rsid w:val="06633557"/>
    <w:rsid w:val="06640499"/>
    <w:rsid w:val="06641E8F"/>
    <w:rsid w:val="06642E14"/>
    <w:rsid w:val="066466EB"/>
    <w:rsid w:val="06646A88"/>
    <w:rsid w:val="0665331F"/>
    <w:rsid w:val="06654B79"/>
    <w:rsid w:val="06655607"/>
    <w:rsid w:val="066606B5"/>
    <w:rsid w:val="06667380"/>
    <w:rsid w:val="06667AFD"/>
    <w:rsid w:val="06671291"/>
    <w:rsid w:val="06671E38"/>
    <w:rsid w:val="06672BDD"/>
    <w:rsid w:val="066761DB"/>
    <w:rsid w:val="06680AF0"/>
    <w:rsid w:val="06683BBB"/>
    <w:rsid w:val="06690320"/>
    <w:rsid w:val="06691F53"/>
    <w:rsid w:val="06693D01"/>
    <w:rsid w:val="06694871"/>
    <w:rsid w:val="066A1827"/>
    <w:rsid w:val="066A5D01"/>
    <w:rsid w:val="066A68BE"/>
    <w:rsid w:val="066A6BA6"/>
    <w:rsid w:val="066A7A79"/>
    <w:rsid w:val="066B08AD"/>
    <w:rsid w:val="066B13D5"/>
    <w:rsid w:val="066B5CCB"/>
    <w:rsid w:val="066B7191"/>
    <w:rsid w:val="066C0621"/>
    <w:rsid w:val="066C559F"/>
    <w:rsid w:val="066C5BE2"/>
    <w:rsid w:val="066C62DC"/>
    <w:rsid w:val="066D504E"/>
    <w:rsid w:val="066E0C2C"/>
    <w:rsid w:val="066E1317"/>
    <w:rsid w:val="066E30C6"/>
    <w:rsid w:val="066E4146"/>
    <w:rsid w:val="066E57BB"/>
    <w:rsid w:val="066E652C"/>
    <w:rsid w:val="066E7569"/>
    <w:rsid w:val="066E7C93"/>
    <w:rsid w:val="066F06D8"/>
    <w:rsid w:val="066F06E3"/>
    <w:rsid w:val="066F4C41"/>
    <w:rsid w:val="066F5072"/>
    <w:rsid w:val="066F6E3E"/>
    <w:rsid w:val="067002E6"/>
    <w:rsid w:val="06700432"/>
    <w:rsid w:val="0670207C"/>
    <w:rsid w:val="06703003"/>
    <w:rsid w:val="06710E08"/>
    <w:rsid w:val="06712BB6"/>
    <w:rsid w:val="0671369D"/>
    <w:rsid w:val="06714493"/>
    <w:rsid w:val="067157DF"/>
    <w:rsid w:val="0671705A"/>
    <w:rsid w:val="06717167"/>
    <w:rsid w:val="067304F4"/>
    <w:rsid w:val="06732DD2"/>
    <w:rsid w:val="06734882"/>
    <w:rsid w:val="06734B80"/>
    <w:rsid w:val="06735060"/>
    <w:rsid w:val="067350F1"/>
    <w:rsid w:val="0673692E"/>
    <w:rsid w:val="06736C46"/>
    <w:rsid w:val="06736DB3"/>
    <w:rsid w:val="06737E2C"/>
    <w:rsid w:val="067417CC"/>
    <w:rsid w:val="06741984"/>
    <w:rsid w:val="06744454"/>
    <w:rsid w:val="067508F8"/>
    <w:rsid w:val="067526A6"/>
    <w:rsid w:val="06755A67"/>
    <w:rsid w:val="0676259B"/>
    <w:rsid w:val="0676330F"/>
    <w:rsid w:val="067641DC"/>
    <w:rsid w:val="06764670"/>
    <w:rsid w:val="0676641E"/>
    <w:rsid w:val="06771EC3"/>
    <w:rsid w:val="06772950"/>
    <w:rsid w:val="067803E8"/>
    <w:rsid w:val="06781FFA"/>
    <w:rsid w:val="06782196"/>
    <w:rsid w:val="06783F44"/>
    <w:rsid w:val="06785A94"/>
    <w:rsid w:val="067A0428"/>
    <w:rsid w:val="067A1963"/>
    <w:rsid w:val="067A7CBC"/>
    <w:rsid w:val="067B1C86"/>
    <w:rsid w:val="067B3A34"/>
    <w:rsid w:val="067B4A1B"/>
    <w:rsid w:val="067B502C"/>
    <w:rsid w:val="067B57E2"/>
    <w:rsid w:val="067C15A6"/>
    <w:rsid w:val="067C312C"/>
    <w:rsid w:val="067C3EF2"/>
    <w:rsid w:val="067D155B"/>
    <w:rsid w:val="067D77AC"/>
    <w:rsid w:val="067E039A"/>
    <w:rsid w:val="067E330C"/>
    <w:rsid w:val="067F1777"/>
    <w:rsid w:val="067F34E3"/>
    <w:rsid w:val="067F3525"/>
    <w:rsid w:val="067F45C8"/>
    <w:rsid w:val="067F6A97"/>
    <w:rsid w:val="0680104B"/>
    <w:rsid w:val="068154F4"/>
    <w:rsid w:val="06815AFC"/>
    <w:rsid w:val="06821EDC"/>
    <w:rsid w:val="06823015"/>
    <w:rsid w:val="06824A26"/>
    <w:rsid w:val="06825418"/>
    <w:rsid w:val="06825F08"/>
    <w:rsid w:val="06826852"/>
    <w:rsid w:val="06831A61"/>
    <w:rsid w:val="06832BAD"/>
    <w:rsid w:val="068368A8"/>
    <w:rsid w:val="06840B3B"/>
    <w:rsid w:val="06840F4D"/>
    <w:rsid w:val="068428E9"/>
    <w:rsid w:val="06842DA3"/>
    <w:rsid w:val="06843743"/>
    <w:rsid w:val="0684411E"/>
    <w:rsid w:val="06846D8D"/>
    <w:rsid w:val="06847D38"/>
    <w:rsid w:val="0685651F"/>
    <w:rsid w:val="06863B44"/>
    <w:rsid w:val="06863D99"/>
    <w:rsid w:val="06864258"/>
    <w:rsid w:val="0686480B"/>
    <w:rsid w:val="0687062B"/>
    <w:rsid w:val="06875229"/>
    <w:rsid w:val="06877400"/>
    <w:rsid w:val="06877A27"/>
    <w:rsid w:val="06886785"/>
    <w:rsid w:val="06890CE6"/>
    <w:rsid w:val="0689271A"/>
    <w:rsid w:val="068943A3"/>
    <w:rsid w:val="06895876"/>
    <w:rsid w:val="06896151"/>
    <w:rsid w:val="06897EFF"/>
    <w:rsid w:val="068A3836"/>
    <w:rsid w:val="068A5BE2"/>
    <w:rsid w:val="068B1EC9"/>
    <w:rsid w:val="068B60B1"/>
    <w:rsid w:val="068B65D1"/>
    <w:rsid w:val="068B6706"/>
    <w:rsid w:val="068C109B"/>
    <w:rsid w:val="068C3E93"/>
    <w:rsid w:val="068C5C42"/>
    <w:rsid w:val="068C6041"/>
    <w:rsid w:val="068D4CA8"/>
    <w:rsid w:val="068D7149"/>
    <w:rsid w:val="068E0438"/>
    <w:rsid w:val="068E0977"/>
    <w:rsid w:val="068E22DC"/>
    <w:rsid w:val="068E3768"/>
    <w:rsid w:val="068E39BB"/>
    <w:rsid w:val="068E5516"/>
    <w:rsid w:val="068E6E59"/>
    <w:rsid w:val="068F0F2E"/>
    <w:rsid w:val="068F6AE9"/>
    <w:rsid w:val="069015D4"/>
    <w:rsid w:val="069025ED"/>
    <w:rsid w:val="069074E0"/>
    <w:rsid w:val="06910EAC"/>
    <w:rsid w:val="069114AA"/>
    <w:rsid w:val="06912380"/>
    <w:rsid w:val="06913F01"/>
    <w:rsid w:val="0692442B"/>
    <w:rsid w:val="06930D7E"/>
    <w:rsid w:val="06935222"/>
    <w:rsid w:val="069353D8"/>
    <w:rsid w:val="0693631F"/>
    <w:rsid w:val="06940968"/>
    <w:rsid w:val="06940F6E"/>
    <w:rsid w:val="069468A4"/>
    <w:rsid w:val="06952FD7"/>
    <w:rsid w:val="06954AF6"/>
    <w:rsid w:val="0696055B"/>
    <w:rsid w:val="0696388E"/>
    <w:rsid w:val="069641A0"/>
    <w:rsid w:val="06967A43"/>
    <w:rsid w:val="06970292"/>
    <w:rsid w:val="06970482"/>
    <w:rsid w:val="0697597B"/>
    <w:rsid w:val="069760AC"/>
    <w:rsid w:val="069761AE"/>
    <w:rsid w:val="06976AC0"/>
    <w:rsid w:val="06980D7F"/>
    <w:rsid w:val="06981B74"/>
    <w:rsid w:val="069845E6"/>
    <w:rsid w:val="0698721F"/>
    <w:rsid w:val="06991B69"/>
    <w:rsid w:val="06993E6F"/>
    <w:rsid w:val="069A035E"/>
    <w:rsid w:val="069A3357"/>
    <w:rsid w:val="069A3EBB"/>
    <w:rsid w:val="069A65B0"/>
    <w:rsid w:val="069A7937"/>
    <w:rsid w:val="069B0ED8"/>
    <w:rsid w:val="069B5C91"/>
    <w:rsid w:val="069B5E2E"/>
    <w:rsid w:val="069B5E85"/>
    <w:rsid w:val="069B6CA4"/>
    <w:rsid w:val="069B7C33"/>
    <w:rsid w:val="069C40D7"/>
    <w:rsid w:val="069D39AB"/>
    <w:rsid w:val="069D746D"/>
    <w:rsid w:val="069D7E4F"/>
    <w:rsid w:val="069D7EE6"/>
    <w:rsid w:val="069E2F92"/>
    <w:rsid w:val="069E4BF1"/>
    <w:rsid w:val="069E6641"/>
    <w:rsid w:val="069F005B"/>
    <w:rsid w:val="069F1B57"/>
    <w:rsid w:val="069F2791"/>
    <w:rsid w:val="069F3FEC"/>
    <w:rsid w:val="069F5975"/>
    <w:rsid w:val="069F6081"/>
    <w:rsid w:val="069F61D9"/>
    <w:rsid w:val="069F7723"/>
    <w:rsid w:val="06A030C2"/>
    <w:rsid w:val="06A0349B"/>
    <w:rsid w:val="06A036C2"/>
    <w:rsid w:val="06A05249"/>
    <w:rsid w:val="06A109A1"/>
    <w:rsid w:val="06A11101"/>
    <w:rsid w:val="06A13572"/>
    <w:rsid w:val="06A1553C"/>
    <w:rsid w:val="06A20FC1"/>
    <w:rsid w:val="06A21E31"/>
    <w:rsid w:val="06A2709F"/>
    <w:rsid w:val="06A27213"/>
    <w:rsid w:val="06A305A3"/>
    <w:rsid w:val="06A30FB8"/>
    <w:rsid w:val="06A327E4"/>
    <w:rsid w:val="06A32D36"/>
    <w:rsid w:val="06A3791F"/>
    <w:rsid w:val="06A417C5"/>
    <w:rsid w:val="06A426C5"/>
    <w:rsid w:val="06A42F8B"/>
    <w:rsid w:val="06A44D39"/>
    <w:rsid w:val="06A47322"/>
    <w:rsid w:val="06A47871"/>
    <w:rsid w:val="06A50AB1"/>
    <w:rsid w:val="06A536A3"/>
    <w:rsid w:val="06A54A54"/>
    <w:rsid w:val="06A57905"/>
    <w:rsid w:val="06A64386"/>
    <w:rsid w:val="06A64F55"/>
    <w:rsid w:val="06A66D03"/>
    <w:rsid w:val="06A670EF"/>
    <w:rsid w:val="06A72A7B"/>
    <w:rsid w:val="06A7521F"/>
    <w:rsid w:val="06A75E42"/>
    <w:rsid w:val="06A80874"/>
    <w:rsid w:val="06A905A2"/>
    <w:rsid w:val="06A905C3"/>
    <w:rsid w:val="06A92350"/>
    <w:rsid w:val="06A967F3"/>
    <w:rsid w:val="06AB256C"/>
    <w:rsid w:val="06AB2ABA"/>
    <w:rsid w:val="06AB431A"/>
    <w:rsid w:val="06AB60C8"/>
    <w:rsid w:val="06AB680A"/>
    <w:rsid w:val="06AB71F5"/>
    <w:rsid w:val="06AC0685"/>
    <w:rsid w:val="06AC1E40"/>
    <w:rsid w:val="06AC415B"/>
    <w:rsid w:val="06AC5AB4"/>
    <w:rsid w:val="06AC6B5A"/>
    <w:rsid w:val="06AD1B15"/>
    <w:rsid w:val="06AD62E4"/>
    <w:rsid w:val="06AE1912"/>
    <w:rsid w:val="06AE6F3C"/>
    <w:rsid w:val="06AE7966"/>
    <w:rsid w:val="06AF142D"/>
    <w:rsid w:val="06B036DE"/>
    <w:rsid w:val="06B0485E"/>
    <w:rsid w:val="06B058C5"/>
    <w:rsid w:val="06B07B82"/>
    <w:rsid w:val="06B156A8"/>
    <w:rsid w:val="06B21390"/>
    <w:rsid w:val="06B238FA"/>
    <w:rsid w:val="06B239F1"/>
    <w:rsid w:val="06B24608"/>
    <w:rsid w:val="06B26C52"/>
    <w:rsid w:val="06B30E1D"/>
    <w:rsid w:val="06B331CE"/>
    <w:rsid w:val="06B34246"/>
    <w:rsid w:val="06B34F7C"/>
    <w:rsid w:val="06B40E73"/>
    <w:rsid w:val="06B47C7B"/>
    <w:rsid w:val="06B50CF4"/>
    <w:rsid w:val="06B55198"/>
    <w:rsid w:val="06B56F46"/>
    <w:rsid w:val="06B6030A"/>
    <w:rsid w:val="06B62CBE"/>
    <w:rsid w:val="06B64308"/>
    <w:rsid w:val="06B645FC"/>
    <w:rsid w:val="06B653C2"/>
    <w:rsid w:val="06B70B82"/>
    <w:rsid w:val="06B70F10"/>
    <w:rsid w:val="06B75C01"/>
    <w:rsid w:val="06B80692"/>
    <w:rsid w:val="06B807E5"/>
    <w:rsid w:val="06B86C28"/>
    <w:rsid w:val="06BA27AF"/>
    <w:rsid w:val="06BA4F61"/>
    <w:rsid w:val="06BA630B"/>
    <w:rsid w:val="06BB4119"/>
    <w:rsid w:val="06BB5125"/>
    <w:rsid w:val="06BC02D5"/>
    <w:rsid w:val="06BC1757"/>
    <w:rsid w:val="06BD6C87"/>
    <w:rsid w:val="06BD7EC9"/>
    <w:rsid w:val="06BE2A9A"/>
    <w:rsid w:val="06BF3F2A"/>
    <w:rsid w:val="06BF6017"/>
    <w:rsid w:val="06BF6EF5"/>
    <w:rsid w:val="06BF7DC5"/>
    <w:rsid w:val="06C06D62"/>
    <w:rsid w:val="06C071A1"/>
    <w:rsid w:val="06C0780B"/>
    <w:rsid w:val="06C108A5"/>
    <w:rsid w:val="06C13B3D"/>
    <w:rsid w:val="06C158EB"/>
    <w:rsid w:val="06C2102F"/>
    <w:rsid w:val="06C21663"/>
    <w:rsid w:val="06C24A1F"/>
    <w:rsid w:val="06C24AFE"/>
    <w:rsid w:val="06C278B5"/>
    <w:rsid w:val="06C3547C"/>
    <w:rsid w:val="06C406AA"/>
    <w:rsid w:val="06C4362D"/>
    <w:rsid w:val="06C4371F"/>
    <w:rsid w:val="06C47189"/>
    <w:rsid w:val="06C52CF5"/>
    <w:rsid w:val="06C531CD"/>
    <w:rsid w:val="06C54CB0"/>
    <w:rsid w:val="06C61153"/>
    <w:rsid w:val="06C6146A"/>
    <w:rsid w:val="06C61FC2"/>
    <w:rsid w:val="06C62F02"/>
    <w:rsid w:val="06C632EC"/>
    <w:rsid w:val="06C66FB7"/>
    <w:rsid w:val="06C673A5"/>
    <w:rsid w:val="06C70C57"/>
    <w:rsid w:val="06C71E34"/>
    <w:rsid w:val="06C74ECC"/>
    <w:rsid w:val="06C75B02"/>
    <w:rsid w:val="06C764E1"/>
    <w:rsid w:val="06C76C7A"/>
    <w:rsid w:val="06C76E57"/>
    <w:rsid w:val="06C83091"/>
    <w:rsid w:val="06C867AC"/>
    <w:rsid w:val="06C86805"/>
    <w:rsid w:val="06C90946"/>
    <w:rsid w:val="06C90DC4"/>
    <w:rsid w:val="06C91BB6"/>
    <w:rsid w:val="06C929F2"/>
    <w:rsid w:val="06C941CE"/>
    <w:rsid w:val="06C94747"/>
    <w:rsid w:val="06C947A0"/>
    <w:rsid w:val="06C950BF"/>
    <w:rsid w:val="06C95C57"/>
    <w:rsid w:val="06CA277E"/>
    <w:rsid w:val="06CA6DA8"/>
    <w:rsid w:val="06CB0518"/>
    <w:rsid w:val="06CB25A0"/>
    <w:rsid w:val="06CB49BC"/>
    <w:rsid w:val="06CB5052"/>
    <w:rsid w:val="06CB509E"/>
    <w:rsid w:val="06CC0B87"/>
    <w:rsid w:val="06CC4290"/>
    <w:rsid w:val="06CC603E"/>
    <w:rsid w:val="06CD24E2"/>
    <w:rsid w:val="06CD66A3"/>
    <w:rsid w:val="06CD7489"/>
    <w:rsid w:val="06CE0008"/>
    <w:rsid w:val="06CE1EF9"/>
    <w:rsid w:val="06CE625A"/>
    <w:rsid w:val="06CE75FA"/>
    <w:rsid w:val="06CF2AB3"/>
    <w:rsid w:val="06CF3098"/>
    <w:rsid w:val="06CF496A"/>
    <w:rsid w:val="06CF593A"/>
    <w:rsid w:val="06D01FD2"/>
    <w:rsid w:val="06D03D80"/>
    <w:rsid w:val="06D04F2F"/>
    <w:rsid w:val="06D05B2E"/>
    <w:rsid w:val="06D118A6"/>
    <w:rsid w:val="06D13FBB"/>
    <w:rsid w:val="06D1633E"/>
    <w:rsid w:val="06D17E8B"/>
    <w:rsid w:val="06D3069D"/>
    <w:rsid w:val="06D33834"/>
    <w:rsid w:val="06D35459"/>
    <w:rsid w:val="06D46EE2"/>
    <w:rsid w:val="06D505D2"/>
    <w:rsid w:val="06D51397"/>
    <w:rsid w:val="06D5614F"/>
    <w:rsid w:val="06D60D20"/>
    <w:rsid w:val="06D66872"/>
    <w:rsid w:val="06D7286F"/>
    <w:rsid w:val="06D73640"/>
    <w:rsid w:val="06D7510F"/>
    <w:rsid w:val="06D75B72"/>
    <w:rsid w:val="06D80B3A"/>
    <w:rsid w:val="06D82C35"/>
    <w:rsid w:val="06D84AD0"/>
    <w:rsid w:val="06D870D9"/>
    <w:rsid w:val="06D87A25"/>
    <w:rsid w:val="06D90283"/>
    <w:rsid w:val="06D92F95"/>
    <w:rsid w:val="06D93697"/>
    <w:rsid w:val="06D97352"/>
    <w:rsid w:val="06D97AFC"/>
    <w:rsid w:val="06DA075B"/>
    <w:rsid w:val="06DA0B31"/>
    <w:rsid w:val="06DA22DD"/>
    <w:rsid w:val="06DA3F2C"/>
    <w:rsid w:val="06DA41B1"/>
    <w:rsid w:val="06DA4BFF"/>
    <w:rsid w:val="06DA6D45"/>
    <w:rsid w:val="06DA78A1"/>
    <w:rsid w:val="06DB44D3"/>
    <w:rsid w:val="06DC0977"/>
    <w:rsid w:val="06DC50A5"/>
    <w:rsid w:val="06DC737A"/>
    <w:rsid w:val="06DD198E"/>
    <w:rsid w:val="06DD649D"/>
    <w:rsid w:val="06DE0942"/>
    <w:rsid w:val="06DE4692"/>
    <w:rsid w:val="06DF2215"/>
    <w:rsid w:val="06DF3513"/>
    <w:rsid w:val="06DF3FC3"/>
    <w:rsid w:val="06DF5D71"/>
    <w:rsid w:val="06E0409F"/>
    <w:rsid w:val="06E049A3"/>
    <w:rsid w:val="06E04C29"/>
    <w:rsid w:val="06E05362"/>
    <w:rsid w:val="06E073EE"/>
    <w:rsid w:val="06E10A04"/>
    <w:rsid w:val="06E11AE9"/>
    <w:rsid w:val="06E1233C"/>
    <w:rsid w:val="06E13CB9"/>
    <w:rsid w:val="06E14AFA"/>
    <w:rsid w:val="06E20753"/>
    <w:rsid w:val="06E21E94"/>
    <w:rsid w:val="06E23AB3"/>
    <w:rsid w:val="06E255E9"/>
    <w:rsid w:val="06E2572B"/>
    <w:rsid w:val="06E25862"/>
    <w:rsid w:val="06E267A9"/>
    <w:rsid w:val="06E27E8D"/>
    <w:rsid w:val="06E3230E"/>
    <w:rsid w:val="06E33324"/>
    <w:rsid w:val="06E339A6"/>
    <w:rsid w:val="06E36148"/>
    <w:rsid w:val="06E415DA"/>
    <w:rsid w:val="06E45A7E"/>
    <w:rsid w:val="06E57054"/>
    <w:rsid w:val="06E57385"/>
    <w:rsid w:val="06E635A4"/>
    <w:rsid w:val="06E64DB5"/>
    <w:rsid w:val="06E67100"/>
    <w:rsid w:val="06E70DC9"/>
    <w:rsid w:val="06E72E78"/>
    <w:rsid w:val="06E73135"/>
    <w:rsid w:val="06E76764"/>
    <w:rsid w:val="06E845C5"/>
    <w:rsid w:val="06E85D06"/>
    <w:rsid w:val="06E94E9D"/>
    <w:rsid w:val="06E96BF0"/>
    <w:rsid w:val="06EA3771"/>
    <w:rsid w:val="06EB1077"/>
    <w:rsid w:val="06EB2968"/>
    <w:rsid w:val="06EB2E9A"/>
    <w:rsid w:val="06EB53F9"/>
    <w:rsid w:val="06EB6E0C"/>
    <w:rsid w:val="06EC0A60"/>
    <w:rsid w:val="06EC66E0"/>
    <w:rsid w:val="06ED0B58"/>
    <w:rsid w:val="06ED4932"/>
    <w:rsid w:val="06ED4A4C"/>
    <w:rsid w:val="06ED730B"/>
    <w:rsid w:val="06EE06AA"/>
    <w:rsid w:val="06EE2325"/>
    <w:rsid w:val="06EE2458"/>
    <w:rsid w:val="06EE2FEE"/>
    <w:rsid w:val="06EE4206"/>
    <w:rsid w:val="06EF07FC"/>
    <w:rsid w:val="06EF0F01"/>
    <w:rsid w:val="06EF1E93"/>
    <w:rsid w:val="06EF3008"/>
    <w:rsid w:val="06EF4D82"/>
    <w:rsid w:val="06EF6C8D"/>
    <w:rsid w:val="06EF6DF5"/>
    <w:rsid w:val="06F02D57"/>
    <w:rsid w:val="06F07F7E"/>
    <w:rsid w:val="06F12286"/>
    <w:rsid w:val="06F131F4"/>
    <w:rsid w:val="06F1464C"/>
    <w:rsid w:val="06F15AA5"/>
    <w:rsid w:val="06F169C8"/>
    <w:rsid w:val="06F1775E"/>
    <w:rsid w:val="06F177CA"/>
    <w:rsid w:val="06F2019A"/>
    <w:rsid w:val="06F23CF7"/>
    <w:rsid w:val="06F252E1"/>
    <w:rsid w:val="06F316D8"/>
    <w:rsid w:val="06F3181D"/>
    <w:rsid w:val="06F35CC1"/>
    <w:rsid w:val="06F41D00"/>
    <w:rsid w:val="06F42B68"/>
    <w:rsid w:val="06F442A9"/>
    <w:rsid w:val="06F466CA"/>
    <w:rsid w:val="06F46DE6"/>
    <w:rsid w:val="06F51A39"/>
    <w:rsid w:val="06F5377E"/>
    <w:rsid w:val="06F537E7"/>
    <w:rsid w:val="06F546DC"/>
    <w:rsid w:val="06F55595"/>
    <w:rsid w:val="06F64E80"/>
    <w:rsid w:val="06F7130D"/>
    <w:rsid w:val="06F7755F"/>
    <w:rsid w:val="06F7784B"/>
    <w:rsid w:val="06F80EF1"/>
    <w:rsid w:val="06F814E9"/>
    <w:rsid w:val="06F832D7"/>
    <w:rsid w:val="06F85085"/>
    <w:rsid w:val="06F8563A"/>
    <w:rsid w:val="06F85661"/>
    <w:rsid w:val="06F85934"/>
    <w:rsid w:val="06F86E33"/>
    <w:rsid w:val="06F9650A"/>
    <w:rsid w:val="06F965AD"/>
    <w:rsid w:val="06F966B9"/>
    <w:rsid w:val="06FA0DD9"/>
    <w:rsid w:val="06FA14C8"/>
    <w:rsid w:val="06FA69DA"/>
    <w:rsid w:val="06FA704F"/>
    <w:rsid w:val="06FB6E0A"/>
    <w:rsid w:val="06FC153C"/>
    <w:rsid w:val="06FC3166"/>
    <w:rsid w:val="06FC4A35"/>
    <w:rsid w:val="06FC6923"/>
    <w:rsid w:val="06FD057D"/>
    <w:rsid w:val="06FD08ED"/>
    <w:rsid w:val="06FD1328"/>
    <w:rsid w:val="06FD269B"/>
    <w:rsid w:val="06FD3164"/>
    <w:rsid w:val="06FD4A88"/>
    <w:rsid w:val="06FD5997"/>
    <w:rsid w:val="06FD7EC7"/>
    <w:rsid w:val="06FE6242"/>
    <w:rsid w:val="06FE7F2C"/>
    <w:rsid w:val="06FE7F78"/>
    <w:rsid w:val="06FF01C2"/>
    <w:rsid w:val="06FF13BC"/>
    <w:rsid w:val="06FF4334"/>
    <w:rsid w:val="06FF4665"/>
    <w:rsid w:val="06FF6413"/>
    <w:rsid w:val="07006F1F"/>
    <w:rsid w:val="0701167C"/>
    <w:rsid w:val="070117E7"/>
    <w:rsid w:val="0701218C"/>
    <w:rsid w:val="07013CDC"/>
    <w:rsid w:val="07013F3A"/>
    <w:rsid w:val="07026DA2"/>
    <w:rsid w:val="07027D3D"/>
    <w:rsid w:val="07031BC6"/>
    <w:rsid w:val="07032347"/>
    <w:rsid w:val="07037311"/>
    <w:rsid w:val="07041C7C"/>
    <w:rsid w:val="07043A2A"/>
    <w:rsid w:val="07043C44"/>
    <w:rsid w:val="070457D8"/>
    <w:rsid w:val="07047ECE"/>
    <w:rsid w:val="07053AED"/>
    <w:rsid w:val="0705453D"/>
    <w:rsid w:val="0705522E"/>
    <w:rsid w:val="07065682"/>
    <w:rsid w:val="070659F4"/>
    <w:rsid w:val="070662C7"/>
    <w:rsid w:val="070666BE"/>
    <w:rsid w:val="070752C8"/>
    <w:rsid w:val="07077B4E"/>
    <w:rsid w:val="0708176C"/>
    <w:rsid w:val="07083BAF"/>
    <w:rsid w:val="07097292"/>
    <w:rsid w:val="070B1943"/>
    <w:rsid w:val="070B21D0"/>
    <w:rsid w:val="070B300A"/>
    <w:rsid w:val="070B4DB8"/>
    <w:rsid w:val="070B6490"/>
    <w:rsid w:val="070B795F"/>
    <w:rsid w:val="070C1EDC"/>
    <w:rsid w:val="070C28DE"/>
    <w:rsid w:val="070D0B30"/>
    <w:rsid w:val="070D2E94"/>
    <w:rsid w:val="070D6D82"/>
    <w:rsid w:val="070E02C2"/>
    <w:rsid w:val="070E2AFA"/>
    <w:rsid w:val="070E34A9"/>
    <w:rsid w:val="070E7A21"/>
    <w:rsid w:val="070F2E52"/>
    <w:rsid w:val="07100621"/>
    <w:rsid w:val="071023A8"/>
    <w:rsid w:val="0710363F"/>
    <w:rsid w:val="07106873"/>
    <w:rsid w:val="07111B45"/>
    <w:rsid w:val="071125B2"/>
    <w:rsid w:val="071137D1"/>
    <w:rsid w:val="07113859"/>
    <w:rsid w:val="07117EF5"/>
    <w:rsid w:val="07126147"/>
    <w:rsid w:val="07131EBF"/>
    <w:rsid w:val="071325F9"/>
    <w:rsid w:val="07133C6D"/>
    <w:rsid w:val="071360F1"/>
    <w:rsid w:val="071427C0"/>
    <w:rsid w:val="071428F1"/>
    <w:rsid w:val="0714303F"/>
    <w:rsid w:val="0714454C"/>
    <w:rsid w:val="07146971"/>
    <w:rsid w:val="071579E5"/>
    <w:rsid w:val="07164A3A"/>
    <w:rsid w:val="071719AF"/>
    <w:rsid w:val="071732DD"/>
    <w:rsid w:val="0717375D"/>
    <w:rsid w:val="071764F8"/>
    <w:rsid w:val="071874D5"/>
    <w:rsid w:val="07191007"/>
    <w:rsid w:val="07194B34"/>
    <w:rsid w:val="071951F9"/>
    <w:rsid w:val="07196062"/>
    <w:rsid w:val="071A4FFB"/>
    <w:rsid w:val="071A6D81"/>
    <w:rsid w:val="071B2025"/>
    <w:rsid w:val="071B328F"/>
    <w:rsid w:val="071B5E3E"/>
    <w:rsid w:val="071B7485"/>
    <w:rsid w:val="071C08E4"/>
    <w:rsid w:val="071C2557"/>
    <w:rsid w:val="071C34B5"/>
    <w:rsid w:val="071C489D"/>
    <w:rsid w:val="071C5217"/>
    <w:rsid w:val="071D1D74"/>
    <w:rsid w:val="071D3CF5"/>
    <w:rsid w:val="071D4AEC"/>
    <w:rsid w:val="071D51FA"/>
    <w:rsid w:val="071D689A"/>
    <w:rsid w:val="071E0F8F"/>
    <w:rsid w:val="071E100A"/>
    <w:rsid w:val="071E2D3E"/>
    <w:rsid w:val="071E3DC1"/>
    <w:rsid w:val="071E5DD5"/>
    <w:rsid w:val="071F0864"/>
    <w:rsid w:val="071F09A6"/>
    <w:rsid w:val="071F61AF"/>
    <w:rsid w:val="071F6AB6"/>
    <w:rsid w:val="07201CA4"/>
    <w:rsid w:val="07204CA9"/>
    <w:rsid w:val="072100C9"/>
    <w:rsid w:val="0721638A"/>
    <w:rsid w:val="07217A1B"/>
    <w:rsid w:val="07222102"/>
    <w:rsid w:val="07223466"/>
    <w:rsid w:val="072239CB"/>
    <w:rsid w:val="07226783"/>
    <w:rsid w:val="07227628"/>
    <w:rsid w:val="07230354"/>
    <w:rsid w:val="072440CC"/>
    <w:rsid w:val="07245E7A"/>
    <w:rsid w:val="07247C28"/>
    <w:rsid w:val="07253325"/>
    <w:rsid w:val="07256E42"/>
    <w:rsid w:val="07261BF2"/>
    <w:rsid w:val="072639A0"/>
    <w:rsid w:val="07265CA8"/>
    <w:rsid w:val="07265D23"/>
    <w:rsid w:val="07267138"/>
    <w:rsid w:val="07267E44"/>
    <w:rsid w:val="072705C8"/>
    <w:rsid w:val="07272090"/>
    <w:rsid w:val="07273F13"/>
    <w:rsid w:val="072743F2"/>
    <w:rsid w:val="072759F7"/>
    <w:rsid w:val="07275A44"/>
    <w:rsid w:val="07277549"/>
    <w:rsid w:val="07277652"/>
    <w:rsid w:val="07280809"/>
    <w:rsid w:val="07283BBC"/>
    <w:rsid w:val="07284B01"/>
    <w:rsid w:val="0728596A"/>
    <w:rsid w:val="07290E11"/>
    <w:rsid w:val="07293490"/>
    <w:rsid w:val="07293586"/>
    <w:rsid w:val="07295285"/>
    <w:rsid w:val="0729554C"/>
    <w:rsid w:val="07296BBF"/>
    <w:rsid w:val="072A2BA2"/>
    <w:rsid w:val="072A7934"/>
    <w:rsid w:val="072B0FB7"/>
    <w:rsid w:val="072B545A"/>
    <w:rsid w:val="072B636A"/>
    <w:rsid w:val="072B7208"/>
    <w:rsid w:val="072C03D9"/>
    <w:rsid w:val="072C77FA"/>
    <w:rsid w:val="072D11D3"/>
    <w:rsid w:val="072D2F81"/>
    <w:rsid w:val="072D4912"/>
    <w:rsid w:val="072D4B5F"/>
    <w:rsid w:val="072D4D2F"/>
    <w:rsid w:val="072D59B6"/>
    <w:rsid w:val="072D607D"/>
    <w:rsid w:val="072D689B"/>
    <w:rsid w:val="072E057F"/>
    <w:rsid w:val="072E6CF9"/>
    <w:rsid w:val="072E7A19"/>
    <w:rsid w:val="072E7FFA"/>
    <w:rsid w:val="072F4F4B"/>
    <w:rsid w:val="0730075A"/>
    <w:rsid w:val="0730481F"/>
    <w:rsid w:val="073065CD"/>
    <w:rsid w:val="073143DE"/>
    <w:rsid w:val="07320597"/>
    <w:rsid w:val="073256DB"/>
    <w:rsid w:val="07325799"/>
    <w:rsid w:val="07326074"/>
    <w:rsid w:val="073302AC"/>
    <w:rsid w:val="0733430F"/>
    <w:rsid w:val="073360BD"/>
    <w:rsid w:val="07336DDA"/>
    <w:rsid w:val="07336ECE"/>
    <w:rsid w:val="07340CA6"/>
    <w:rsid w:val="07342561"/>
    <w:rsid w:val="073562D9"/>
    <w:rsid w:val="0735779A"/>
    <w:rsid w:val="07357A69"/>
    <w:rsid w:val="0736405C"/>
    <w:rsid w:val="073700BD"/>
    <w:rsid w:val="07370B7B"/>
    <w:rsid w:val="07372051"/>
    <w:rsid w:val="073754EC"/>
    <w:rsid w:val="07375BAD"/>
    <w:rsid w:val="0737795B"/>
    <w:rsid w:val="073836D3"/>
    <w:rsid w:val="07383C6E"/>
    <w:rsid w:val="07385325"/>
    <w:rsid w:val="0738697C"/>
    <w:rsid w:val="073920BE"/>
    <w:rsid w:val="07396741"/>
    <w:rsid w:val="07397B77"/>
    <w:rsid w:val="073A0468"/>
    <w:rsid w:val="073A38EF"/>
    <w:rsid w:val="073A569E"/>
    <w:rsid w:val="073A744C"/>
    <w:rsid w:val="073B15F8"/>
    <w:rsid w:val="073B40C1"/>
    <w:rsid w:val="073B532F"/>
    <w:rsid w:val="073B6A3E"/>
    <w:rsid w:val="073C1416"/>
    <w:rsid w:val="073C31C4"/>
    <w:rsid w:val="073C5B6F"/>
    <w:rsid w:val="073C7668"/>
    <w:rsid w:val="073C7ECE"/>
    <w:rsid w:val="073D0CEA"/>
    <w:rsid w:val="073D1547"/>
    <w:rsid w:val="073E3768"/>
    <w:rsid w:val="073E3C7E"/>
    <w:rsid w:val="073E5D94"/>
    <w:rsid w:val="073E6F3C"/>
    <w:rsid w:val="073F0F06"/>
    <w:rsid w:val="073F2CB4"/>
    <w:rsid w:val="073F4A62"/>
    <w:rsid w:val="073F684F"/>
    <w:rsid w:val="07404A3D"/>
    <w:rsid w:val="07407CDF"/>
    <w:rsid w:val="074107DA"/>
    <w:rsid w:val="07412147"/>
    <w:rsid w:val="07417A65"/>
    <w:rsid w:val="074213E4"/>
    <w:rsid w:val="07426576"/>
    <w:rsid w:val="074309F6"/>
    <w:rsid w:val="07430A91"/>
    <w:rsid w:val="074315B5"/>
    <w:rsid w:val="074323B7"/>
    <w:rsid w:val="074327A4"/>
    <w:rsid w:val="07434552"/>
    <w:rsid w:val="074402CA"/>
    <w:rsid w:val="07441231"/>
    <w:rsid w:val="0744328A"/>
    <w:rsid w:val="07444509"/>
    <w:rsid w:val="07464042"/>
    <w:rsid w:val="07474FE1"/>
    <w:rsid w:val="07481042"/>
    <w:rsid w:val="07481B68"/>
    <w:rsid w:val="07481C9D"/>
    <w:rsid w:val="0748600C"/>
    <w:rsid w:val="0748606E"/>
    <w:rsid w:val="07490CF7"/>
    <w:rsid w:val="074924D2"/>
    <w:rsid w:val="07494EF3"/>
    <w:rsid w:val="074956B5"/>
    <w:rsid w:val="074958E1"/>
    <w:rsid w:val="07496094"/>
    <w:rsid w:val="074960E6"/>
    <w:rsid w:val="074A10D6"/>
    <w:rsid w:val="074A1D85"/>
    <w:rsid w:val="074A3B33"/>
    <w:rsid w:val="074B1659"/>
    <w:rsid w:val="074B2D45"/>
    <w:rsid w:val="074B3407"/>
    <w:rsid w:val="074B3B46"/>
    <w:rsid w:val="074B78AB"/>
    <w:rsid w:val="074C0E53"/>
    <w:rsid w:val="074C289A"/>
    <w:rsid w:val="074D28E5"/>
    <w:rsid w:val="074D5096"/>
    <w:rsid w:val="074D53D1"/>
    <w:rsid w:val="074D717F"/>
    <w:rsid w:val="074E2EF7"/>
    <w:rsid w:val="074E41E6"/>
    <w:rsid w:val="074E5322"/>
    <w:rsid w:val="074E7DFF"/>
    <w:rsid w:val="074F5919"/>
    <w:rsid w:val="074F739B"/>
    <w:rsid w:val="075007B5"/>
    <w:rsid w:val="07501693"/>
    <w:rsid w:val="0750320D"/>
    <w:rsid w:val="07506C6F"/>
    <w:rsid w:val="07510C64"/>
    <w:rsid w:val="07513068"/>
    <w:rsid w:val="07513835"/>
    <w:rsid w:val="0752046C"/>
    <w:rsid w:val="07520C39"/>
    <w:rsid w:val="075229E7"/>
    <w:rsid w:val="0753050D"/>
    <w:rsid w:val="07535284"/>
    <w:rsid w:val="075370E9"/>
    <w:rsid w:val="075425B7"/>
    <w:rsid w:val="07542D4A"/>
    <w:rsid w:val="075449B1"/>
    <w:rsid w:val="07545095"/>
    <w:rsid w:val="07550729"/>
    <w:rsid w:val="075521B6"/>
    <w:rsid w:val="075524D7"/>
    <w:rsid w:val="07554285"/>
    <w:rsid w:val="07564CA4"/>
    <w:rsid w:val="075706A0"/>
    <w:rsid w:val="07571DAC"/>
    <w:rsid w:val="0758523A"/>
    <w:rsid w:val="07587E41"/>
    <w:rsid w:val="07591FC8"/>
    <w:rsid w:val="07593D76"/>
    <w:rsid w:val="07596CF9"/>
    <w:rsid w:val="075A189C"/>
    <w:rsid w:val="075A7AEE"/>
    <w:rsid w:val="075B1032"/>
    <w:rsid w:val="075B2E6A"/>
    <w:rsid w:val="075B307A"/>
    <w:rsid w:val="075B456A"/>
    <w:rsid w:val="075B48E7"/>
    <w:rsid w:val="075C0C83"/>
    <w:rsid w:val="075C0DDB"/>
    <w:rsid w:val="075C0DE3"/>
    <w:rsid w:val="075C5614"/>
    <w:rsid w:val="075C75B8"/>
    <w:rsid w:val="075D0200"/>
    <w:rsid w:val="075D094A"/>
    <w:rsid w:val="075D1CA6"/>
    <w:rsid w:val="075D1DD8"/>
    <w:rsid w:val="075D222B"/>
    <w:rsid w:val="075E0084"/>
    <w:rsid w:val="075E138C"/>
    <w:rsid w:val="075E313A"/>
    <w:rsid w:val="075E3268"/>
    <w:rsid w:val="075E5A9A"/>
    <w:rsid w:val="075E75DE"/>
    <w:rsid w:val="075F3613"/>
    <w:rsid w:val="075F3DDA"/>
    <w:rsid w:val="075F5E39"/>
    <w:rsid w:val="075F6EB2"/>
    <w:rsid w:val="07603356"/>
    <w:rsid w:val="07603DBB"/>
    <w:rsid w:val="07610759"/>
    <w:rsid w:val="07610E7C"/>
    <w:rsid w:val="07612C2A"/>
    <w:rsid w:val="07623EA7"/>
    <w:rsid w:val="0762662C"/>
    <w:rsid w:val="07627E7C"/>
    <w:rsid w:val="07630750"/>
    <w:rsid w:val="07632E46"/>
    <w:rsid w:val="07634BF4"/>
    <w:rsid w:val="076358C3"/>
    <w:rsid w:val="07635C4A"/>
    <w:rsid w:val="07636392"/>
    <w:rsid w:val="076369A2"/>
    <w:rsid w:val="07636A21"/>
    <w:rsid w:val="0764271A"/>
    <w:rsid w:val="07642D5E"/>
    <w:rsid w:val="07643591"/>
    <w:rsid w:val="076444C8"/>
    <w:rsid w:val="076470DA"/>
    <w:rsid w:val="0765056A"/>
    <w:rsid w:val="0765096C"/>
    <w:rsid w:val="076520DA"/>
    <w:rsid w:val="07657A12"/>
    <w:rsid w:val="07665718"/>
    <w:rsid w:val="07666F37"/>
    <w:rsid w:val="076737FD"/>
    <w:rsid w:val="076745CB"/>
    <w:rsid w:val="07676071"/>
    <w:rsid w:val="07677374"/>
    <w:rsid w:val="07686031"/>
    <w:rsid w:val="07686D24"/>
    <w:rsid w:val="07686EEB"/>
    <w:rsid w:val="07691ADF"/>
    <w:rsid w:val="0769280C"/>
    <w:rsid w:val="0769444D"/>
    <w:rsid w:val="07697D31"/>
    <w:rsid w:val="076A4FCC"/>
    <w:rsid w:val="076A5F83"/>
    <w:rsid w:val="076B0956"/>
    <w:rsid w:val="076B1CFB"/>
    <w:rsid w:val="076B1FC6"/>
    <w:rsid w:val="076B2A89"/>
    <w:rsid w:val="076B2C9B"/>
    <w:rsid w:val="076B7C09"/>
    <w:rsid w:val="076C049B"/>
    <w:rsid w:val="076C586C"/>
    <w:rsid w:val="076D15CF"/>
    <w:rsid w:val="076D20C9"/>
    <w:rsid w:val="076D54D0"/>
    <w:rsid w:val="076D5CF7"/>
    <w:rsid w:val="076E265F"/>
    <w:rsid w:val="076E2D5D"/>
    <w:rsid w:val="076E4592"/>
    <w:rsid w:val="076F161C"/>
    <w:rsid w:val="076F17EB"/>
    <w:rsid w:val="076F5347"/>
    <w:rsid w:val="077010BF"/>
    <w:rsid w:val="07702E6D"/>
    <w:rsid w:val="07704129"/>
    <w:rsid w:val="0770567D"/>
    <w:rsid w:val="07707311"/>
    <w:rsid w:val="077104C1"/>
    <w:rsid w:val="077169AB"/>
    <w:rsid w:val="07722B6E"/>
    <w:rsid w:val="07723089"/>
    <w:rsid w:val="07724621"/>
    <w:rsid w:val="07724E37"/>
    <w:rsid w:val="07726788"/>
    <w:rsid w:val="07726BE5"/>
    <w:rsid w:val="077364BA"/>
    <w:rsid w:val="07740BAF"/>
    <w:rsid w:val="07741E3E"/>
    <w:rsid w:val="0774295E"/>
    <w:rsid w:val="07746E01"/>
    <w:rsid w:val="07747FBC"/>
    <w:rsid w:val="077503F3"/>
    <w:rsid w:val="07752A7B"/>
    <w:rsid w:val="077534ED"/>
    <w:rsid w:val="0775367F"/>
    <w:rsid w:val="07754928"/>
    <w:rsid w:val="077566D6"/>
    <w:rsid w:val="077611A1"/>
    <w:rsid w:val="077614EF"/>
    <w:rsid w:val="07761D8D"/>
    <w:rsid w:val="07762B7A"/>
    <w:rsid w:val="07767530"/>
    <w:rsid w:val="077706A0"/>
    <w:rsid w:val="07770C56"/>
    <w:rsid w:val="0777244E"/>
    <w:rsid w:val="0777361A"/>
    <w:rsid w:val="07775A94"/>
    <w:rsid w:val="07787200"/>
    <w:rsid w:val="07790AFB"/>
    <w:rsid w:val="07794418"/>
    <w:rsid w:val="0779529F"/>
    <w:rsid w:val="077961C6"/>
    <w:rsid w:val="07796572"/>
    <w:rsid w:val="07796AEE"/>
    <w:rsid w:val="077A394B"/>
    <w:rsid w:val="077A3CEC"/>
    <w:rsid w:val="077A53ED"/>
    <w:rsid w:val="077A5DA8"/>
    <w:rsid w:val="077B2790"/>
    <w:rsid w:val="077B46E3"/>
    <w:rsid w:val="077B748B"/>
    <w:rsid w:val="077C18CC"/>
    <w:rsid w:val="077C2596"/>
    <w:rsid w:val="077C3502"/>
    <w:rsid w:val="077C3C20"/>
    <w:rsid w:val="077C5CB6"/>
    <w:rsid w:val="077C7A64"/>
    <w:rsid w:val="077D01BD"/>
    <w:rsid w:val="077D1332"/>
    <w:rsid w:val="077D5CFA"/>
    <w:rsid w:val="077E1639"/>
    <w:rsid w:val="077E2852"/>
    <w:rsid w:val="077E37DC"/>
    <w:rsid w:val="077E558A"/>
    <w:rsid w:val="077E5935"/>
    <w:rsid w:val="077F2163"/>
    <w:rsid w:val="077F25A1"/>
    <w:rsid w:val="0780099C"/>
    <w:rsid w:val="078046A1"/>
    <w:rsid w:val="07806315"/>
    <w:rsid w:val="078101E4"/>
    <w:rsid w:val="07810FA9"/>
    <w:rsid w:val="07811D40"/>
    <w:rsid w:val="07812662"/>
    <w:rsid w:val="07813AC2"/>
    <w:rsid w:val="0781507A"/>
    <w:rsid w:val="0781669C"/>
    <w:rsid w:val="07816DB8"/>
    <w:rsid w:val="078232BE"/>
    <w:rsid w:val="07827A92"/>
    <w:rsid w:val="07830DF3"/>
    <w:rsid w:val="07830F22"/>
    <w:rsid w:val="07832BA1"/>
    <w:rsid w:val="07833AF3"/>
    <w:rsid w:val="07837045"/>
    <w:rsid w:val="07841ED9"/>
    <w:rsid w:val="07844397"/>
    <w:rsid w:val="07846919"/>
    <w:rsid w:val="07846BE4"/>
    <w:rsid w:val="0785026D"/>
    <w:rsid w:val="07850C9F"/>
    <w:rsid w:val="07852DBD"/>
    <w:rsid w:val="07853608"/>
    <w:rsid w:val="07855C66"/>
    <w:rsid w:val="078567FF"/>
    <w:rsid w:val="07857B54"/>
    <w:rsid w:val="078605D0"/>
    <w:rsid w:val="07860AB8"/>
    <w:rsid w:val="07861D19"/>
    <w:rsid w:val="07862691"/>
    <w:rsid w:val="07864A8B"/>
    <w:rsid w:val="078678A3"/>
    <w:rsid w:val="078828AD"/>
    <w:rsid w:val="07886409"/>
    <w:rsid w:val="07887BEA"/>
    <w:rsid w:val="07893F2F"/>
    <w:rsid w:val="07894644"/>
    <w:rsid w:val="07897965"/>
    <w:rsid w:val="07897A10"/>
    <w:rsid w:val="078A03D3"/>
    <w:rsid w:val="078A0DF5"/>
    <w:rsid w:val="078A1643"/>
    <w:rsid w:val="078A1921"/>
    <w:rsid w:val="078A2181"/>
    <w:rsid w:val="078A58ED"/>
    <w:rsid w:val="078B2881"/>
    <w:rsid w:val="078B41CD"/>
    <w:rsid w:val="078B56F3"/>
    <w:rsid w:val="078B5EF9"/>
    <w:rsid w:val="078B615A"/>
    <w:rsid w:val="078B66A4"/>
    <w:rsid w:val="078C3715"/>
    <w:rsid w:val="078C4E56"/>
    <w:rsid w:val="078C5229"/>
    <w:rsid w:val="078D3A1F"/>
    <w:rsid w:val="078D50A6"/>
    <w:rsid w:val="078E1545"/>
    <w:rsid w:val="078E4E2C"/>
    <w:rsid w:val="078F379E"/>
    <w:rsid w:val="078F59E9"/>
    <w:rsid w:val="078F7797"/>
    <w:rsid w:val="07906595"/>
    <w:rsid w:val="07907BE9"/>
    <w:rsid w:val="079135C1"/>
    <w:rsid w:val="07913C76"/>
    <w:rsid w:val="079160F7"/>
    <w:rsid w:val="07924E72"/>
    <w:rsid w:val="07925A97"/>
    <w:rsid w:val="07927288"/>
    <w:rsid w:val="07930A17"/>
    <w:rsid w:val="079317B9"/>
    <w:rsid w:val="07931EFA"/>
    <w:rsid w:val="0793331F"/>
    <w:rsid w:val="07933B81"/>
    <w:rsid w:val="07934683"/>
    <w:rsid w:val="07936306"/>
    <w:rsid w:val="07941252"/>
    <w:rsid w:val="07943119"/>
    <w:rsid w:val="07944DAE"/>
    <w:rsid w:val="07946EBC"/>
    <w:rsid w:val="07950B26"/>
    <w:rsid w:val="079528D4"/>
    <w:rsid w:val="07961E93"/>
    <w:rsid w:val="07967631"/>
    <w:rsid w:val="07970990"/>
    <w:rsid w:val="07971F69"/>
    <w:rsid w:val="07972C4A"/>
    <w:rsid w:val="0797489E"/>
    <w:rsid w:val="0798130C"/>
    <w:rsid w:val="07993B78"/>
    <w:rsid w:val="07996868"/>
    <w:rsid w:val="0799745A"/>
    <w:rsid w:val="079A613C"/>
    <w:rsid w:val="079A6C61"/>
    <w:rsid w:val="079B1D7A"/>
    <w:rsid w:val="079B25F2"/>
    <w:rsid w:val="079B438E"/>
    <w:rsid w:val="079C0106"/>
    <w:rsid w:val="079C1EB4"/>
    <w:rsid w:val="079C5D55"/>
    <w:rsid w:val="079D13FE"/>
    <w:rsid w:val="079D469A"/>
    <w:rsid w:val="079D726B"/>
    <w:rsid w:val="079E195F"/>
    <w:rsid w:val="079E2868"/>
    <w:rsid w:val="079E79DA"/>
    <w:rsid w:val="079F3753"/>
    <w:rsid w:val="079F4A52"/>
    <w:rsid w:val="079F749A"/>
    <w:rsid w:val="079F7EE3"/>
    <w:rsid w:val="07A00AA0"/>
    <w:rsid w:val="07A019A5"/>
    <w:rsid w:val="07A07BF6"/>
    <w:rsid w:val="07A07E97"/>
    <w:rsid w:val="07A10ED9"/>
    <w:rsid w:val="07A11279"/>
    <w:rsid w:val="07A174CB"/>
    <w:rsid w:val="07A267FC"/>
    <w:rsid w:val="07A3050C"/>
    <w:rsid w:val="07A31495"/>
    <w:rsid w:val="07A33243"/>
    <w:rsid w:val="07A34FF1"/>
    <w:rsid w:val="07A35568"/>
    <w:rsid w:val="07A40F6A"/>
    <w:rsid w:val="07A45B5F"/>
    <w:rsid w:val="07A47695"/>
    <w:rsid w:val="07A47FD8"/>
    <w:rsid w:val="07A50D69"/>
    <w:rsid w:val="07A528AC"/>
    <w:rsid w:val="07A5410D"/>
    <w:rsid w:val="07A5520D"/>
    <w:rsid w:val="07A559FD"/>
    <w:rsid w:val="07A62D33"/>
    <w:rsid w:val="07A64AE1"/>
    <w:rsid w:val="07A654B9"/>
    <w:rsid w:val="07A7031D"/>
    <w:rsid w:val="07A70F85"/>
    <w:rsid w:val="07A73C0F"/>
    <w:rsid w:val="07A80859"/>
    <w:rsid w:val="07A82607"/>
    <w:rsid w:val="07A82966"/>
    <w:rsid w:val="07A8437E"/>
    <w:rsid w:val="07A86AAB"/>
    <w:rsid w:val="07A8744A"/>
    <w:rsid w:val="07A94E12"/>
    <w:rsid w:val="07A9580E"/>
    <w:rsid w:val="07AA259B"/>
    <w:rsid w:val="07AA5409"/>
    <w:rsid w:val="07AA756C"/>
    <w:rsid w:val="07AA77AE"/>
    <w:rsid w:val="07AB0349"/>
    <w:rsid w:val="07AB186F"/>
    <w:rsid w:val="07AB20F7"/>
    <w:rsid w:val="07AB34D5"/>
    <w:rsid w:val="07AB5D76"/>
    <w:rsid w:val="07AC135C"/>
    <w:rsid w:val="07AC659B"/>
    <w:rsid w:val="07AC6AA6"/>
    <w:rsid w:val="07AD1C22"/>
    <w:rsid w:val="07AD2313"/>
    <w:rsid w:val="07AD2A8E"/>
    <w:rsid w:val="07AD2C96"/>
    <w:rsid w:val="07AD40C1"/>
    <w:rsid w:val="07AD418F"/>
    <w:rsid w:val="07AD4364"/>
    <w:rsid w:val="07AD458C"/>
    <w:rsid w:val="07AD4C9F"/>
    <w:rsid w:val="07AD5E6F"/>
    <w:rsid w:val="07AF1559"/>
    <w:rsid w:val="07AF1BE8"/>
    <w:rsid w:val="07AF7E3A"/>
    <w:rsid w:val="07B00E42"/>
    <w:rsid w:val="07B0452B"/>
    <w:rsid w:val="07B05960"/>
    <w:rsid w:val="07B11801"/>
    <w:rsid w:val="07B20A97"/>
    <w:rsid w:val="07B216D8"/>
    <w:rsid w:val="07B30001"/>
    <w:rsid w:val="07B340F6"/>
    <w:rsid w:val="07B40FAC"/>
    <w:rsid w:val="07B41888"/>
    <w:rsid w:val="07B42B96"/>
    <w:rsid w:val="07B43539"/>
    <w:rsid w:val="07B45450"/>
    <w:rsid w:val="07B471FE"/>
    <w:rsid w:val="07B5324C"/>
    <w:rsid w:val="07B5327A"/>
    <w:rsid w:val="07B53CB5"/>
    <w:rsid w:val="07B53DB1"/>
    <w:rsid w:val="07B56107"/>
    <w:rsid w:val="07B57BAE"/>
    <w:rsid w:val="07B603AA"/>
    <w:rsid w:val="07B66248"/>
    <w:rsid w:val="07B70A9C"/>
    <w:rsid w:val="07B735DE"/>
    <w:rsid w:val="07B75BFD"/>
    <w:rsid w:val="07B76CEE"/>
    <w:rsid w:val="07B76EDE"/>
    <w:rsid w:val="07B77E12"/>
    <w:rsid w:val="07B83947"/>
    <w:rsid w:val="07B83E73"/>
    <w:rsid w:val="07B84AF0"/>
    <w:rsid w:val="07B87617"/>
    <w:rsid w:val="07B92A66"/>
    <w:rsid w:val="07B94814"/>
    <w:rsid w:val="07B94DE0"/>
    <w:rsid w:val="07B94EED"/>
    <w:rsid w:val="07B97B34"/>
    <w:rsid w:val="07B97FB7"/>
    <w:rsid w:val="07BA233A"/>
    <w:rsid w:val="07BA6793"/>
    <w:rsid w:val="07BB058C"/>
    <w:rsid w:val="07BB67DE"/>
    <w:rsid w:val="07BB72EA"/>
    <w:rsid w:val="07BC004D"/>
    <w:rsid w:val="07BC2556"/>
    <w:rsid w:val="07BC4FEB"/>
    <w:rsid w:val="07BC5553"/>
    <w:rsid w:val="07BD4DE9"/>
    <w:rsid w:val="07BE1E2B"/>
    <w:rsid w:val="07BE3B57"/>
    <w:rsid w:val="07BE48E9"/>
    <w:rsid w:val="07BE541B"/>
    <w:rsid w:val="07BF1B6C"/>
    <w:rsid w:val="07BF5211"/>
    <w:rsid w:val="07BF7A34"/>
    <w:rsid w:val="07BF7BC7"/>
    <w:rsid w:val="07C02047"/>
    <w:rsid w:val="07C021AC"/>
    <w:rsid w:val="07C03DF5"/>
    <w:rsid w:val="07C05BA3"/>
    <w:rsid w:val="07C06F8A"/>
    <w:rsid w:val="07C1191B"/>
    <w:rsid w:val="07C130C6"/>
    <w:rsid w:val="07C136C9"/>
    <w:rsid w:val="07C15530"/>
    <w:rsid w:val="07C17654"/>
    <w:rsid w:val="07C2245E"/>
    <w:rsid w:val="07C2402B"/>
    <w:rsid w:val="07C25D17"/>
    <w:rsid w:val="07C305CC"/>
    <w:rsid w:val="07C338E5"/>
    <w:rsid w:val="07C35693"/>
    <w:rsid w:val="07C37CC9"/>
    <w:rsid w:val="07C42416"/>
    <w:rsid w:val="07C45F24"/>
    <w:rsid w:val="07C51943"/>
    <w:rsid w:val="07C5295B"/>
    <w:rsid w:val="07C531B9"/>
    <w:rsid w:val="07C531CC"/>
    <w:rsid w:val="07C5765D"/>
    <w:rsid w:val="07C64D36"/>
    <w:rsid w:val="07C65243"/>
    <w:rsid w:val="07C733D5"/>
    <w:rsid w:val="07C7442A"/>
    <w:rsid w:val="07C75183"/>
    <w:rsid w:val="07C763BA"/>
    <w:rsid w:val="07C77907"/>
    <w:rsid w:val="07C80D97"/>
    <w:rsid w:val="07C80EFB"/>
    <w:rsid w:val="07C82CA9"/>
    <w:rsid w:val="07C84D5B"/>
    <w:rsid w:val="07C92227"/>
    <w:rsid w:val="07C92ACF"/>
    <w:rsid w:val="07C94226"/>
    <w:rsid w:val="07C947F8"/>
    <w:rsid w:val="07C94DF8"/>
    <w:rsid w:val="07C97B74"/>
    <w:rsid w:val="07CA07CF"/>
    <w:rsid w:val="07CA6A21"/>
    <w:rsid w:val="07CB4548"/>
    <w:rsid w:val="07CB7718"/>
    <w:rsid w:val="07CC022F"/>
    <w:rsid w:val="07CC279A"/>
    <w:rsid w:val="07CC3EDA"/>
    <w:rsid w:val="07CD02C0"/>
    <w:rsid w:val="07CD33E1"/>
    <w:rsid w:val="07CD3779"/>
    <w:rsid w:val="07CD3E58"/>
    <w:rsid w:val="07CD4764"/>
    <w:rsid w:val="07CD4868"/>
    <w:rsid w:val="07CD62D1"/>
    <w:rsid w:val="07CD6512"/>
    <w:rsid w:val="07CE0FD8"/>
    <w:rsid w:val="07CE4C09"/>
    <w:rsid w:val="07CE7BF0"/>
    <w:rsid w:val="07CF0C6A"/>
    <w:rsid w:val="07CF36DD"/>
    <w:rsid w:val="07CF37B1"/>
    <w:rsid w:val="07CF4038"/>
    <w:rsid w:val="07CF5DE6"/>
    <w:rsid w:val="07CF6BCA"/>
    <w:rsid w:val="07CF7529"/>
    <w:rsid w:val="07D01B5E"/>
    <w:rsid w:val="07D1069B"/>
    <w:rsid w:val="07D1358A"/>
    <w:rsid w:val="07D13FD6"/>
    <w:rsid w:val="07D167F0"/>
    <w:rsid w:val="07D17DB0"/>
    <w:rsid w:val="07D201BD"/>
    <w:rsid w:val="07D21D7A"/>
    <w:rsid w:val="07D2310B"/>
    <w:rsid w:val="07D23B28"/>
    <w:rsid w:val="07D24A1A"/>
    <w:rsid w:val="07D258D6"/>
    <w:rsid w:val="07D30A7B"/>
    <w:rsid w:val="07D342F8"/>
    <w:rsid w:val="07D379FD"/>
    <w:rsid w:val="07D4164E"/>
    <w:rsid w:val="07D433FC"/>
    <w:rsid w:val="07D4733A"/>
    <w:rsid w:val="07D478A0"/>
    <w:rsid w:val="07D47992"/>
    <w:rsid w:val="07D47FF4"/>
    <w:rsid w:val="07D51468"/>
    <w:rsid w:val="07D5646F"/>
    <w:rsid w:val="07D607E9"/>
    <w:rsid w:val="07D6114F"/>
    <w:rsid w:val="07D63618"/>
    <w:rsid w:val="07D65032"/>
    <w:rsid w:val="07D66297"/>
    <w:rsid w:val="07D7113E"/>
    <w:rsid w:val="07D721EC"/>
    <w:rsid w:val="07D72C47"/>
    <w:rsid w:val="07D72EEC"/>
    <w:rsid w:val="07D759B8"/>
    <w:rsid w:val="07D86328"/>
    <w:rsid w:val="07D93108"/>
    <w:rsid w:val="07D9342B"/>
    <w:rsid w:val="07D948ED"/>
    <w:rsid w:val="07D96C64"/>
    <w:rsid w:val="07DA35DD"/>
    <w:rsid w:val="07DA463C"/>
    <w:rsid w:val="07DB0C2F"/>
    <w:rsid w:val="07DB478B"/>
    <w:rsid w:val="07DB536F"/>
    <w:rsid w:val="07DC0503"/>
    <w:rsid w:val="07DC2572"/>
    <w:rsid w:val="07DC2E78"/>
    <w:rsid w:val="07DC4465"/>
    <w:rsid w:val="07DC5D09"/>
    <w:rsid w:val="07DC7C3B"/>
    <w:rsid w:val="07DD10C4"/>
    <w:rsid w:val="07DD46FE"/>
    <w:rsid w:val="07DD49A7"/>
    <w:rsid w:val="07DD4C6C"/>
    <w:rsid w:val="07DD4EB4"/>
    <w:rsid w:val="07DE071F"/>
    <w:rsid w:val="07DE1B77"/>
    <w:rsid w:val="07DE427B"/>
    <w:rsid w:val="07DE4FEA"/>
    <w:rsid w:val="07DE5683"/>
    <w:rsid w:val="07DF3D55"/>
    <w:rsid w:val="07E04497"/>
    <w:rsid w:val="07E061E5"/>
    <w:rsid w:val="07E06245"/>
    <w:rsid w:val="07E10A3D"/>
    <w:rsid w:val="07E114BD"/>
    <w:rsid w:val="07E1180F"/>
    <w:rsid w:val="07E13D6B"/>
    <w:rsid w:val="07E15B19"/>
    <w:rsid w:val="07E20628"/>
    <w:rsid w:val="07E23B69"/>
    <w:rsid w:val="07E31891"/>
    <w:rsid w:val="07E326C7"/>
    <w:rsid w:val="07E3599F"/>
    <w:rsid w:val="07E41A00"/>
    <w:rsid w:val="07E421EE"/>
    <w:rsid w:val="07E46E2F"/>
    <w:rsid w:val="07E5393C"/>
    <w:rsid w:val="07E5511D"/>
    <w:rsid w:val="07E55609"/>
    <w:rsid w:val="07E61381"/>
    <w:rsid w:val="07E62F67"/>
    <w:rsid w:val="07E6312F"/>
    <w:rsid w:val="07E7329D"/>
    <w:rsid w:val="07E757B0"/>
    <w:rsid w:val="07E775D3"/>
    <w:rsid w:val="07E804E9"/>
    <w:rsid w:val="07E8334B"/>
    <w:rsid w:val="07E86C40"/>
    <w:rsid w:val="07E971D4"/>
    <w:rsid w:val="07EA0E72"/>
    <w:rsid w:val="07EA20E2"/>
    <w:rsid w:val="07EA2C20"/>
    <w:rsid w:val="07EA70C4"/>
    <w:rsid w:val="07EB0445"/>
    <w:rsid w:val="07EB378A"/>
    <w:rsid w:val="07EB55C1"/>
    <w:rsid w:val="07EC2E3C"/>
    <w:rsid w:val="07EC31CD"/>
    <w:rsid w:val="07EC6998"/>
    <w:rsid w:val="07ED0962"/>
    <w:rsid w:val="07ED1EA3"/>
    <w:rsid w:val="07ED2504"/>
    <w:rsid w:val="07ED2710"/>
    <w:rsid w:val="07ED2982"/>
    <w:rsid w:val="07ED433C"/>
    <w:rsid w:val="07ED4390"/>
    <w:rsid w:val="07EE1B5D"/>
    <w:rsid w:val="07EF0419"/>
    <w:rsid w:val="07EF6488"/>
    <w:rsid w:val="07EF7A92"/>
    <w:rsid w:val="07F013AD"/>
    <w:rsid w:val="07F04445"/>
    <w:rsid w:val="07F07FA3"/>
    <w:rsid w:val="07F10452"/>
    <w:rsid w:val="07F12200"/>
    <w:rsid w:val="07F12B74"/>
    <w:rsid w:val="07F13FAE"/>
    <w:rsid w:val="07F146AA"/>
    <w:rsid w:val="07F228C3"/>
    <w:rsid w:val="07F25F78"/>
    <w:rsid w:val="07F27D26"/>
    <w:rsid w:val="07F33D53"/>
    <w:rsid w:val="07F403A3"/>
    <w:rsid w:val="07F406C4"/>
    <w:rsid w:val="07F414F5"/>
    <w:rsid w:val="07F41CF0"/>
    <w:rsid w:val="07F4584C"/>
    <w:rsid w:val="07F54BF5"/>
    <w:rsid w:val="07F57283"/>
    <w:rsid w:val="07F615C4"/>
    <w:rsid w:val="07F6237F"/>
    <w:rsid w:val="07F633C4"/>
    <w:rsid w:val="07F6721E"/>
    <w:rsid w:val="07F67816"/>
    <w:rsid w:val="07F70453"/>
    <w:rsid w:val="07F7358F"/>
    <w:rsid w:val="07F74BC0"/>
    <w:rsid w:val="07F752A5"/>
    <w:rsid w:val="07F7533D"/>
    <w:rsid w:val="07F76A43"/>
    <w:rsid w:val="07F773D4"/>
    <w:rsid w:val="07F77E76"/>
    <w:rsid w:val="07F814B3"/>
    <w:rsid w:val="07F817E1"/>
    <w:rsid w:val="07F829EB"/>
    <w:rsid w:val="07F83653"/>
    <w:rsid w:val="07F85594"/>
    <w:rsid w:val="07F86788"/>
    <w:rsid w:val="07F9162E"/>
    <w:rsid w:val="07F92796"/>
    <w:rsid w:val="07F92E21"/>
    <w:rsid w:val="07F95559"/>
    <w:rsid w:val="07F9639C"/>
    <w:rsid w:val="07F97307"/>
    <w:rsid w:val="07F97BC5"/>
    <w:rsid w:val="07FA04AA"/>
    <w:rsid w:val="07FA4B11"/>
    <w:rsid w:val="07FA4DD4"/>
    <w:rsid w:val="07FB0E0D"/>
    <w:rsid w:val="07FB4E2D"/>
    <w:rsid w:val="07FB6505"/>
    <w:rsid w:val="07FB6BDB"/>
    <w:rsid w:val="07FB7581"/>
    <w:rsid w:val="07FC0BA5"/>
    <w:rsid w:val="07FC2953"/>
    <w:rsid w:val="07FC3008"/>
    <w:rsid w:val="07FC357B"/>
    <w:rsid w:val="07FC7F20"/>
    <w:rsid w:val="07FD0766"/>
    <w:rsid w:val="07FD1E7E"/>
    <w:rsid w:val="07FD6DF7"/>
    <w:rsid w:val="07FD79D6"/>
    <w:rsid w:val="07FE66CB"/>
    <w:rsid w:val="07FF3A37"/>
    <w:rsid w:val="07FF4C48"/>
    <w:rsid w:val="07FF69DF"/>
    <w:rsid w:val="07FF6FB2"/>
    <w:rsid w:val="08000695"/>
    <w:rsid w:val="08010174"/>
    <w:rsid w:val="08012539"/>
    <w:rsid w:val="08012AFF"/>
    <w:rsid w:val="08014087"/>
    <w:rsid w:val="08016248"/>
    <w:rsid w:val="08017F69"/>
    <w:rsid w:val="0802440D"/>
    <w:rsid w:val="080261BB"/>
    <w:rsid w:val="08026E2C"/>
    <w:rsid w:val="08033CE1"/>
    <w:rsid w:val="08035B97"/>
    <w:rsid w:val="08036F95"/>
    <w:rsid w:val="0805162E"/>
    <w:rsid w:val="08053EFD"/>
    <w:rsid w:val="08056F60"/>
    <w:rsid w:val="08057A5A"/>
    <w:rsid w:val="080621C9"/>
    <w:rsid w:val="080635D2"/>
    <w:rsid w:val="080717AD"/>
    <w:rsid w:val="08071A24"/>
    <w:rsid w:val="08077664"/>
    <w:rsid w:val="080812F8"/>
    <w:rsid w:val="0808579C"/>
    <w:rsid w:val="080976BA"/>
    <w:rsid w:val="080A1514"/>
    <w:rsid w:val="080A32C2"/>
    <w:rsid w:val="080A371B"/>
    <w:rsid w:val="080A5070"/>
    <w:rsid w:val="080B309C"/>
    <w:rsid w:val="080B7A55"/>
    <w:rsid w:val="080B7C62"/>
    <w:rsid w:val="080B7F71"/>
    <w:rsid w:val="080C0DE8"/>
    <w:rsid w:val="080C0E25"/>
    <w:rsid w:val="080C528C"/>
    <w:rsid w:val="080C5340"/>
    <w:rsid w:val="080C603B"/>
    <w:rsid w:val="080C703A"/>
    <w:rsid w:val="080D0C0C"/>
    <w:rsid w:val="080D2DB2"/>
    <w:rsid w:val="080D4B60"/>
    <w:rsid w:val="080D690E"/>
    <w:rsid w:val="080E095B"/>
    <w:rsid w:val="080F08D8"/>
    <w:rsid w:val="080F25EF"/>
    <w:rsid w:val="080F2686"/>
    <w:rsid w:val="080F6B2A"/>
    <w:rsid w:val="080F7797"/>
    <w:rsid w:val="08101C07"/>
    <w:rsid w:val="081163FE"/>
    <w:rsid w:val="08116AC6"/>
    <w:rsid w:val="081172DC"/>
    <w:rsid w:val="08122176"/>
    <w:rsid w:val="08123F24"/>
    <w:rsid w:val="08124EDD"/>
    <w:rsid w:val="08126BA7"/>
    <w:rsid w:val="08135F0E"/>
    <w:rsid w:val="08147C9D"/>
    <w:rsid w:val="08153CC8"/>
    <w:rsid w:val="08155CBF"/>
    <w:rsid w:val="08156CBB"/>
    <w:rsid w:val="08157E36"/>
    <w:rsid w:val="081631DD"/>
    <w:rsid w:val="08163A15"/>
    <w:rsid w:val="08165D04"/>
    <w:rsid w:val="08167EB9"/>
    <w:rsid w:val="08172254"/>
    <w:rsid w:val="081736D9"/>
    <w:rsid w:val="08176116"/>
    <w:rsid w:val="081763DD"/>
    <w:rsid w:val="0817778D"/>
    <w:rsid w:val="08181EDC"/>
    <w:rsid w:val="081822AF"/>
    <w:rsid w:val="08183875"/>
    <w:rsid w:val="08183C31"/>
    <w:rsid w:val="081859DF"/>
    <w:rsid w:val="08186A3D"/>
    <w:rsid w:val="0819117D"/>
    <w:rsid w:val="08191757"/>
    <w:rsid w:val="08193505"/>
    <w:rsid w:val="081952B3"/>
    <w:rsid w:val="081960FE"/>
    <w:rsid w:val="08197AC6"/>
    <w:rsid w:val="081A1165"/>
    <w:rsid w:val="081A1ACF"/>
    <w:rsid w:val="081A2333"/>
    <w:rsid w:val="081A2BCF"/>
    <w:rsid w:val="081A34C5"/>
    <w:rsid w:val="081A4407"/>
    <w:rsid w:val="081B102B"/>
    <w:rsid w:val="081B54CF"/>
    <w:rsid w:val="081B6C28"/>
    <w:rsid w:val="081B6C83"/>
    <w:rsid w:val="081C1907"/>
    <w:rsid w:val="081C2723"/>
    <w:rsid w:val="081C3AE2"/>
    <w:rsid w:val="081C4DA3"/>
    <w:rsid w:val="081C5DBC"/>
    <w:rsid w:val="081C7C37"/>
    <w:rsid w:val="081D1A2F"/>
    <w:rsid w:val="081D1B91"/>
    <w:rsid w:val="081D26BF"/>
    <w:rsid w:val="081D2FF5"/>
    <w:rsid w:val="081D4DE4"/>
    <w:rsid w:val="081D70DE"/>
    <w:rsid w:val="081E0B1B"/>
    <w:rsid w:val="081E4FBF"/>
    <w:rsid w:val="081F6369"/>
    <w:rsid w:val="082038E6"/>
    <w:rsid w:val="08206641"/>
    <w:rsid w:val="08210B2A"/>
    <w:rsid w:val="08216DD1"/>
    <w:rsid w:val="082201E1"/>
    <w:rsid w:val="082223BA"/>
    <w:rsid w:val="0822685D"/>
    <w:rsid w:val="08236132"/>
    <w:rsid w:val="082425D6"/>
    <w:rsid w:val="08243889"/>
    <w:rsid w:val="0824502F"/>
    <w:rsid w:val="08247144"/>
    <w:rsid w:val="082473AA"/>
    <w:rsid w:val="08250323"/>
    <w:rsid w:val="08251EAA"/>
    <w:rsid w:val="08254F79"/>
    <w:rsid w:val="08255752"/>
    <w:rsid w:val="08257851"/>
    <w:rsid w:val="082608E1"/>
    <w:rsid w:val="082617B3"/>
    <w:rsid w:val="08262FFB"/>
    <w:rsid w:val="08267A99"/>
    <w:rsid w:val="08270ED8"/>
    <w:rsid w:val="08275C22"/>
    <w:rsid w:val="08275E23"/>
    <w:rsid w:val="082779D0"/>
    <w:rsid w:val="0828199A"/>
    <w:rsid w:val="08283748"/>
    <w:rsid w:val="08284E94"/>
    <w:rsid w:val="08287C44"/>
    <w:rsid w:val="08290134"/>
    <w:rsid w:val="08292423"/>
    <w:rsid w:val="08292CF9"/>
    <w:rsid w:val="08296F31"/>
    <w:rsid w:val="08297BEC"/>
    <w:rsid w:val="082A0832"/>
    <w:rsid w:val="082A0972"/>
    <w:rsid w:val="082A2DAB"/>
    <w:rsid w:val="082A3964"/>
    <w:rsid w:val="082A5712"/>
    <w:rsid w:val="082A74C0"/>
    <w:rsid w:val="082B1420"/>
    <w:rsid w:val="082B2A54"/>
    <w:rsid w:val="082B644F"/>
    <w:rsid w:val="082C3238"/>
    <w:rsid w:val="082C3EE4"/>
    <w:rsid w:val="082D0782"/>
    <w:rsid w:val="082D4A7E"/>
    <w:rsid w:val="082D4FDC"/>
    <w:rsid w:val="082D6900"/>
    <w:rsid w:val="082D6AB5"/>
    <w:rsid w:val="082E1370"/>
    <w:rsid w:val="082E5202"/>
    <w:rsid w:val="082E7C35"/>
    <w:rsid w:val="082F0F7A"/>
    <w:rsid w:val="082F24F1"/>
    <w:rsid w:val="082F2D28"/>
    <w:rsid w:val="082F6A38"/>
    <w:rsid w:val="08302EC2"/>
    <w:rsid w:val="0831084F"/>
    <w:rsid w:val="083245C7"/>
    <w:rsid w:val="08325F32"/>
    <w:rsid w:val="08326375"/>
    <w:rsid w:val="08336016"/>
    <w:rsid w:val="083375A0"/>
    <w:rsid w:val="0834033F"/>
    <w:rsid w:val="083420ED"/>
    <w:rsid w:val="08342387"/>
    <w:rsid w:val="08343DB7"/>
    <w:rsid w:val="08345A27"/>
    <w:rsid w:val="08352454"/>
    <w:rsid w:val="083558B2"/>
    <w:rsid w:val="08361E4D"/>
    <w:rsid w:val="083640B7"/>
    <w:rsid w:val="08365E65"/>
    <w:rsid w:val="0837350B"/>
    <w:rsid w:val="083759BC"/>
    <w:rsid w:val="08380AE9"/>
    <w:rsid w:val="08381BDD"/>
    <w:rsid w:val="08382AFE"/>
    <w:rsid w:val="08386081"/>
    <w:rsid w:val="08387E2F"/>
    <w:rsid w:val="08395955"/>
    <w:rsid w:val="08397B3A"/>
    <w:rsid w:val="083A448F"/>
    <w:rsid w:val="083A64E8"/>
    <w:rsid w:val="083B16CD"/>
    <w:rsid w:val="083B2549"/>
    <w:rsid w:val="083B347B"/>
    <w:rsid w:val="083B5AD2"/>
    <w:rsid w:val="083C3FA6"/>
    <w:rsid w:val="083C4D55"/>
    <w:rsid w:val="083D3697"/>
    <w:rsid w:val="083D55DC"/>
    <w:rsid w:val="083E0E60"/>
    <w:rsid w:val="083E11BD"/>
    <w:rsid w:val="083E2F6B"/>
    <w:rsid w:val="083E4D1A"/>
    <w:rsid w:val="083E7A3A"/>
    <w:rsid w:val="083F0ECA"/>
    <w:rsid w:val="083F4EEE"/>
    <w:rsid w:val="083F73D3"/>
    <w:rsid w:val="084021EB"/>
    <w:rsid w:val="08403721"/>
    <w:rsid w:val="084037EA"/>
    <w:rsid w:val="08404F36"/>
    <w:rsid w:val="08417CB6"/>
    <w:rsid w:val="08422A5C"/>
    <w:rsid w:val="08424C55"/>
    <w:rsid w:val="08426043"/>
    <w:rsid w:val="08426984"/>
    <w:rsid w:val="0842784B"/>
    <w:rsid w:val="08430582"/>
    <w:rsid w:val="08433F9D"/>
    <w:rsid w:val="084367D4"/>
    <w:rsid w:val="08440554"/>
    <w:rsid w:val="0844216B"/>
    <w:rsid w:val="08444A26"/>
    <w:rsid w:val="084452C6"/>
    <w:rsid w:val="08451B54"/>
    <w:rsid w:val="084524D0"/>
    <w:rsid w:val="08452C11"/>
    <w:rsid w:val="084560A8"/>
    <w:rsid w:val="084560BE"/>
    <w:rsid w:val="08465830"/>
    <w:rsid w:val="08466D09"/>
    <w:rsid w:val="0846765B"/>
    <w:rsid w:val="08467732"/>
    <w:rsid w:val="08467D17"/>
    <w:rsid w:val="08470816"/>
    <w:rsid w:val="08470987"/>
    <w:rsid w:val="08470B97"/>
    <w:rsid w:val="08475D24"/>
    <w:rsid w:val="08485B98"/>
    <w:rsid w:val="0849203C"/>
    <w:rsid w:val="08496FD6"/>
    <w:rsid w:val="0849771D"/>
    <w:rsid w:val="084A1910"/>
    <w:rsid w:val="084A5DB4"/>
    <w:rsid w:val="084A5FDC"/>
    <w:rsid w:val="084B1D3D"/>
    <w:rsid w:val="084B203D"/>
    <w:rsid w:val="084C2DF6"/>
    <w:rsid w:val="084C4FFE"/>
    <w:rsid w:val="084C5688"/>
    <w:rsid w:val="084D495D"/>
    <w:rsid w:val="084E1401"/>
    <w:rsid w:val="084E4126"/>
    <w:rsid w:val="084E65E3"/>
    <w:rsid w:val="084F09BE"/>
    <w:rsid w:val="084F5179"/>
    <w:rsid w:val="084F6F27"/>
    <w:rsid w:val="08500560"/>
    <w:rsid w:val="0850116D"/>
    <w:rsid w:val="085032DE"/>
    <w:rsid w:val="08510EF1"/>
    <w:rsid w:val="08514123"/>
    <w:rsid w:val="08514A25"/>
    <w:rsid w:val="08515EAF"/>
    <w:rsid w:val="08517143"/>
    <w:rsid w:val="08520F7B"/>
    <w:rsid w:val="085229C8"/>
    <w:rsid w:val="08523443"/>
    <w:rsid w:val="0852733F"/>
    <w:rsid w:val="085326D3"/>
    <w:rsid w:val="085344EB"/>
    <w:rsid w:val="08534C69"/>
    <w:rsid w:val="08536A17"/>
    <w:rsid w:val="085409E1"/>
    <w:rsid w:val="08540F64"/>
    <w:rsid w:val="08541FDC"/>
    <w:rsid w:val="085510CA"/>
    <w:rsid w:val="08555CC0"/>
    <w:rsid w:val="08557D0F"/>
    <w:rsid w:val="08564759"/>
    <w:rsid w:val="0857043C"/>
    <w:rsid w:val="0857162B"/>
    <w:rsid w:val="08571D21"/>
    <w:rsid w:val="0857334F"/>
    <w:rsid w:val="08573DCE"/>
    <w:rsid w:val="08577C79"/>
    <w:rsid w:val="08577CEC"/>
    <w:rsid w:val="08580BB0"/>
    <w:rsid w:val="0858227F"/>
    <w:rsid w:val="0858402D"/>
    <w:rsid w:val="08590257"/>
    <w:rsid w:val="08590BF3"/>
    <w:rsid w:val="085911F2"/>
    <w:rsid w:val="08591B53"/>
    <w:rsid w:val="08593561"/>
    <w:rsid w:val="08597447"/>
    <w:rsid w:val="085A2E39"/>
    <w:rsid w:val="085A5111"/>
    <w:rsid w:val="085A5FF7"/>
    <w:rsid w:val="085B1B32"/>
    <w:rsid w:val="085B3B1D"/>
    <w:rsid w:val="085C154A"/>
    <w:rsid w:val="085C2FC2"/>
    <w:rsid w:val="085C466A"/>
    <w:rsid w:val="085C68E7"/>
    <w:rsid w:val="085D1644"/>
    <w:rsid w:val="085D49AF"/>
    <w:rsid w:val="085D5AE7"/>
    <w:rsid w:val="085D7896"/>
    <w:rsid w:val="085D7D59"/>
    <w:rsid w:val="085E0FE7"/>
    <w:rsid w:val="085E366B"/>
    <w:rsid w:val="085E4B90"/>
    <w:rsid w:val="085E716A"/>
    <w:rsid w:val="085E73EB"/>
    <w:rsid w:val="085F360E"/>
    <w:rsid w:val="08600EA9"/>
    <w:rsid w:val="08602EE2"/>
    <w:rsid w:val="0860304A"/>
    <w:rsid w:val="0860525C"/>
    <w:rsid w:val="08607386"/>
    <w:rsid w:val="086230FE"/>
    <w:rsid w:val="08624EAC"/>
    <w:rsid w:val="08626E34"/>
    <w:rsid w:val="08627692"/>
    <w:rsid w:val="086329D2"/>
    <w:rsid w:val="08633105"/>
    <w:rsid w:val="08634780"/>
    <w:rsid w:val="08634838"/>
    <w:rsid w:val="08636F26"/>
    <w:rsid w:val="08640C24"/>
    <w:rsid w:val="08641605"/>
    <w:rsid w:val="08643561"/>
    <w:rsid w:val="08644325"/>
    <w:rsid w:val="086504F8"/>
    <w:rsid w:val="0865272D"/>
    <w:rsid w:val="08652BE4"/>
    <w:rsid w:val="0865499C"/>
    <w:rsid w:val="086555C6"/>
    <w:rsid w:val="08661E21"/>
    <w:rsid w:val="08665523"/>
    <w:rsid w:val="08670714"/>
    <w:rsid w:val="08674270"/>
    <w:rsid w:val="08682CA6"/>
    <w:rsid w:val="08687FE8"/>
    <w:rsid w:val="08690878"/>
    <w:rsid w:val="086929F5"/>
    <w:rsid w:val="08694136"/>
    <w:rsid w:val="0869448C"/>
    <w:rsid w:val="08694546"/>
    <w:rsid w:val="0869652D"/>
    <w:rsid w:val="0869724D"/>
    <w:rsid w:val="086A1FB2"/>
    <w:rsid w:val="086A3B03"/>
    <w:rsid w:val="086A3D60"/>
    <w:rsid w:val="086A3EDB"/>
    <w:rsid w:val="086A5B0F"/>
    <w:rsid w:val="086A5ED0"/>
    <w:rsid w:val="086A6A56"/>
    <w:rsid w:val="086B13D9"/>
    <w:rsid w:val="086B1627"/>
    <w:rsid w:val="086B78C1"/>
    <w:rsid w:val="086C0075"/>
    <w:rsid w:val="086C1376"/>
    <w:rsid w:val="086C60E5"/>
    <w:rsid w:val="086D0798"/>
    <w:rsid w:val="086D3767"/>
    <w:rsid w:val="086E53D7"/>
    <w:rsid w:val="086E55FF"/>
    <w:rsid w:val="086E7FA8"/>
    <w:rsid w:val="086F1377"/>
    <w:rsid w:val="086F6867"/>
    <w:rsid w:val="086F75C9"/>
    <w:rsid w:val="08703EB1"/>
    <w:rsid w:val="08707CF7"/>
    <w:rsid w:val="08711187"/>
    <w:rsid w:val="08713C65"/>
    <w:rsid w:val="08713D58"/>
    <w:rsid w:val="087150EF"/>
    <w:rsid w:val="087207C5"/>
    <w:rsid w:val="08726BF4"/>
    <w:rsid w:val="0873379F"/>
    <w:rsid w:val="087338F1"/>
    <w:rsid w:val="08741249"/>
    <w:rsid w:val="08744BDF"/>
    <w:rsid w:val="0874698D"/>
    <w:rsid w:val="087476E1"/>
    <w:rsid w:val="087526D9"/>
    <w:rsid w:val="08752E31"/>
    <w:rsid w:val="08753B69"/>
    <w:rsid w:val="087553A7"/>
    <w:rsid w:val="087574CE"/>
    <w:rsid w:val="08760957"/>
    <w:rsid w:val="08762001"/>
    <w:rsid w:val="08762705"/>
    <w:rsid w:val="0876617D"/>
    <w:rsid w:val="08766BA9"/>
    <w:rsid w:val="087701F1"/>
    <w:rsid w:val="087710C7"/>
    <w:rsid w:val="0878022B"/>
    <w:rsid w:val="087846CF"/>
    <w:rsid w:val="087921F6"/>
    <w:rsid w:val="08792F04"/>
    <w:rsid w:val="08793FA4"/>
    <w:rsid w:val="087950BB"/>
    <w:rsid w:val="0879522B"/>
    <w:rsid w:val="087A0447"/>
    <w:rsid w:val="087A60B7"/>
    <w:rsid w:val="087A7F39"/>
    <w:rsid w:val="087B1D25"/>
    <w:rsid w:val="087B2571"/>
    <w:rsid w:val="087B41C0"/>
    <w:rsid w:val="087B4E0A"/>
    <w:rsid w:val="087B6CA5"/>
    <w:rsid w:val="087B7547"/>
    <w:rsid w:val="087C4E23"/>
    <w:rsid w:val="087D22FB"/>
    <w:rsid w:val="087D3930"/>
    <w:rsid w:val="087D5842"/>
    <w:rsid w:val="087D6525"/>
    <w:rsid w:val="087E15BA"/>
    <w:rsid w:val="087E378B"/>
    <w:rsid w:val="087E4ECC"/>
    <w:rsid w:val="087F1449"/>
    <w:rsid w:val="087F16C3"/>
    <w:rsid w:val="087F780C"/>
    <w:rsid w:val="088011FC"/>
    <w:rsid w:val="08801380"/>
    <w:rsid w:val="08803584"/>
    <w:rsid w:val="08805332"/>
    <w:rsid w:val="088060A5"/>
    <w:rsid w:val="08807166"/>
    <w:rsid w:val="088133BB"/>
    <w:rsid w:val="08813BD2"/>
    <w:rsid w:val="08817DDB"/>
    <w:rsid w:val="088210AA"/>
    <w:rsid w:val="08824D69"/>
    <w:rsid w:val="0882554E"/>
    <w:rsid w:val="088272FC"/>
    <w:rsid w:val="088359A5"/>
    <w:rsid w:val="08836BD0"/>
    <w:rsid w:val="088415E1"/>
    <w:rsid w:val="08844928"/>
    <w:rsid w:val="0884695F"/>
    <w:rsid w:val="08850B9A"/>
    <w:rsid w:val="08852948"/>
    <w:rsid w:val="08853181"/>
    <w:rsid w:val="0885365E"/>
    <w:rsid w:val="08854868"/>
    <w:rsid w:val="08856DEC"/>
    <w:rsid w:val="08860884"/>
    <w:rsid w:val="08872B64"/>
    <w:rsid w:val="08874912"/>
    <w:rsid w:val="08874E83"/>
    <w:rsid w:val="08875F7E"/>
    <w:rsid w:val="088821E1"/>
    <w:rsid w:val="08883D73"/>
    <w:rsid w:val="0888557C"/>
    <w:rsid w:val="08886B74"/>
    <w:rsid w:val="0888740E"/>
    <w:rsid w:val="088912A9"/>
    <w:rsid w:val="08891D73"/>
    <w:rsid w:val="088968DD"/>
    <w:rsid w:val="08896BA5"/>
    <w:rsid w:val="088A61B1"/>
    <w:rsid w:val="088A6822"/>
    <w:rsid w:val="088A7F5F"/>
    <w:rsid w:val="088B2F12"/>
    <w:rsid w:val="088B3BC8"/>
    <w:rsid w:val="088B48FF"/>
    <w:rsid w:val="088B52FA"/>
    <w:rsid w:val="088C011D"/>
    <w:rsid w:val="088C017B"/>
    <w:rsid w:val="088C1F29"/>
    <w:rsid w:val="088C5D8F"/>
    <w:rsid w:val="088D1B13"/>
    <w:rsid w:val="088D1B79"/>
    <w:rsid w:val="088D3B45"/>
    <w:rsid w:val="088E3F19"/>
    <w:rsid w:val="088E49C1"/>
    <w:rsid w:val="088E5CA1"/>
    <w:rsid w:val="088F246E"/>
    <w:rsid w:val="088F36CD"/>
    <w:rsid w:val="088F37C7"/>
    <w:rsid w:val="088F72E1"/>
    <w:rsid w:val="08900771"/>
    <w:rsid w:val="08901A19"/>
    <w:rsid w:val="08902440"/>
    <w:rsid w:val="0890375C"/>
    <w:rsid w:val="08907C6B"/>
    <w:rsid w:val="089112ED"/>
    <w:rsid w:val="08915791"/>
    <w:rsid w:val="0891753F"/>
    <w:rsid w:val="089247D2"/>
    <w:rsid w:val="0892698D"/>
    <w:rsid w:val="089269E0"/>
    <w:rsid w:val="08930CCB"/>
    <w:rsid w:val="089332B7"/>
    <w:rsid w:val="08935065"/>
    <w:rsid w:val="089360E9"/>
    <w:rsid w:val="08940DDD"/>
    <w:rsid w:val="08941CC3"/>
    <w:rsid w:val="08953153"/>
    <w:rsid w:val="0895702F"/>
    <w:rsid w:val="08963B61"/>
    <w:rsid w:val="08963EFC"/>
    <w:rsid w:val="08964355"/>
    <w:rsid w:val="089645E3"/>
    <w:rsid w:val="08964B56"/>
    <w:rsid w:val="089655F1"/>
    <w:rsid w:val="089705DE"/>
    <w:rsid w:val="08973E29"/>
    <w:rsid w:val="08975A73"/>
    <w:rsid w:val="08976962"/>
    <w:rsid w:val="089808CE"/>
    <w:rsid w:val="0898372A"/>
    <w:rsid w:val="08993492"/>
    <w:rsid w:val="08993991"/>
    <w:rsid w:val="089A180F"/>
    <w:rsid w:val="089A2898"/>
    <w:rsid w:val="089A2F64"/>
    <w:rsid w:val="089A4646"/>
    <w:rsid w:val="089B03BE"/>
    <w:rsid w:val="089C0455"/>
    <w:rsid w:val="089C0C01"/>
    <w:rsid w:val="089C161B"/>
    <w:rsid w:val="089C1A9E"/>
    <w:rsid w:val="089C3187"/>
    <w:rsid w:val="089D2EAF"/>
    <w:rsid w:val="089D4136"/>
    <w:rsid w:val="089D5EE4"/>
    <w:rsid w:val="089D7C92"/>
    <w:rsid w:val="089E3A0A"/>
    <w:rsid w:val="089E3E17"/>
    <w:rsid w:val="089E5946"/>
    <w:rsid w:val="089F0CDC"/>
    <w:rsid w:val="089F1C5C"/>
    <w:rsid w:val="089F4205"/>
    <w:rsid w:val="089F5390"/>
    <w:rsid w:val="089F7EAE"/>
    <w:rsid w:val="08A01759"/>
    <w:rsid w:val="08A059D4"/>
    <w:rsid w:val="08A07179"/>
    <w:rsid w:val="08A07782"/>
    <w:rsid w:val="08A116F6"/>
    <w:rsid w:val="08A1358F"/>
    <w:rsid w:val="08A2174C"/>
    <w:rsid w:val="08A227D8"/>
    <w:rsid w:val="08A232D3"/>
    <w:rsid w:val="08A234FA"/>
    <w:rsid w:val="08A2799E"/>
    <w:rsid w:val="08A35757"/>
    <w:rsid w:val="08A41020"/>
    <w:rsid w:val="08A41CF1"/>
    <w:rsid w:val="08A41DC0"/>
    <w:rsid w:val="08A4283A"/>
    <w:rsid w:val="08A454C4"/>
    <w:rsid w:val="08A460BD"/>
    <w:rsid w:val="08A52FEB"/>
    <w:rsid w:val="08A54D99"/>
    <w:rsid w:val="08A6123D"/>
    <w:rsid w:val="08A61F56"/>
    <w:rsid w:val="08A62997"/>
    <w:rsid w:val="08A645F9"/>
    <w:rsid w:val="08A70B11"/>
    <w:rsid w:val="08A74FB5"/>
    <w:rsid w:val="08A7677A"/>
    <w:rsid w:val="08A76D63"/>
    <w:rsid w:val="08A8494A"/>
    <w:rsid w:val="08A86D71"/>
    <w:rsid w:val="08A915C9"/>
    <w:rsid w:val="08A92ADB"/>
    <w:rsid w:val="08A93F08"/>
    <w:rsid w:val="08A96526"/>
    <w:rsid w:val="08A96637"/>
    <w:rsid w:val="08AA0601"/>
    <w:rsid w:val="08AA622E"/>
    <w:rsid w:val="08AB3BAE"/>
    <w:rsid w:val="08AB6853"/>
    <w:rsid w:val="08AB6CC1"/>
    <w:rsid w:val="08AC113B"/>
    <w:rsid w:val="08AC25CB"/>
    <w:rsid w:val="08AC3C6F"/>
    <w:rsid w:val="08AC4379"/>
    <w:rsid w:val="08AC4EE0"/>
    <w:rsid w:val="08AD10B6"/>
    <w:rsid w:val="08AE173A"/>
    <w:rsid w:val="08AE661B"/>
    <w:rsid w:val="08AF4D90"/>
    <w:rsid w:val="08AF5037"/>
    <w:rsid w:val="08AF5C17"/>
    <w:rsid w:val="08AF5ED0"/>
    <w:rsid w:val="08AF68CB"/>
    <w:rsid w:val="08B00669"/>
    <w:rsid w:val="08B03AEE"/>
    <w:rsid w:val="08B03E69"/>
    <w:rsid w:val="08B0715A"/>
    <w:rsid w:val="08B07800"/>
    <w:rsid w:val="08B111EB"/>
    <w:rsid w:val="08B1198F"/>
    <w:rsid w:val="08B125BC"/>
    <w:rsid w:val="08B12EB5"/>
    <w:rsid w:val="08B1373D"/>
    <w:rsid w:val="08B1661A"/>
    <w:rsid w:val="08B1774D"/>
    <w:rsid w:val="08B17BE1"/>
    <w:rsid w:val="08B226FB"/>
    <w:rsid w:val="08B33959"/>
    <w:rsid w:val="08B33B0B"/>
    <w:rsid w:val="08B34868"/>
    <w:rsid w:val="08B351E7"/>
    <w:rsid w:val="08B35707"/>
    <w:rsid w:val="08B51480"/>
    <w:rsid w:val="08B5322E"/>
    <w:rsid w:val="08B53F9B"/>
    <w:rsid w:val="08B55272"/>
    <w:rsid w:val="08B60875"/>
    <w:rsid w:val="08B651F8"/>
    <w:rsid w:val="08B65B0E"/>
    <w:rsid w:val="08B66FA6"/>
    <w:rsid w:val="08B71DD8"/>
    <w:rsid w:val="08B7391C"/>
    <w:rsid w:val="08B76B10"/>
    <w:rsid w:val="08B80F70"/>
    <w:rsid w:val="08B917A7"/>
    <w:rsid w:val="08B92400"/>
    <w:rsid w:val="08BA0844"/>
    <w:rsid w:val="08BA3D62"/>
    <w:rsid w:val="08BA3F61"/>
    <w:rsid w:val="08BA4CE8"/>
    <w:rsid w:val="08BB45BC"/>
    <w:rsid w:val="08BB636A"/>
    <w:rsid w:val="08BC0A60"/>
    <w:rsid w:val="08BC62FE"/>
    <w:rsid w:val="08BD0334"/>
    <w:rsid w:val="08BD039C"/>
    <w:rsid w:val="08BD20E2"/>
    <w:rsid w:val="08BE235F"/>
    <w:rsid w:val="08BF0D0B"/>
    <w:rsid w:val="08BF5B40"/>
    <w:rsid w:val="08BF5E5A"/>
    <w:rsid w:val="08BF68A7"/>
    <w:rsid w:val="08C01BD2"/>
    <w:rsid w:val="08C03213"/>
    <w:rsid w:val="08C065C6"/>
    <w:rsid w:val="08C10A08"/>
    <w:rsid w:val="08C16076"/>
    <w:rsid w:val="08C22170"/>
    <w:rsid w:val="08C23B9D"/>
    <w:rsid w:val="08C2594B"/>
    <w:rsid w:val="08C276F9"/>
    <w:rsid w:val="08C27A38"/>
    <w:rsid w:val="08C30964"/>
    <w:rsid w:val="08C33600"/>
    <w:rsid w:val="08C40967"/>
    <w:rsid w:val="08C416C3"/>
    <w:rsid w:val="08C42EFA"/>
    <w:rsid w:val="08C44706"/>
    <w:rsid w:val="08C461D1"/>
    <w:rsid w:val="08C475A4"/>
    <w:rsid w:val="08C47915"/>
    <w:rsid w:val="08C50AF1"/>
    <w:rsid w:val="08C5524C"/>
    <w:rsid w:val="08C5581A"/>
    <w:rsid w:val="08C568EA"/>
    <w:rsid w:val="08C571E9"/>
    <w:rsid w:val="08C6368D"/>
    <w:rsid w:val="08C70DFF"/>
    <w:rsid w:val="08C72F61"/>
    <w:rsid w:val="08C77405"/>
    <w:rsid w:val="08C84414"/>
    <w:rsid w:val="08C85FE2"/>
    <w:rsid w:val="08C90A87"/>
    <w:rsid w:val="08C944A5"/>
    <w:rsid w:val="08C94F2B"/>
    <w:rsid w:val="08C96D7B"/>
    <w:rsid w:val="08CA3AB0"/>
    <w:rsid w:val="08CA47FF"/>
    <w:rsid w:val="08CB2A51"/>
    <w:rsid w:val="08CB4963"/>
    <w:rsid w:val="08CB5D8B"/>
    <w:rsid w:val="08CC2596"/>
    <w:rsid w:val="08CC3222"/>
    <w:rsid w:val="08CC4A1B"/>
    <w:rsid w:val="08CC54AD"/>
    <w:rsid w:val="08CC5DF3"/>
    <w:rsid w:val="08CD504F"/>
    <w:rsid w:val="08CE0793"/>
    <w:rsid w:val="08CE1261"/>
    <w:rsid w:val="08CE42EF"/>
    <w:rsid w:val="08CE609D"/>
    <w:rsid w:val="08CF1BA3"/>
    <w:rsid w:val="08CF1E16"/>
    <w:rsid w:val="08D00067"/>
    <w:rsid w:val="08D03AAE"/>
    <w:rsid w:val="08D062B9"/>
    <w:rsid w:val="08D07B0D"/>
    <w:rsid w:val="08D07D09"/>
    <w:rsid w:val="08D12032"/>
    <w:rsid w:val="08D131E7"/>
    <w:rsid w:val="08D15B8E"/>
    <w:rsid w:val="08D17094"/>
    <w:rsid w:val="08D21C65"/>
    <w:rsid w:val="08D24043"/>
    <w:rsid w:val="08D245C0"/>
    <w:rsid w:val="08D318F1"/>
    <w:rsid w:val="08D35DAA"/>
    <w:rsid w:val="08D37B58"/>
    <w:rsid w:val="08D408AC"/>
    <w:rsid w:val="08D44B24"/>
    <w:rsid w:val="08D44FBA"/>
    <w:rsid w:val="08D505E6"/>
    <w:rsid w:val="08D51B22"/>
    <w:rsid w:val="08D5567E"/>
    <w:rsid w:val="08D55A15"/>
    <w:rsid w:val="08D573DF"/>
    <w:rsid w:val="08D62921"/>
    <w:rsid w:val="08D631A4"/>
    <w:rsid w:val="08D678AB"/>
    <w:rsid w:val="08D7103A"/>
    <w:rsid w:val="08D77648"/>
    <w:rsid w:val="08D819CD"/>
    <w:rsid w:val="08D833C0"/>
    <w:rsid w:val="08D8516E"/>
    <w:rsid w:val="08D87384"/>
    <w:rsid w:val="08D93873"/>
    <w:rsid w:val="08DA0EE6"/>
    <w:rsid w:val="08DA318F"/>
    <w:rsid w:val="08DA7138"/>
    <w:rsid w:val="08DB178F"/>
    <w:rsid w:val="08DB2FD9"/>
    <w:rsid w:val="08DB4458"/>
    <w:rsid w:val="08DB4E5B"/>
    <w:rsid w:val="08DB6A0C"/>
    <w:rsid w:val="08DC2D87"/>
    <w:rsid w:val="08DC3D41"/>
    <w:rsid w:val="08DC6358"/>
    <w:rsid w:val="08DD09D6"/>
    <w:rsid w:val="08DD2784"/>
    <w:rsid w:val="08DD61D3"/>
    <w:rsid w:val="08DD6914"/>
    <w:rsid w:val="08DE5FDE"/>
    <w:rsid w:val="08DF02AB"/>
    <w:rsid w:val="08DF3D08"/>
    <w:rsid w:val="08DF4269"/>
    <w:rsid w:val="08DF474E"/>
    <w:rsid w:val="08E02B28"/>
    <w:rsid w:val="08E03084"/>
    <w:rsid w:val="08E04023"/>
    <w:rsid w:val="08E05168"/>
    <w:rsid w:val="08E056F9"/>
    <w:rsid w:val="08E0683A"/>
    <w:rsid w:val="08E11A69"/>
    <w:rsid w:val="08E12275"/>
    <w:rsid w:val="08E1269F"/>
    <w:rsid w:val="08E21B49"/>
    <w:rsid w:val="08E2554E"/>
    <w:rsid w:val="08E25FED"/>
    <w:rsid w:val="08E27768"/>
    <w:rsid w:val="08E27D9B"/>
    <w:rsid w:val="08E314A9"/>
    <w:rsid w:val="08E31EF5"/>
    <w:rsid w:val="08E41D65"/>
    <w:rsid w:val="08E4407A"/>
    <w:rsid w:val="08E4451F"/>
    <w:rsid w:val="08E458C1"/>
    <w:rsid w:val="08E46EED"/>
    <w:rsid w:val="08E50D18"/>
    <w:rsid w:val="08E5548F"/>
    <w:rsid w:val="08E554B3"/>
    <w:rsid w:val="08E57A4A"/>
    <w:rsid w:val="08E638E8"/>
    <w:rsid w:val="08E65ADD"/>
    <w:rsid w:val="08E6788B"/>
    <w:rsid w:val="08E73D8A"/>
    <w:rsid w:val="08E753B1"/>
    <w:rsid w:val="08E7715F"/>
    <w:rsid w:val="08E81855"/>
    <w:rsid w:val="08E84690"/>
    <w:rsid w:val="08E931D2"/>
    <w:rsid w:val="08E95C7A"/>
    <w:rsid w:val="08E96A5C"/>
    <w:rsid w:val="08E9737B"/>
    <w:rsid w:val="08EA361C"/>
    <w:rsid w:val="08EB280C"/>
    <w:rsid w:val="08EB41D9"/>
    <w:rsid w:val="08EB6E65"/>
    <w:rsid w:val="08EC0C19"/>
    <w:rsid w:val="08EC29C7"/>
    <w:rsid w:val="08EC3C9C"/>
    <w:rsid w:val="08EC621F"/>
    <w:rsid w:val="08ED512C"/>
    <w:rsid w:val="08ED686D"/>
    <w:rsid w:val="08EE04EE"/>
    <w:rsid w:val="08EE3155"/>
    <w:rsid w:val="08EE36E3"/>
    <w:rsid w:val="08EE4992"/>
    <w:rsid w:val="08EE6740"/>
    <w:rsid w:val="08EF0FBE"/>
    <w:rsid w:val="08EF118D"/>
    <w:rsid w:val="08EF3D5E"/>
    <w:rsid w:val="08F0261D"/>
    <w:rsid w:val="08F04266"/>
    <w:rsid w:val="08F06236"/>
    <w:rsid w:val="08F10C96"/>
    <w:rsid w:val="08F17FDE"/>
    <w:rsid w:val="08F23D23"/>
    <w:rsid w:val="08F24482"/>
    <w:rsid w:val="08F24628"/>
    <w:rsid w:val="08F26165"/>
    <w:rsid w:val="08F301FA"/>
    <w:rsid w:val="08F41C35"/>
    <w:rsid w:val="08F5187C"/>
    <w:rsid w:val="08F52F85"/>
    <w:rsid w:val="08F530BE"/>
    <w:rsid w:val="08F63846"/>
    <w:rsid w:val="08F655F4"/>
    <w:rsid w:val="08F6791F"/>
    <w:rsid w:val="08F7013C"/>
    <w:rsid w:val="08F70DAF"/>
    <w:rsid w:val="08F71A98"/>
    <w:rsid w:val="08F724F0"/>
    <w:rsid w:val="08F765A8"/>
    <w:rsid w:val="08F85810"/>
    <w:rsid w:val="08FA1588"/>
    <w:rsid w:val="08FA3790"/>
    <w:rsid w:val="08FA6E92"/>
    <w:rsid w:val="08FB050E"/>
    <w:rsid w:val="08FB2C0B"/>
    <w:rsid w:val="08FB4B9D"/>
    <w:rsid w:val="08FB654F"/>
    <w:rsid w:val="08FC0E5C"/>
    <w:rsid w:val="08FC2BFD"/>
    <w:rsid w:val="08FC4B3E"/>
    <w:rsid w:val="08FC70AE"/>
    <w:rsid w:val="08FD1430"/>
    <w:rsid w:val="08FD1C5F"/>
    <w:rsid w:val="08FD204C"/>
    <w:rsid w:val="08FD6983"/>
    <w:rsid w:val="08FE19D5"/>
    <w:rsid w:val="08FE47F6"/>
    <w:rsid w:val="08FE5D23"/>
    <w:rsid w:val="08FE60B1"/>
    <w:rsid w:val="08FE77F2"/>
    <w:rsid w:val="08FF094D"/>
    <w:rsid w:val="08FF26FB"/>
    <w:rsid w:val="08FF6B9F"/>
    <w:rsid w:val="09000221"/>
    <w:rsid w:val="090002CE"/>
    <w:rsid w:val="09006911"/>
    <w:rsid w:val="09012917"/>
    <w:rsid w:val="090137FA"/>
    <w:rsid w:val="09013917"/>
    <w:rsid w:val="09013B7F"/>
    <w:rsid w:val="090146C5"/>
    <w:rsid w:val="09016473"/>
    <w:rsid w:val="0901708A"/>
    <w:rsid w:val="090177C3"/>
    <w:rsid w:val="09017942"/>
    <w:rsid w:val="09021349"/>
    <w:rsid w:val="090221EB"/>
    <w:rsid w:val="0902306C"/>
    <w:rsid w:val="09023F99"/>
    <w:rsid w:val="09024A32"/>
    <w:rsid w:val="09026023"/>
    <w:rsid w:val="09027AF6"/>
    <w:rsid w:val="09030A93"/>
    <w:rsid w:val="090319F6"/>
    <w:rsid w:val="09033799"/>
    <w:rsid w:val="09033A46"/>
    <w:rsid w:val="09036BB8"/>
    <w:rsid w:val="09043060"/>
    <w:rsid w:val="09045F63"/>
    <w:rsid w:val="0904744F"/>
    <w:rsid w:val="09050E3F"/>
    <w:rsid w:val="090549A5"/>
    <w:rsid w:val="09054CF6"/>
    <w:rsid w:val="0905564F"/>
    <w:rsid w:val="09060634"/>
    <w:rsid w:val="09060A4E"/>
    <w:rsid w:val="09061CDB"/>
    <w:rsid w:val="09062600"/>
    <w:rsid w:val="09063A89"/>
    <w:rsid w:val="090643B3"/>
    <w:rsid w:val="090645B2"/>
    <w:rsid w:val="09065A80"/>
    <w:rsid w:val="090661BB"/>
    <w:rsid w:val="09067F2D"/>
    <w:rsid w:val="090708A4"/>
    <w:rsid w:val="090715AF"/>
    <w:rsid w:val="09074ADD"/>
    <w:rsid w:val="09075183"/>
    <w:rsid w:val="09075A53"/>
    <w:rsid w:val="09076AFB"/>
    <w:rsid w:val="09077801"/>
    <w:rsid w:val="09081222"/>
    <w:rsid w:val="09081D34"/>
    <w:rsid w:val="09085783"/>
    <w:rsid w:val="090872B9"/>
    <w:rsid w:val="09091C51"/>
    <w:rsid w:val="090931C4"/>
    <w:rsid w:val="09093579"/>
    <w:rsid w:val="09094905"/>
    <w:rsid w:val="0909677B"/>
    <w:rsid w:val="090A1870"/>
    <w:rsid w:val="090A6581"/>
    <w:rsid w:val="090A78B5"/>
    <w:rsid w:val="090B08D0"/>
    <w:rsid w:val="090B10A0"/>
    <w:rsid w:val="090B5543"/>
    <w:rsid w:val="090B5FA0"/>
    <w:rsid w:val="090C1EE8"/>
    <w:rsid w:val="090C2F1B"/>
    <w:rsid w:val="090C3286"/>
    <w:rsid w:val="090C3DE8"/>
    <w:rsid w:val="090C4E18"/>
    <w:rsid w:val="090D1B45"/>
    <w:rsid w:val="090D2849"/>
    <w:rsid w:val="090D306A"/>
    <w:rsid w:val="090D4716"/>
    <w:rsid w:val="090D605F"/>
    <w:rsid w:val="090E0B90"/>
    <w:rsid w:val="090E228E"/>
    <w:rsid w:val="090E6DE2"/>
    <w:rsid w:val="090F0777"/>
    <w:rsid w:val="090F0F14"/>
    <w:rsid w:val="090F576C"/>
    <w:rsid w:val="090F7A4C"/>
    <w:rsid w:val="09102B5A"/>
    <w:rsid w:val="09104908"/>
    <w:rsid w:val="0911242E"/>
    <w:rsid w:val="09112C44"/>
    <w:rsid w:val="09114527"/>
    <w:rsid w:val="091208F5"/>
    <w:rsid w:val="091259B7"/>
    <w:rsid w:val="091268D2"/>
    <w:rsid w:val="09130588"/>
    <w:rsid w:val="091343F8"/>
    <w:rsid w:val="091361A6"/>
    <w:rsid w:val="09136E47"/>
    <w:rsid w:val="09137F54"/>
    <w:rsid w:val="09153CCC"/>
    <w:rsid w:val="09164957"/>
    <w:rsid w:val="091652F6"/>
    <w:rsid w:val="09166B99"/>
    <w:rsid w:val="09166F09"/>
    <w:rsid w:val="09167A44"/>
    <w:rsid w:val="09167A96"/>
    <w:rsid w:val="09173EE8"/>
    <w:rsid w:val="09177145"/>
    <w:rsid w:val="09181A0E"/>
    <w:rsid w:val="09184D7D"/>
    <w:rsid w:val="09185E81"/>
    <w:rsid w:val="09187C50"/>
    <w:rsid w:val="09191606"/>
    <w:rsid w:val="091943FA"/>
    <w:rsid w:val="091A12E3"/>
    <w:rsid w:val="091A5787"/>
    <w:rsid w:val="091A677A"/>
    <w:rsid w:val="091A7000"/>
    <w:rsid w:val="091B0A19"/>
    <w:rsid w:val="091B505B"/>
    <w:rsid w:val="091B54AD"/>
    <w:rsid w:val="091B60CD"/>
    <w:rsid w:val="091C01AA"/>
    <w:rsid w:val="091C11FF"/>
    <w:rsid w:val="091C320A"/>
    <w:rsid w:val="091C32AD"/>
    <w:rsid w:val="091C5A2C"/>
    <w:rsid w:val="091D0DD3"/>
    <w:rsid w:val="091D420B"/>
    <w:rsid w:val="091D4A82"/>
    <w:rsid w:val="091E1C32"/>
    <w:rsid w:val="091F3B45"/>
    <w:rsid w:val="091F40D4"/>
    <w:rsid w:val="091F4B4B"/>
    <w:rsid w:val="091F6045"/>
    <w:rsid w:val="091F6D52"/>
    <w:rsid w:val="09200ED6"/>
    <w:rsid w:val="092108C3"/>
    <w:rsid w:val="0921144B"/>
    <w:rsid w:val="09214D73"/>
    <w:rsid w:val="09215307"/>
    <w:rsid w:val="09216B15"/>
    <w:rsid w:val="092210B6"/>
    <w:rsid w:val="092217DD"/>
    <w:rsid w:val="09222840"/>
    <w:rsid w:val="0922463B"/>
    <w:rsid w:val="092263E9"/>
    <w:rsid w:val="09234D17"/>
    <w:rsid w:val="09241D46"/>
    <w:rsid w:val="09245A77"/>
    <w:rsid w:val="092466A4"/>
    <w:rsid w:val="092622B0"/>
    <w:rsid w:val="0926237D"/>
    <w:rsid w:val="0926412B"/>
    <w:rsid w:val="09277E8E"/>
    <w:rsid w:val="0928131E"/>
    <w:rsid w:val="09283E1A"/>
    <w:rsid w:val="09287EA3"/>
    <w:rsid w:val="09293304"/>
    <w:rsid w:val="0929334A"/>
    <w:rsid w:val="09295469"/>
    <w:rsid w:val="092A33D9"/>
    <w:rsid w:val="092A3778"/>
    <w:rsid w:val="092A537F"/>
    <w:rsid w:val="092A6EDD"/>
    <w:rsid w:val="092B34F0"/>
    <w:rsid w:val="092B50CE"/>
    <w:rsid w:val="092B6B72"/>
    <w:rsid w:val="092B7994"/>
    <w:rsid w:val="092C1016"/>
    <w:rsid w:val="092C7268"/>
    <w:rsid w:val="092D370C"/>
    <w:rsid w:val="092D3D00"/>
    <w:rsid w:val="092D54BA"/>
    <w:rsid w:val="092D7447"/>
    <w:rsid w:val="092E2C7C"/>
    <w:rsid w:val="092E2FE0"/>
    <w:rsid w:val="092E371C"/>
    <w:rsid w:val="092E7BB1"/>
    <w:rsid w:val="092F445E"/>
    <w:rsid w:val="092F4751"/>
    <w:rsid w:val="09300B06"/>
    <w:rsid w:val="09301E18"/>
    <w:rsid w:val="09303CE2"/>
    <w:rsid w:val="09304FAA"/>
    <w:rsid w:val="09306D58"/>
    <w:rsid w:val="09306E06"/>
    <w:rsid w:val="09306F24"/>
    <w:rsid w:val="09313816"/>
    <w:rsid w:val="09315834"/>
    <w:rsid w:val="09315C8F"/>
    <w:rsid w:val="09317B12"/>
    <w:rsid w:val="093201B3"/>
    <w:rsid w:val="09321F8B"/>
    <w:rsid w:val="09324404"/>
    <w:rsid w:val="0932487E"/>
    <w:rsid w:val="09324FA1"/>
    <w:rsid w:val="0932635B"/>
    <w:rsid w:val="093305F6"/>
    <w:rsid w:val="093323A4"/>
    <w:rsid w:val="09343170"/>
    <w:rsid w:val="0934330C"/>
    <w:rsid w:val="09344975"/>
    <w:rsid w:val="093455E9"/>
    <w:rsid w:val="0934746B"/>
    <w:rsid w:val="093478C1"/>
    <w:rsid w:val="09350D51"/>
    <w:rsid w:val="09352492"/>
    <w:rsid w:val="093525C0"/>
    <w:rsid w:val="0935436E"/>
    <w:rsid w:val="093555F4"/>
    <w:rsid w:val="0935611C"/>
    <w:rsid w:val="09362500"/>
    <w:rsid w:val="09363F74"/>
    <w:rsid w:val="093641EA"/>
    <w:rsid w:val="09365012"/>
    <w:rsid w:val="09365F86"/>
    <w:rsid w:val="093703A1"/>
    <w:rsid w:val="09371E95"/>
    <w:rsid w:val="093734D9"/>
    <w:rsid w:val="09376242"/>
    <w:rsid w:val="09377983"/>
    <w:rsid w:val="09381E30"/>
    <w:rsid w:val="093835F0"/>
    <w:rsid w:val="093852F6"/>
    <w:rsid w:val="09385C0D"/>
    <w:rsid w:val="0939701B"/>
    <w:rsid w:val="093A1985"/>
    <w:rsid w:val="093A3733"/>
    <w:rsid w:val="093A536B"/>
    <w:rsid w:val="093A7294"/>
    <w:rsid w:val="093B2163"/>
    <w:rsid w:val="093B35FB"/>
    <w:rsid w:val="093C394F"/>
    <w:rsid w:val="093C5036"/>
    <w:rsid w:val="093C56FD"/>
    <w:rsid w:val="093C6053"/>
    <w:rsid w:val="093C74AB"/>
    <w:rsid w:val="093D1475"/>
    <w:rsid w:val="093D3223"/>
    <w:rsid w:val="093E4F8E"/>
    <w:rsid w:val="093E5340"/>
    <w:rsid w:val="093E76C7"/>
    <w:rsid w:val="093F49AD"/>
    <w:rsid w:val="093F51ED"/>
    <w:rsid w:val="093F6F9B"/>
    <w:rsid w:val="09404D3A"/>
    <w:rsid w:val="09412D13"/>
    <w:rsid w:val="09414FBE"/>
    <w:rsid w:val="09420839"/>
    <w:rsid w:val="09420FBD"/>
    <w:rsid w:val="094249BF"/>
    <w:rsid w:val="09425950"/>
    <w:rsid w:val="0942633D"/>
    <w:rsid w:val="09432F19"/>
    <w:rsid w:val="09432F45"/>
    <w:rsid w:val="0943422E"/>
    <w:rsid w:val="09435F26"/>
    <w:rsid w:val="09436A8B"/>
    <w:rsid w:val="09440A55"/>
    <w:rsid w:val="09441E3E"/>
    <w:rsid w:val="09442803"/>
    <w:rsid w:val="094443AA"/>
    <w:rsid w:val="094445B2"/>
    <w:rsid w:val="094473B6"/>
    <w:rsid w:val="09447EF3"/>
    <w:rsid w:val="09450846"/>
    <w:rsid w:val="0946032A"/>
    <w:rsid w:val="094620D8"/>
    <w:rsid w:val="09463FB2"/>
    <w:rsid w:val="094675B0"/>
    <w:rsid w:val="094716AC"/>
    <w:rsid w:val="09471843"/>
    <w:rsid w:val="09475E50"/>
    <w:rsid w:val="0948037F"/>
    <w:rsid w:val="09480908"/>
    <w:rsid w:val="09491961"/>
    <w:rsid w:val="09491BC8"/>
    <w:rsid w:val="09493286"/>
    <w:rsid w:val="0949606C"/>
    <w:rsid w:val="09497E1A"/>
    <w:rsid w:val="094B1041"/>
    <w:rsid w:val="094B1DE4"/>
    <w:rsid w:val="094B3B92"/>
    <w:rsid w:val="094B3E7A"/>
    <w:rsid w:val="094B5940"/>
    <w:rsid w:val="094B65A3"/>
    <w:rsid w:val="094B6716"/>
    <w:rsid w:val="094C3466"/>
    <w:rsid w:val="094C5B8E"/>
    <w:rsid w:val="094D1BA9"/>
    <w:rsid w:val="094D579B"/>
    <w:rsid w:val="094D5EAF"/>
    <w:rsid w:val="094D6156"/>
    <w:rsid w:val="094D6FD8"/>
    <w:rsid w:val="094D790A"/>
    <w:rsid w:val="094E3682"/>
    <w:rsid w:val="094E5430"/>
    <w:rsid w:val="094E71DE"/>
    <w:rsid w:val="094F09A9"/>
    <w:rsid w:val="094F5C0A"/>
    <w:rsid w:val="094F68C7"/>
    <w:rsid w:val="09501527"/>
    <w:rsid w:val="09504D5D"/>
    <w:rsid w:val="095073FA"/>
    <w:rsid w:val="0951052A"/>
    <w:rsid w:val="09513364"/>
    <w:rsid w:val="0952211A"/>
    <w:rsid w:val="095251AA"/>
    <w:rsid w:val="095255B5"/>
    <w:rsid w:val="09526B34"/>
    <w:rsid w:val="09526CCE"/>
    <w:rsid w:val="095321AB"/>
    <w:rsid w:val="09532A47"/>
    <w:rsid w:val="09532E6E"/>
    <w:rsid w:val="095342DA"/>
    <w:rsid w:val="09534B0A"/>
    <w:rsid w:val="09534BA5"/>
    <w:rsid w:val="09540C99"/>
    <w:rsid w:val="09540EA6"/>
    <w:rsid w:val="095448CF"/>
    <w:rsid w:val="09544BDC"/>
    <w:rsid w:val="09546EAB"/>
    <w:rsid w:val="0955033B"/>
    <w:rsid w:val="0955056D"/>
    <w:rsid w:val="09552F0C"/>
    <w:rsid w:val="09554A11"/>
    <w:rsid w:val="095567BF"/>
    <w:rsid w:val="095575D7"/>
    <w:rsid w:val="09560421"/>
    <w:rsid w:val="095617CB"/>
    <w:rsid w:val="095646B3"/>
    <w:rsid w:val="09570789"/>
    <w:rsid w:val="09572537"/>
    <w:rsid w:val="09572C5B"/>
    <w:rsid w:val="095742E5"/>
    <w:rsid w:val="0957556A"/>
    <w:rsid w:val="0957582C"/>
    <w:rsid w:val="09575A9A"/>
    <w:rsid w:val="09577C91"/>
    <w:rsid w:val="0958005D"/>
    <w:rsid w:val="09581E0B"/>
    <w:rsid w:val="095848C9"/>
    <w:rsid w:val="0959188D"/>
    <w:rsid w:val="0959370A"/>
    <w:rsid w:val="09594501"/>
    <w:rsid w:val="095962AF"/>
    <w:rsid w:val="09596E65"/>
    <w:rsid w:val="0959748A"/>
    <w:rsid w:val="095A0B34"/>
    <w:rsid w:val="095A2027"/>
    <w:rsid w:val="095A3DD5"/>
    <w:rsid w:val="095A43D5"/>
    <w:rsid w:val="095B15E6"/>
    <w:rsid w:val="095B26FD"/>
    <w:rsid w:val="095B63DD"/>
    <w:rsid w:val="095C18FB"/>
    <w:rsid w:val="095C2625"/>
    <w:rsid w:val="095C4B76"/>
    <w:rsid w:val="095C516D"/>
    <w:rsid w:val="095C5D9F"/>
    <w:rsid w:val="095C6E87"/>
    <w:rsid w:val="095C7B4D"/>
    <w:rsid w:val="095D2ED8"/>
    <w:rsid w:val="095D5673"/>
    <w:rsid w:val="095D6A18"/>
    <w:rsid w:val="095D7F5D"/>
    <w:rsid w:val="095E0D6F"/>
    <w:rsid w:val="095E51A8"/>
    <w:rsid w:val="095E7634"/>
    <w:rsid w:val="095F0139"/>
    <w:rsid w:val="095F13EB"/>
    <w:rsid w:val="095F3199"/>
    <w:rsid w:val="095F3FBE"/>
    <w:rsid w:val="095F4AC7"/>
    <w:rsid w:val="095F531B"/>
    <w:rsid w:val="095F6493"/>
    <w:rsid w:val="095F763D"/>
    <w:rsid w:val="09601BFE"/>
    <w:rsid w:val="09607537"/>
    <w:rsid w:val="096114AF"/>
    <w:rsid w:val="096133B5"/>
    <w:rsid w:val="09615163"/>
    <w:rsid w:val="096168DE"/>
    <w:rsid w:val="09616F12"/>
    <w:rsid w:val="0962293F"/>
    <w:rsid w:val="09622C8A"/>
    <w:rsid w:val="09630A54"/>
    <w:rsid w:val="09630EDC"/>
    <w:rsid w:val="09633DCF"/>
    <w:rsid w:val="09635510"/>
    <w:rsid w:val="096468DF"/>
    <w:rsid w:val="096469A0"/>
    <w:rsid w:val="09646A02"/>
    <w:rsid w:val="0965276E"/>
    <w:rsid w:val="09652EA6"/>
    <w:rsid w:val="096609CC"/>
    <w:rsid w:val="09660DE0"/>
    <w:rsid w:val="09661850"/>
    <w:rsid w:val="0966499A"/>
    <w:rsid w:val="09664A7B"/>
    <w:rsid w:val="09672750"/>
    <w:rsid w:val="09675CC9"/>
    <w:rsid w:val="096802A0"/>
    <w:rsid w:val="09683F2B"/>
    <w:rsid w:val="096864F2"/>
    <w:rsid w:val="0969226A"/>
    <w:rsid w:val="09694018"/>
    <w:rsid w:val="096A0C48"/>
    <w:rsid w:val="096A0CC3"/>
    <w:rsid w:val="096A2812"/>
    <w:rsid w:val="096A4F84"/>
    <w:rsid w:val="096B1B3E"/>
    <w:rsid w:val="096B5FE2"/>
    <w:rsid w:val="096D08A6"/>
    <w:rsid w:val="096D4262"/>
    <w:rsid w:val="096D58B6"/>
    <w:rsid w:val="096D6C65"/>
    <w:rsid w:val="096E162E"/>
    <w:rsid w:val="096E53A4"/>
    <w:rsid w:val="096E61DB"/>
    <w:rsid w:val="096E7880"/>
    <w:rsid w:val="096F3AB3"/>
    <w:rsid w:val="096F502C"/>
    <w:rsid w:val="09702708"/>
    <w:rsid w:val="097035F9"/>
    <w:rsid w:val="09704F43"/>
    <w:rsid w:val="097053A7"/>
    <w:rsid w:val="097105FE"/>
    <w:rsid w:val="09710A1C"/>
    <w:rsid w:val="09710A67"/>
    <w:rsid w:val="09710FA4"/>
    <w:rsid w:val="09711F86"/>
    <w:rsid w:val="0971738C"/>
    <w:rsid w:val="0972111F"/>
    <w:rsid w:val="09722ECD"/>
    <w:rsid w:val="09724846"/>
    <w:rsid w:val="0972550D"/>
    <w:rsid w:val="09725986"/>
    <w:rsid w:val="09727863"/>
    <w:rsid w:val="09732818"/>
    <w:rsid w:val="09734E97"/>
    <w:rsid w:val="09741BF2"/>
    <w:rsid w:val="09741E44"/>
    <w:rsid w:val="097430E9"/>
    <w:rsid w:val="0974768F"/>
    <w:rsid w:val="097476E5"/>
    <w:rsid w:val="09750F46"/>
    <w:rsid w:val="09752F90"/>
    <w:rsid w:val="097554B0"/>
    <w:rsid w:val="097561E4"/>
    <w:rsid w:val="09756E61"/>
    <w:rsid w:val="09757925"/>
    <w:rsid w:val="09763D6E"/>
    <w:rsid w:val="09764343"/>
    <w:rsid w:val="09772A6B"/>
    <w:rsid w:val="09772BD9"/>
    <w:rsid w:val="09774987"/>
    <w:rsid w:val="09774E16"/>
    <w:rsid w:val="09776735"/>
    <w:rsid w:val="097809C8"/>
    <w:rsid w:val="0978425B"/>
    <w:rsid w:val="09785085"/>
    <w:rsid w:val="097924AD"/>
    <w:rsid w:val="097A38CF"/>
    <w:rsid w:val="097A4477"/>
    <w:rsid w:val="097A6225"/>
    <w:rsid w:val="097B0D5A"/>
    <w:rsid w:val="097B6D63"/>
    <w:rsid w:val="097B7229"/>
    <w:rsid w:val="097C01EF"/>
    <w:rsid w:val="097C19AE"/>
    <w:rsid w:val="097C55F8"/>
    <w:rsid w:val="097C60B7"/>
    <w:rsid w:val="097D074F"/>
    <w:rsid w:val="097E3F67"/>
    <w:rsid w:val="097E5D15"/>
    <w:rsid w:val="097E7AC3"/>
    <w:rsid w:val="097F1A8E"/>
    <w:rsid w:val="097F1D39"/>
    <w:rsid w:val="097F55EA"/>
    <w:rsid w:val="098032F7"/>
    <w:rsid w:val="09811362"/>
    <w:rsid w:val="09812869"/>
    <w:rsid w:val="09815806"/>
    <w:rsid w:val="098175B4"/>
    <w:rsid w:val="09827358"/>
    <w:rsid w:val="0983332C"/>
    <w:rsid w:val="09834CB1"/>
    <w:rsid w:val="098409B3"/>
    <w:rsid w:val="098409F5"/>
    <w:rsid w:val="098470A4"/>
    <w:rsid w:val="09847929"/>
    <w:rsid w:val="09850D4B"/>
    <w:rsid w:val="09854273"/>
    <w:rsid w:val="09855662"/>
    <w:rsid w:val="09857212"/>
    <w:rsid w:val="0985741A"/>
    <w:rsid w:val="098608AA"/>
    <w:rsid w:val="09861D3A"/>
    <w:rsid w:val="09862E1C"/>
    <w:rsid w:val="09864BCA"/>
    <w:rsid w:val="098705F9"/>
    <w:rsid w:val="09874FCD"/>
    <w:rsid w:val="09875B84"/>
    <w:rsid w:val="098808A7"/>
    <w:rsid w:val="09880B6F"/>
    <w:rsid w:val="098822BF"/>
    <w:rsid w:val="098826BB"/>
    <w:rsid w:val="09886B94"/>
    <w:rsid w:val="09886D8B"/>
    <w:rsid w:val="098872F8"/>
    <w:rsid w:val="09891246"/>
    <w:rsid w:val="09895AEA"/>
    <w:rsid w:val="09896468"/>
    <w:rsid w:val="098972D4"/>
    <w:rsid w:val="098A06BB"/>
    <w:rsid w:val="098A1B2B"/>
    <w:rsid w:val="098A1F93"/>
    <w:rsid w:val="098A290C"/>
    <w:rsid w:val="098A71EA"/>
    <w:rsid w:val="098B21E0"/>
    <w:rsid w:val="098B3A00"/>
    <w:rsid w:val="098B3F8E"/>
    <w:rsid w:val="098B471C"/>
    <w:rsid w:val="098B6274"/>
    <w:rsid w:val="098D243E"/>
    <w:rsid w:val="098D26C1"/>
    <w:rsid w:val="098D351F"/>
    <w:rsid w:val="098D5F59"/>
    <w:rsid w:val="098D703C"/>
    <w:rsid w:val="098D7D07"/>
    <w:rsid w:val="098E3A7F"/>
    <w:rsid w:val="098E3ABC"/>
    <w:rsid w:val="098E5AFD"/>
    <w:rsid w:val="098E7D44"/>
    <w:rsid w:val="098F175E"/>
    <w:rsid w:val="098F1CD1"/>
    <w:rsid w:val="098F1EBD"/>
    <w:rsid w:val="098F7F23"/>
    <w:rsid w:val="09903C9B"/>
    <w:rsid w:val="09905A49"/>
    <w:rsid w:val="099077F7"/>
    <w:rsid w:val="09914CCC"/>
    <w:rsid w:val="099164DE"/>
    <w:rsid w:val="09920EBC"/>
    <w:rsid w:val="09922CFB"/>
    <w:rsid w:val="0992356F"/>
    <w:rsid w:val="09923AAF"/>
    <w:rsid w:val="0992531D"/>
    <w:rsid w:val="09931095"/>
    <w:rsid w:val="09932EAE"/>
    <w:rsid w:val="09934D3B"/>
    <w:rsid w:val="09941727"/>
    <w:rsid w:val="099460D4"/>
    <w:rsid w:val="0994758F"/>
    <w:rsid w:val="0995039F"/>
    <w:rsid w:val="099512B1"/>
    <w:rsid w:val="09953D74"/>
    <w:rsid w:val="09954E0D"/>
    <w:rsid w:val="09956880"/>
    <w:rsid w:val="099665BA"/>
    <w:rsid w:val="09966D79"/>
    <w:rsid w:val="099700EE"/>
    <w:rsid w:val="09972933"/>
    <w:rsid w:val="09975029"/>
    <w:rsid w:val="0997543A"/>
    <w:rsid w:val="09975E39"/>
    <w:rsid w:val="09976DD7"/>
    <w:rsid w:val="09977D21"/>
    <w:rsid w:val="0998247F"/>
    <w:rsid w:val="099836F7"/>
    <w:rsid w:val="099866AB"/>
    <w:rsid w:val="0999258C"/>
    <w:rsid w:val="09992B4F"/>
    <w:rsid w:val="099948FD"/>
    <w:rsid w:val="099955DF"/>
    <w:rsid w:val="09996317"/>
    <w:rsid w:val="099A01B0"/>
    <w:rsid w:val="099A041F"/>
    <w:rsid w:val="099A0675"/>
    <w:rsid w:val="099A2989"/>
    <w:rsid w:val="099A72BE"/>
    <w:rsid w:val="099A7EF5"/>
    <w:rsid w:val="099B126C"/>
    <w:rsid w:val="099C20BF"/>
    <w:rsid w:val="099C263F"/>
    <w:rsid w:val="099C2AD0"/>
    <w:rsid w:val="099C384B"/>
    <w:rsid w:val="099C43EE"/>
    <w:rsid w:val="099C619C"/>
    <w:rsid w:val="099C66D2"/>
    <w:rsid w:val="099D17FD"/>
    <w:rsid w:val="099D3F60"/>
    <w:rsid w:val="099D5027"/>
    <w:rsid w:val="099D6B31"/>
    <w:rsid w:val="099E1F14"/>
    <w:rsid w:val="099E3CC2"/>
    <w:rsid w:val="099E62D5"/>
    <w:rsid w:val="099E6880"/>
    <w:rsid w:val="099F266C"/>
    <w:rsid w:val="099F5E4D"/>
    <w:rsid w:val="099F7A3A"/>
    <w:rsid w:val="09A03EDE"/>
    <w:rsid w:val="09A100DA"/>
    <w:rsid w:val="09A13D71"/>
    <w:rsid w:val="09A154B2"/>
    <w:rsid w:val="09A25201"/>
    <w:rsid w:val="09A339CE"/>
    <w:rsid w:val="09A3752A"/>
    <w:rsid w:val="09A432A2"/>
    <w:rsid w:val="09A43619"/>
    <w:rsid w:val="09A43E33"/>
    <w:rsid w:val="09A46281"/>
    <w:rsid w:val="09A4749C"/>
    <w:rsid w:val="09A56174"/>
    <w:rsid w:val="09A60DC8"/>
    <w:rsid w:val="09A6231A"/>
    <w:rsid w:val="09A63F79"/>
    <w:rsid w:val="09A6526C"/>
    <w:rsid w:val="09A6701A"/>
    <w:rsid w:val="09A67460"/>
    <w:rsid w:val="09A67A16"/>
    <w:rsid w:val="09A75314"/>
    <w:rsid w:val="09A80FE4"/>
    <w:rsid w:val="09A82E7F"/>
    <w:rsid w:val="09A83C44"/>
    <w:rsid w:val="09A84B40"/>
    <w:rsid w:val="09A84C5B"/>
    <w:rsid w:val="09A86E66"/>
    <w:rsid w:val="09A90553"/>
    <w:rsid w:val="09A908B8"/>
    <w:rsid w:val="09A92667"/>
    <w:rsid w:val="09A93825"/>
    <w:rsid w:val="09A93A7A"/>
    <w:rsid w:val="09A95998"/>
    <w:rsid w:val="09AA4CEA"/>
    <w:rsid w:val="09AA4D5C"/>
    <w:rsid w:val="09AA5B37"/>
    <w:rsid w:val="09AA6203"/>
    <w:rsid w:val="09AA6564"/>
    <w:rsid w:val="09AA6E47"/>
    <w:rsid w:val="09AB02E6"/>
    <w:rsid w:val="09AB1135"/>
    <w:rsid w:val="09AB2883"/>
    <w:rsid w:val="09AB4631"/>
    <w:rsid w:val="09AB55EB"/>
    <w:rsid w:val="09AB5B09"/>
    <w:rsid w:val="09AB63DF"/>
    <w:rsid w:val="09AC16FC"/>
    <w:rsid w:val="09AC3A55"/>
    <w:rsid w:val="09AC44AA"/>
    <w:rsid w:val="09AC5082"/>
    <w:rsid w:val="09AC5363"/>
    <w:rsid w:val="09AD4641"/>
    <w:rsid w:val="09AE0EF2"/>
    <w:rsid w:val="09AE2470"/>
    <w:rsid w:val="09AE5234"/>
    <w:rsid w:val="09AE6375"/>
    <w:rsid w:val="09AE7AB6"/>
    <w:rsid w:val="09AF0F46"/>
    <w:rsid w:val="09AF2373"/>
    <w:rsid w:val="09AF2757"/>
    <w:rsid w:val="09AF5ECF"/>
    <w:rsid w:val="09AF5FAE"/>
    <w:rsid w:val="09AF741E"/>
    <w:rsid w:val="09AF7805"/>
    <w:rsid w:val="09B01806"/>
    <w:rsid w:val="09B0312C"/>
    <w:rsid w:val="09B039F5"/>
    <w:rsid w:val="09B05932"/>
    <w:rsid w:val="09B06E1E"/>
    <w:rsid w:val="09B12B23"/>
    <w:rsid w:val="09B176F2"/>
    <w:rsid w:val="09B24CF6"/>
    <w:rsid w:val="09B259BF"/>
    <w:rsid w:val="09B3041A"/>
    <w:rsid w:val="09B30D57"/>
    <w:rsid w:val="09B33869"/>
    <w:rsid w:val="09B33D40"/>
    <w:rsid w:val="09B421E7"/>
    <w:rsid w:val="09B42B33"/>
    <w:rsid w:val="09B42D44"/>
    <w:rsid w:val="09B477D4"/>
    <w:rsid w:val="09B47989"/>
    <w:rsid w:val="09B50246"/>
    <w:rsid w:val="09B536D6"/>
    <w:rsid w:val="09B55134"/>
    <w:rsid w:val="09B55304"/>
    <w:rsid w:val="09B56247"/>
    <w:rsid w:val="09B56DB5"/>
    <w:rsid w:val="09B5725D"/>
    <w:rsid w:val="09B62B73"/>
    <w:rsid w:val="09B63701"/>
    <w:rsid w:val="09B64914"/>
    <w:rsid w:val="09B64D88"/>
    <w:rsid w:val="09B74D83"/>
    <w:rsid w:val="09B776D8"/>
    <w:rsid w:val="09B81267"/>
    <w:rsid w:val="09B83D29"/>
    <w:rsid w:val="09B87BEB"/>
    <w:rsid w:val="09B905E5"/>
    <w:rsid w:val="09B90AFC"/>
    <w:rsid w:val="09B92CD0"/>
    <w:rsid w:val="09B94F9F"/>
    <w:rsid w:val="09B95A2F"/>
    <w:rsid w:val="09B96D4E"/>
    <w:rsid w:val="09BA1E69"/>
    <w:rsid w:val="09BA2382"/>
    <w:rsid w:val="09BA4874"/>
    <w:rsid w:val="09BA5836"/>
    <w:rsid w:val="09BB025E"/>
    <w:rsid w:val="09BB0D18"/>
    <w:rsid w:val="09BB20BA"/>
    <w:rsid w:val="09BB2A4F"/>
    <w:rsid w:val="09BB7170"/>
    <w:rsid w:val="09BB7513"/>
    <w:rsid w:val="09BC4A90"/>
    <w:rsid w:val="09BC683E"/>
    <w:rsid w:val="09BE25B6"/>
    <w:rsid w:val="09BE4364"/>
    <w:rsid w:val="09BE5E69"/>
    <w:rsid w:val="09BE6112"/>
    <w:rsid w:val="09BF0A3A"/>
    <w:rsid w:val="09BF1E8A"/>
    <w:rsid w:val="09BF32C4"/>
    <w:rsid w:val="09BF4273"/>
    <w:rsid w:val="09BF7412"/>
    <w:rsid w:val="09C000DC"/>
    <w:rsid w:val="09C06F3B"/>
    <w:rsid w:val="09C15C02"/>
    <w:rsid w:val="09C24429"/>
    <w:rsid w:val="09C247EA"/>
    <w:rsid w:val="09C2499D"/>
    <w:rsid w:val="09C26E4C"/>
    <w:rsid w:val="09C3197A"/>
    <w:rsid w:val="09C33728"/>
    <w:rsid w:val="09C35937"/>
    <w:rsid w:val="09C37BCC"/>
    <w:rsid w:val="09C44E36"/>
    <w:rsid w:val="09C46584"/>
    <w:rsid w:val="09C474A0"/>
    <w:rsid w:val="09C53944"/>
    <w:rsid w:val="09C547D2"/>
    <w:rsid w:val="09C556F2"/>
    <w:rsid w:val="09C676BC"/>
    <w:rsid w:val="09C7213A"/>
    <w:rsid w:val="09C74319"/>
    <w:rsid w:val="09C76411"/>
    <w:rsid w:val="09C821F4"/>
    <w:rsid w:val="09C83435"/>
    <w:rsid w:val="09C86F91"/>
    <w:rsid w:val="09C918AA"/>
    <w:rsid w:val="09C94AB7"/>
    <w:rsid w:val="09C96204"/>
    <w:rsid w:val="09C96D10"/>
    <w:rsid w:val="09CA0287"/>
    <w:rsid w:val="09CA0F5B"/>
    <w:rsid w:val="09CA2D09"/>
    <w:rsid w:val="09CA5B4D"/>
    <w:rsid w:val="09CB082F"/>
    <w:rsid w:val="09CB4CD3"/>
    <w:rsid w:val="09CB557B"/>
    <w:rsid w:val="09CB6A81"/>
    <w:rsid w:val="09CB6FDD"/>
    <w:rsid w:val="09CC174B"/>
    <w:rsid w:val="09CC446A"/>
    <w:rsid w:val="09CC5D6C"/>
    <w:rsid w:val="09CC7205"/>
    <w:rsid w:val="09CC7334"/>
    <w:rsid w:val="09CD0A4B"/>
    <w:rsid w:val="09CD27F9"/>
    <w:rsid w:val="09CE2AA0"/>
    <w:rsid w:val="09CE2D8D"/>
    <w:rsid w:val="09CE595E"/>
    <w:rsid w:val="09CF6571"/>
    <w:rsid w:val="09CF6DEE"/>
    <w:rsid w:val="09CF7D5A"/>
    <w:rsid w:val="09D01C74"/>
    <w:rsid w:val="09D04097"/>
    <w:rsid w:val="09D05E45"/>
    <w:rsid w:val="09D122E9"/>
    <w:rsid w:val="09D156CD"/>
    <w:rsid w:val="09D22738"/>
    <w:rsid w:val="09D23F5E"/>
    <w:rsid w:val="09D321EF"/>
    <w:rsid w:val="09D32864"/>
    <w:rsid w:val="09D32F2C"/>
    <w:rsid w:val="09D354AA"/>
    <w:rsid w:val="09D40366"/>
    <w:rsid w:val="09D413F9"/>
    <w:rsid w:val="09D437D0"/>
    <w:rsid w:val="09D45935"/>
    <w:rsid w:val="09D473CE"/>
    <w:rsid w:val="09D522C9"/>
    <w:rsid w:val="09D653B1"/>
    <w:rsid w:val="09D711EB"/>
    <w:rsid w:val="09D80CF6"/>
    <w:rsid w:val="09D90C3C"/>
    <w:rsid w:val="09D9119E"/>
    <w:rsid w:val="09D92E75"/>
    <w:rsid w:val="09D92F4C"/>
    <w:rsid w:val="09D93396"/>
    <w:rsid w:val="09D947CF"/>
    <w:rsid w:val="09D973F0"/>
    <w:rsid w:val="09DA0F39"/>
    <w:rsid w:val="09DA36AC"/>
    <w:rsid w:val="09DA4F37"/>
    <w:rsid w:val="09DA6979"/>
    <w:rsid w:val="09DB2717"/>
    <w:rsid w:val="09DB3168"/>
    <w:rsid w:val="09DC336D"/>
    <w:rsid w:val="09DC47EA"/>
    <w:rsid w:val="09DC4891"/>
    <w:rsid w:val="09DD0833"/>
    <w:rsid w:val="09DD3006"/>
    <w:rsid w:val="09DD3180"/>
    <w:rsid w:val="09DD393A"/>
    <w:rsid w:val="09DD63D3"/>
    <w:rsid w:val="09DD6D0A"/>
    <w:rsid w:val="09DE0562"/>
    <w:rsid w:val="09DF266F"/>
    <w:rsid w:val="09DF41EA"/>
    <w:rsid w:val="09DF42B8"/>
    <w:rsid w:val="09DF68E3"/>
    <w:rsid w:val="09E0077E"/>
    <w:rsid w:val="09E00E58"/>
    <w:rsid w:val="09E05130"/>
    <w:rsid w:val="09E05DC0"/>
    <w:rsid w:val="09E0616B"/>
    <w:rsid w:val="09E10052"/>
    <w:rsid w:val="09E1549B"/>
    <w:rsid w:val="09E162A4"/>
    <w:rsid w:val="09E16B6D"/>
    <w:rsid w:val="09E17094"/>
    <w:rsid w:val="09E17252"/>
    <w:rsid w:val="09E17B6C"/>
    <w:rsid w:val="09E23B44"/>
    <w:rsid w:val="09E244F6"/>
    <w:rsid w:val="09E24BA3"/>
    <w:rsid w:val="09E262C4"/>
    <w:rsid w:val="09E27849"/>
    <w:rsid w:val="09E3201C"/>
    <w:rsid w:val="09E32767"/>
    <w:rsid w:val="09E33DCA"/>
    <w:rsid w:val="09E35B78"/>
    <w:rsid w:val="09E35FBD"/>
    <w:rsid w:val="09E44188"/>
    <w:rsid w:val="09E46395"/>
    <w:rsid w:val="09E47205"/>
    <w:rsid w:val="09E47E8B"/>
    <w:rsid w:val="09E518F1"/>
    <w:rsid w:val="09E52755"/>
    <w:rsid w:val="09E557CF"/>
    <w:rsid w:val="09E558FE"/>
    <w:rsid w:val="09E56F46"/>
    <w:rsid w:val="09E638BB"/>
    <w:rsid w:val="09E65669"/>
    <w:rsid w:val="09E65C6B"/>
    <w:rsid w:val="09E65F0E"/>
    <w:rsid w:val="09E678CF"/>
    <w:rsid w:val="09E71B0D"/>
    <w:rsid w:val="09E74A8C"/>
    <w:rsid w:val="09E76C75"/>
    <w:rsid w:val="09E76DDE"/>
    <w:rsid w:val="09E802EC"/>
    <w:rsid w:val="09E810D6"/>
    <w:rsid w:val="09E813E1"/>
    <w:rsid w:val="09E83E1C"/>
    <w:rsid w:val="09E8435B"/>
    <w:rsid w:val="09E84475"/>
    <w:rsid w:val="09E85885"/>
    <w:rsid w:val="09E87633"/>
    <w:rsid w:val="09E92566"/>
    <w:rsid w:val="09E92ED1"/>
    <w:rsid w:val="09E97995"/>
    <w:rsid w:val="09E97C3F"/>
    <w:rsid w:val="09EA4A34"/>
    <w:rsid w:val="09EA6F07"/>
    <w:rsid w:val="09EB0ED1"/>
    <w:rsid w:val="09EB2A56"/>
    <w:rsid w:val="09EB2C7F"/>
    <w:rsid w:val="09EB4AA4"/>
    <w:rsid w:val="09EC04CA"/>
    <w:rsid w:val="09EC6316"/>
    <w:rsid w:val="09EC6FD7"/>
    <w:rsid w:val="09EC7123"/>
    <w:rsid w:val="09ED0EE7"/>
    <w:rsid w:val="09ED116C"/>
    <w:rsid w:val="09ED2377"/>
    <w:rsid w:val="09ED2E9B"/>
    <w:rsid w:val="09ED3A4B"/>
    <w:rsid w:val="09ED4C49"/>
    <w:rsid w:val="09ED6853"/>
    <w:rsid w:val="09ED7C93"/>
    <w:rsid w:val="09EE3807"/>
    <w:rsid w:val="09EE4980"/>
    <w:rsid w:val="09EF11B4"/>
    <w:rsid w:val="09EF3639"/>
    <w:rsid w:val="09EF451D"/>
    <w:rsid w:val="09EF4C97"/>
    <w:rsid w:val="09EF6BCC"/>
    <w:rsid w:val="09F016EA"/>
    <w:rsid w:val="09F049E0"/>
    <w:rsid w:val="09F04E76"/>
    <w:rsid w:val="09F10A27"/>
    <w:rsid w:val="09F11C28"/>
    <w:rsid w:val="09F14739"/>
    <w:rsid w:val="09F154BD"/>
    <w:rsid w:val="09F21BAA"/>
    <w:rsid w:val="09F2225F"/>
    <w:rsid w:val="09F2400E"/>
    <w:rsid w:val="09F27531"/>
    <w:rsid w:val="09F3257B"/>
    <w:rsid w:val="09F33C46"/>
    <w:rsid w:val="09F361E9"/>
    <w:rsid w:val="09F40D2D"/>
    <w:rsid w:val="09F4422A"/>
    <w:rsid w:val="09F45FD8"/>
    <w:rsid w:val="09F46CE4"/>
    <w:rsid w:val="09F47D86"/>
    <w:rsid w:val="09F50B09"/>
    <w:rsid w:val="09F51004"/>
    <w:rsid w:val="09F5224A"/>
    <w:rsid w:val="09F53AD2"/>
    <w:rsid w:val="09F558AC"/>
    <w:rsid w:val="09F56C94"/>
    <w:rsid w:val="09F61B95"/>
    <w:rsid w:val="09F61F99"/>
    <w:rsid w:val="09F636DA"/>
    <w:rsid w:val="09F67B9F"/>
    <w:rsid w:val="09F77876"/>
    <w:rsid w:val="09F819CB"/>
    <w:rsid w:val="09F85260"/>
    <w:rsid w:val="09F8619E"/>
    <w:rsid w:val="09F9091A"/>
    <w:rsid w:val="09F91840"/>
    <w:rsid w:val="09F978E8"/>
    <w:rsid w:val="09FB1114"/>
    <w:rsid w:val="09FB1BB5"/>
    <w:rsid w:val="09FB4594"/>
    <w:rsid w:val="09FB497B"/>
    <w:rsid w:val="09FB4E3F"/>
    <w:rsid w:val="09FB55A7"/>
    <w:rsid w:val="09FB55B8"/>
    <w:rsid w:val="09FB5F86"/>
    <w:rsid w:val="09FB7366"/>
    <w:rsid w:val="09FC25EF"/>
    <w:rsid w:val="09FC4E8C"/>
    <w:rsid w:val="09FC6C3A"/>
    <w:rsid w:val="09FD3315"/>
    <w:rsid w:val="09FD55CC"/>
    <w:rsid w:val="09FE29B2"/>
    <w:rsid w:val="09FE32FC"/>
    <w:rsid w:val="09FE6E56"/>
    <w:rsid w:val="09FF3EA6"/>
    <w:rsid w:val="09FF478C"/>
    <w:rsid w:val="09FF51EF"/>
    <w:rsid w:val="0A002BCE"/>
    <w:rsid w:val="0A00497C"/>
    <w:rsid w:val="0A005785"/>
    <w:rsid w:val="0A0124A3"/>
    <w:rsid w:val="0A016A1F"/>
    <w:rsid w:val="0A021C7D"/>
    <w:rsid w:val="0A0250B2"/>
    <w:rsid w:val="0A02635F"/>
    <w:rsid w:val="0A030839"/>
    <w:rsid w:val="0A031000"/>
    <w:rsid w:val="0A031C9F"/>
    <w:rsid w:val="0A031D7D"/>
    <w:rsid w:val="0A03310D"/>
    <w:rsid w:val="0A03446D"/>
    <w:rsid w:val="0A03621B"/>
    <w:rsid w:val="0A03752B"/>
    <w:rsid w:val="0A042151"/>
    <w:rsid w:val="0A042978"/>
    <w:rsid w:val="0A043E1E"/>
    <w:rsid w:val="0A04422C"/>
    <w:rsid w:val="0A047FD7"/>
    <w:rsid w:val="0A0501E5"/>
    <w:rsid w:val="0A053D41"/>
    <w:rsid w:val="0A0604C0"/>
    <w:rsid w:val="0A061A8E"/>
    <w:rsid w:val="0A067AB9"/>
    <w:rsid w:val="0A0824E3"/>
    <w:rsid w:val="0A083831"/>
    <w:rsid w:val="0A084898"/>
    <w:rsid w:val="0A087D91"/>
    <w:rsid w:val="0A090A62"/>
    <w:rsid w:val="0A0A124F"/>
    <w:rsid w:val="0A0A57FB"/>
    <w:rsid w:val="0A0B50CF"/>
    <w:rsid w:val="0A0B5997"/>
    <w:rsid w:val="0A0B601F"/>
    <w:rsid w:val="0A0B6138"/>
    <w:rsid w:val="0A0B718A"/>
    <w:rsid w:val="0A0B7477"/>
    <w:rsid w:val="0A0C2A2B"/>
    <w:rsid w:val="0A0D2FB9"/>
    <w:rsid w:val="0A0D52EB"/>
    <w:rsid w:val="0A0D7099"/>
    <w:rsid w:val="0A0E12C6"/>
    <w:rsid w:val="0A0E1796"/>
    <w:rsid w:val="0A0F4BBF"/>
    <w:rsid w:val="0A0F4E11"/>
    <w:rsid w:val="0A0F696E"/>
    <w:rsid w:val="0A0F6EA1"/>
    <w:rsid w:val="0A0F7FFC"/>
    <w:rsid w:val="0A1026E6"/>
    <w:rsid w:val="0A105711"/>
    <w:rsid w:val="0A1100FD"/>
    <w:rsid w:val="0A110938"/>
    <w:rsid w:val="0A1125A4"/>
    <w:rsid w:val="0A112666"/>
    <w:rsid w:val="0A116B8A"/>
    <w:rsid w:val="0A120031"/>
    <w:rsid w:val="0A122902"/>
    <w:rsid w:val="0A1246B0"/>
    <w:rsid w:val="0A12530B"/>
    <w:rsid w:val="0A12645E"/>
    <w:rsid w:val="0A133B29"/>
    <w:rsid w:val="0A134092"/>
    <w:rsid w:val="0A1348C9"/>
    <w:rsid w:val="0A1357D3"/>
    <w:rsid w:val="0A140428"/>
    <w:rsid w:val="0A141BA4"/>
    <w:rsid w:val="0A14315D"/>
    <w:rsid w:val="0A146C63"/>
    <w:rsid w:val="0A152175"/>
    <w:rsid w:val="0A156506"/>
    <w:rsid w:val="0A157CFC"/>
    <w:rsid w:val="0A160974"/>
    <w:rsid w:val="0A160F37"/>
    <w:rsid w:val="0A161685"/>
    <w:rsid w:val="0A1621D9"/>
    <w:rsid w:val="0A164154"/>
    <w:rsid w:val="0A1641A0"/>
    <w:rsid w:val="0A164DC2"/>
    <w:rsid w:val="0A166DA8"/>
    <w:rsid w:val="0A1708E4"/>
    <w:rsid w:val="0A171CC6"/>
    <w:rsid w:val="0A172A13"/>
    <w:rsid w:val="0A18019D"/>
    <w:rsid w:val="0A180337"/>
    <w:rsid w:val="0A183EA3"/>
    <w:rsid w:val="0A1849E7"/>
    <w:rsid w:val="0A187F18"/>
    <w:rsid w:val="0A1911AD"/>
    <w:rsid w:val="0A195A3E"/>
    <w:rsid w:val="0A1A2AD5"/>
    <w:rsid w:val="0A1A4FED"/>
    <w:rsid w:val="0A1B1235"/>
    <w:rsid w:val="0A1B17B6"/>
    <w:rsid w:val="0A1B2184"/>
    <w:rsid w:val="0A1B5312"/>
    <w:rsid w:val="0A1B7A08"/>
    <w:rsid w:val="0A1C3B48"/>
    <w:rsid w:val="0A1C72DC"/>
    <w:rsid w:val="0A1D6EA1"/>
    <w:rsid w:val="0A1E0B47"/>
    <w:rsid w:val="0A1E28E6"/>
    <w:rsid w:val="0A1E3055"/>
    <w:rsid w:val="0A1E4E03"/>
    <w:rsid w:val="0A1E63D6"/>
    <w:rsid w:val="0A1F25BB"/>
    <w:rsid w:val="0A1F2635"/>
    <w:rsid w:val="0A1F428F"/>
    <w:rsid w:val="0A200B7B"/>
    <w:rsid w:val="0A201ADD"/>
    <w:rsid w:val="0A20501F"/>
    <w:rsid w:val="0A206DCD"/>
    <w:rsid w:val="0A2104D5"/>
    <w:rsid w:val="0A2148F3"/>
    <w:rsid w:val="0A214A9A"/>
    <w:rsid w:val="0A21591F"/>
    <w:rsid w:val="0A216696"/>
    <w:rsid w:val="0A2166A1"/>
    <w:rsid w:val="0A216B85"/>
    <w:rsid w:val="0A2177F2"/>
    <w:rsid w:val="0A2226F7"/>
    <w:rsid w:val="0A222B45"/>
    <w:rsid w:val="0A2230B6"/>
    <w:rsid w:val="0A227E8D"/>
    <w:rsid w:val="0A23066B"/>
    <w:rsid w:val="0A2334F9"/>
    <w:rsid w:val="0A2373F8"/>
    <w:rsid w:val="0A244C4F"/>
    <w:rsid w:val="0A246151"/>
    <w:rsid w:val="0A252635"/>
    <w:rsid w:val="0A2543E3"/>
    <w:rsid w:val="0A256191"/>
    <w:rsid w:val="0A2606C8"/>
    <w:rsid w:val="0A261078"/>
    <w:rsid w:val="0A261F09"/>
    <w:rsid w:val="0A26225F"/>
    <w:rsid w:val="0A262885"/>
    <w:rsid w:val="0A263993"/>
    <w:rsid w:val="0A264F6F"/>
    <w:rsid w:val="0A26596A"/>
    <w:rsid w:val="0A27015B"/>
    <w:rsid w:val="0A2763AD"/>
    <w:rsid w:val="0A28185F"/>
    <w:rsid w:val="0A283998"/>
    <w:rsid w:val="0A283ED3"/>
    <w:rsid w:val="0A28503A"/>
    <w:rsid w:val="0A2864EF"/>
    <w:rsid w:val="0A286569"/>
    <w:rsid w:val="0A287A2F"/>
    <w:rsid w:val="0A2917A5"/>
    <w:rsid w:val="0A2950EA"/>
    <w:rsid w:val="0A2952E4"/>
    <w:rsid w:val="0A295345"/>
    <w:rsid w:val="0A296DC8"/>
    <w:rsid w:val="0A29784A"/>
    <w:rsid w:val="0A2979F9"/>
    <w:rsid w:val="0A2A19F9"/>
    <w:rsid w:val="0A2A37A7"/>
    <w:rsid w:val="0A2A7C4B"/>
    <w:rsid w:val="0A2B2319"/>
    <w:rsid w:val="0A2B3DFE"/>
    <w:rsid w:val="0A2B6666"/>
    <w:rsid w:val="0A2B706E"/>
    <w:rsid w:val="0A2C2030"/>
    <w:rsid w:val="0A2C30DD"/>
    <w:rsid w:val="0A2C39FD"/>
    <w:rsid w:val="0A2C4EEA"/>
    <w:rsid w:val="0A2C751F"/>
    <w:rsid w:val="0A2D14EA"/>
    <w:rsid w:val="0A2D3AC2"/>
    <w:rsid w:val="0A2D4C39"/>
    <w:rsid w:val="0A2E0C9A"/>
    <w:rsid w:val="0A2E773B"/>
    <w:rsid w:val="0A2F1F1E"/>
    <w:rsid w:val="0A2F2FA4"/>
    <w:rsid w:val="0A2F51A7"/>
    <w:rsid w:val="0A2F5262"/>
    <w:rsid w:val="0A2F7010"/>
    <w:rsid w:val="0A2F7013"/>
    <w:rsid w:val="0A304CFB"/>
    <w:rsid w:val="0A305430"/>
    <w:rsid w:val="0A3107DC"/>
    <w:rsid w:val="0A3132A2"/>
    <w:rsid w:val="0A31618B"/>
    <w:rsid w:val="0A3208AE"/>
    <w:rsid w:val="0A321310"/>
    <w:rsid w:val="0A321755"/>
    <w:rsid w:val="0A3221EC"/>
    <w:rsid w:val="0A326B00"/>
    <w:rsid w:val="0A334D52"/>
    <w:rsid w:val="0A337547"/>
    <w:rsid w:val="0A3418B9"/>
    <w:rsid w:val="0A343F87"/>
    <w:rsid w:val="0A344431"/>
    <w:rsid w:val="0A344626"/>
    <w:rsid w:val="0A351FDB"/>
    <w:rsid w:val="0A3539B4"/>
    <w:rsid w:val="0A36068A"/>
    <w:rsid w:val="0A36214C"/>
    <w:rsid w:val="0A364574"/>
    <w:rsid w:val="0A36564F"/>
    <w:rsid w:val="0A3665F0"/>
    <w:rsid w:val="0A36742C"/>
    <w:rsid w:val="0A371FFD"/>
    <w:rsid w:val="0A373C2B"/>
    <w:rsid w:val="0A375EC4"/>
    <w:rsid w:val="0A3817A7"/>
    <w:rsid w:val="0A381E1D"/>
    <w:rsid w:val="0A382113"/>
    <w:rsid w:val="0A382368"/>
    <w:rsid w:val="0A3879D0"/>
    <w:rsid w:val="0A39126B"/>
    <w:rsid w:val="0A3925A2"/>
    <w:rsid w:val="0A393EDA"/>
    <w:rsid w:val="0A393F55"/>
    <w:rsid w:val="0A395DAD"/>
    <w:rsid w:val="0A3960E0"/>
    <w:rsid w:val="0A396DF2"/>
    <w:rsid w:val="0A3970F7"/>
    <w:rsid w:val="0A3A1335"/>
    <w:rsid w:val="0A3A4AD2"/>
    <w:rsid w:val="0A3B00A3"/>
    <w:rsid w:val="0A3C2A5C"/>
    <w:rsid w:val="0A3C7603"/>
    <w:rsid w:val="0A3D172D"/>
    <w:rsid w:val="0A3D4525"/>
    <w:rsid w:val="0A3D4E0D"/>
    <w:rsid w:val="0A3D6BA8"/>
    <w:rsid w:val="0A3D763A"/>
    <w:rsid w:val="0A3D797F"/>
    <w:rsid w:val="0A3E3614"/>
    <w:rsid w:val="0A3E36F7"/>
    <w:rsid w:val="0A3E54A5"/>
    <w:rsid w:val="0A3E71CA"/>
    <w:rsid w:val="0A3E7253"/>
    <w:rsid w:val="0A3E765D"/>
    <w:rsid w:val="0A3F1256"/>
    <w:rsid w:val="0A3F2F48"/>
    <w:rsid w:val="0A3F3022"/>
    <w:rsid w:val="0A40121D"/>
    <w:rsid w:val="0A406156"/>
    <w:rsid w:val="0A407D67"/>
    <w:rsid w:val="0A410AF1"/>
    <w:rsid w:val="0A411157"/>
    <w:rsid w:val="0A41453F"/>
    <w:rsid w:val="0A415C80"/>
    <w:rsid w:val="0A424F95"/>
    <w:rsid w:val="0A42716C"/>
    <w:rsid w:val="0A430C7B"/>
    <w:rsid w:val="0A430D0D"/>
    <w:rsid w:val="0A432ABB"/>
    <w:rsid w:val="0A433171"/>
    <w:rsid w:val="0A434869"/>
    <w:rsid w:val="0A441A30"/>
    <w:rsid w:val="0A442EC0"/>
    <w:rsid w:val="0A444601"/>
    <w:rsid w:val="0A4455DC"/>
    <w:rsid w:val="0A456833"/>
    <w:rsid w:val="0A462647"/>
    <w:rsid w:val="0A463426"/>
    <w:rsid w:val="0A4670C0"/>
    <w:rsid w:val="0A4704C0"/>
    <w:rsid w:val="0A4725AB"/>
    <w:rsid w:val="0A474359"/>
    <w:rsid w:val="0A4776F9"/>
    <w:rsid w:val="0A4800D1"/>
    <w:rsid w:val="0A481E7F"/>
    <w:rsid w:val="0A4827C3"/>
    <w:rsid w:val="0A486323"/>
    <w:rsid w:val="0A486C00"/>
    <w:rsid w:val="0A491E19"/>
    <w:rsid w:val="0A4958A2"/>
    <w:rsid w:val="0A495A7A"/>
    <w:rsid w:val="0A4A209B"/>
    <w:rsid w:val="0A4A24A5"/>
    <w:rsid w:val="0A4A2A08"/>
    <w:rsid w:val="0A4A5BF8"/>
    <w:rsid w:val="0A4A77CE"/>
    <w:rsid w:val="0A4B01C2"/>
    <w:rsid w:val="0A4B2348"/>
    <w:rsid w:val="0A4C121A"/>
    <w:rsid w:val="0A4C1970"/>
    <w:rsid w:val="0A4C2D93"/>
    <w:rsid w:val="0A4C59D5"/>
    <w:rsid w:val="0A4C5E14"/>
    <w:rsid w:val="0A4C69F3"/>
    <w:rsid w:val="0A4C6BA8"/>
    <w:rsid w:val="0A4C7BC2"/>
    <w:rsid w:val="0A4E393A"/>
    <w:rsid w:val="0A4E5205"/>
    <w:rsid w:val="0A4E7F3A"/>
    <w:rsid w:val="0A4F0CDD"/>
    <w:rsid w:val="0A4F0EC5"/>
    <w:rsid w:val="0A4F1460"/>
    <w:rsid w:val="0A4F76B2"/>
    <w:rsid w:val="0A502F83"/>
    <w:rsid w:val="0A5129EC"/>
    <w:rsid w:val="0A51342A"/>
    <w:rsid w:val="0A514034"/>
    <w:rsid w:val="0A515775"/>
    <w:rsid w:val="0A516F86"/>
    <w:rsid w:val="0A51720D"/>
    <w:rsid w:val="0A5216BD"/>
    <w:rsid w:val="0A523115"/>
    <w:rsid w:val="0A530F50"/>
    <w:rsid w:val="0A531525"/>
    <w:rsid w:val="0A532090"/>
    <w:rsid w:val="0A5365AB"/>
    <w:rsid w:val="0A5371A2"/>
    <w:rsid w:val="0A541442"/>
    <w:rsid w:val="0A541F29"/>
    <w:rsid w:val="0A5440F6"/>
    <w:rsid w:val="0A544CC8"/>
    <w:rsid w:val="0A553E45"/>
    <w:rsid w:val="0A55610F"/>
    <w:rsid w:val="0A56459C"/>
    <w:rsid w:val="0A570314"/>
    <w:rsid w:val="0A5711E0"/>
    <w:rsid w:val="0A571E87"/>
    <w:rsid w:val="0A572C73"/>
    <w:rsid w:val="0A582389"/>
    <w:rsid w:val="0A5847B8"/>
    <w:rsid w:val="0A586566"/>
    <w:rsid w:val="0A590531"/>
    <w:rsid w:val="0A5922DF"/>
    <w:rsid w:val="0A5937FF"/>
    <w:rsid w:val="0A595397"/>
    <w:rsid w:val="0A5A0A3C"/>
    <w:rsid w:val="0A5A23DB"/>
    <w:rsid w:val="0A5B0624"/>
    <w:rsid w:val="0A5B068F"/>
    <w:rsid w:val="0A5B13F8"/>
    <w:rsid w:val="0A5B1BB3"/>
    <w:rsid w:val="0A5C2888"/>
    <w:rsid w:val="0A5C5276"/>
    <w:rsid w:val="0A5C5340"/>
    <w:rsid w:val="0A5C592B"/>
    <w:rsid w:val="0A5D08A7"/>
    <w:rsid w:val="0A5D1C48"/>
    <w:rsid w:val="0A5D1DCF"/>
    <w:rsid w:val="0A5E0911"/>
    <w:rsid w:val="0A5E34EE"/>
    <w:rsid w:val="0A5E3FE2"/>
    <w:rsid w:val="0A5E465B"/>
    <w:rsid w:val="0A5E4BA3"/>
    <w:rsid w:val="0A5E5103"/>
    <w:rsid w:val="0A5F1209"/>
    <w:rsid w:val="0A5F1739"/>
    <w:rsid w:val="0A5F2CF6"/>
    <w:rsid w:val="0A6007CC"/>
    <w:rsid w:val="0A60541B"/>
    <w:rsid w:val="0A60637E"/>
    <w:rsid w:val="0A6071C9"/>
    <w:rsid w:val="0A614188"/>
    <w:rsid w:val="0A61779D"/>
    <w:rsid w:val="0A620DEF"/>
    <w:rsid w:val="0A621193"/>
    <w:rsid w:val="0A622F41"/>
    <w:rsid w:val="0A6236F4"/>
    <w:rsid w:val="0A6266FA"/>
    <w:rsid w:val="0A6273E5"/>
    <w:rsid w:val="0A636449"/>
    <w:rsid w:val="0A640BE0"/>
    <w:rsid w:val="0A642F0E"/>
    <w:rsid w:val="0A643E02"/>
    <w:rsid w:val="0A64444D"/>
    <w:rsid w:val="0A646C4C"/>
    <w:rsid w:val="0A650C83"/>
    <w:rsid w:val="0A652A31"/>
    <w:rsid w:val="0A654D21"/>
    <w:rsid w:val="0A65507B"/>
    <w:rsid w:val="0A656EF9"/>
    <w:rsid w:val="0A66091F"/>
    <w:rsid w:val="0A66192D"/>
    <w:rsid w:val="0A661E34"/>
    <w:rsid w:val="0A6631B9"/>
    <w:rsid w:val="0A66650B"/>
    <w:rsid w:val="0A6674B4"/>
    <w:rsid w:val="0A670558"/>
    <w:rsid w:val="0A6749FB"/>
    <w:rsid w:val="0A680E0A"/>
    <w:rsid w:val="0A6820D9"/>
    <w:rsid w:val="0A682522"/>
    <w:rsid w:val="0A6830C3"/>
    <w:rsid w:val="0A6845A4"/>
    <w:rsid w:val="0A6856A9"/>
    <w:rsid w:val="0A693944"/>
    <w:rsid w:val="0A6973BB"/>
    <w:rsid w:val="0A697533"/>
    <w:rsid w:val="0A6A7694"/>
    <w:rsid w:val="0A6B2D01"/>
    <w:rsid w:val="0A6B60C7"/>
    <w:rsid w:val="0A6B77AC"/>
    <w:rsid w:val="0A6B789B"/>
    <w:rsid w:val="0A6C0264"/>
    <w:rsid w:val="0A6C3DC0"/>
    <w:rsid w:val="0A6C4885"/>
    <w:rsid w:val="0A6D18E6"/>
    <w:rsid w:val="0A6D1B05"/>
    <w:rsid w:val="0A6D380D"/>
    <w:rsid w:val="0A6D78F2"/>
    <w:rsid w:val="0A6E42ED"/>
    <w:rsid w:val="0A6F3849"/>
    <w:rsid w:val="0A6F38B0"/>
    <w:rsid w:val="0A6F4E6E"/>
    <w:rsid w:val="0A6F565E"/>
    <w:rsid w:val="0A700A4D"/>
    <w:rsid w:val="0A70218E"/>
    <w:rsid w:val="0A702448"/>
    <w:rsid w:val="0A7113D6"/>
    <w:rsid w:val="0A71361E"/>
    <w:rsid w:val="0A714D49"/>
    <w:rsid w:val="0A717628"/>
    <w:rsid w:val="0A724014"/>
    <w:rsid w:val="0A724AAE"/>
    <w:rsid w:val="0A726D1B"/>
    <w:rsid w:val="0A726EFC"/>
    <w:rsid w:val="0A7315F2"/>
    <w:rsid w:val="0A732C48"/>
    <w:rsid w:val="0A7333A0"/>
    <w:rsid w:val="0A735F3E"/>
    <w:rsid w:val="0A740EC6"/>
    <w:rsid w:val="0A742AB5"/>
    <w:rsid w:val="0A742C74"/>
    <w:rsid w:val="0A742E4D"/>
    <w:rsid w:val="0A7443A8"/>
    <w:rsid w:val="0A747118"/>
    <w:rsid w:val="0A7521C0"/>
    <w:rsid w:val="0A752203"/>
    <w:rsid w:val="0A755F37"/>
    <w:rsid w:val="0A7606D5"/>
    <w:rsid w:val="0A764C3F"/>
    <w:rsid w:val="0A7669ED"/>
    <w:rsid w:val="0A767E23"/>
    <w:rsid w:val="0A7763C7"/>
    <w:rsid w:val="0A7768F0"/>
    <w:rsid w:val="0A7809B7"/>
    <w:rsid w:val="0A781CD4"/>
    <w:rsid w:val="0A782765"/>
    <w:rsid w:val="0A783920"/>
    <w:rsid w:val="0A783CAE"/>
    <w:rsid w:val="0A7853DD"/>
    <w:rsid w:val="0A785E41"/>
    <w:rsid w:val="0A786C09"/>
    <w:rsid w:val="0A79028B"/>
    <w:rsid w:val="0A794039"/>
    <w:rsid w:val="0A79472F"/>
    <w:rsid w:val="0A794981"/>
    <w:rsid w:val="0A7964DD"/>
    <w:rsid w:val="0A7B04A7"/>
    <w:rsid w:val="0A7B2255"/>
    <w:rsid w:val="0A7B4003"/>
    <w:rsid w:val="0A7D56F8"/>
    <w:rsid w:val="0A7D5FCD"/>
    <w:rsid w:val="0A7D7C1B"/>
    <w:rsid w:val="0A7D7D7B"/>
    <w:rsid w:val="0A7E3AF3"/>
    <w:rsid w:val="0A7E5533"/>
    <w:rsid w:val="0A7E5BEA"/>
    <w:rsid w:val="0A7E6B2F"/>
    <w:rsid w:val="0A7E6B88"/>
    <w:rsid w:val="0A7F7D64"/>
    <w:rsid w:val="0A801619"/>
    <w:rsid w:val="0A804062"/>
    <w:rsid w:val="0A804AB4"/>
    <w:rsid w:val="0A8057FC"/>
    <w:rsid w:val="0A805ABD"/>
    <w:rsid w:val="0A805D9F"/>
    <w:rsid w:val="0A806065"/>
    <w:rsid w:val="0A806DC0"/>
    <w:rsid w:val="0A80786B"/>
    <w:rsid w:val="0A8123E6"/>
    <w:rsid w:val="0A814803"/>
    <w:rsid w:val="0A820C71"/>
    <w:rsid w:val="0A821835"/>
    <w:rsid w:val="0A8235E3"/>
    <w:rsid w:val="0A825391"/>
    <w:rsid w:val="0A830604"/>
    <w:rsid w:val="0A83216D"/>
    <w:rsid w:val="0A8378CD"/>
    <w:rsid w:val="0A843BFB"/>
    <w:rsid w:val="0A84735B"/>
    <w:rsid w:val="0A851326"/>
    <w:rsid w:val="0A852D4F"/>
    <w:rsid w:val="0A854E82"/>
    <w:rsid w:val="0A856C30"/>
    <w:rsid w:val="0A860291"/>
    <w:rsid w:val="0A861CE5"/>
    <w:rsid w:val="0A863464"/>
    <w:rsid w:val="0A8643B4"/>
    <w:rsid w:val="0A866519"/>
    <w:rsid w:val="0A87117B"/>
    <w:rsid w:val="0A871661"/>
    <w:rsid w:val="0A8729A8"/>
    <w:rsid w:val="0A873492"/>
    <w:rsid w:val="0A874082"/>
    <w:rsid w:val="0A8756A0"/>
    <w:rsid w:val="0A87743C"/>
    <w:rsid w:val="0A8821B2"/>
    <w:rsid w:val="0A8861FB"/>
    <w:rsid w:val="0A886CD4"/>
    <w:rsid w:val="0A887D53"/>
    <w:rsid w:val="0A8912C4"/>
    <w:rsid w:val="0A891319"/>
    <w:rsid w:val="0A892BC4"/>
    <w:rsid w:val="0A892F45"/>
    <w:rsid w:val="0A894972"/>
    <w:rsid w:val="0A8A06EA"/>
    <w:rsid w:val="0A8A4C6E"/>
    <w:rsid w:val="0A8B278B"/>
    <w:rsid w:val="0A8B6700"/>
    <w:rsid w:val="0A8C06B2"/>
    <w:rsid w:val="0A8C0D82"/>
    <w:rsid w:val="0A8C1B57"/>
    <w:rsid w:val="0A8C251E"/>
    <w:rsid w:val="0A8C4462"/>
    <w:rsid w:val="0A8C6210"/>
    <w:rsid w:val="0A8C6550"/>
    <w:rsid w:val="0A8C7CD5"/>
    <w:rsid w:val="0A8C7FBE"/>
    <w:rsid w:val="0A8D0DE5"/>
    <w:rsid w:val="0A8D16B6"/>
    <w:rsid w:val="0A8E01DA"/>
    <w:rsid w:val="0A8E4F02"/>
    <w:rsid w:val="0A8F3188"/>
    <w:rsid w:val="0A8F57AD"/>
    <w:rsid w:val="0A8F5D00"/>
    <w:rsid w:val="0A8F6BA7"/>
    <w:rsid w:val="0A8F7AAE"/>
    <w:rsid w:val="0A9002DC"/>
    <w:rsid w:val="0A900AAE"/>
    <w:rsid w:val="0A904518"/>
    <w:rsid w:val="0A905466"/>
    <w:rsid w:val="0A905DA4"/>
    <w:rsid w:val="0A9114C7"/>
    <w:rsid w:val="0A911A78"/>
    <w:rsid w:val="0A912696"/>
    <w:rsid w:val="0A92134D"/>
    <w:rsid w:val="0A925106"/>
    <w:rsid w:val="0A931491"/>
    <w:rsid w:val="0A9357F1"/>
    <w:rsid w:val="0A937CB8"/>
    <w:rsid w:val="0A943317"/>
    <w:rsid w:val="0A944798"/>
    <w:rsid w:val="0A94547F"/>
    <w:rsid w:val="0A9458FA"/>
    <w:rsid w:val="0A945A90"/>
    <w:rsid w:val="0A9469B8"/>
    <w:rsid w:val="0A947E48"/>
    <w:rsid w:val="0A95014E"/>
    <w:rsid w:val="0A9512D8"/>
    <w:rsid w:val="0A951569"/>
    <w:rsid w:val="0A951956"/>
    <w:rsid w:val="0A960E3D"/>
    <w:rsid w:val="0A9652E1"/>
    <w:rsid w:val="0A9757F0"/>
    <w:rsid w:val="0A976EEC"/>
    <w:rsid w:val="0A977F0A"/>
    <w:rsid w:val="0A980873"/>
    <w:rsid w:val="0A981059"/>
    <w:rsid w:val="0A982E07"/>
    <w:rsid w:val="0A98344B"/>
    <w:rsid w:val="0A984BB5"/>
    <w:rsid w:val="0A9926DB"/>
    <w:rsid w:val="0A9944A6"/>
    <w:rsid w:val="0A9A310D"/>
    <w:rsid w:val="0A9A3CBA"/>
    <w:rsid w:val="0A9A6B7F"/>
    <w:rsid w:val="0A9B11D0"/>
    <w:rsid w:val="0A9B28F7"/>
    <w:rsid w:val="0A9B4519"/>
    <w:rsid w:val="0A9B46A5"/>
    <w:rsid w:val="0A9B63D7"/>
    <w:rsid w:val="0A9B6453"/>
    <w:rsid w:val="0A9B688B"/>
    <w:rsid w:val="0A9C33FA"/>
    <w:rsid w:val="0A9C417E"/>
    <w:rsid w:val="0A9C43C0"/>
    <w:rsid w:val="0A9C7D1B"/>
    <w:rsid w:val="0A9D041D"/>
    <w:rsid w:val="0A9D11AB"/>
    <w:rsid w:val="0A9D1518"/>
    <w:rsid w:val="0A9D1B21"/>
    <w:rsid w:val="0A9D35AA"/>
    <w:rsid w:val="0A9D690D"/>
    <w:rsid w:val="0A9E2F88"/>
    <w:rsid w:val="0A9E520C"/>
    <w:rsid w:val="0A9E590F"/>
    <w:rsid w:val="0A9E5F43"/>
    <w:rsid w:val="0A9F23E7"/>
    <w:rsid w:val="0A9F3ACB"/>
    <w:rsid w:val="0A9F4195"/>
    <w:rsid w:val="0A9F64A0"/>
    <w:rsid w:val="0A9F669C"/>
    <w:rsid w:val="0A9F7FA8"/>
    <w:rsid w:val="0AA01CBB"/>
    <w:rsid w:val="0AA03A6A"/>
    <w:rsid w:val="0AA07B2C"/>
    <w:rsid w:val="0AA07F45"/>
    <w:rsid w:val="0AA2244C"/>
    <w:rsid w:val="0AA23C86"/>
    <w:rsid w:val="0AA25A34"/>
    <w:rsid w:val="0AA277E2"/>
    <w:rsid w:val="0AA3355A"/>
    <w:rsid w:val="0AA338DC"/>
    <w:rsid w:val="0AA34612"/>
    <w:rsid w:val="0AA3501D"/>
    <w:rsid w:val="0AA36030"/>
    <w:rsid w:val="0AA367F5"/>
    <w:rsid w:val="0AA417AC"/>
    <w:rsid w:val="0AA41E47"/>
    <w:rsid w:val="0AA41F26"/>
    <w:rsid w:val="0AA43DE9"/>
    <w:rsid w:val="0AA51080"/>
    <w:rsid w:val="0AA53C90"/>
    <w:rsid w:val="0AA54CCA"/>
    <w:rsid w:val="0AA54F8B"/>
    <w:rsid w:val="0AA55524"/>
    <w:rsid w:val="0AA5556F"/>
    <w:rsid w:val="0AA572D2"/>
    <w:rsid w:val="0AA6135A"/>
    <w:rsid w:val="0AA7304A"/>
    <w:rsid w:val="0AA74C7A"/>
    <w:rsid w:val="0AA755DF"/>
    <w:rsid w:val="0AA862BE"/>
    <w:rsid w:val="0AA94190"/>
    <w:rsid w:val="0AA95014"/>
    <w:rsid w:val="0AAA1193"/>
    <w:rsid w:val="0AAA230C"/>
    <w:rsid w:val="0AAA2B3A"/>
    <w:rsid w:val="0AAA37AF"/>
    <w:rsid w:val="0AAA48E8"/>
    <w:rsid w:val="0AAB0ADE"/>
    <w:rsid w:val="0AAB0D8C"/>
    <w:rsid w:val="0AAB15B0"/>
    <w:rsid w:val="0AAB206E"/>
    <w:rsid w:val="0AAB4C3F"/>
    <w:rsid w:val="0AAC0660"/>
    <w:rsid w:val="0AAC38DD"/>
    <w:rsid w:val="0AAC60CF"/>
    <w:rsid w:val="0AAC68B2"/>
    <w:rsid w:val="0AAD5F33"/>
    <w:rsid w:val="0AAD62EC"/>
    <w:rsid w:val="0AAD755F"/>
    <w:rsid w:val="0AAE0A6F"/>
    <w:rsid w:val="0AAE0CA9"/>
    <w:rsid w:val="0AAE2130"/>
    <w:rsid w:val="0AAE35C0"/>
    <w:rsid w:val="0AAE43D8"/>
    <w:rsid w:val="0AAE5A3B"/>
    <w:rsid w:val="0AAF006A"/>
    <w:rsid w:val="0AAF1EFF"/>
    <w:rsid w:val="0AAF60C7"/>
    <w:rsid w:val="0AAF6C91"/>
    <w:rsid w:val="0AB063A2"/>
    <w:rsid w:val="0AB1211B"/>
    <w:rsid w:val="0AB13EC9"/>
    <w:rsid w:val="0AB15C77"/>
    <w:rsid w:val="0AB16078"/>
    <w:rsid w:val="0AB17370"/>
    <w:rsid w:val="0AB17A25"/>
    <w:rsid w:val="0AB21F41"/>
    <w:rsid w:val="0AB22BE8"/>
    <w:rsid w:val="0AB241FB"/>
    <w:rsid w:val="0AB24B18"/>
    <w:rsid w:val="0AB25825"/>
    <w:rsid w:val="0AB30097"/>
    <w:rsid w:val="0AB333D1"/>
    <w:rsid w:val="0AB3623A"/>
    <w:rsid w:val="0AB37262"/>
    <w:rsid w:val="0AB37C41"/>
    <w:rsid w:val="0AB4389F"/>
    <w:rsid w:val="0AB47515"/>
    <w:rsid w:val="0AB508C2"/>
    <w:rsid w:val="0AB54ED4"/>
    <w:rsid w:val="0AB5526B"/>
    <w:rsid w:val="0AB558E5"/>
    <w:rsid w:val="0AB55CF1"/>
    <w:rsid w:val="0AB56615"/>
    <w:rsid w:val="0AB6006C"/>
    <w:rsid w:val="0AB614DF"/>
    <w:rsid w:val="0AB61D52"/>
    <w:rsid w:val="0AB628C0"/>
    <w:rsid w:val="0AB6328D"/>
    <w:rsid w:val="0AB80DB3"/>
    <w:rsid w:val="0AB84672"/>
    <w:rsid w:val="0AB85257"/>
    <w:rsid w:val="0AB8629F"/>
    <w:rsid w:val="0AB87005"/>
    <w:rsid w:val="0AB877AA"/>
    <w:rsid w:val="0AB879D1"/>
    <w:rsid w:val="0AB90398"/>
    <w:rsid w:val="0AB9125A"/>
    <w:rsid w:val="0AB93494"/>
    <w:rsid w:val="0AB94B2B"/>
    <w:rsid w:val="0AB97243"/>
    <w:rsid w:val="0ABA0FCF"/>
    <w:rsid w:val="0ABA1650"/>
    <w:rsid w:val="0ABA1B63"/>
    <w:rsid w:val="0ABA2D7D"/>
    <w:rsid w:val="0ABB3050"/>
    <w:rsid w:val="0ABB4230"/>
    <w:rsid w:val="0ABB4734"/>
    <w:rsid w:val="0ABB4D47"/>
    <w:rsid w:val="0ABB6AF5"/>
    <w:rsid w:val="0ABB76FA"/>
    <w:rsid w:val="0ABC5BC4"/>
    <w:rsid w:val="0ABD0ABF"/>
    <w:rsid w:val="0ABD1C25"/>
    <w:rsid w:val="0ABD7054"/>
    <w:rsid w:val="0ABE38E8"/>
    <w:rsid w:val="0ABF1E26"/>
    <w:rsid w:val="0ABF2D2D"/>
    <w:rsid w:val="0ABF6200"/>
    <w:rsid w:val="0ABF65E6"/>
    <w:rsid w:val="0AC0235E"/>
    <w:rsid w:val="0AC0410C"/>
    <w:rsid w:val="0AC059D5"/>
    <w:rsid w:val="0AC075CB"/>
    <w:rsid w:val="0AC10861"/>
    <w:rsid w:val="0AC116DB"/>
    <w:rsid w:val="0AC11E73"/>
    <w:rsid w:val="0AC15134"/>
    <w:rsid w:val="0AC202F5"/>
    <w:rsid w:val="0AC21C32"/>
    <w:rsid w:val="0AC26120"/>
    <w:rsid w:val="0AC27E84"/>
    <w:rsid w:val="0AC3259C"/>
    <w:rsid w:val="0AC354EC"/>
    <w:rsid w:val="0AC41565"/>
    <w:rsid w:val="0AC41E4E"/>
    <w:rsid w:val="0AC43128"/>
    <w:rsid w:val="0AC43BFC"/>
    <w:rsid w:val="0AC459AA"/>
    <w:rsid w:val="0AC4712D"/>
    <w:rsid w:val="0AC51722"/>
    <w:rsid w:val="0AC534D0"/>
    <w:rsid w:val="0AC57974"/>
    <w:rsid w:val="0AC719CC"/>
    <w:rsid w:val="0AC736EC"/>
    <w:rsid w:val="0AC750BE"/>
    <w:rsid w:val="0AC7549A"/>
    <w:rsid w:val="0AC77248"/>
    <w:rsid w:val="0AC83EF6"/>
    <w:rsid w:val="0AC901C8"/>
    <w:rsid w:val="0AC91212"/>
    <w:rsid w:val="0AC955F7"/>
    <w:rsid w:val="0AC96805"/>
    <w:rsid w:val="0ACA0AE6"/>
    <w:rsid w:val="0ACA54EB"/>
    <w:rsid w:val="0ACA6D38"/>
    <w:rsid w:val="0ACB1B7B"/>
    <w:rsid w:val="0ACB31DC"/>
    <w:rsid w:val="0ACB4229"/>
    <w:rsid w:val="0ACC0D02"/>
    <w:rsid w:val="0ACC13CC"/>
    <w:rsid w:val="0ACC36F0"/>
    <w:rsid w:val="0ACC485F"/>
    <w:rsid w:val="0ACC56B9"/>
    <w:rsid w:val="0ACD6B49"/>
    <w:rsid w:val="0ACE05D7"/>
    <w:rsid w:val="0ACE2BAA"/>
    <w:rsid w:val="0ACE4A7B"/>
    <w:rsid w:val="0ACE50A7"/>
    <w:rsid w:val="0ACE7FD9"/>
    <w:rsid w:val="0ACF3DEB"/>
    <w:rsid w:val="0ACF434F"/>
    <w:rsid w:val="0ACF5DBC"/>
    <w:rsid w:val="0AD00A70"/>
    <w:rsid w:val="0AD017FF"/>
    <w:rsid w:val="0AD028F9"/>
    <w:rsid w:val="0AD056F1"/>
    <w:rsid w:val="0AD05E05"/>
    <w:rsid w:val="0AD075AC"/>
    <w:rsid w:val="0AD11E75"/>
    <w:rsid w:val="0AD16319"/>
    <w:rsid w:val="0AD16459"/>
    <w:rsid w:val="0AD1695A"/>
    <w:rsid w:val="0AD26792"/>
    <w:rsid w:val="0AD308D0"/>
    <w:rsid w:val="0AD32091"/>
    <w:rsid w:val="0AD329BB"/>
    <w:rsid w:val="0AD338C2"/>
    <w:rsid w:val="0AD33E3F"/>
    <w:rsid w:val="0AD35BED"/>
    <w:rsid w:val="0AD41965"/>
    <w:rsid w:val="0AD43E4B"/>
    <w:rsid w:val="0AD57106"/>
    <w:rsid w:val="0AD57BB7"/>
    <w:rsid w:val="0AD61B81"/>
    <w:rsid w:val="0AD63721"/>
    <w:rsid w:val="0AD6392F"/>
    <w:rsid w:val="0AD63E0F"/>
    <w:rsid w:val="0AD6666C"/>
    <w:rsid w:val="0AD66FDA"/>
    <w:rsid w:val="0AD677E0"/>
    <w:rsid w:val="0AD72347"/>
    <w:rsid w:val="0AD738DA"/>
    <w:rsid w:val="0AD82A02"/>
    <w:rsid w:val="0AD83C5C"/>
    <w:rsid w:val="0AD8682D"/>
    <w:rsid w:val="0AD87630"/>
    <w:rsid w:val="0AD876A7"/>
    <w:rsid w:val="0AD950EC"/>
    <w:rsid w:val="0AD9736B"/>
    <w:rsid w:val="0AD97CBD"/>
    <w:rsid w:val="0ADA51CD"/>
    <w:rsid w:val="0ADA5CE5"/>
    <w:rsid w:val="0ADB0F46"/>
    <w:rsid w:val="0ADB2CC0"/>
    <w:rsid w:val="0ADB2CF4"/>
    <w:rsid w:val="0ADB5CDD"/>
    <w:rsid w:val="0ADC15E0"/>
    <w:rsid w:val="0ADC3A6D"/>
    <w:rsid w:val="0ADC7CC1"/>
    <w:rsid w:val="0ADD081A"/>
    <w:rsid w:val="0ADD3BCE"/>
    <w:rsid w:val="0ADD3D56"/>
    <w:rsid w:val="0ADD4CBE"/>
    <w:rsid w:val="0ADD5DCA"/>
    <w:rsid w:val="0ADD663E"/>
    <w:rsid w:val="0ADE267D"/>
    <w:rsid w:val="0ADE7F42"/>
    <w:rsid w:val="0ADF2D60"/>
    <w:rsid w:val="0ADF4EB4"/>
    <w:rsid w:val="0AE0030A"/>
    <w:rsid w:val="0AE023EE"/>
    <w:rsid w:val="0AE04074"/>
    <w:rsid w:val="0AE0655C"/>
    <w:rsid w:val="0AE11131"/>
    <w:rsid w:val="0AE132BD"/>
    <w:rsid w:val="0AE1364E"/>
    <w:rsid w:val="0AE22448"/>
    <w:rsid w:val="0AE22565"/>
    <w:rsid w:val="0AE24082"/>
    <w:rsid w:val="0AE262D7"/>
    <w:rsid w:val="0AE2666B"/>
    <w:rsid w:val="0AE328FB"/>
    <w:rsid w:val="0AE35012"/>
    <w:rsid w:val="0AE41E68"/>
    <w:rsid w:val="0AE47DFA"/>
    <w:rsid w:val="0AE55920"/>
    <w:rsid w:val="0AE56260"/>
    <w:rsid w:val="0AE565E1"/>
    <w:rsid w:val="0AE61DC4"/>
    <w:rsid w:val="0AE628DC"/>
    <w:rsid w:val="0AE62CEC"/>
    <w:rsid w:val="0AE63DFD"/>
    <w:rsid w:val="0AE722C1"/>
    <w:rsid w:val="0AE75B3C"/>
    <w:rsid w:val="0AE778EA"/>
    <w:rsid w:val="0AE81C3F"/>
    <w:rsid w:val="0AE836F0"/>
    <w:rsid w:val="0AE83751"/>
    <w:rsid w:val="0AE857B7"/>
    <w:rsid w:val="0AE909AB"/>
    <w:rsid w:val="0AE9282D"/>
    <w:rsid w:val="0AE93662"/>
    <w:rsid w:val="0AE941D3"/>
    <w:rsid w:val="0AE95411"/>
    <w:rsid w:val="0AE977B2"/>
    <w:rsid w:val="0AEA0C42"/>
    <w:rsid w:val="0AEA0FA2"/>
    <w:rsid w:val="0AEA1189"/>
    <w:rsid w:val="0AEA2BB6"/>
    <w:rsid w:val="0AEA2F37"/>
    <w:rsid w:val="0AEA483C"/>
    <w:rsid w:val="0AEB27C0"/>
    <w:rsid w:val="0AEB73DB"/>
    <w:rsid w:val="0AEB7501"/>
    <w:rsid w:val="0AEC3153"/>
    <w:rsid w:val="0AEC4F01"/>
    <w:rsid w:val="0AEC5E05"/>
    <w:rsid w:val="0AEC6CAF"/>
    <w:rsid w:val="0AED2C0D"/>
    <w:rsid w:val="0AED32A5"/>
    <w:rsid w:val="0AEE2A27"/>
    <w:rsid w:val="0AEE42FF"/>
    <w:rsid w:val="0AEE56A8"/>
    <w:rsid w:val="0AEE6486"/>
    <w:rsid w:val="0AEE6ECB"/>
    <w:rsid w:val="0AEF0200"/>
    <w:rsid w:val="0AEF4C47"/>
    <w:rsid w:val="0AEF704F"/>
    <w:rsid w:val="0AEF79BA"/>
    <w:rsid w:val="0AF049F1"/>
    <w:rsid w:val="0AF04AB4"/>
    <w:rsid w:val="0AF10769"/>
    <w:rsid w:val="0AF12517"/>
    <w:rsid w:val="0AF142C5"/>
    <w:rsid w:val="0AF15F44"/>
    <w:rsid w:val="0AF15F48"/>
    <w:rsid w:val="0AF273D4"/>
    <w:rsid w:val="0AF344E1"/>
    <w:rsid w:val="0AF3553F"/>
    <w:rsid w:val="0AF36B35"/>
    <w:rsid w:val="0AF470A5"/>
    <w:rsid w:val="0AF52007"/>
    <w:rsid w:val="0AF53184"/>
    <w:rsid w:val="0AF53DB5"/>
    <w:rsid w:val="0AF56E26"/>
    <w:rsid w:val="0AF618DB"/>
    <w:rsid w:val="0AF67531"/>
    <w:rsid w:val="0AF70675"/>
    <w:rsid w:val="0AF72964"/>
    <w:rsid w:val="0AF772B1"/>
    <w:rsid w:val="0AF80F72"/>
    <w:rsid w:val="0AF838A6"/>
    <w:rsid w:val="0AF85654"/>
    <w:rsid w:val="0AF86516"/>
    <w:rsid w:val="0AFA0330"/>
    <w:rsid w:val="0AFA0737"/>
    <w:rsid w:val="0AFA1623"/>
    <w:rsid w:val="0AFA5870"/>
    <w:rsid w:val="0AFA761E"/>
    <w:rsid w:val="0AFB1BC7"/>
    <w:rsid w:val="0AFB5144"/>
    <w:rsid w:val="0AFB6FF6"/>
    <w:rsid w:val="0AFD0EBC"/>
    <w:rsid w:val="0AFD2C6A"/>
    <w:rsid w:val="0AFD44E7"/>
    <w:rsid w:val="0AFD59B8"/>
    <w:rsid w:val="0AFD710E"/>
    <w:rsid w:val="0AFE107C"/>
    <w:rsid w:val="0AFE3617"/>
    <w:rsid w:val="0AFE4838"/>
    <w:rsid w:val="0AFE5977"/>
    <w:rsid w:val="0AFE70B8"/>
    <w:rsid w:val="0AFE74FA"/>
    <w:rsid w:val="0AFF2E86"/>
    <w:rsid w:val="0AFF3057"/>
    <w:rsid w:val="0AFF5B2E"/>
    <w:rsid w:val="0AFF69E2"/>
    <w:rsid w:val="0B000580"/>
    <w:rsid w:val="0B0009AC"/>
    <w:rsid w:val="0B00175E"/>
    <w:rsid w:val="0B0031E4"/>
    <w:rsid w:val="0B0064EC"/>
    <w:rsid w:val="0B010AD1"/>
    <w:rsid w:val="0B016BFE"/>
    <w:rsid w:val="0B0264D2"/>
    <w:rsid w:val="0B02681E"/>
    <w:rsid w:val="0B026EC9"/>
    <w:rsid w:val="0B0345F4"/>
    <w:rsid w:val="0B04049C"/>
    <w:rsid w:val="0B0417E9"/>
    <w:rsid w:val="0B0432BC"/>
    <w:rsid w:val="0B043FF8"/>
    <w:rsid w:val="0B051AF1"/>
    <w:rsid w:val="0B052C79"/>
    <w:rsid w:val="0B057D70"/>
    <w:rsid w:val="0B064109"/>
    <w:rsid w:val="0B064214"/>
    <w:rsid w:val="0B064FC4"/>
    <w:rsid w:val="0B065FC2"/>
    <w:rsid w:val="0B0679B3"/>
    <w:rsid w:val="0B07016A"/>
    <w:rsid w:val="0B073AE9"/>
    <w:rsid w:val="0B0771F0"/>
    <w:rsid w:val="0B077AF2"/>
    <w:rsid w:val="0B08250A"/>
    <w:rsid w:val="0B090DAA"/>
    <w:rsid w:val="0B09160F"/>
    <w:rsid w:val="0B092F65"/>
    <w:rsid w:val="0B097861"/>
    <w:rsid w:val="0B0A41ED"/>
    <w:rsid w:val="0B0A5387"/>
    <w:rsid w:val="0B0B182B"/>
    <w:rsid w:val="0B0B35D9"/>
    <w:rsid w:val="0B0B4F80"/>
    <w:rsid w:val="0B0B7F7B"/>
    <w:rsid w:val="0B0C10FF"/>
    <w:rsid w:val="0B0C3336"/>
    <w:rsid w:val="0B0C55A3"/>
    <w:rsid w:val="0B0C7351"/>
    <w:rsid w:val="0B0D03DA"/>
    <w:rsid w:val="0B0D458A"/>
    <w:rsid w:val="0B0D5E93"/>
    <w:rsid w:val="0B0E30C9"/>
    <w:rsid w:val="0B0E3B00"/>
    <w:rsid w:val="0B0E4E77"/>
    <w:rsid w:val="0B0F07E3"/>
    <w:rsid w:val="0B0F14CD"/>
    <w:rsid w:val="0B0F40BE"/>
    <w:rsid w:val="0B0F4ED0"/>
    <w:rsid w:val="0B0F5795"/>
    <w:rsid w:val="0B0F7D5D"/>
    <w:rsid w:val="0B1004C6"/>
    <w:rsid w:val="0B100BEF"/>
    <w:rsid w:val="0B1054C7"/>
    <w:rsid w:val="0B105855"/>
    <w:rsid w:val="0B107D8C"/>
    <w:rsid w:val="0B1102C2"/>
    <w:rsid w:val="0B11052F"/>
    <w:rsid w:val="0B114967"/>
    <w:rsid w:val="0B116715"/>
    <w:rsid w:val="0B11754D"/>
    <w:rsid w:val="0B117E42"/>
    <w:rsid w:val="0B120D44"/>
    <w:rsid w:val="0B1229A8"/>
    <w:rsid w:val="0B124BEF"/>
    <w:rsid w:val="0B125051"/>
    <w:rsid w:val="0B1306DF"/>
    <w:rsid w:val="0B13465D"/>
    <w:rsid w:val="0B136931"/>
    <w:rsid w:val="0B137610"/>
    <w:rsid w:val="0B137E4E"/>
    <w:rsid w:val="0B143F00"/>
    <w:rsid w:val="0B1510EE"/>
    <w:rsid w:val="0B152302"/>
    <w:rsid w:val="0B1526A9"/>
    <w:rsid w:val="0B1528F9"/>
    <w:rsid w:val="0B154457"/>
    <w:rsid w:val="0B157C23"/>
    <w:rsid w:val="0B161F7E"/>
    <w:rsid w:val="0B162841"/>
    <w:rsid w:val="0B163D2C"/>
    <w:rsid w:val="0B164DF8"/>
    <w:rsid w:val="0B166BF4"/>
    <w:rsid w:val="0B17651E"/>
    <w:rsid w:val="0B181EC4"/>
    <w:rsid w:val="0B182353"/>
    <w:rsid w:val="0B183F48"/>
    <w:rsid w:val="0B185CF6"/>
    <w:rsid w:val="0B193834"/>
    <w:rsid w:val="0B194F54"/>
    <w:rsid w:val="0B1A4A92"/>
    <w:rsid w:val="0B1A6AC6"/>
    <w:rsid w:val="0B1A7CC0"/>
    <w:rsid w:val="0B1B1342"/>
    <w:rsid w:val="0B1B291A"/>
    <w:rsid w:val="0B1B6166"/>
    <w:rsid w:val="0B1C2641"/>
    <w:rsid w:val="0B1C2D70"/>
    <w:rsid w:val="0B1C3A38"/>
    <w:rsid w:val="0B1C57E6"/>
    <w:rsid w:val="0B1D0C17"/>
    <w:rsid w:val="0B1D50BA"/>
    <w:rsid w:val="0B1E3054"/>
    <w:rsid w:val="0B1E33D5"/>
    <w:rsid w:val="0B1E4F61"/>
    <w:rsid w:val="0B1F0D10"/>
    <w:rsid w:val="0B1F0E32"/>
    <w:rsid w:val="0B1F0FC2"/>
    <w:rsid w:val="0B1F52D6"/>
    <w:rsid w:val="0B1F63F1"/>
    <w:rsid w:val="0B203064"/>
    <w:rsid w:val="0B2121A1"/>
    <w:rsid w:val="0B21438C"/>
    <w:rsid w:val="0B2203A1"/>
    <w:rsid w:val="0B220922"/>
    <w:rsid w:val="0B2226D0"/>
    <w:rsid w:val="0B22323D"/>
    <w:rsid w:val="0B224A6C"/>
    <w:rsid w:val="0B224D72"/>
    <w:rsid w:val="0B224DC6"/>
    <w:rsid w:val="0B225850"/>
    <w:rsid w:val="0B225FBF"/>
    <w:rsid w:val="0B2265AA"/>
    <w:rsid w:val="0B23242E"/>
    <w:rsid w:val="0B242263"/>
    <w:rsid w:val="0B2428ED"/>
    <w:rsid w:val="0B244921"/>
    <w:rsid w:val="0B245204"/>
    <w:rsid w:val="0B246449"/>
    <w:rsid w:val="0B247692"/>
    <w:rsid w:val="0B260413"/>
    <w:rsid w:val="0B2621C1"/>
    <w:rsid w:val="0B262672"/>
    <w:rsid w:val="0B264B83"/>
    <w:rsid w:val="0B270EE2"/>
    <w:rsid w:val="0B277754"/>
    <w:rsid w:val="0B2823DD"/>
    <w:rsid w:val="0B28286B"/>
    <w:rsid w:val="0B2874A3"/>
    <w:rsid w:val="0B291CB1"/>
    <w:rsid w:val="0B293A5F"/>
    <w:rsid w:val="0B297284"/>
    <w:rsid w:val="0B2A4AEB"/>
    <w:rsid w:val="0B2A60D5"/>
    <w:rsid w:val="0B2B2643"/>
    <w:rsid w:val="0B2B3C7B"/>
    <w:rsid w:val="0B2B7565"/>
    <w:rsid w:val="0B2B77D7"/>
    <w:rsid w:val="0B2C09F5"/>
    <w:rsid w:val="0B2C16D8"/>
    <w:rsid w:val="0B2C354F"/>
    <w:rsid w:val="0B2C5E24"/>
    <w:rsid w:val="0B2C62D0"/>
    <w:rsid w:val="0B2D1E85"/>
    <w:rsid w:val="0B2D28C6"/>
    <w:rsid w:val="0B2E376B"/>
    <w:rsid w:val="0B2E72C7"/>
    <w:rsid w:val="0B2E7A07"/>
    <w:rsid w:val="0B30303F"/>
    <w:rsid w:val="0B304DED"/>
    <w:rsid w:val="0B305469"/>
    <w:rsid w:val="0B307E3F"/>
    <w:rsid w:val="0B3103BC"/>
    <w:rsid w:val="0B3107E1"/>
    <w:rsid w:val="0B311452"/>
    <w:rsid w:val="0B311C96"/>
    <w:rsid w:val="0B315206"/>
    <w:rsid w:val="0B315F59"/>
    <w:rsid w:val="0B316DB7"/>
    <w:rsid w:val="0B322AD2"/>
    <w:rsid w:val="0B323126"/>
    <w:rsid w:val="0B332B30"/>
    <w:rsid w:val="0B333457"/>
    <w:rsid w:val="0B33590C"/>
    <w:rsid w:val="0B341D58"/>
    <w:rsid w:val="0B346E0F"/>
    <w:rsid w:val="0B350617"/>
    <w:rsid w:val="0B3513F6"/>
    <w:rsid w:val="0B35679C"/>
    <w:rsid w:val="0B3568A8"/>
    <w:rsid w:val="0B361AA6"/>
    <w:rsid w:val="0B364677"/>
    <w:rsid w:val="0B364F7D"/>
    <w:rsid w:val="0B36526C"/>
    <w:rsid w:val="0B370759"/>
    <w:rsid w:val="0B372BCC"/>
    <w:rsid w:val="0B374D91"/>
    <w:rsid w:val="0B381131"/>
    <w:rsid w:val="0B386398"/>
    <w:rsid w:val="0B390784"/>
    <w:rsid w:val="0B391B68"/>
    <w:rsid w:val="0B3A06A9"/>
    <w:rsid w:val="0B3A1074"/>
    <w:rsid w:val="0B3A3EBE"/>
    <w:rsid w:val="0B3A5C6C"/>
    <w:rsid w:val="0B3B0722"/>
    <w:rsid w:val="0B3B2F89"/>
    <w:rsid w:val="0B3B3792"/>
    <w:rsid w:val="0B3B38A2"/>
    <w:rsid w:val="0B3B4488"/>
    <w:rsid w:val="0B3B49A5"/>
    <w:rsid w:val="0B3B4F9C"/>
    <w:rsid w:val="0B3B5350"/>
    <w:rsid w:val="0B3C0C7A"/>
    <w:rsid w:val="0B3C19E4"/>
    <w:rsid w:val="0B3C2AAE"/>
    <w:rsid w:val="0B3C4729"/>
    <w:rsid w:val="0B3C5593"/>
    <w:rsid w:val="0B3D39AE"/>
    <w:rsid w:val="0B3D3E5F"/>
    <w:rsid w:val="0B3D42FF"/>
    <w:rsid w:val="0B3D4405"/>
    <w:rsid w:val="0B3D7174"/>
    <w:rsid w:val="0B3D750A"/>
    <w:rsid w:val="0B3E0BF1"/>
    <w:rsid w:val="0B3E2A73"/>
    <w:rsid w:val="0B3E2E4A"/>
    <w:rsid w:val="0B3F14D4"/>
    <w:rsid w:val="0B3F22EB"/>
    <w:rsid w:val="0B3F2B0D"/>
    <w:rsid w:val="0B3F3282"/>
    <w:rsid w:val="0B3F4740"/>
    <w:rsid w:val="0B3F60F6"/>
    <w:rsid w:val="0B4002FA"/>
    <w:rsid w:val="0B4017DF"/>
    <w:rsid w:val="0B405729"/>
    <w:rsid w:val="0B40795D"/>
    <w:rsid w:val="0B41054B"/>
    <w:rsid w:val="0B410C8A"/>
    <w:rsid w:val="0B413C35"/>
    <w:rsid w:val="0B414AD3"/>
    <w:rsid w:val="0B415BEC"/>
    <w:rsid w:val="0B416931"/>
    <w:rsid w:val="0B420B44"/>
    <w:rsid w:val="0B422536"/>
    <w:rsid w:val="0B422C1A"/>
    <w:rsid w:val="0B424B21"/>
    <w:rsid w:val="0B440899"/>
    <w:rsid w:val="0B444D3D"/>
    <w:rsid w:val="0B446C7B"/>
    <w:rsid w:val="0B4474F0"/>
    <w:rsid w:val="0B451E13"/>
    <w:rsid w:val="0B460AB5"/>
    <w:rsid w:val="0B46124C"/>
    <w:rsid w:val="0B46159B"/>
    <w:rsid w:val="0B462863"/>
    <w:rsid w:val="0B46416C"/>
    <w:rsid w:val="0B46538C"/>
    <w:rsid w:val="0B4665F3"/>
    <w:rsid w:val="0B470389"/>
    <w:rsid w:val="0B472137"/>
    <w:rsid w:val="0B4821A6"/>
    <w:rsid w:val="0B4822BD"/>
    <w:rsid w:val="0B48482D"/>
    <w:rsid w:val="0B494101"/>
    <w:rsid w:val="0B4A3F7D"/>
    <w:rsid w:val="0B4A6210"/>
    <w:rsid w:val="0B4B1C27"/>
    <w:rsid w:val="0B4B4792"/>
    <w:rsid w:val="0B4B60CB"/>
    <w:rsid w:val="0B4B7E79"/>
    <w:rsid w:val="0B4C35B6"/>
    <w:rsid w:val="0B4C4BB7"/>
    <w:rsid w:val="0B4C6897"/>
    <w:rsid w:val="0B4D146E"/>
    <w:rsid w:val="0B4D1BF8"/>
    <w:rsid w:val="0B4D6FF3"/>
    <w:rsid w:val="0B4D7D2D"/>
    <w:rsid w:val="0B4E1717"/>
    <w:rsid w:val="0B4E5009"/>
    <w:rsid w:val="0B4E5B54"/>
    <w:rsid w:val="0B4E5BBB"/>
    <w:rsid w:val="0B4E7969"/>
    <w:rsid w:val="0B4F2FC4"/>
    <w:rsid w:val="0B4F3198"/>
    <w:rsid w:val="0B505490"/>
    <w:rsid w:val="0B512FB6"/>
    <w:rsid w:val="0B51469B"/>
    <w:rsid w:val="0B5166AE"/>
    <w:rsid w:val="0B516E5B"/>
    <w:rsid w:val="0B5219BA"/>
    <w:rsid w:val="0B52270F"/>
    <w:rsid w:val="0B52745A"/>
    <w:rsid w:val="0B532D06"/>
    <w:rsid w:val="0B5331D2"/>
    <w:rsid w:val="0B533B9F"/>
    <w:rsid w:val="0B536D2E"/>
    <w:rsid w:val="0B541154"/>
    <w:rsid w:val="0B542754"/>
    <w:rsid w:val="0B544C94"/>
    <w:rsid w:val="0B54502F"/>
    <w:rsid w:val="0B5473B6"/>
    <w:rsid w:val="0B550CF8"/>
    <w:rsid w:val="0B552AA6"/>
    <w:rsid w:val="0B55304C"/>
    <w:rsid w:val="0B554854"/>
    <w:rsid w:val="0B555221"/>
    <w:rsid w:val="0B55611E"/>
    <w:rsid w:val="0B556792"/>
    <w:rsid w:val="0B557634"/>
    <w:rsid w:val="0B560B75"/>
    <w:rsid w:val="0B561090"/>
    <w:rsid w:val="0B56202D"/>
    <w:rsid w:val="0B562520"/>
    <w:rsid w:val="0B5648DA"/>
    <w:rsid w:val="0B574A70"/>
    <w:rsid w:val="0B5767B5"/>
    <w:rsid w:val="0B57681E"/>
    <w:rsid w:val="0B5807E8"/>
    <w:rsid w:val="0B582596"/>
    <w:rsid w:val="0B583A0C"/>
    <w:rsid w:val="0B584344"/>
    <w:rsid w:val="0B5A00BC"/>
    <w:rsid w:val="0B5A3A72"/>
    <w:rsid w:val="0B5A4560"/>
    <w:rsid w:val="0B5B517E"/>
    <w:rsid w:val="0B5C2086"/>
    <w:rsid w:val="0B5C3E34"/>
    <w:rsid w:val="0B5C5BE2"/>
    <w:rsid w:val="0B5D7153"/>
    <w:rsid w:val="0B5D7DF5"/>
    <w:rsid w:val="0B5E026A"/>
    <w:rsid w:val="0B5E0CB2"/>
    <w:rsid w:val="0B5E26B2"/>
    <w:rsid w:val="0B5E368C"/>
    <w:rsid w:val="0B5F1B77"/>
    <w:rsid w:val="0B5F2994"/>
    <w:rsid w:val="0B5F3883"/>
    <w:rsid w:val="0B5F3925"/>
    <w:rsid w:val="0B5F56D3"/>
    <w:rsid w:val="0B5F704C"/>
    <w:rsid w:val="0B602A5E"/>
    <w:rsid w:val="0B604FE2"/>
    <w:rsid w:val="0B6078E4"/>
    <w:rsid w:val="0B61144B"/>
    <w:rsid w:val="0B6121D2"/>
    <w:rsid w:val="0B6131F9"/>
    <w:rsid w:val="0B613344"/>
    <w:rsid w:val="0B615C80"/>
    <w:rsid w:val="0B6161A3"/>
    <w:rsid w:val="0B61769D"/>
    <w:rsid w:val="0B622204"/>
    <w:rsid w:val="0B6251C3"/>
    <w:rsid w:val="0B626F71"/>
    <w:rsid w:val="0B633415"/>
    <w:rsid w:val="0B633694"/>
    <w:rsid w:val="0B6347B1"/>
    <w:rsid w:val="0B642CE9"/>
    <w:rsid w:val="0B645117"/>
    <w:rsid w:val="0B64718D"/>
    <w:rsid w:val="0B647CCD"/>
    <w:rsid w:val="0B65081E"/>
    <w:rsid w:val="0B6558D0"/>
    <w:rsid w:val="0B655FB4"/>
    <w:rsid w:val="0B657B87"/>
    <w:rsid w:val="0B6600D6"/>
    <w:rsid w:val="0B6625F7"/>
    <w:rsid w:val="0B6652C1"/>
    <w:rsid w:val="0B666A61"/>
    <w:rsid w:val="0B671515"/>
    <w:rsid w:val="0B6727D9"/>
    <w:rsid w:val="0B6734A5"/>
    <w:rsid w:val="0B674587"/>
    <w:rsid w:val="0B675AF7"/>
    <w:rsid w:val="0B676EEA"/>
    <w:rsid w:val="0B680A2B"/>
    <w:rsid w:val="0B681803"/>
    <w:rsid w:val="0B68195A"/>
    <w:rsid w:val="0B6841E9"/>
    <w:rsid w:val="0B684263"/>
    <w:rsid w:val="0B69244E"/>
    <w:rsid w:val="0B693DD3"/>
    <w:rsid w:val="0B694848"/>
    <w:rsid w:val="0B696551"/>
    <w:rsid w:val="0B697506"/>
    <w:rsid w:val="0B6A2548"/>
    <w:rsid w:val="0B6A2B3F"/>
    <w:rsid w:val="0B6B12B4"/>
    <w:rsid w:val="0B6B4077"/>
    <w:rsid w:val="0B6B49F7"/>
    <w:rsid w:val="0B6B559F"/>
    <w:rsid w:val="0B6B6E3A"/>
    <w:rsid w:val="0B6C31F5"/>
    <w:rsid w:val="0B6C32B6"/>
    <w:rsid w:val="0B6C59A0"/>
    <w:rsid w:val="0B6D1AD0"/>
    <w:rsid w:val="0B6D6042"/>
    <w:rsid w:val="0B6E1DBA"/>
    <w:rsid w:val="0B6E3B68"/>
    <w:rsid w:val="0B6E48D3"/>
    <w:rsid w:val="0B6E5916"/>
    <w:rsid w:val="0B6F30CD"/>
    <w:rsid w:val="0B6F3378"/>
    <w:rsid w:val="0B70076C"/>
    <w:rsid w:val="0B70168E"/>
    <w:rsid w:val="0B705B32"/>
    <w:rsid w:val="0B7068E1"/>
    <w:rsid w:val="0B713EAA"/>
    <w:rsid w:val="0B71481D"/>
    <w:rsid w:val="0B717029"/>
    <w:rsid w:val="0B717128"/>
    <w:rsid w:val="0B720192"/>
    <w:rsid w:val="0B7202D7"/>
    <w:rsid w:val="0B7218AA"/>
    <w:rsid w:val="0B723658"/>
    <w:rsid w:val="0B725406"/>
    <w:rsid w:val="0B725860"/>
    <w:rsid w:val="0B727EBB"/>
    <w:rsid w:val="0B73117E"/>
    <w:rsid w:val="0B732E93"/>
    <w:rsid w:val="0B732F2C"/>
    <w:rsid w:val="0B7373D0"/>
    <w:rsid w:val="0B74273E"/>
    <w:rsid w:val="0B742C57"/>
    <w:rsid w:val="0B745622"/>
    <w:rsid w:val="0B753148"/>
    <w:rsid w:val="0B755AA9"/>
    <w:rsid w:val="0B756C9E"/>
    <w:rsid w:val="0B756CA4"/>
    <w:rsid w:val="0B76595A"/>
    <w:rsid w:val="0B766F39"/>
    <w:rsid w:val="0B770C6E"/>
    <w:rsid w:val="0B772A1C"/>
    <w:rsid w:val="0B772F9A"/>
    <w:rsid w:val="0B776EC0"/>
    <w:rsid w:val="0B786794"/>
    <w:rsid w:val="0B786BC4"/>
    <w:rsid w:val="0B791257"/>
    <w:rsid w:val="0B792C38"/>
    <w:rsid w:val="0B792DE4"/>
    <w:rsid w:val="0B796947"/>
    <w:rsid w:val="0B796AE0"/>
    <w:rsid w:val="0B7A03E6"/>
    <w:rsid w:val="0B7A075E"/>
    <w:rsid w:val="0B7A5A70"/>
    <w:rsid w:val="0B7B44EC"/>
    <w:rsid w:val="0B7B4628"/>
    <w:rsid w:val="0B7B5CD3"/>
    <w:rsid w:val="0B7B7DE4"/>
    <w:rsid w:val="0B7C0033"/>
    <w:rsid w:val="0B7C339E"/>
    <w:rsid w:val="0B7C423B"/>
    <w:rsid w:val="0B7C44D7"/>
    <w:rsid w:val="0B7C634C"/>
    <w:rsid w:val="0B7D045A"/>
    <w:rsid w:val="0B7D1FFD"/>
    <w:rsid w:val="0B7D3DAB"/>
    <w:rsid w:val="0B7D4479"/>
    <w:rsid w:val="0B7D707B"/>
    <w:rsid w:val="0B7D745C"/>
    <w:rsid w:val="0B7E024F"/>
    <w:rsid w:val="0B7E46FA"/>
    <w:rsid w:val="0B7E6535"/>
    <w:rsid w:val="0B7E671A"/>
    <w:rsid w:val="0B7F1C96"/>
    <w:rsid w:val="0B7F3FC7"/>
    <w:rsid w:val="0B7F42FD"/>
    <w:rsid w:val="0B7F5D75"/>
    <w:rsid w:val="0B7F5F44"/>
    <w:rsid w:val="0B7F7B23"/>
    <w:rsid w:val="0B7F7E8C"/>
    <w:rsid w:val="0B811AED"/>
    <w:rsid w:val="0B81389B"/>
    <w:rsid w:val="0B814603"/>
    <w:rsid w:val="0B8213C1"/>
    <w:rsid w:val="0B824E36"/>
    <w:rsid w:val="0B8251F1"/>
    <w:rsid w:val="0B8341CE"/>
    <w:rsid w:val="0B835865"/>
    <w:rsid w:val="0B836769"/>
    <w:rsid w:val="0B84338B"/>
    <w:rsid w:val="0B845139"/>
    <w:rsid w:val="0B85069B"/>
    <w:rsid w:val="0B851A79"/>
    <w:rsid w:val="0B854CD8"/>
    <w:rsid w:val="0B860EB1"/>
    <w:rsid w:val="0B865355"/>
    <w:rsid w:val="0B866A2E"/>
    <w:rsid w:val="0B872A8F"/>
    <w:rsid w:val="0B8769D7"/>
    <w:rsid w:val="0B8821F5"/>
    <w:rsid w:val="0B883F1F"/>
    <w:rsid w:val="0B884C29"/>
    <w:rsid w:val="0B8909A2"/>
    <w:rsid w:val="0B892750"/>
    <w:rsid w:val="0B896AF0"/>
    <w:rsid w:val="0B8A2800"/>
    <w:rsid w:val="0B8B296C"/>
    <w:rsid w:val="0B8B4185"/>
    <w:rsid w:val="0B8B4447"/>
    <w:rsid w:val="0B8B471A"/>
    <w:rsid w:val="0B8B64C8"/>
    <w:rsid w:val="0B8B6796"/>
    <w:rsid w:val="0B8C3FEE"/>
    <w:rsid w:val="0B8C4D99"/>
    <w:rsid w:val="0B8C5471"/>
    <w:rsid w:val="0B8D0492"/>
    <w:rsid w:val="0B8D2240"/>
    <w:rsid w:val="0B8D2EAB"/>
    <w:rsid w:val="0B8D43CD"/>
    <w:rsid w:val="0B8D66E4"/>
    <w:rsid w:val="0B8E047B"/>
    <w:rsid w:val="0B8E3A06"/>
    <w:rsid w:val="0B8E3FFD"/>
    <w:rsid w:val="0B8E420A"/>
    <w:rsid w:val="0B8E5FB8"/>
    <w:rsid w:val="0B8E7D66"/>
    <w:rsid w:val="0B8F08F0"/>
    <w:rsid w:val="0B8F5352"/>
    <w:rsid w:val="0B9026B1"/>
    <w:rsid w:val="0B903ADE"/>
    <w:rsid w:val="0B903F47"/>
    <w:rsid w:val="0B905622"/>
    <w:rsid w:val="0B907065"/>
    <w:rsid w:val="0B9114DE"/>
    <w:rsid w:val="0B913B41"/>
    <w:rsid w:val="0B9151D8"/>
    <w:rsid w:val="0B921852"/>
    <w:rsid w:val="0B923CFA"/>
    <w:rsid w:val="0B925519"/>
    <w:rsid w:val="0B925DD0"/>
    <w:rsid w:val="0B9263C7"/>
    <w:rsid w:val="0B927850"/>
    <w:rsid w:val="0B927856"/>
    <w:rsid w:val="0B930D29"/>
    <w:rsid w:val="0B932773"/>
    <w:rsid w:val="0B9335CE"/>
    <w:rsid w:val="0B93780A"/>
    <w:rsid w:val="0B941820"/>
    <w:rsid w:val="0B945120"/>
    <w:rsid w:val="0B945133"/>
    <w:rsid w:val="0B9503E7"/>
    <w:rsid w:val="0B9510F4"/>
    <w:rsid w:val="0B95201C"/>
    <w:rsid w:val="0B953B5C"/>
    <w:rsid w:val="0B955598"/>
    <w:rsid w:val="0B956B80"/>
    <w:rsid w:val="0B9605EA"/>
    <w:rsid w:val="0B964496"/>
    <w:rsid w:val="0B966410"/>
    <w:rsid w:val="0B971310"/>
    <w:rsid w:val="0B971EFD"/>
    <w:rsid w:val="0B97223D"/>
    <w:rsid w:val="0B9728B7"/>
    <w:rsid w:val="0B97468A"/>
    <w:rsid w:val="0B97478E"/>
    <w:rsid w:val="0B974E6D"/>
    <w:rsid w:val="0B9774EB"/>
    <w:rsid w:val="0B980BE5"/>
    <w:rsid w:val="0B983A14"/>
    <w:rsid w:val="0B984BA5"/>
    <w:rsid w:val="0B995C72"/>
    <w:rsid w:val="0B9A495D"/>
    <w:rsid w:val="0B9A65DD"/>
    <w:rsid w:val="0B9A670B"/>
    <w:rsid w:val="0B9B157B"/>
    <w:rsid w:val="0B9B324A"/>
    <w:rsid w:val="0B9B784C"/>
    <w:rsid w:val="0B9B7DBC"/>
    <w:rsid w:val="0B9C06D5"/>
    <w:rsid w:val="0B9C2483"/>
    <w:rsid w:val="0B9C3825"/>
    <w:rsid w:val="0B9C6927"/>
    <w:rsid w:val="0B9D0239"/>
    <w:rsid w:val="0B9D0BE0"/>
    <w:rsid w:val="0B9D3B00"/>
    <w:rsid w:val="0B9D57DE"/>
    <w:rsid w:val="0B9D5B89"/>
    <w:rsid w:val="0B9D63F6"/>
    <w:rsid w:val="0B9E269F"/>
    <w:rsid w:val="0B9E3D24"/>
    <w:rsid w:val="0B9E444D"/>
    <w:rsid w:val="0B9E5307"/>
    <w:rsid w:val="0B9E7886"/>
    <w:rsid w:val="0B9F01C5"/>
    <w:rsid w:val="0B9F3118"/>
    <w:rsid w:val="0B9F34BE"/>
    <w:rsid w:val="0B9F3D21"/>
    <w:rsid w:val="0B9F6417"/>
    <w:rsid w:val="0B9F7652"/>
    <w:rsid w:val="0BA0070D"/>
    <w:rsid w:val="0BA04D7C"/>
    <w:rsid w:val="0BA04E1E"/>
    <w:rsid w:val="0BA13F3D"/>
    <w:rsid w:val="0BA14A9B"/>
    <w:rsid w:val="0BA15136"/>
    <w:rsid w:val="0BA15489"/>
    <w:rsid w:val="0BA15CEB"/>
    <w:rsid w:val="0BA17A99"/>
    <w:rsid w:val="0BA23811"/>
    <w:rsid w:val="0BA2391B"/>
    <w:rsid w:val="0BA23D54"/>
    <w:rsid w:val="0BA25CC6"/>
    <w:rsid w:val="0BA27697"/>
    <w:rsid w:val="0BA31A63"/>
    <w:rsid w:val="0BA37CB5"/>
    <w:rsid w:val="0BA4082F"/>
    <w:rsid w:val="0BA457DB"/>
    <w:rsid w:val="0BA47589"/>
    <w:rsid w:val="0BA50AA1"/>
    <w:rsid w:val="0BA53A2D"/>
    <w:rsid w:val="0BA54462"/>
    <w:rsid w:val="0BA54B88"/>
    <w:rsid w:val="0BA56018"/>
    <w:rsid w:val="0BA61553"/>
    <w:rsid w:val="0BA63302"/>
    <w:rsid w:val="0BA63AAA"/>
    <w:rsid w:val="0BA650B0"/>
    <w:rsid w:val="0BA67BA3"/>
    <w:rsid w:val="0BA70938"/>
    <w:rsid w:val="0BA719E0"/>
    <w:rsid w:val="0BA72079"/>
    <w:rsid w:val="0BA80E28"/>
    <w:rsid w:val="0BA82946"/>
    <w:rsid w:val="0BA85B26"/>
    <w:rsid w:val="0BA8707A"/>
    <w:rsid w:val="0BA92DF2"/>
    <w:rsid w:val="0BA93258"/>
    <w:rsid w:val="0BA93617"/>
    <w:rsid w:val="0BA94BA0"/>
    <w:rsid w:val="0BA94D3D"/>
    <w:rsid w:val="0BA96AD9"/>
    <w:rsid w:val="0BA97326"/>
    <w:rsid w:val="0BAA1044"/>
    <w:rsid w:val="0BAA1EC1"/>
    <w:rsid w:val="0BAA3D22"/>
    <w:rsid w:val="0BAA5D2C"/>
    <w:rsid w:val="0BAB0918"/>
    <w:rsid w:val="0BAB19E1"/>
    <w:rsid w:val="0BAB376E"/>
    <w:rsid w:val="0BAB46E3"/>
    <w:rsid w:val="0BAB6B6A"/>
    <w:rsid w:val="0BAB72B9"/>
    <w:rsid w:val="0BAC2D18"/>
    <w:rsid w:val="0BAC6977"/>
    <w:rsid w:val="0BAD28E2"/>
    <w:rsid w:val="0BAD4690"/>
    <w:rsid w:val="0BAD643E"/>
    <w:rsid w:val="0BAE41AE"/>
    <w:rsid w:val="0BAE5C3A"/>
    <w:rsid w:val="0BAF0DCA"/>
    <w:rsid w:val="0BAF0EEA"/>
    <w:rsid w:val="0BAF1F3A"/>
    <w:rsid w:val="0BAF665A"/>
    <w:rsid w:val="0BB01C9B"/>
    <w:rsid w:val="0BB02F3A"/>
    <w:rsid w:val="0BB05F2E"/>
    <w:rsid w:val="0BB21CA6"/>
    <w:rsid w:val="0BB23563"/>
    <w:rsid w:val="0BB25400"/>
    <w:rsid w:val="0BB25A4B"/>
    <w:rsid w:val="0BB2718C"/>
    <w:rsid w:val="0BB27EF8"/>
    <w:rsid w:val="0BB30246"/>
    <w:rsid w:val="0BB3061C"/>
    <w:rsid w:val="0BB35A1E"/>
    <w:rsid w:val="0BB36EDB"/>
    <w:rsid w:val="0BB377CC"/>
    <w:rsid w:val="0BB41243"/>
    <w:rsid w:val="0BB41AAC"/>
    <w:rsid w:val="0BB42400"/>
    <w:rsid w:val="0BB43C70"/>
    <w:rsid w:val="0BB450C1"/>
    <w:rsid w:val="0BB51797"/>
    <w:rsid w:val="0BB52F3C"/>
    <w:rsid w:val="0BB63399"/>
    <w:rsid w:val="0BB643CC"/>
    <w:rsid w:val="0BB73761"/>
    <w:rsid w:val="0BB73AA3"/>
    <w:rsid w:val="0BB743C6"/>
    <w:rsid w:val="0BB7585C"/>
    <w:rsid w:val="0BB772BD"/>
    <w:rsid w:val="0BB850EE"/>
    <w:rsid w:val="0BB92D4D"/>
    <w:rsid w:val="0BB93035"/>
    <w:rsid w:val="0BB96184"/>
    <w:rsid w:val="0BB96329"/>
    <w:rsid w:val="0BB978C9"/>
    <w:rsid w:val="0BBA0B5B"/>
    <w:rsid w:val="0BBA1199"/>
    <w:rsid w:val="0BBA4DF6"/>
    <w:rsid w:val="0BBA4FFF"/>
    <w:rsid w:val="0BBA6DAD"/>
    <w:rsid w:val="0BBA7DCD"/>
    <w:rsid w:val="0BBB46C0"/>
    <w:rsid w:val="0BBB6DAE"/>
    <w:rsid w:val="0BBC3179"/>
    <w:rsid w:val="0BBC40D1"/>
    <w:rsid w:val="0BBC48BB"/>
    <w:rsid w:val="0BBC48D3"/>
    <w:rsid w:val="0BBC4BB8"/>
    <w:rsid w:val="0BBC7130"/>
    <w:rsid w:val="0BBD2B5E"/>
    <w:rsid w:val="0BBE4AEF"/>
    <w:rsid w:val="0BBE689D"/>
    <w:rsid w:val="0BBF090C"/>
    <w:rsid w:val="0BBF2615"/>
    <w:rsid w:val="0BBF43C3"/>
    <w:rsid w:val="0BBF4F4E"/>
    <w:rsid w:val="0BBF6171"/>
    <w:rsid w:val="0BBF7B13"/>
    <w:rsid w:val="0BC01790"/>
    <w:rsid w:val="0BC051FE"/>
    <w:rsid w:val="0BC05EFE"/>
    <w:rsid w:val="0BC1013B"/>
    <w:rsid w:val="0BC114DF"/>
    <w:rsid w:val="0BC11EE9"/>
    <w:rsid w:val="0BC1638D"/>
    <w:rsid w:val="0BC21A2B"/>
    <w:rsid w:val="0BC32105"/>
    <w:rsid w:val="0BC33EB3"/>
    <w:rsid w:val="0BC35C62"/>
    <w:rsid w:val="0BC369D0"/>
    <w:rsid w:val="0BC415A1"/>
    <w:rsid w:val="0BC419DA"/>
    <w:rsid w:val="0BC450F6"/>
    <w:rsid w:val="0BC45C5A"/>
    <w:rsid w:val="0BC46651"/>
    <w:rsid w:val="0BC46C49"/>
    <w:rsid w:val="0BC47C2C"/>
    <w:rsid w:val="0BC55E7E"/>
    <w:rsid w:val="0BC62891"/>
    <w:rsid w:val="0BC639A4"/>
    <w:rsid w:val="0BC63EC1"/>
    <w:rsid w:val="0BC64162"/>
    <w:rsid w:val="0BC65752"/>
    <w:rsid w:val="0BC75351"/>
    <w:rsid w:val="0BC75922"/>
    <w:rsid w:val="0BC814CA"/>
    <w:rsid w:val="0BC81863"/>
    <w:rsid w:val="0BC83278"/>
    <w:rsid w:val="0BC8771C"/>
    <w:rsid w:val="0BC96FF0"/>
    <w:rsid w:val="0BC97B63"/>
    <w:rsid w:val="0BCA0FE2"/>
    <w:rsid w:val="0BCA33F1"/>
    <w:rsid w:val="0BCA3494"/>
    <w:rsid w:val="0BCA3CD2"/>
    <w:rsid w:val="0BCA5242"/>
    <w:rsid w:val="0BCB0ECE"/>
    <w:rsid w:val="0BCB0FBA"/>
    <w:rsid w:val="0BCB2D68"/>
    <w:rsid w:val="0BCB3919"/>
    <w:rsid w:val="0BCB4B16"/>
    <w:rsid w:val="0BCB68A3"/>
    <w:rsid w:val="0BCB720C"/>
    <w:rsid w:val="0BCB7D33"/>
    <w:rsid w:val="0BCC11C3"/>
    <w:rsid w:val="0BCC3CC9"/>
    <w:rsid w:val="0BCC785C"/>
    <w:rsid w:val="0BCD3D94"/>
    <w:rsid w:val="0BCD6AE0"/>
    <w:rsid w:val="0BCF654A"/>
    <w:rsid w:val="0BD0037E"/>
    <w:rsid w:val="0BD02715"/>
    <w:rsid w:val="0BD04822"/>
    <w:rsid w:val="0BD05976"/>
    <w:rsid w:val="0BD065D0"/>
    <w:rsid w:val="0BD067D0"/>
    <w:rsid w:val="0BD1019E"/>
    <w:rsid w:val="0BD11949"/>
    <w:rsid w:val="0BD13BA5"/>
    <w:rsid w:val="0BD14F70"/>
    <w:rsid w:val="0BD22349"/>
    <w:rsid w:val="0BD27BF6"/>
    <w:rsid w:val="0BD31C1D"/>
    <w:rsid w:val="0BD33CC6"/>
    <w:rsid w:val="0BD374EE"/>
    <w:rsid w:val="0BD41532"/>
    <w:rsid w:val="0BD45B9A"/>
    <w:rsid w:val="0BD460C1"/>
    <w:rsid w:val="0BD462A2"/>
    <w:rsid w:val="0BD47E6F"/>
    <w:rsid w:val="0BD51E39"/>
    <w:rsid w:val="0BD5530E"/>
    <w:rsid w:val="0BD5582F"/>
    <w:rsid w:val="0BD55995"/>
    <w:rsid w:val="0BD57DAC"/>
    <w:rsid w:val="0BD639B6"/>
    <w:rsid w:val="0BD648CC"/>
    <w:rsid w:val="0BD7265C"/>
    <w:rsid w:val="0BD728F3"/>
    <w:rsid w:val="0BD75BB1"/>
    <w:rsid w:val="0BD7795F"/>
    <w:rsid w:val="0BD8082E"/>
    <w:rsid w:val="0BD8459A"/>
    <w:rsid w:val="0BD848FB"/>
    <w:rsid w:val="0BD85122"/>
    <w:rsid w:val="0BD92337"/>
    <w:rsid w:val="0BD936D7"/>
    <w:rsid w:val="0BD95485"/>
    <w:rsid w:val="0BDA11FD"/>
    <w:rsid w:val="0BDA65CB"/>
    <w:rsid w:val="0BDB744F"/>
    <w:rsid w:val="0BDB7828"/>
    <w:rsid w:val="0BDC4F75"/>
    <w:rsid w:val="0BDC60E7"/>
    <w:rsid w:val="0BDD2B1D"/>
    <w:rsid w:val="0BDE0CED"/>
    <w:rsid w:val="0BDE2A9B"/>
    <w:rsid w:val="0BDE3217"/>
    <w:rsid w:val="0BDE325C"/>
    <w:rsid w:val="0BDE35D8"/>
    <w:rsid w:val="0BDE6F3F"/>
    <w:rsid w:val="0BDE77FF"/>
    <w:rsid w:val="0BDF79CB"/>
    <w:rsid w:val="0BE05039"/>
    <w:rsid w:val="0BE11BB4"/>
    <w:rsid w:val="0BE1258C"/>
    <w:rsid w:val="0BE140C4"/>
    <w:rsid w:val="0BE2006A"/>
    <w:rsid w:val="0BE21F59"/>
    <w:rsid w:val="0BE2767C"/>
    <w:rsid w:val="0BE300B2"/>
    <w:rsid w:val="0BE31D66"/>
    <w:rsid w:val="0BE32BC0"/>
    <w:rsid w:val="0BE34556"/>
    <w:rsid w:val="0BE35B32"/>
    <w:rsid w:val="0BE36304"/>
    <w:rsid w:val="0BE4053F"/>
    <w:rsid w:val="0BE42701"/>
    <w:rsid w:val="0BE42BDB"/>
    <w:rsid w:val="0BE43E2A"/>
    <w:rsid w:val="0BE44BE0"/>
    <w:rsid w:val="0BE45BD8"/>
    <w:rsid w:val="0BE47408"/>
    <w:rsid w:val="0BE502CE"/>
    <w:rsid w:val="0BE508DA"/>
    <w:rsid w:val="0BE56359"/>
    <w:rsid w:val="0BE574CD"/>
    <w:rsid w:val="0BE635A6"/>
    <w:rsid w:val="0BE6553E"/>
    <w:rsid w:val="0BE65DF4"/>
    <w:rsid w:val="0BE67BA2"/>
    <w:rsid w:val="0BE75DCB"/>
    <w:rsid w:val="0BE8099C"/>
    <w:rsid w:val="0BE8133B"/>
    <w:rsid w:val="0BE81B6C"/>
    <w:rsid w:val="0BE81DF9"/>
    <w:rsid w:val="0BE83169"/>
    <w:rsid w:val="0BE9132C"/>
    <w:rsid w:val="0BE91440"/>
    <w:rsid w:val="0BE91F90"/>
    <w:rsid w:val="0BE9536E"/>
    <w:rsid w:val="0BEA3F46"/>
    <w:rsid w:val="0BEA58E4"/>
    <w:rsid w:val="0BEB02FB"/>
    <w:rsid w:val="0BEB06AF"/>
    <w:rsid w:val="0BEB132D"/>
    <w:rsid w:val="0BEB340A"/>
    <w:rsid w:val="0BEB51B8"/>
    <w:rsid w:val="0BEB6B55"/>
    <w:rsid w:val="0BEB7078"/>
    <w:rsid w:val="0BEB7D3C"/>
    <w:rsid w:val="0BEC0FCE"/>
    <w:rsid w:val="0BEC11A0"/>
    <w:rsid w:val="0BEC6A6F"/>
    <w:rsid w:val="0BED2CDE"/>
    <w:rsid w:val="0BED3143"/>
    <w:rsid w:val="0BED7182"/>
    <w:rsid w:val="0BEE1F01"/>
    <w:rsid w:val="0BEE2322"/>
    <w:rsid w:val="0BEE3079"/>
    <w:rsid w:val="0BEE3B04"/>
    <w:rsid w:val="0BEE64B9"/>
    <w:rsid w:val="0BEF2EFA"/>
    <w:rsid w:val="0BEF455D"/>
    <w:rsid w:val="0BEF4CA9"/>
    <w:rsid w:val="0BEF58F5"/>
    <w:rsid w:val="0BEF6A57"/>
    <w:rsid w:val="0BEF7550"/>
    <w:rsid w:val="0BF00A21"/>
    <w:rsid w:val="0BF027CF"/>
    <w:rsid w:val="0BF02888"/>
    <w:rsid w:val="0BF0712E"/>
    <w:rsid w:val="0BF12633"/>
    <w:rsid w:val="0BF15B73"/>
    <w:rsid w:val="0BF21DA7"/>
    <w:rsid w:val="0BF2461F"/>
    <w:rsid w:val="0BF30C8F"/>
    <w:rsid w:val="0BF3436E"/>
    <w:rsid w:val="0BF35AAF"/>
    <w:rsid w:val="0BF374E6"/>
    <w:rsid w:val="0BF37B5F"/>
    <w:rsid w:val="0BF41E85"/>
    <w:rsid w:val="0BF4406D"/>
    <w:rsid w:val="0BF47828"/>
    <w:rsid w:val="0BF52F04"/>
    <w:rsid w:val="0BF54270"/>
    <w:rsid w:val="0BF54749"/>
    <w:rsid w:val="0BF57DE5"/>
    <w:rsid w:val="0BF60220"/>
    <w:rsid w:val="0BF6185F"/>
    <w:rsid w:val="0BF71DAF"/>
    <w:rsid w:val="0BF72CEF"/>
    <w:rsid w:val="0BF745FC"/>
    <w:rsid w:val="0BF7590B"/>
    <w:rsid w:val="0BF8586F"/>
    <w:rsid w:val="0BF8789A"/>
    <w:rsid w:val="0BF901E0"/>
    <w:rsid w:val="0BF95B27"/>
    <w:rsid w:val="0BF978D5"/>
    <w:rsid w:val="0BFA2DB1"/>
    <w:rsid w:val="0BFA364D"/>
    <w:rsid w:val="0BFA53FB"/>
    <w:rsid w:val="0BFB189F"/>
    <w:rsid w:val="0BFB2898"/>
    <w:rsid w:val="0BFC0F64"/>
    <w:rsid w:val="0BFC5617"/>
    <w:rsid w:val="0BFD3F69"/>
    <w:rsid w:val="0BFD5F76"/>
    <w:rsid w:val="0BFD6B61"/>
    <w:rsid w:val="0BFD7682"/>
    <w:rsid w:val="0BFD7FF1"/>
    <w:rsid w:val="0BFE313E"/>
    <w:rsid w:val="0BFE355C"/>
    <w:rsid w:val="0BFE4EEC"/>
    <w:rsid w:val="0BFE5A44"/>
    <w:rsid w:val="0BFE6C9A"/>
    <w:rsid w:val="0BFF137E"/>
    <w:rsid w:val="0BFF2A12"/>
    <w:rsid w:val="0BFF3D0D"/>
    <w:rsid w:val="0BFF517F"/>
    <w:rsid w:val="0C000C64"/>
    <w:rsid w:val="0C001A51"/>
    <w:rsid w:val="0C004A16"/>
    <w:rsid w:val="0C0050C2"/>
    <w:rsid w:val="0C0054E2"/>
    <w:rsid w:val="0C007B04"/>
    <w:rsid w:val="0C01105A"/>
    <w:rsid w:val="0C01258D"/>
    <w:rsid w:val="0C0128F7"/>
    <w:rsid w:val="0C012C2E"/>
    <w:rsid w:val="0C0149DC"/>
    <w:rsid w:val="0C01678A"/>
    <w:rsid w:val="0C017CA1"/>
    <w:rsid w:val="0C0229CB"/>
    <w:rsid w:val="0C022D5C"/>
    <w:rsid w:val="0C026B21"/>
    <w:rsid w:val="0C03282A"/>
    <w:rsid w:val="0C036083"/>
    <w:rsid w:val="0C042B21"/>
    <w:rsid w:val="0C042DC4"/>
    <w:rsid w:val="0C046A34"/>
    <w:rsid w:val="0C046B5E"/>
    <w:rsid w:val="0C04759B"/>
    <w:rsid w:val="0C0555AD"/>
    <w:rsid w:val="0C060244"/>
    <w:rsid w:val="0C0619AA"/>
    <w:rsid w:val="0C0625BF"/>
    <w:rsid w:val="0C073EA3"/>
    <w:rsid w:val="0C0770D2"/>
    <w:rsid w:val="0C080818"/>
    <w:rsid w:val="0C083FBC"/>
    <w:rsid w:val="0C087B18"/>
    <w:rsid w:val="0C091486"/>
    <w:rsid w:val="0C09359C"/>
    <w:rsid w:val="0C095AC4"/>
    <w:rsid w:val="0C0A1AE2"/>
    <w:rsid w:val="0C0A28A6"/>
    <w:rsid w:val="0C0A4DFB"/>
    <w:rsid w:val="0C0A7410"/>
    <w:rsid w:val="0C0A7D34"/>
    <w:rsid w:val="0C0B4075"/>
    <w:rsid w:val="0C0B585A"/>
    <w:rsid w:val="0C0B7609"/>
    <w:rsid w:val="0C0C2228"/>
    <w:rsid w:val="0C0C541E"/>
    <w:rsid w:val="0C0C7128"/>
    <w:rsid w:val="0C0C7CD3"/>
    <w:rsid w:val="0C0D0207"/>
    <w:rsid w:val="0C0D15D3"/>
    <w:rsid w:val="0C0D1DCF"/>
    <w:rsid w:val="0C0D22F2"/>
    <w:rsid w:val="0C0D3381"/>
    <w:rsid w:val="0C0D512F"/>
    <w:rsid w:val="0C0E2275"/>
    <w:rsid w:val="0C0E26B7"/>
    <w:rsid w:val="0C0F1ED8"/>
    <w:rsid w:val="0C0F3E47"/>
    <w:rsid w:val="0C0F534B"/>
    <w:rsid w:val="0C0F5C35"/>
    <w:rsid w:val="0C104F6D"/>
    <w:rsid w:val="0C105DFF"/>
    <w:rsid w:val="0C1110C3"/>
    <w:rsid w:val="0C112E71"/>
    <w:rsid w:val="0C114DF3"/>
    <w:rsid w:val="0C116467"/>
    <w:rsid w:val="0C120997"/>
    <w:rsid w:val="0C126BE9"/>
    <w:rsid w:val="0C131D6A"/>
    <w:rsid w:val="0C131F16"/>
    <w:rsid w:val="0C136CD5"/>
    <w:rsid w:val="0C142961"/>
    <w:rsid w:val="0C1464BD"/>
    <w:rsid w:val="0C146529"/>
    <w:rsid w:val="0C151E3E"/>
    <w:rsid w:val="0C152235"/>
    <w:rsid w:val="0C155AC3"/>
    <w:rsid w:val="0C160487"/>
    <w:rsid w:val="0C160E49"/>
    <w:rsid w:val="0C163FBD"/>
    <w:rsid w:val="0C1741FF"/>
    <w:rsid w:val="0C175ECF"/>
    <w:rsid w:val="0C175FAD"/>
    <w:rsid w:val="0C18633A"/>
    <w:rsid w:val="0C186C96"/>
    <w:rsid w:val="0C187E7B"/>
    <w:rsid w:val="0C190677"/>
    <w:rsid w:val="0C190FD9"/>
    <w:rsid w:val="0C191D25"/>
    <w:rsid w:val="0C1920D5"/>
    <w:rsid w:val="0C193B0A"/>
    <w:rsid w:val="0C195395"/>
    <w:rsid w:val="0C196EDB"/>
    <w:rsid w:val="0C197F77"/>
    <w:rsid w:val="0C1B5A9E"/>
    <w:rsid w:val="0C1C210B"/>
    <w:rsid w:val="0C1C22EB"/>
    <w:rsid w:val="0C1C35C4"/>
    <w:rsid w:val="0C1D425C"/>
    <w:rsid w:val="0C1D52D5"/>
    <w:rsid w:val="0C1D75DB"/>
    <w:rsid w:val="0C1E1DB9"/>
    <w:rsid w:val="0C1E21AC"/>
    <w:rsid w:val="0C1E5494"/>
    <w:rsid w:val="0C1E733C"/>
    <w:rsid w:val="0C201306"/>
    <w:rsid w:val="0C2030B4"/>
    <w:rsid w:val="0C205C8D"/>
    <w:rsid w:val="0C210BDA"/>
    <w:rsid w:val="0C216E2C"/>
    <w:rsid w:val="0C221327"/>
    <w:rsid w:val="0C221FBD"/>
    <w:rsid w:val="0C225756"/>
    <w:rsid w:val="0C226B52"/>
    <w:rsid w:val="0C2275E1"/>
    <w:rsid w:val="0C230DF6"/>
    <w:rsid w:val="0C232BA4"/>
    <w:rsid w:val="0C236700"/>
    <w:rsid w:val="0C241511"/>
    <w:rsid w:val="0C252478"/>
    <w:rsid w:val="0C255F52"/>
    <w:rsid w:val="0C25691C"/>
    <w:rsid w:val="0C262CB1"/>
    <w:rsid w:val="0C264442"/>
    <w:rsid w:val="0C272694"/>
    <w:rsid w:val="0C280823"/>
    <w:rsid w:val="0C280F08"/>
    <w:rsid w:val="0C281752"/>
    <w:rsid w:val="0C2846EE"/>
    <w:rsid w:val="0C285E2F"/>
    <w:rsid w:val="0C293F7E"/>
    <w:rsid w:val="0C295B7E"/>
    <w:rsid w:val="0C2A134F"/>
    <w:rsid w:val="0C2A1E96"/>
    <w:rsid w:val="0C2A280E"/>
    <w:rsid w:val="0C2A334A"/>
    <w:rsid w:val="0C2A3E9A"/>
    <w:rsid w:val="0C2A5CE1"/>
    <w:rsid w:val="0C2A7A8F"/>
    <w:rsid w:val="0C2B1A59"/>
    <w:rsid w:val="0C2B3566"/>
    <w:rsid w:val="0C2B3807"/>
    <w:rsid w:val="0C2C04FF"/>
    <w:rsid w:val="0C2C5CA2"/>
    <w:rsid w:val="0C2C7CAB"/>
    <w:rsid w:val="0C2D3A23"/>
    <w:rsid w:val="0C2D757F"/>
    <w:rsid w:val="0C2E0560"/>
    <w:rsid w:val="0C2E3B51"/>
    <w:rsid w:val="0C2E3DBD"/>
    <w:rsid w:val="0C2E4793"/>
    <w:rsid w:val="0C2F1549"/>
    <w:rsid w:val="0C2F19F0"/>
    <w:rsid w:val="0C2F779B"/>
    <w:rsid w:val="0C300E1D"/>
    <w:rsid w:val="0C3031B5"/>
    <w:rsid w:val="0C311512"/>
    <w:rsid w:val="0C315314"/>
    <w:rsid w:val="0C331801"/>
    <w:rsid w:val="0C332F42"/>
    <w:rsid w:val="0C34090D"/>
    <w:rsid w:val="0C340A64"/>
    <w:rsid w:val="0C3429D5"/>
    <w:rsid w:val="0C34362A"/>
    <w:rsid w:val="0C3445D9"/>
    <w:rsid w:val="0C346D58"/>
    <w:rsid w:val="0C347213"/>
    <w:rsid w:val="0C350433"/>
    <w:rsid w:val="0C353E37"/>
    <w:rsid w:val="0C354C94"/>
    <w:rsid w:val="0C35539F"/>
    <w:rsid w:val="0C355D3A"/>
    <w:rsid w:val="0C3562E6"/>
    <w:rsid w:val="0C3605A2"/>
    <w:rsid w:val="0C360B29"/>
    <w:rsid w:val="0C3645B7"/>
    <w:rsid w:val="0C365D0B"/>
    <w:rsid w:val="0C370197"/>
    <w:rsid w:val="0C372D53"/>
    <w:rsid w:val="0C372EF5"/>
    <w:rsid w:val="0C375A04"/>
    <w:rsid w:val="0C37664F"/>
    <w:rsid w:val="0C381012"/>
    <w:rsid w:val="0C3841E3"/>
    <w:rsid w:val="0C386FBF"/>
    <w:rsid w:val="0C39369B"/>
    <w:rsid w:val="0C395F24"/>
    <w:rsid w:val="0C396DB4"/>
    <w:rsid w:val="0C3B1C9C"/>
    <w:rsid w:val="0C3B2560"/>
    <w:rsid w:val="0C3B3C7D"/>
    <w:rsid w:val="0C3B4CCB"/>
    <w:rsid w:val="0C3B6140"/>
    <w:rsid w:val="0C3B7EEE"/>
    <w:rsid w:val="0C3B7F93"/>
    <w:rsid w:val="0C3C0DB1"/>
    <w:rsid w:val="0C3C2437"/>
    <w:rsid w:val="0C3C24FF"/>
    <w:rsid w:val="0C3C43DB"/>
    <w:rsid w:val="0C3C4AD2"/>
    <w:rsid w:val="0C3C5A14"/>
    <w:rsid w:val="0C3C77C2"/>
    <w:rsid w:val="0C3D52DE"/>
    <w:rsid w:val="0C3E0055"/>
    <w:rsid w:val="0C3E1768"/>
    <w:rsid w:val="0C3E5484"/>
    <w:rsid w:val="0C3E79DE"/>
    <w:rsid w:val="0C3F3D34"/>
    <w:rsid w:val="0C3F4066"/>
    <w:rsid w:val="0C401CE7"/>
    <w:rsid w:val="0C403756"/>
    <w:rsid w:val="0C40602C"/>
    <w:rsid w:val="0C411129"/>
    <w:rsid w:val="0C41302A"/>
    <w:rsid w:val="0C4214E4"/>
    <w:rsid w:val="0C421CC7"/>
    <w:rsid w:val="0C421E03"/>
    <w:rsid w:val="0C4257A8"/>
    <w:rsid w:val="0C425B07"/>
    <w:rsid w:val="0C426D2B"/>
    <w:rsid w:val="0C4274CE"/>
    <w:rsid w:val="0C42783F"/>
    <w:rsid w:val="0C430B50"/>
    <w:rsid w:val="0C43490E"/>
    <w:rsid w:val="0C436DA2"/>
    <w:rsid w:val="0C440C8A"/>
    <w:rsid w:val="0C440F18"/>
    <w:rsid w:val="0C442C4A"/>
    <w:rsid w:val="0C443CF0"/>
    <w:rsid w:val="0C446CEC"/>
    <w:rsid w:val="0C450D6C"/>
    <w:rsid w:val="0C45290D"/>
    <w:rsid w:val="0C452B1A"/>
    <w:rsid w:val="0C453C16"/>
    <w:rsid w:val="0C4548C9"/>
    <w:rsid w:val="0C460484"/>
    <w:rsid w:val="0C460641"/>
    <w:rsid w:val="0C461510"/>
    <w:rsid w:val="0C465063"/>
    <w:rsid w:val="0C465CF5"/>
    <w:rsid w:val="0C474B95"/>
    <w:rsid w:val="0C475B98"/>
    <w:rsid w:val="0C476893"/>
    <w:rsid w:val="0C477A27"/>
    <w:rsid w:val="0C477C77"/>
    <w:rsid w:val="0C4807B5"/>
    <w:rsid w:val="0C492597"/>
    <w:rsid w:val="0C4951D3"/>
    <w:rsid w:val="0C4A1EDF"/>
    <w:rsid w:val="0C4A5943"/>
    <w:rsid w:val="0C4A6383"/>
    <w:rsid w:val="0C4B3201"/>
    <w:rsid w:val="0C4B3335"/>
    <w:rsid w:val="0C4B5C57"/>
    <w:rsid w:val="0C4C0F18"/>
    <w:rsid w:val="0C4C4B1C"/>
    <w:rsid w:val="0C4D19CF"/>
    <w:rsid w:val="0C4D4F98"/>
    <w:rsid w:val="0C4D7C21"/>
    <w:rsid w:val="0C4E26B9"/>
    <w:rsid w:val="0C4E342F"/>
    <w:rsid w:val="0C4E3810"/>
    <w:rsid w:val="0C4E4424"/>
    <w:rsid w:val="0C4E6409"/>
    <w:rsid w:val="0C4F03B9"/>
    <w:rsid w:val="0C4F1BEB"/>
    <w:rsid w:val="0C4F1E99"/>
    <w:rsid w:val="0C4F203C"/>
    <w:rsid w:val="0C4F3999"/>
    <w:rsid w:val="0C4F74F5"/>
    <w:rsid w:val="0C50454A"/>
    <w:rsid w:val="0C50607D"/>
    <w:rsid w:val="0C5069E0"/>
    <w:rsid w:val="0C5138FA"/>
    <w:rsid w:val="0C51526C"/>
    <w:rsid w:val="0C5155D6"/>
    <w:rsid w:val="0C5164CB"/>
    <w:rsid w:val="0C5165ED"/>
    <w:rsid w:val="0C517711"/>
    <w:rsid w:val="0C5204F7"/>
    <w:rsid w:val="0C521756"/>
    <w:rsid w:val="0C523489"/>
    <w:rsid w:val="0C525237"/>
    <w:rsid w:val="0C526FE5"/>
    <w:rsid w:val="0C52795B"/>
    <w:rsid w:val="0C530DEB"/>
    <w:rsid w:val="0C5311D9"/>
    <w:rsid w:val="0C533913"/>
    <w:rsid w:val="0C5360A3"/>
    <w:rsid w:val="0C540FAF"/>
    <w:rsid w:val="0C542CA2"/>
    <w:rsid w:val="0C54566A"/>
    <w:rsid w:val="0C547201"/>
    <w:rsid w:val="0C550884"/>
    <w:rsid w:val="0C555C0D"/>
    <w:rsid w:val="0C564D28"/>
    <w:rsid w:val="0C566AD6"/>
    <w:rsid w:val="0C571AAA"/>
    <w:rsid w:val="0C5745FC"/>
    <w:rsid w:val="0C5806CC"/>
    <w:rsid w:val="0C584E47"/>
    <w:rsid w:val="0C585419"/>
    <w:rsid w:val="0C590374"/>
    <w:rsid w:val="0C5A0DCC"/>
    <w:rsid w:val="0C5B0590"/>
    <w:rsid w:val="0C5B2294"/>
    <w:rsid w:val="0C5B229D"/>
    <w:rsid w:val="0C5B233E"/>
    <w:rsid w:val="0C5B2CE5"/>
    <w:rsid w:val="0C5B40EC"/>
    <w:rsid w:val="0C5B62F5"/>
    <w:rsid w:val="0C5B757D"/>
    <w:rsid w:val="0C5C1C12"/>
    <w:rsid w:val="0C5C2BCE"/>
    <w:rsid w:val="0C5C7953"/>
    <w:rsid w:val="0C5C7E64"/>
    <w:rsid w:val="0C5D0CEE"/>
    <w:rsid w:val="0C5D2700"/>
    <w:rsid w:val="0C5D2D05"/>
    <w:rsid w:val="0C5E1E2E"/>
    <w:rsid w:val="0C5E2BA8"/>
    <w:rsid w:val="0C5E3BDC"/>
    <w:rsid w:val="0C5E598A"/>
    <w:rsid w:val="0C5F0ACF"/>
    <w:rsid w:val="0C5F6AD6"/>
    <w:rsid w:val="0C601702"/>
    <w:rsid w:val="0C603C4E"/>
    <w:rsid w:val="0C6057EC"/>
    <w:rsid w:val="0C605BA6"/>
    <w:rsid w:val="0C60667C"/>
    <w:rsid w:val="0C607062"/>
    <w:rsid w:val="0C607954"/>
    <w:rsid w:val="0C6133EF"/>
    <w:rsid w:val="0C613D5A"/>
    <w:rsid w:val="0C61547A"/>
    <w:rsid w:val="0C62053E"/>
    <w:rsid w:val="0C62142B"/>
    <w:rsid w:val="0C6236CC"/>
    <w:rsid w:val="0C62485F"/>
    <w:rsid w:val="0C62487F"/>
    <w:rsid w:val="0C625168"/>
    <w:rsid w:val="0C6311F3"/>
    <w:rsid w:val="0C632FA1"/>
    <w:rsid w:val="0C63349E"/>
    <w:rsid w:val="0C637D54"/>
    <w:rsid w:val="0C641D70"/>
    <w:rsid w:val="0C643396"/>
    <w:rsid w:val="0C6531BD"/>
    <w:rsid w:val="0C653200"/>
    <w:rsid w:val="0C6542A8"/>
    <w:rsid w:val="0C654F6B"/>
    <w:rsid w:val="0C656AFE"/>
    <w:rsid w:val="0C664690"/>
    <w:rsid w:val="0C670CE3"/>
    <w:rsid w:val="0C6738B8"/>
    <w:rsid w:val="0C6750AD"/>
    <w:rsid w:val="0C67573A"/>
    <w:rsid w:val="0C6805B7"/>
    <w:rsid w:val="0C681B81"/>
    <w:rsid w:val="0C681DF5"/>
    <w:rsid w:val="0C684A5B"/>
    <w:rsid w:val="0C686809"/>
    <w:rsid w:val="0C692C1B"/>
    <w:rsid w:val="0C692CAD"/>
    <w:rsid w:val="0C694752"/>
    <w:rsid w:val="0C6A27A7"/>
    <w:rsid w:val="0C6A432F"/>
    <w:rsid w:val="0C6A5254"/>
    <w:rsid w:val="0C6B1986"/>
    <w:rsid w:val="0C6B7072"/>
    <w:rsid w:val="0C6C04CA"/>
    <w:rsid w:val="0C6C0502"/>
    <w:rsid w:val="0C6C454B"/>
    <w:rsid w:val="0C6C758B"/>
    <w:rsid w:val="0C6D1B6A"/>
    <w:rsid w:val="0C6D3E1F"/>
    <w:rsid w:val="0C6E02C3"/>
    <w:rsid w:val="0C6E6426"/>
    <w:rsid w:val="0C6F1945"/>
    <w:rsid w:val="0C6F2B6C"/>
    <w:rsid w:val="0C6F5DE9"/>
    <w:rsid w:val="0C6F7AE6"/>
    <w:rsid w:val="0C700313"/>
    <w:rsid w:val="0C702F92"/>
    <w:rsid w:val="0C711B61"/>
    <w:rsid w:val="0C71390F"/>
    <w:rsid w:val="0C721436"/>
    <w:rsid w:val="0C723CA1"/>
    <w:rsid w:val="0C724AF9"/>
    <w:rsid w:val="0C732416"/>
    <w:rsid w:val="0C733836"/>
    <w:rsid w:val="0C735804"/>
    <w:rsid w:val="0C7358DA"/>
    <w:rsid w:val="0C740124"/>
    <w:rsid w:val="0C741652"/>
    <w:rsid w:val="0C7468B1"/>
    <w:rsid w:val="0C751CE9"/>
    <w:rsid w:val="0C752CF5"/>
    <w:rsid w:val="0C753E94"/>
    <w:rsid w:val="0C755998"/>
    <w:rsid w:val="0C7563F3"/>
    <w:rsid w:val="0C756F5B"/>
    <w:rsid w:val="0C760F26"/>
    <w:rsid w:val="0C762CD4"/>
    <w:rsid w:val="0C770BC8"/>
    <w:rsid w:val="0C7711D8"/>
    <w:rsid w:val="0C7739F0"/>
    <w:rsid w:val="0C774C9E"/>
    <w:rsid w:val="0C775615"/>
    <w:rsid w:val="0C776A4C"/>
    <w:rsid w:val="0C781DCE"/>
    <w:rsid w:val="0C782EF0"/>
    <w:rsid w:val="0C7926DC"/>
    <w:rsid w:val="0C7927C4"/>
    <w:rsid w:val="0C7A3240"/>
    <w:rsid w:val="0C7A5FDE"/>
    <w:rsid w:val="0C7B478E"/>
    <w:rsid w:val="0C7B653C"/>
    <w:rsid w:val="0C7B6B67"/>
    <w:rsid w:val="0C7C4062"/>
    <w:rsid w:val="0C7C7291"/>
    <w:rsid w:val="0C7C7FF7"/>
    <w:rsid w:val="0C7D0506"/>
    <w:rsid w:val="0C7D22B4"/>
    <w:rsid w:val="0C7E10A4"/>
    <w:rsid w:val="0C7E16EC"/>
    <w:rsid w:val="0C7E3DA7"/>
    <w:rsid w:val="0C7E427E"/>
    <w:rsid w:val="0C7E5E2A"/>
    <w:rsid w:val="0C7E602C"/>
    <w:rsid w:val="0C7E6BD6"/>
    <w:rsid w:val="0C7E7DDA"/>
    <w:rsid w:val="0C7F4BBA"/>
    <w:rsid w:val="0C7F6978"/>
    <w:rsid w:val="0C7F79A0"/>
    <w:rsid w:val="0C801DA5"/>
    <w:rsid w:val="0C803B53"/>
    <w:rsid w:val="0C80404E"/>
    <w:rsid w:val="0C807FF6"/>
    <w:rsid w:val="0C8111E0"/>
    <w:rsid w:val="0C811298"/>
    <w:rsid w:val="0C811679"/>
    <w:rsid w:val="0C8118F7"/>
    <w:rsid w:val="0C81697F"/>
    <w:rsid w:val="0C8278CB"/>
    <w:rsid w:val="0C833643"/>
    <w:rsid w:val="0C8353F1"/>
    <w:rsid w:val="0C835606"/>
    <w:rsid w:val="0C835D77"/>
    <w:rsid w:val="0C843841"/>
    <w:rsid w:val="0C8510A9"/>
    <w:rsid w:val="0C851169"/>
    <w:rsid w:val="0C85287A"/>
    <w:rsid w:val="0C854022"/>
    <w:rsid w:val="0C856243"/>
    <w:rsid w:val="0C860DC6"/>
    <w:rsid w:val="0C8621FB"/>
    <w:rsid w:val="0C874EE1"/>
    <w:rsid w:val="0C87510A"/>
    <w:rsid w:val="0C882A07"/>
    <w:rsid w:val="0C88586B"/>
    <w:rsid w:val="0C89471E"/>
    <w:rsid w:val="0C8A1D93"/>
    <w:rsid w:val="0C8A519B"/>
    <w:rsid w:val="0C8A677F"/>
    <w:rsid w:val="0C8B4F1B"/>
    <w:rsid w:val="0C8C0749"/>
    <w:rsid w:val="0C8C0D2E"/>
    <w:rsid w:val="0C8C24F7"/>
    <w:rsid w:val="0C8C5F02"/>
    <w:rsid w:val="0C8C63AB"/>
    <w:rsid w:val="0C8C699B"/>
    <w:rsid w:val="0C8D0588"/>
    <w:rsid w:val="0C8D0F7C"/>
    <w:rsid w:val="0C8D626F"/>
    <w:rsid w:val="0C8E2713"/>
    <w:rsid w:val="0C8E44C1"/>
    <w:rsid w:val="0C8E4C81"/>
    <w:rsid w:val="0C8E4FDD"/>
    <w:rsid w:val="0C8E517D"/>
    <w:rsid w:val="0C8E7309"/>
    <w:rsid w:val="0C8E7331"/>
    <w:rsid w:val="0C8F1818"/>
    <w:rsid w:val="0C8F26B3"/>
    <w:rsid w:val="0C902932"/>
    <w:rsid w:val="0C9043A0"/>
    <w:rsid w:val="0C907B5D"/>
    <w:rsid w:val="0C9108DB"/>
    <w:rsid w:val="0C91272E"/>
    <w:rsid w:val="0C913243"/>
    <w:rsid w:val="0C913DEE"/>
    <w:rsid w:val="0C915D60"/>
    <w:rsid w:val="0C922D96"/>
    <w:rsid w:val="0C923886"/>
    <w:rsid w:val="0C924DEE"/>
    <w:rsid w:val="0C930CAB"/>
    <w:rsid w:val="0C93150A"/>
    <w:rsid w:val="0C931AD8"/>
    <w:rsid w:val="0C933BF2"/>
    <w:rsid w:val="0C935AD8"/>
    <w:rsid w:val="0C937D2A"/>
    <w:rsid w:val="0C9413AC"/>
    <w:rsid w:val="0C9456BE"/>
    <w:rsid w:val="0C9475FE"/>
    <w:rsid w:val="0C950B9E"/>
    <w:rsid w:val="0C951777"/>
    <w:rsid w:val="0C9526EF"/>
    <w:rsid w:val="0C9546EB"/>
    <w:rsid w:val="0C96145B"/>
    <w:rsid w:val="0C9615C8"/>
    <w:rsid w:val="0C962507"/>
    <w:rsid w:val="0C967DD4"/>
    <w:rsid w:val="0C970E9C"/>
    <w:rsid w:val="0C974BFF"/>
    <w:rsid w:val="0C985340"/>
    <w:rsid w:val="0C9870EE"/>
    <w:rsid w:val="0C99097B"/>
    <w:rsid w:val="0C9920F0"/>
    <w:rsid w:val="0C992E66"/>
    <w:rsid w:val="0C99322E"/>
    <w:rsid w:val="0C994C14"/>
    <w:rsid w:val="0C99711A"/>
    <w:rsid w:val="0C9A023C"/>
    <w:rsid w:val="0C9B098C"/>
    <w:rsid w:val="0C9B273A"/>
    <w:rsid w:val="0C9C412E"/>
    <w:rsid w:val="0C9C4590"/>
    <w:rsid w:val="0C9D2956"/>
    <w:rsid w:val="0C9D4705"/>
    <w:rsid w:val="0C9D67D6"/>
    <w:rsid w:val="0C9D747A"/>
    <w:rsid w:val="0C9E047D"/>
    <w:rsid w:val="0C9E222B"/>
    <w:rsid w:val="0C9E2EFD"/>
    <w:rsid w:val="0C9E4A2F"/>
    <w:rsid w:val="0C9E5EAB"/>
    <w:rsid w:val="0C9F46C4"/>
    <w:rsid w:val="0C9F5F62"/>
    <w:rsid w:val="0C9F65F1"/>
    <w:rsid w:val="0C9F6E57"/>
    <w:rsid w:val="0CA02447"/>
    <w:rsid w:val="0CA041F5"/>
    <w:rsid w:val="0CA05FA3"/>
    <w:rsid w:val="0CA11D8B"/>
    <w:rsid w:val="0CA21D1B"/>
    <w:rsid w:val="0CA23AC9"/>
    <w:rsid w:val="0CA331A2"/>
    <w:rsid w:val="0CA35A93"/>
    <w:rsid w:val="0CA37841"/>
    <w:rsid w:val="0CA43CE5"/>
    <w:rsid w:val="0CA4567B"/>
    <w:rsid w:val="0CA46F8E"/>
    <w:rsid w:val="0CA47203"/>
    <w:rsid w:val="0CA47B99"/>
    <w:rsid w:val="0CA50693"/>
    <w:rsid w:val="0CA55289"/>
    <w:rsid w:val="0CA55361"/>
    <w:rsid w:val="0CA57283"/>
    <w:rsid w:val="0CA57A5D"/>
    <w:rsid w:val="0CA61B23"/>
    <w:rsid w:val="0CA674A0"/>
    <w:rsid w:val="0CA710DF"/>
    <w:rsid w:val="0CA72AB2"/>
    <w:rsid w:val="0CA72FB3"/>
    <w:rsid w:val="0CA737D5"/>
    <w:rsid w:val="0CA75583"/>
    <w:rsid w:val="0CA77331"/>
    <w:rsid w:val="0CA80339"/>
    <w:rsid w:val="0CA830A9"/>
    <w:rsid w:val="0CA83C65"/>
    <w:rsid w:val="0CA87014"/>
    <w:rsid w:val="0CA871B9"/>
    <w:rsid w:val="0CA904A4"/>
    <w:rsid w:val="0CA93102"/>
    <w:rsid w:val="0CA96CF0"/>
    <w:rsid w:val="0CAA23E1"/>
    <w:rsid w:val="0CAA6E21"/>
    <w:rsid w:val="0CAA7BE3"/>
    <w:rsid w:val="0CAB2A25"/>
    <w:rsid w:val="0CAB2EAE"/>
    <w:rsid w:val="0CAB6388"/>
    <w:rsid w:val="0CAB7DDE"/>
    <w:rsid w:val="0CAC0566"/>
    <w:rsid w:val="0CAC0DEC"/>
    <w:rsid w:val="0CAC39D9"/>
    <w:rsid w:val="0CAC5183"/>
    <w:rsid w:val="0CAD246E"/>
    <w:rsid w:val="0CAD2B47"/>
    <w:rsid w:val="0CAD4DE5"/>
    <w:rsid w:val="0CAD6E25"/>
    <w:rsid w:val="0CAF268A"/>
    <w:rsid w:val="0CAF28DC"/>
    <w:rsid w:val="0CAF61E6"/>
    <w:rsid w:val="0CAF7BEE"/>
    <w:rsid w:val="0CB00B7B"/>
    <w:rsid w:val="0CB05059"/>
    <w:rsid w:val="0CB057A5"/>
    <w:rsid w:val="0CB11F5E"/>
    <w:rsid w:val="0CB13202"/>
    <w:rsid w:val="0CB13BEE"/>
    <w:rsid w:val="0CB16402"/>
    <w:rsid w:val="0CB16AEF"/>
    <w:rsid w:val="0CB172D4"/>
    <w:rsid w:val="0CB234D4"/>
    <w:rsid w:val="0CB31C6C"/>
    <w:rsid w:val="0CB33F28"/>
    <w:rsid w:val="0CB34126"/>
    <w:rsid w:val="0CB347CF"/>
    <w:rsid w:val="0CB35CD6"/>
    <w:rsid w:val="0CB40333"/>
    <w:rsid w:val="0CB425F0"/>
    <w:rsid w:val="0CB437FC"/>
    <w:rsid w:val="0CB4714F"/>
    <w:rsid w:val="0CB47CA0"/>
    <w:rsid w:val="0CB50187"/>
    <w:rsid w:val="0CB504B7"/>
    <w:rsid w:val="0CB54215"/>
    <w:rsid w:val="0CB54382"/>
    <w:rsid w:val="0CB56A46"/>
    <w:rsid w:val="0CB57DE8"/>
    <w:rsid w:val="0CB61617"/>
    <w:rsid w:val="0CB657C6"/>
    <w:rsid w:val="0CB67CA5"/>
    <w:rsid w:val="0CB71594"/>
    <w:rsid w:val="0CB720A5"/>
    <w:rsid w:val="0CB7422D"/>
    <w:rsid w:val="0CB7428A"/>
    <w:rsid w:val="0CB74623"/>
    <w:rsid w:val="0CB803A6"/>
    <w:rsid w:val="0CB832EC"/>
    <w:rsid w:val="0CB87790"/>
    <w:rsid w:val="0CB90E13"/>
    <w:rsid w:val="0CB952B6"/>
    <w:rsid w:val="0CBA1428"/>
    <w:rsid w:val="0CBA3508"/>
    <w:rsid w:val="0CBA3AB9"/>
    <w:rsid w:val="0CBA4D79"/>
    <w:rsid w:val="0CBA77D6"/>
    <w:rsid w:val="0CBB296F"/>
    <w:rsid w:val="0CBB2DDD"/>
    <w:rsid w:val="0CBB30BD"/>
    <w:rsid w:val="0CBB7507"/>
    <w:rsid w:val="0CBC0125"/>
    <w:rsid w:val="0CBC2E44"/>
    <w:rsid w:val="0CBC3CE3"/>
    <w:rsid w:val="0CBC5489"/>
    <w:rsid w:val="0CBD0903"/>
    <w:rsid w:val="0CBD0A57"/>
    <w:rsid w:val="0CBD14EA"/>
    <w:rsid w:val="0CBD4361"/>
    <w:rsid w:val="0CBD4DA7"/>
    <w:rsid w:val="0CBD6B55"/>
    <w:rsid w:val="0CBD77C4"/>
    <w:rsid w:val="0CBD7845"/>
    <w:rsid w:val="0CBE467B"/>
    <w:rsid w:val="0CBE5BED"/>
    <w:rsid w:val="0CBE6B66"/>
    <w:rsid w:val="0CBF15D6"/>
    <w:rsid w:val="0CBF1A59"/>
    <w:rsid w:val="0CBF28BA"/>
    <w:rsid w:val="0CBF2D9F"/>
    <w:rsid w:val="0CBF3DFC"/>
    <w:rsid w:val="0CBF52DA"/>
    <w:rsid w:val="0CC003F3"/>
    <w:rsid w:val="0CC021A1"/>
    <w:rsid w:val="0CC02ECE"/>
    <w:rsid w:val="0CC04897"/>
    <w:rsid w:val="0CC05EC8"/>
    <w:rsid w:val="0CC06645"/>
    <w:rsid w:val="0CC1463D"/>
    <w:rsid w:val="0CC14C34"/>
    <w:rsid w:val="0CC15289"/>
    <w:rsid w:val="0CC1672A"/>
    <w:rsid w:val="0CC20F2F"/>
    <w:rsid w:val="0CC223BD"/>
    <w:rsid w:val="0CC2278B"/>
    <w:rsid w:val="0CC22F81"/>
    <w:rsid w:val="0CC24F44"/>
    <w:rsid w:val="0CC25F19"/>
    <w:rsid w:val="0CC260AF"/>
    <w:rsid w:val="0CC304D9"/>
    <w:rsid w:val="0CC31C91"/>
    <w:rsid w:val="0CC358E9"/>
    <w:rsid w:val="0CC376A4"/>
    <w:rsid w:val="0CC42114"/>
    <w:rsid w:val="0CC450AB"/>
    <w:rsid w:val="0CC47EE3"/>
    <w:rsid w:val="0CC506A0"/>
    <w:rsid w:val="0CC51DA6"/>
    <w:rsid w:val="0CC51EAD"/>
    <w:rsid w:val="0CC52718"/>
    <w:rsid w:val="0CC55A09"/>
    <w:rsid w:val="0CC6517C"/>
    <w:rsid w:val="0CC779D3"/>
    <w:rsid w:val="0CC807DA"/>
    <w:rsid w:val="0CC82626"/>
    <w:rsid w:val="0CC83A2C"/>
    <w:rsid w:val="0CC84AD5"/>
    <w:rsid w:val="0CC86339"/>
    <w:rsid w:val="0CC865FD"/>
    <w:rsid w:val="0CC872A8"/>
    <w:rsid w:val="0CC903D5"/>
    <w:rsid w:val="0CC913C8"/>
    <w:rsid w:val="0CC9374C"/>
    <w:rsid w:val="0CC93829"/>
    <w:rsid w:val="0CC93FE1"/>
    <w:rsid w:val="0CC94EBC"/>
    <w:rsid w:val="0CC954FA"/>
    <w:rsid w:val="0CC95B27"/>
    <w:rsid w:val="0CCA1272"/>
    <w:rsid w:val="0CCA1337"/>
    <w:rsid w:val="0CCA22FB"/>
    <w:rsid w:val="0CCA3020"/>
    <w:rsid w:val="0CCA58E6"/>
    <w:rsid w:val="0CCA74C4"/>
    <w:rsid w:val="0CCB54D7"/>
    <w:rsid w:val="0CCB5BAD"/>
    <w:rsid w:val="0CCB79B7"/>
    <w:rsid w:val="0CCC323C"/>
    <w:rsid w:val="0CCC4FEA"/>
    <w:rsid w:val="0CCC6D98"/>
    <w:rsid w:val="0CCD3DF9"/>
    <w:rsid w:val="0CCD4CCD"/>
    <w:rsid w:val="0CCE0D62"/>
    <w:rsid w:val="0CCE2B10"/>
    <w:rsid w:val="0CCE48D4"/>
    <w:rsid w:val="0CCF1734"/>
    <w:rsid w:val="0CCF21BE"/>
    <w:rsid w:val="0CCF38FF"/>
    <w:rsid w:val="0CCF4ADA"/>
    <w:rsid w:val="0CD13741"/>
    <w:rsid w:val="0CD13905"/>
    <w:rsid w:val="0CD15214"/>
    <w:rsid w:val="0CD1621F"/>
    <w:rsid w:val="0CD30126"/>
    <w:rsid w:val="0CD33710"/>
    <w:rsid w:val="0CD345CA"/>
    <w:rsid w:val="0CD36378"/>
    <w:rsid w:val="0CD44BA0"/>
    <w:rsid w:val="0CD45C4C"/>
    <w:rsid w:val="0CD5036B"/>
    <w:rsid w:val="0CD520F0"/>
    <w:rsid w:val="0CD55C56"/>
    <w:rsid w:val="0CD619C5"/>
    <w:rsid w:val="0CD651EA"/>
    <w:rsid w:val="0CD67089"/>
    <w:rsid w:val="0CD708D6"/>
    <w:rsid w:val="0CD70950"/>
    <w:rsid w:val="0CD75706"/>
    <w:rsid w:val="0CD75AE9"/>
    <w:rsid w:val="0CD81BE1"/>
    <w:rsid w:val="0CD8286D"/>
    <w:rsid w:val="0CD84175"/>
    <w:rsid w:val="0CD8600E"/>
    <w:rsid w:val="0CD90AA2"/>
    <w:rsid w:val="0CD90C90"/>
    <w:rsid w:val="0CD93263"/>
    <w:rsid w:val="0CD95E41"/>
    <w:rsid w:val="0CD97582"/>
    <w:rsid w:val="0CD97E22"/>
    <w:rsid w:val="0CDA047F"/>
    <w:rsid w:val="0CDA1A45"/>
    <w:rsid w:val="0CDA2270"/>
    <w:rsid w:val="0CDA565D"/>
    <w:rsid w:val="0CDA7707"/>
    <w:rsid w:val="0CDB1964"/>
    <w:rsid w:val="0CDB522D"/>
    <w:rsid w:val="0CDB6FDB"/>
    <w:rsid w:val="0CDB7170"/>
    <w:rsid w:val="0CDC2F61"/>
    <w:rsid w:val="0CDC3332"/>
    <w:rsid w:val="0CDC55B2"/>
    <w:rsid w:val="0CDC67F7"/>
    <w:rsid w:val="0CDD2391"/>
    <w:rsid w:val="0CDD7393"/>
    <w:rsid w:val="0CDE2C47"/>
    <w:rsid w:val="0CDE58EC"/>
    <w:rsid w:val="0CDE6FB4"/>
    <w:rsid w:val="0CDF2F6F"/>
    <w:rsid w:val="0CDF4D1D"/>
    <w:rsid w:val="0CDF76AC"/>
    <w:rsid w:val="0CE007C7"/>
    <w:rsid w:val="0CE00A95"/>
    <w:rsid w:val="0CE045F1"/>
    <w:rsid w:val="0CE063B3"/>
    <w:rsid w:val="0CE145D3"/>
    <w:rsid w:val="0CE20369"/>
    <w:rsid w:val="0CE2480D"/>
    <w:rsid w:val="0CE24BBC"/>
    <w:rsid w:val="0CE265BB"/>
    <w:rsid w:val="0CE27FA3"/>
    <w:rsid w:val="0CE30634"/>
    <w:rsid w:val="0CE32A05"/>
    <w:rsid w:val="0CE3302D"/>
    <w:rsid w:val="0CE33210"/>
    <w:rsid w:val="0CE340E1"/>
    <w:rsid w:val="0CE37C2C"/>
    <w:rsid w:val="0CE40585"/>
    <w:rsid w:val="0CE40AB7"/>
    <w:rsid w:val="0CE42333"/>
    <w:rsid w:val="0CE44695"/>
    <w:rsid w:val="0CE51C08"/>
    <w:rsid w:val="0CE52F54"/>
    <w:rsid w:val="0CE534B3"/>
    <w:rsid w:val="0CE53D5D"/>
    <w:rsid w:val="0CE57B57"/>
    <w:rsid w:val="0CE57E5A"/>
    <w:rsid w:val="0CE67CD8"/>
    <w:rsid w:val="0CE70843"/>
    <w:rsid w:val="0CE7101F"/>
    <w:rsid w:val="0CE71E24"/>
    <w:rsid w:val="0CE73BD2"/>
    <w:rsid w:val="0CE80143"/>
    <w:rsid w:val="0CE812E3"/>
    <w:rsid w:val="0CE815BF"/>
    <w:rsid w:val="0CE816C7"/>
    <w:rsid w:val="0CE818D5"/>
    <w:rsid w:val="0CE916F8"/>
    <w:rsid w:val="0CE95B9C"/>
    <w:rsid w:val="0CEA0507"/>
    <w:rsid w:val="0CEA4CE3"/>
    <w:rsid w:val="0CEA6AE0"/>
    <w:rsid w:val="0CEA6DC6"/>
    <w:rsid w:val="0CEC2E27"/>
    <w:rsid w:val="0CEC3E44"/>
    <w:rsid w:val="0CEC568C"/>
    <w:rsid w:val="0CEC68B1"/>
    <w:rsid w:val="0CEC68EE"/>
    <w:rsid w:val="0CEC7E16"/>
    <w:rsid w:val="0CED3ABE"/>
    <w:rsid w:val="0CED3FC7"/>
    <w:rsid w:val="0CED5185"/>
    <w:rsid w:val="0CED658B"/>
    <w:rsid w:val="0CED6E88"/>
    <w:rsid w:val="0CEE0FFB"/>
    <w:rsid w:val="0CEE3262"/>
    <w:rsid w:val="0CEE3BDA"/>
    <w:rsid w:val="0CEE4F60"/>
    <w:rsid w:val="0CEE52F6"/>
    <w:rsid w:val="0CEE6B82"/>
    <w:rsid w:val="0CEF417E"/>
    <w:rsid w:val="0CF00FA1"/>
    <w:rsid w:val="0CF013D3"/>
    <w:rsid w:val="0CF03C84"/>
    <w:rsid w:val="0CF0488B"/>
    <w:rsid w:val="0CF06F2A"/>
    <w:rsid w:val="0CF10955"/>
    <w:rsid w:val="0CF10F4C"/>
    <w:rsid w:val="0CF12CA2"/>
    <w:rsid w:val="0CF140C8"/>
    <w:rsid w:val="0CF14A50"/>
    <w:rsid w:val="0CF16073"/>
    <w:rsid w:val="0CF26C99"/>
    <w:rsid w:val="0CF307C8"/>
    <w:rsid w:val="0CF33FB3"/>
    <w:rsid w:val="0CF34325"/>
    <w:rsid w:val="0CF36A1F"/>
    <w:rsid w:val="0CF4009D"/>
    <w:rsid w:val="0CF42D8C"/>
    <w:rsid w:val="0CF4418A"/>
    <w:rsid w:val="0CF4470A"/>
    <w:rsid w:val="0CF462EF"/>
    <w:rsid w:val="0CF5024F"/>
    <w:rsid w:val="0CF5208C"/>
    <w:rsid w:val="0CF5223C"/>
    <w:rsid w:val="0CF53316"/>
    <w:rsid w:val="0CF53ED9"/>
    <w:rsid w:val="0CF5561A"/>
    <w:rsid w:val="0CF602B9"/>
    <w:rsid w:val="0CF60A3D"/>
    <w:rsid w:val="0CF62067"/>
    <w:rsid w:val="0CF63E15"/>
    <w:rsid w:val="0CF7422C"/>
    <w:rsid w:val="0CF7457D"/>
    <w:rsid w:val="0CF83803"/>
    <w:rsid w:val="0CF87939"/>
    <w:rsid w:val="0CF87B8D"/>
    <w:rsid w:val="0CF94180"/>
    <w:rsid w:val="0CF956B3"/>
    <w:rsid w:val="0CFA1B57"/>
    <w:rsid w:val="0CFA3905"/>
    <w:rsid w:val="0CFA64A6"/>
    <w:rsid w:val="0CFB148C"/>
    <w:rsid w:val="0CFB1C7B"/>
    <w:rsid w:val="0CFB58CF"/>
    <w:rsid w:val="0CFB6559"/>
    <w:rsid w:val="0CFB767D"/>
    <w:rsid w:val="0CFC6D53"/>
    <w:rsid w:val="0CFD1647"/>
    <w:rsid w:val="0CFD17B7"/>
    <w:rsid w:val="0CFD25B0"/>
    <w:rsid w:val="0CFD51A3"/>
    <w:rsid w:val="0CFE0B3A"/>
    <w:rsid w:val="0CFE2CC9"/>
    <w:rsid w:val="0CFF129D"/>
    <w:rsid w:val="0CFF53BF"/>
    <w:rsid w:val="0CFF5B1F"/>
    <w:rsid w:val="0D000A99"/>
    <w:rsid w:val="0D00272D"/>
    <w:rsid w:val="0D002EE5"/>
    <w:rsid w:val="0D00449A"/>
    <w:rsid w:val="0D006A41"/>
    <w:rsid w:val="0D0077E0"/>
    <w:rsid w:val="0D0227BA"/>
    <w:rsid w:val="0D023645"/>
    <w:rsid w:val="0D024D99"/>
    <w:rsid w:val="0D02678E"/>
    <w:rsid w:val="0D026C5D"/>
    <w:rsid w:val="0D026FA2"/>
    <w:rsid w:val="0D0277D5"/>
    <w:rsid w:val="0D0340E8"/>
    <w:rsid w:val="0D0354AF"/>
    <w:rsid w:val="0D0429D6"/>
    <w:rsid w:val="0D046532"/>
    <w:rsid w:val="0D046711"/>
    <w:rsid w:val="0D0504FC"/>
    <w:rsid w:val="0D0522AA"/>
    <w:rsid w:val="0D053799"/>
    <w:rsid w:val="0D0562D2"/>
    <w:rsid w:val="0D057601"/>
    <w:rsid w:val="0D064E5E"/>
    <w:rsid w:val="0D0664E9"/>
    <w:rsid w:val="0D06659F"/>
    <w:rsid w:val="0D06756B"/>
    <w:rsid w:val="0D0710E4"/>
    <w:rsid w:val="0D0745C7"/>
    <w:rsid w:val="0D076022"/>
    <w:rsid w:val="0D076F45"/>
    <w:rsid w:val="0D077A2F"/>
    <w:rsid w:val="0D077DD0"/>
    <w:rsid w:val="0D084524"/>
    <w:rsid w:val="0D090D77"/>
    <w:rsid w:val="0D091D9A"/>
    <w:rsid w:val="0D0936CE"/>
    <w:rsid w:val="0D097601"/>
    <w:rsid w:val="0D097FEC"/>
    <w:rsid w:val="0D0A78C0"/>
    <w:rsid w:val="0D0B5B12"/>
    <w:rsid w:val="0D0C1728"/>
    <w:rsid w:val="0D0C188A"/>
    <w:rsid w:val="0D0C3638"/>
    <w:rsid w:val="0D0C3AFE"/>
    <w:rsid w:val="0D0C51DF"/>
    <w:rsid w:val="0D0C53E6"/>
    <w:rsid w:val="0D0D63D8"/>
    <w:rsid w:val="0D0D7914"/>
    <w:rsid w:val="0D0E2AC1"/>
    <w:rsid w:val="0D0E5602"/>
    <w:rsid w:val="0D100AE1"/>
    <w:rsid w:val="0D10137A"/>
    <w:rsid w:val="0D102222"/>
    <w:rsid w:val="0D103128"/>
    <w:rsid w:val="0D105541"/>
    <w:rsid w:val="0D110C4F"/>
    <w:rsid w:val="0D1129FD"/>
    <w:rsid w:val="0D1158FC"/>
    <w:rsid w:val="0D122584"/>
    <w:rsid w:val="0D124B42"/>
    <w:rsid w:val="0D125BF3"/>
    <w:rsid w:val="0D127B87"/>
    <w:rsid w:val="0D132133"/>
    <w:rsid w:val="0D13275F"/>
    <w:rsid w:val="0D1349C7"/>
    <w:rsid w:val="0D1351F4"/>
    <w:rsid w:val="0D136775"/>
    <w:rsid w:val="0D137AD8"/>
    <w:rsid w:val="0D1424ED"/>
    <w:rsid w:val="0D144508"/>
    <w:rsid w:val="0D145FC8"/>
    <w:rsid w:val="0D147462"/>
    <w:rsid w:val="0D15073F"/>
    <w:rsid w:val="0D152DB6"/>
    <w:rsid w:val="0D1534C3"/>
    <w:rsid w:val="0D157F91"/>
    <w:rsid w:val="0D160588"/>
    <w:rsid w:val="0D162709"/>
    <w:rsid w:val="0D1644B7"/>
    <w:rsid w:val="0D164883"/>
    <w:rsid w:val="0D164E7A"/>
    <w:rsid w:val="0D165607"/>
    <w:rsid w:val="0D166265"/>
    <w:rsid w:val="0D166E01"/>
    <w:rsid w:val="0D175B88"/>
    <w:rsid w:val="0D1771C4"/>
    <w:rsid w:val="0D1772F4"/>
    <w:rsid w:val="0D177524"/>
    <w:rsid w:val="0D177545"/>
    <w:rsid w:val="0D180114"/>
    <w:rsid w:val="0D18022F"/>
    <w:rsid w:val="0D1809B4"/>
    <w:rsid w:val="0D180B0A"/>
    <w:rsid w:val="0D183D8B"/>
    <w:rsid w:val="0D184421"/>
    <w:rsid w:val="0D186481"/>
    <w:rsid w:val="0D194D02"/>
    <w:rsid w:val="0D197B03"/>
    <w:rsid w:val="0D1A101C"/>
    <w:rsid w:val="0D1A2EB9"/>
    <w:rsid w:val="0D1A32D4"/>
    <w:rsid w:val="0D1A5D63"/>
    <w:rsid w:val="0D1B1ACD"/>
    <w:rsid w:val="0D1B3B37"/>
    <w:rsid w:val="0D1B59B9"/>
    <w:rsid w:val="0D1B7335"/>
    <w:rsid w:val="0D1C166B"/>
    <w:rsid w:val="0D1C22AB"/>
    <w:rsid w:val="0D1C52C4"/>
    <w:rsid w:val="0D1C6AC1"/>
    <w:rsid w:val="0D1C7D1F"/>
    <w:rsid w:val="0D1D28A2"/>
    <w:rsid w:val="0D1D5845"/>
    <w:rsid w:val="0D1D6117"/>
    <w:rsid w:val="0D1D65A7"/>
    <w:rsid w:val="0D1D6B9E"/>
    <w:rsid w:val="0D1D75F3"/>
    <w:rsid w:val="0D1E070A"/>
    <w:rsid w:val="0D1E3490"/>
    <w:rsid w:val="0D1E5CB6"/>
    <w:rsid w:val="0D1E7195"/>
    <w:rsid w:val="0D1F0FAA"/>
    <w:rsid w:val="0D1F35D6"/>
    <w:rsid w:val="0D1F590A"/>
    <w:rsid w:val="0D1F5DD5"/>
    <w:rsid w:val="0D2005D6"/>
    <w:rsid w:val="0D2027F3"/>
    <w:rsid w:val="0D203680"/>
    <w:rsid w:val="0D2045E3"/>
    <w:rsid w:val="0D210E55"/>
    <w:rsid w:val="0D211A66"/>
    <w:rsid w:val="0D213998"/>
    <w:rsid w:val="0D222E5C"/>
    <w:rsid w:val="0D224637"/>
    <w:rsid w:val="0D226B64"/>
    <w:rsid w:val="0D227473"/>
    <w:rsid w:val="0D231027"/>
    <w:rsid w:val="0D234B29"/>
    <w:rsid w:val="0D237A2F"/>
    <w:rsid w:val="0D240982"/>
    <w:rsid w:val="0D241B28"/>
    <w:rsid w:val="0D242323"/>
    <w:rsid w:val="0D242770"/>
    <w:rsid w:val="0D243D8A"/>
    <w:rsid w:val="0D245EB3"/>
    <w:rsid w:val="0D246F57"/>
    <w:rsid w:val="0D2546FA"/>
    <w:rsid w:val="0D2564A8"/>
    <w:rsid w:val="0D2575CD"/>
    <w:rsid w:val="0D261A23"/>
    <w:rsid w:val="0D261E54"/>
    <w:rsid w:val="0D26294C"/>
    <w:rsid w:val="0D264448"/>
    <w:rsid w:val="0D265E5E"/>
    <w:rsid w:val="0D270FB0"/>
    <w:rsid w:val="0D272220"/>
    <w:rsid w:val="0D2848B2"/>
    <w:rsid w:val="0D285365"/>
    <w:rsid w:val="0D286D68"/>
    <w:rsid w:val="0D291939"/>
    <w:rsid w:val="0D293878"/>
    <w:rsid w:val="0D293F6D"/>
    <w:rsid w:val="0D2942B1"/>
    <w:rsid w:val="0D2A1D10"/>
    <w:rsid w:val="0D2A3ABE"/>
    <w:rsid w:val="0D2B61B4"/>
    <w:rsid w:val="0D2B6E2A"/>
    <w:rsid w:val="0D2B7F62"/>
    <w:rsid w:val="0D2C3CDA"/>
    <w:rsid w:val="0D2C7836"/>
    <w:rsid w:val="0D2E1801"/>
    <w:rsid w:val="0D2E2B60"/>
    <w:rsid w:val="0D2E2BDA"/>
    <w:rsid w:val="0D2E35AF"/>
    <w:rsid w:val="0D2E57AB"/>
    <w:rsid w:val="0D2E7A52"/>
    <w:rsid w:val="0D2F12C1"/>
    <w:rsid w:val="0D2F300B"/>
    <w:rsid w:val="0D2F406A"/>
    <w:rsid w:val="0D2F65E9"/>
    <w:rsid w:val="0D2F6C3B"/>
    <w:rsid w:val="0D301714"/>
    <w:rsid w:val="0D305579"/>
    <w:rsid w:val="0D305FBB"/>
    <w:rsid w:val="0D307327"/>
    <w:rsid w:val="0D312C9C"/>
    <w:rsid w:val="0D31309F"/>
    <w:rsid w:val="0D314E4D"/>
    <w:rsid w:val="0D316356"/>
    <w:rsid w:val="0D3229EB"/>
    <w:rsid w:val="0D322E53"/>
    <w:rsid w:val="0D3255EA"/>
    <w:rsid w:val="0D326F06"/>
    <w:rsid w:val="0D330BC5"/>
    <w:rsid w:val="0D33174E"/>
    <w:rsid w:val="0D334126"/>
    <w:rsid w:val="0D335069"/>
    <w:rsid w:val="0D3355BC"/>
    <w:rsid w:val="0D336BBE"/>
    <w:rsid w:val="0D336E17"/>
    <w:rsid w:val="0D337FE6"/>
    <w:rsid w:val="0D34161D"/>
    <w:rsid w:val="0D343DD7"/>
    <w:rsid w:val="0D350DE1"/>
    <w:rsid w:val="0D35136C"/>
    <w:rsid w:val="0D352B8F"/>
    <w:rsid w:val="0D35493D"/>
    <w:rsid w:val="0D3600BA"/>
    <w:rsid w:val="0D3606B5"/>
    <w:rsid w:val="0D3627FC"/>
    <w:rsid w:val="0D363981"/>
    <w:rsid w:val="0D366F3D"/>
    <w:rsid w:val="0D371818"/>
    <w:rsid w:val="0D3736B1"/>
    <w:rsid w:val="0D374B59"/>
    <w:rsid w:val="0D38142E"/>
    <w:rsid w:val="0D38267F"/>
    <w:rsid w:val="0D384F87"/>
    <w:rsid w:val="0D3861DB"/>
    <w:rsid w:val="0D386EBC"/>
    <w:rsid w:val="0D387202"/>
    <w:rsid w:val="0D387F9E"/>
    <w:rsid w:val="0D39185F"/>
    <w:rsid w:val="0D391AEE"/>
    <w:rsid w:val="0D3A01A5"/>
    <w:rsid w:val="0D3A117D"/>
    <w:rsid w:val="0D3A63F7"/>
    <w:rsid w:val="0D3A7E81"/>
    <w:rsid w:val="0D3B1D4D"/>
    <w:rsid w:val="0D3B3F1D"/>
    <w:rsid w:val="0D3B46E4"/>
    <w:rsid w:val="0D3B51DE"/>
    <w:rsid w:val="0D3B5CCB"/>
    <w:rsid w:val="0D3C216F"/>
    <w:rsid w:val="0D3C254C"/>
    <w:rsid w:val="0D3C6790"/>
    <w:rsid w:val="0D3D37F2"/>
    <w:rsid w:val="0D3D5EE8"/>
    <w:rsid w:val="0D3D6265"/>
    <w:rsid w:val="0D3D7C96"/>
    <w:rsid w:val="0D3E1DBF"/>
    <w:rsid w:val="0D3E5CED"/>
    <w:rsid w:val="0D3E70EA"/>
    <w:rsid w:val="0D3F12B5"/>
    <w:rsid w:val="0D3F3A0E"/>
    <w:rsid w:val="0D3F756A"/>
    <w:rsid w:val="0D4032E2"/>
    <w:rsid w:val="0D404FEF"/>
    <w:rsid w:val="0D411534"/>
    <w:rsid w:val="0D412201"/>
    <w:rsid w:val="0D414358"/>
    <w:rsid w:val="0D416978"/>
    <w:rsid w:val="0D417786"/>
    <w:rsid w:val="0D4224E0"/>
    <w:rsid w:val="0D4234FE"/>
    <w:rsid w:val="0D4268B6"/>
    <w:rsid w:val="0D42705A"/>
    <w:rsid w:val="0D427FBC"/>
    <w:rsid w:val="0D431023"/>
    <w:rsid w:val="0D431241"/>
    <w:rsid w:val="0D436CF5"/>
    <w:rsid w:val="0D442DD2"/>
    <w:rsid w:val="0D444B80"/>
    <w:rsid w:val="0D444E00"/>
    <w:rsid w:val="0D447276"/>
    <w:rsid w:val="0D4479D1"/>
    <w:rsid w:val="0D447F1F"/>
    <w:rsid w:val="0D4505A4"/>
    <w:rsid w:val="0D4508F8"/>
    <w:rsid w:val="0D450F6F"/>
    <w:rsid w:val="0D45612B"/>
    <w:rsid w:val="0D4566F6"/>
    <w:rsid w:val="0D4622F1"/>
    <w:rsid w:val="0D463014"/>
    <w:rsid w:val="0D464D9C"/>
    <w:rsid w:val="0D4665C8"/>
    <w:rsid w:val="0D466B4A"/>
    <w:rsid w:val="0D466DFE"/>
    <w:rsid w:val="0D467078"/>
    <w:rsid w:val="0D470B14"/>
    <w:rsid w:val="0D473781"/>
    <w:rsid w:val="0D474CAC"/>
    <w:rsid w:val="0D47649D"/>
    <w:rsid w:val="0D480C24"/>
    <w:rsid w:val="0D482A49"/>
    <w:rsid w:val="0D4903E8"/>
    <w:rsid w:val="0D49663A"/>
    <w:rsid w:val="0D4A3843"/>
    <w:rsid w:val="0D4A53DE"/>
    <w:rsid w:val="0D4A5F0F"/>
    <w:rsid w:val="0D4A649E"/>
    <w:rsid w:val="0D4B16DA"/>
    <w:rsid w:val="0D4B18AA"/>
    <w:rsid w:val="0D4B2102"/>
    <w:rsid w:val="0D4B23B2"/>
    <w:rsid w:val="0D4B355C"/>
    <w:rsid w:val="0D4B4161"/>
    <w:rsid w:val="0D4B4CD3"/>
    <w:rsid w:val="0D4B64BF"/>
    <w:rsid w:val="0D4C0100"/>
    <w:rsid w:val="0D4C0A4B"/>
    <w:rsid w:val="0D4C1C87"/>
    <w:rsid w:val="0D4C30E6"/>
    <w:rsid w:val="0D4C3218"/>
    <w:rsid w:val="0D4C612B"/>
    <w:rsid w:val="0D4C6896"/>
    <w:rsid w:val="0D4C7ED9"/>
    <w:rsid w:val="0D4D0D34"/>
    <w:rsid w:val="0D4D4D38"/>
    <w:rsid w:val="0D4E0A83"/>
    <w:rsid w:val="0D4E1EA3"/>
    <w:rsid w:val="0D4E59FF"/>
    <w:rsid w:val="0D4F144C"/>
    <w:rsid w:val="0D4F26D7"/>
    <w:rsid w:val="0D4F3654"/>
    <w:rsid w:val="0D4F7564"/>
    <w:rsid w:val="0D4F7AC0"/>
    <w:rsid w:val="0D501777"/>
    <w:rsid w:val="0D502948"/>
    <w:rsid w:val="0D505779"/>
    <w:rsid w:val="0D505C1B"/>
    <w:rsid w:val="0D506A1B"/>
    <w:rsid w:val="0D5079C9"/>
    <w:rsid w:val="0D507E3D"/>
    <w:rsid w:val="0D5146C3"/>
    <w:rsid w:val="0D5154EF"/>
    <w:rsid w:val="0D51729D"/>
    <w:rsid w:val="0D523741"/>
    <w:rsid w:val="0D525902"/>
    <w:rsid w:val="0D530A6B"/>
    <w:rsid w:val="0D531267"/>
    <w:rsid w:val="0D533465"/>
    <w:rsid w:val="0D535BA1"/>
    <w:rsid w:val="0D5438AA"/>
    <w:rsid w:val="0D547510"/>
    <w:rsid w:val="0D5541BD"/>
    <w:rsid w:val="0D554FDF"/>
    <w:rsid w:val="0D563923"/>
    <w:rsid w:val="0D567F3B"/>
    <w:rsid w:val="0D570D57"/>
    <w:rsid w:val="0D573276"/>
    <w:rsid w:val="0D574B62"/>
    <w:rsid w:val="0D574E1F"/>
    <w:rsid w:val="0D576FA9"/>
    <w:rsid w:val="0D5850EA"/>
    <w:rsid w:val="0D585751"/>
    <w:rsid w:val="0D585E47"/>
    <w:rsid w:val="0D58687D"/>
    <w:rsid w:val="0D5A0767"/>
    <w:rsid w:val="0D5A0848"/>
    <w:rsid w:val="0D5A2D36"/>
    <w:rsid w:val="0D5A5789"/>
    <w:rsid w:val="0D5B011C"/>
    <w:rsid w:val="0D5B0F8B"/>
    <w:rsid w:val="0D5B21DB"/>
    <w:rsid w:val="0D5B48F1"/>
    <w:rsid w:val="0D5C29AD"/>
    <w:rsid w:val="0D5C45C0"/>
    <w:rsid w:val="0D5C520C"/>
    <w:rsid w:val="0D5C636E"/>
    <w:rsid w:val="0D5D08D7"/>
    <w:rsid w:val="0D5D1C43"/>
    <w:rsid w:val="0D5D3E94"/>
    <w:rsid w:val="0D5D5C42"/>
    <w:rsid w:val="0D5E609F"/>
    <w:rsid w:val="0D5F19BA"/>
    <w:rsid w:val="0D5F3A22"/>
    <w:rsid w:val="0D5F45B2"/>
    <w:rsid w:val="0D5F45D9"/>
    <w:rsid w:val="0D5F7C0C"/>
    <w:rsid w:val="0D600D4E"/>
    <w:rsid w:val="0D604CBC"/>
    <w:rsid w:val="0D6058C3"/>
    <w:rsid w:val="0D6062FB"/>
    <w:rsid w:val="0D61063A"/>
    <w:rsid w:val="0D611BD6"/>
    <w:rsid w:val="0D612A2F"/>
    <w:rsid w:val="0D620537"/>
    <w:rsid w:val="0D6214AA"/>
    <w:rsid w:val="0D621ACA"/>
    <w:rsid w:val="0D621C7D"/>
    <w:rsid w:val="0D624402"/>
    <w:rsid w:val="0D633FA8"/>
    <w:rsid w:val="0D63594E"/>
    <w:rsid w:val="0D637D73"/>
    <w:rsid w:val="0D643474"/>
    <w:rsid w:val="0D645222"/>
    <w:rsid w:val="0D64590E"/>
    <w:rsid w:val="0D646FD0"/>
    <w:rsid w:val="0D65587A"/>
    <w:rsid w:val="0D656EE8"/>
    <w:rsid w:val="0D660F9A"/>
    <w:rsid w:val="0D662B01"/>
    <w:rsid w:val="0D66372F"/>
    <w:rsid w:val="0D6671EC"/>
    <w:rsid w:val="0D672D6B"/>
    <w:rsid w:val="0D674430"/>
    <w:rsid w:val="0D6765E2"/>
    <w:rsid w:val="0D6801BB"/>
    <w:rsid w:val="0D682540"/>
    <w:rsid w:val="0D682F64"/>
    <w:rsid w:val="0D684661"/>
    <w:rsid w:val="0D69025C"/>
    <w:rsid w:val="0D690E19"/>
    <w:rsid w:val="0D692839"/>
    <w:rsid w:val="0D693500"/>
    <w:rsid w:val="0D696CDD"/>
    <w:rsid w:val="0D6A203E"/>
    <w:rsid w:val="0D6B2B7C"/>
    <w:rsid w:val="0D6B4803"/>
    <w:rsid w:val="0D6B5BFF"/>
    <w:rsid w:val="0D6B65B1"/>
    <w:rsid w:val="0D6B7290"/>
    <w:rsid w:val="0D6B751E"/>
    <w:rsid w:val="0D6B755C"/>
    <w:rsid w:val="0D6C0594"/>
    <w:rsid w:val="0D6C400C"/>
    <w:rsid w:val="0D6C41DE"/>
    <w:rsid w:val="0D6C574D"/>
    <w:rsid w:val="0D6D09CE"/>
    <w:rsid w:val="0D6D19B3"/>
    <w:rsid w:val="0D6D3993"/>
    <w:rsid w:val="0D6D52AE"/>
    <w:rsid w:val="0D6D5659"/>
    <w:rsid w:val="0D6D57BA"/>
    <w:rsid w:val="0D6D6BDD"/>
    <w:rsid w:val="0D6E06AF"/>
    <w:rsid w:val="0D6E2C3E"/>
    <w:rsid w:val="0D6E42F3"/>
    <w:rsid w:val="0D6E60A1"/>
    <w:rsid w:val="0D6E7E4F"/>
    <w:rsid w:val="0D6F31F8"/>
    <w:rsid w:val="0D6F40CE"/>
    <w:rsid w:val="0D70006B"/>
    <w:rsid w:val="0D700439"/>
    <w:rsid w:val="0D701E19"/>
    <w:rsid w:val="0D703BC7"/>
    <w:rsid w:val="0D705975"/>
    <w:rsid w:val="0D7062A1"/>
    <w:rsid w:val="0D707A81"/>
    <w:rsid w:val="0D710F59"/>
    <w:rsid w:val="0D7116ED"/>
    <w:rsid w:val="0D717922"/>
    <w:rsid w:val="0D717F69"/>
    <w:rsid w:val="0D7230BA"/>
    <w:rsid w:val="0D725B91"/>
    <w:rsid w:val="0D7267ED"/>
    <w:rsid w:val="0D726DE4"/>
    <w:rsid w:val="0D73130E"/>
    <w:rsid w:val="0D731909"/>
    <w:rsid w:val="0D732A4F"/>
    <w:rsid w:val="0D7336D7"/>
    <w:rsid w:val="0D735465"/>
    <w:rsid w:val="0D7373DB"/>
    <w:rsid w:val="0D742962"/>
    <w:rsid w:val="0D7452E2"/>
    <w:rsid w:val="0D7479D2"/>
    <w:rsid w:val="0D7511DD"/>
    <w:rsid w:val="0D7524CC"/>
    <w:rsid w:val="0D7543A1"/>
    <w:rsid w:val="0D755681"/>
    <w:rsid w:val="0D7613D0"/>
    <w:rsid w:val="0D766D04"/>
    <w:rsid w:val="0D76732C"/>
    <w:rsid w:val="0D7716E2"/>
    <w:rsid w:val="0D774F56"/>
    <w:rsid w:val="0D782A7C"/>
    <w:rsid w:val="0D78328F"/>
    <w:rsid w:val="0D784215"/>
    <w:rsid w:val="0D7868C1"/>
    <w:rsid w:val="0D786F20"/>
    <w:rsid w:val="0D791A81"/>
    <w:rsid w:val="0D791E40"/>
    <w:rsid w:val="0D79498B"/>
    <w:rsid w:val="0D7A0209"/>
    <w:rsid w:val="0D7A28CA"/>
    <w:rsid w:val="0D7A2B7C"/>
    <w:rsid w:val="0D7A2C98"/>
    <w:rsid w:val="0D7A4A46"/>
    <w:rsid w:val="0D7A6610"/>
    <w:rsid w:val="0D7A67F4"/>
    <w:rsid w:val="0D7A77FB"/>
    <w:rsid w:val="0D7B3EF9"/>
    <w:rsid w:val="0D7B6D4B"/>
    <w:rsid w:val="0D7B752A"/>
    <w:rsid w:val="0D7C07BE"/>
    <w:rsid w:val="0D7C0E79"/>
    <w:rsid w:val="0D7C256C"/>
    <w:rsid w:val="0D7C6A10"/>
    <w:rsid w:val="0D7C6D79"/>
    <w:rsid w:val="0D7D0092"/>
    <w:rsid w:val="0D7D2839"/>
    <w:rsid w:val="0D7D4536"/>
    <w:rsid w:val="0D7D62E4"/>
    <w:rsid w:val="0D7E038A"/>
    <w:rsid w:val="0D7E0F2A"/>
    <w:rsid w:val="0D7E414B"/>
    <w:rsid w:val="0D7E7B62"/>
    <w:rsid w:val="0D7F02AE"/>
    <w:rsid w:val="0D7F0B15"/>
    <w:rsid w:val="0D7F1873"/>
    <w:rsid w:val="0D7F70C7"/>
    <w:rsid w:val="0D7F75AA"/>
    <w:rsid w:val="0D813379"/>
    <w:rsid w:val="0D814026"/>
    <w:rsid w:val="0D815DD4"/>
    <w:rsid w:val="0D817B82"/>
    <w:rsid w:val="0D825106"/>
    <w:rsid w:val="0D8256A8"/>
    <w:rsid w:val="0D82680C"/>
    <w:rsid w:val="0D833342"/>
    <w:rsid w:val="0D837081"/>
    <w:rsid w:val="0D83761A"/>
    <w:rsid w:val="0D842293"/>
    <w:rsid w:val="0D852C00"/>
    <w:rsid w:val="0D8562F4"/>
    <w:rsid w:val="0D86087B"/>
    <w:rsid w:val="0D86163D"/>
    <w:rsid w:val="0D8633EB"/>
    <w:rsid w:val="0D865199"/>
    <w:rsid w:val="0D870F11"/>
    <w:rsid w:val="0D87341B"/>
    <w:rsid w:val="0D876A78"/>
    <w:rsid w:val="0D8853B5"/>
    <w:rsid w:val="0D887163"/>
    <w:rsid w:val="0D894C75"/>
    <w:rsid w:val="0D894C89"/>
    <w:rsid w:val="0D896A37"/>
    <w:rsid w:val="0D896FCD"/>
    <w:rsid w:val="0D8A2702"/>
    <w:rsid w:val="0D8A3BCC"/>
    <w:rsid w:val="0D8A54C1"/>
    <w:rsid w:val="0D8A6105"/>
    <w:rsid w:val="0D8A7FDB"/>
    <w:rsid w:val="0D8B0A01"/>
    <w:rsid w:val="0D8B2166"/>
    <w:rsid w:val="0D8B27AF"/>
    <w:rsid w:val="0D8B6C53"/>
    <w:rsid w:val="0D8B7595"/>
    <w:rsid w:val="0D8C0A20"/>
    <w:rsid w:val="0D8C302B"/>
    <w:rsid w:val="0D8C4C24"/>
    <w:rsid w:val="0D8C5246"/>
    <w:rsid w:val="0D8D2AF4"/>
    <w:rsid w:val="0D8D4779"/>
    <w:rsid w:val="0D8E04F1"/>
    <w:rsid w:val="0D8E229F"/>
    <w:rsid w:val="0D8E4EF8"/>
    <w:rsid w:val="0D8F0506"/>
    <w:rsid w:val="0D8F0AE7"/>
    <w:rsid w:val="0D8F1948"/>
    <w:rsid w:val="0D8F227C"/>
    <w:rsid w:val="0D904269"/>
    <w:rsid w:val="0D905134"/>
    <w:rsid w:val="0D9074CF"/>
    <w:rsid w:val="0D907DC5"/>
    <w:rsid w:val="0D922038"/>
    <w:rsid w:val="0D923519"/>
    <w:rsid w:val="0D92409E"/>
    <w:rsid w:val="0D931491"/>
    <w:rsid w:val="0D932451"/>
    <w:rsid w:val="0D940014"/>
    <w:rsid w:val="0D94111A"/>
    <w:rsid w:val="0D944959"/>
    <w:rsid w:val="0D944BE8"/>
    <w:rsid w:val="0D944E27"/>
    <w:rsid w:val="0D9479FB"/>
    <w:rsid w:val="0D951880"/>
    <w:rsid w:val="0D957AD2"/>
    <w:rsid w:val="0D961154"/>
    <w:rsid w:val="0D9617C3"/>
    <w:rsid w:val="0D967279"/>
    <w:rsid w:val="0D970709"/>
    <w:rsid w:val="0D9720B1"/>
    <w:rsid w:val="0D972F70"/>
    <w:rsid w:val="0D9755F8"/>
    <w:rsid w:val="0D9773A6"/>
    <w:rsid w:val="0D9812D2"/>
    <w:rsid w:val="0D981B99"/>
    <w:rsid w:val="0D9832DA"/>
    <w:rsid w:val="0D984ECC"/>
    <w:rsid w:val="0D984FA6"/>
    <w:rsid w:val="0D991370"/>
    <w:rsid w:val="0D9965CC"/>
    <w:rsid w:val="0D997BFC"/>
    <w:rsid w:val="0D9A0C44"/>
    <w:rsid w:val="0D9A50E8"/>
    <w:rsid w:val="0D9A51BE"/>
    <w:rsid w:val="0D9A6371"/>
    <w:rsid w:val="0D9A749E"/>
    <w:rsid w:val="0D9A74A9"/>
    <w:rsid w:val="0D9B1890"/>
    <w:rsid w:val="0D9B1C5B"/>
    <w:rsid w:val="0D9B708A"/>
    <w:rsid w:val="0D9C2157"/>
    <w:rsid w:val="0D9C24F9"/>
    <w:rsid w:val="0D9C2B1A"/>
    <w:rsid w:val="0D9C2C0E"/>
    <w:rsid w:val="0D9C30EB"/>
    <w:rsid w:val="0D9C676A"/>
    <w:rsid w:val="0D9C6FDF"/>
    <w:rsid w:val="0D9C7B4D"/>
    <w:rsid w:val="0D9D0734"/>
    <w:rsid w:val="0D9D0D63"/>
    <w:rsid w:val="0D9D4D22"/>
    <w:rsid w:val="0D9D6AED"/>
    <w:rsid w:val="0D9E073B"/>
    <w:rsid w:val="0D9E7282"/>
    <w:rsid w:val="0D9E72F0"/>
    <w:rsid w:val="0D9F26FE"/>
    <w:rsid w:val="0D9F276F"/>
    <w:rsid w:val="0D9F44AC"/>
    <w:rsid w:val="0D9F625A"/>
    <w:rsid w:val="0D9F74A7"/>
    <w:rsid w:val="0DA02EFC"/>
    <w:rsid w:val="0DA04044"/>
    <w:rsid w:val="0DA0500B"/>
    <w:rsid w:val="0DA10224"/>
    <w:rsid w:val="0DA1438C"/>
    <w:rsid w:val="0DA2213C"/>
    <w:rsid w:val="0DA22B05"/>
    <w:rsid w:val="0DA2581C"/>
    <w:rsid w:val="0DA25D4B"/>
    <w:rsid w:val="0DA26F5D"/>
    <w:rsid w:val="0DA27AF9"/>
    <w:rsid w:val="0DA36C9F"/>
    <w:rsid w:val="0DA41AC3"/>
    <w:rsid w:val="0DA4324B"/>
    <w:rsid w:val="0DA442E1"/>
    <w:rsid w:val="0DA562D1"/>
    <w:rsid w:val="0DA564E2"/>
    <w:rsid w:val="0DA60B95"/>
    <w:rsid w:val="0DA63A8D"/>
    <w:rsid w:val="0DA63F96"/>
    <w:rsid w:val="0DA6583B"/>
    <w:rsid w:val="0DA675E9"/>
    <w:rsid w:val="0DA815B3"/>
    <w:rsid w:val="0DA82DCF"/>
    <w:rsid w:val="0DA877FB"/>
    <w:rsid w:val="0DA87805"/>
    <w:rsid w:val="0DA9291F"/>
    <w:rsid w:val="0DA9532B"/>
    <w:rsid w:val="0DA970D9"/>
    <w:rsid w:val="0DAA01FB"/>
    <w:rsid w:val="0DAA2834"/>
    <w:rsid w:val="0DAA28D1"/>
    <w:rsid w:val="0DAA51C3"/>
    <w:rsid w:val="0DAA6B64"/>
    <w:rsid w:val="0DAA7B50"/>
    <w:rsid w:val="0DAB10A3"/>
    <w:rsid w:val="0DAB2E51"/>
    <w:rsid w:val="0DAB4BFF"/>
    <w:rsid w:val="0DAB5E9B"/>
    <w:rsid w:val="0DAB61BB"/>
    <w:rsid w:val="0DAC629F"/>
    <w:rsid w:val="0DAC6DFF"/>
    <w:rsid w:val="0DAD0977"/>
    <w:rsid w:val="0DAD2242"/>
    <w:rsid w:val="0DAD4070"/>
    <w:rsid w:val="0DAD4E1B"/>
    <w:rsid w:val="0DAD5587"/>
    <w:rsid w:val="0DAD6BC9"/>
    <w:rsid w:val="0DAE00D1"/>
    <w:rsid w:val="0DAE28E8"/>
    <w:rsid w:val="0DAE57F1"/>
    <w:rsid w:val="0DAE649D"/>
    <w:rsid w:val="0DAF0B93"/>
    <w:rsid w:val="0DAF10CE"/>
    <w:rsid w:val="0DAF4501"/>
    <w:rsid w:val="0DAF6FEE"/>
    <w:rsid w:val="0DB02583"/>
    <w:rsid w:val="0DB029F1"/>
    <w:rsid w:val="0DB066B9"/>
    <w:rsid w:val="0DB215A9"/>
    <w:rsid w:val="0DB22432"/>
    <w:rsid w:val="0DB241E0"/>
    <w:rsid w:val="0DB2525A"/>
    <w:rsid w:val="0DB25F8E"/>
    <w:rsid w:val="0DB2607C"/>
    <w:rsid w:val="0DB26A52"/>
    <w:rsid w:val="0DB30465"/>
    <w:rsid w:val="0DB31D06"/>
    <w:rsid w:val="0DB3322E"/>
    <w:rsid w:val="0DB3648E"/>
    <w:rsid w:val="0DB367A1"/>
    <w:rsid w:val="0DB461AA"/>
    <w:rsid w:val="0DB46F7C"/>
    <w:rsid w:val="0DB53CD0"/>
    <w:rsid w:val="0DB55810"/>
    <w:rsid w:val="0DB5782C"/>
    <w:rsid w:val="0DB64F2E"/>
    <w:rsid w:val="0DB66863"/>
    <w:rsid w:val="0DB6770F"/>
    <w:rsid w:val="0DB717F6"/>
    <w:rsid w:val="0DB726D6"/>
    <w:rsid w:val="0DB729EC"/>
    <w:rsid w:val="0DB75F76"/>
    <w:rsid w:val="0DB77CF3"/>
    <w:rsid w:val="0DB829A4"/>
    <w:rsid w:val="0DB8556E"/>
    <w:rsid w:val="0DB9208D"/>
    <w:rsid w:val="0DB93D54"/>
    <w:rsid w:val="0DB96CBC"/>
    <w:rsid w:val="0DBA12E6"/>
    <w:rsid w:val="0DBA3094"/>
    <w:rsid w:val="0DBA3AA3"/>
    <w:rsid w:val="0DBA7538"/>
    <w:rsid w:val="0DBB6604"/>
    <w:rsid w:val="0DBC0589"/>
    <w:rsid w:val="0DBC0BBA"/>
    <w:rsid w:val="0DBC26D5"/>
    <w:rsid w:val="0DBC46B6"/>
    <w:rsid w:val="0DBC47A6"/>
    <w:rsid w:val="0DBC6E0C"/>
    <w:rsid w:val="0DBD2424"/>
    <w:rsid w:val="0DBD2BD1"/>
    <w:rsid w:val="0DBE0DD6"/>
    <w:rsid w:val="0DBE2B84"/>
    <w:rsid w:val="0DBE38B4"/>
    <w:rsid w:val="0DBE4FF5"/>
    <w:rsid w:val="0DBF06AB"/>
    <w:rsid w:val="0DBF0A18"/>
    <w:rsid w:val="0DBF1056"/>
    <w:rsid w:val="0DBF554B"/>
    <w:rsid w:val="0DBF6485"/>
    <w:rsid w:val="0DBF68FD"/>
    <w:rsid w:val="0DC020E6"/>
    <w:rsid w:val="0DC0221D"/>
    <w:rsid w:val="0DC108C7"/>
    <w:rsid w:val="0DC10DA5"/>
    <w:rsid w:val="0DC12235"/>
    <w:rsid w:val="0DC12675"/>
    <w:rsid w:val="0DC13E03"/>
    <w:rsid w:val="0DC14423"/>
    <w:rsid w:val="0DC2108B"/>
    <w:rsid w:val="0DC21F49"/>
    <w:rsid w:val="0DC3019B"/>
    <w:rsid w:val="0DC31439"/>
    <w:rsid w:val="0DC31E04"/>
    <w:rsid w:val="0DC32B20"/>
    <w:rsid w:val="0DC363ED"/>
    <w:rsid w:val="0DC36FB7"/>
    <w:rsid w:val="0DC379D7"/>
    <w:rsid w:val="0DC40F5C"/>
    <w:rsid w:val="0DC42165"/>
    <w:rsid w:val="0DC4329A"/>
    <w:rsid w:val="0DC50DD0"/>
    <w:rsid w:val="0DC512A2"/>
    <w:rsid w:val="0DC53787"/>
    <w:rsid w:val="0DC539E8"/>
    <w:rsid w:val="0DC575A6"/>
    <w:rsid w:val="0DC57CC8"/>
    <w:rsid w:val="0DC62141"/>
    <w:rsid w:val="0DC65EDD"/>
    <w:rsid w:val="0DC67C8B"/>
    <w:rsid w:val="0DC73A22"/>
    <w:rsid w:val="0DC74DF9"/>
    <w:rsid w:val="0DC7755F"/>
    <w:rsid w:val="0DC83866"/>
    <w:rsid w:val="0DC83A03"/>
    <w:rsid w:val="0DC8503F"/>
    <w:rsid w:val="0DC851A8"/>
    <w:rsid w:val="0DC87621"/>
    <w:rsid w:val="0DC932D7"/>
    <w:rsid w:val="0DC93A40"/>
    <w:rsid w:val="0DC93F14"/>
    <w:rsid w:val="0DC9777B"/>
    <w:rsid w:val="0DCA131B"/>
    <w:rsid w:val="0DCA3598"/>
    <w:rsid w:val="0DCA4643"/>
    <w:rsid w:val="0DCA6169"/>
    <w:rsid w:val="0DCB05FC"/>
    <w:rsid w:val="0DCB2DB3"/>
    <w:rsid w:val="0DCB34F3"/>
    <w:rsid w:val="0DCB4A28"/>
    <w:rsid w:val="0DCB52A1"/>
    <w:rsid w:val="0DCC19EB"/>
    <w:rsid w:val="0DCC46DA"/>
    <w:rsid w:val="0DCC602F"/>
    <w:rsid w:val="0DCD1019"/>
    <w:rsid w:val="0DCD1F19"/>
    <w:rsid w:val="0DCD2DC7"/>
    <w:rsid w:val="0DCD726B"/>
    <w:rsid w:val="0DCD75FE"/>
    <w:rsid w:val="0DCD7BA9"/>
    <w:rsid w:val="0DCE08EE"/>
    <w:rsid w:val="0DCE1532"/>
    <w:rsid w:val="0DCE4A53"/>
    <w:rsid w:val="0DCE6ECC"/>
    <w:rsid w:val="0DCF4839"/>
    <w:rsid w:val="0DCF5778"/>
    <w:rsid w:val="0DD000A7"/>
    <w:rsid w:val="0DD00B0A"/>
    <w:rsid w:val="0DD02025"/>
    <w:rsid w:val="0DD028B8"/>
    <w:rsid w:val="0DD0365D"/>
    <w:rsid w:val="0DD054E2"/>
    <w:rsid w:val="0DD203DE"/>
    <w:rsid w:val="0DD223AA"/>
    <w:rsid w:val="0DD248FB"/>
    <w:rsid w:val="0DD24CE1"/>
    <w:rsid w:val="0DD34624"/>
    <w:rsid w:val="0DD35E91"/>
    <w:rsid w:val="0DD36913"/>
    <w:rsid w:val="0DD405FA"/>
    <w:rsid w:val="0DD41DEC"/>
    <w:rsid w:val="0DD423A8"/>
    <w:rsid w:val="0DD441F7"/>
    <w:rsid w:val="0DD46A25"/>
    <w:rsid w:val="0DD47C4D"/>
    <w:rsid w:val="0DD506AB"/>
    <w:rsid w:val="0DD51251"/>
    <w:rsid w:val="0DD52CE6"/>
    <w:rsid w:val="0DD56B08"/>
    <w:rsid w:val="0DD619A1"/>
    <w:rsid w:val="0DD61B3B"/>
    <w:rsid w:val="0DD63885"/>
    <w:rsid w:val="0DD67C38"/>
    <w:rsid w:val="0DD73C46"/>
    <w:rsid w:val="0DD759F4"/>
    <w:rsid w:val="0DD8176C"/>
    <w:rsid w:val="0DD81805"/>
    <w:rsid w:val="0DD84FC2"/>
    <w:rsid w:val="0DD95C10"/>
    <w:rsid w:val="0DD971F4"/>
    <w:rsid w:val="0DD979BE"/>
    <w:rsid w:val="0DDA1988"/>
    <w:rsid w:val="0DDA308D"/>
    <w:rsid w:val="0DDB03D5"/>
    <w:rsid w:val="0DDB5CB2"/>
    <w:rsid w:val="0DDC00AC"/>
    <w:rsid w:val="0DDC125D"/>
    <w:rsid w:val="0DDC300B"/>
    <w:rsid w:val="0DDC59AD"/>
    <w:rsid w:val="0DDC6C21"/>
    <w:rsid w:val="0DDC74AE"/>
    <w:rsid w:val="0DDD4E75"/>
    <w:rsid w:val="0DDD6D83"/>
    <w:rsid w:val="0DDE3227"/>
    <w:rsid w:val="0DDF04FC"/>
    <w:rsid w:val="0DDF0D4D"/>
    <w:rsid w:val="0DDF2AFB"/>
    <w:rsid w:val="0DDF5D83"/>
    <w:rsid w:val="0DDF6F9F"/>
    <w:rsid w:val="0DDF77D8"/>
    <w:rsid w:val="0DE0038F"/>
    <w:rsid w:val="0DE01542"/>
    <w:rsid w:val="0DE039BA"/>
    <w:rsid w:val="0DE046CB"/>
    <w:rsid w:val="0DE07139"/>
    <w:rsid w:val="0DE14811"/>
    <w:rsid w:val="0DE16873"/>
    <w:rsid w:val="0DE17D12"/>
    <w:rsid w:val="0DE22D69"/>
    <w:rsid w:val="0DE248BB"/>
    <w:rsid w:val="0DE25BA1"/>
    <w:rsid w:val="0DE3083D"/>
    <w:rsid w:val="0DE31443"/>
    <w:rsid w:val="0DE325EB"/>
    <w:rsid w:val="0DE34399"/>
    <w:rsid w:val="0DE352A9"/>
    <w:rsid w:val="0DE35880"/>
    <w:rsid w:val="0DE40111"/>
    <w:rsid w:val="0DE44A7B"/>
    <w:rsid w:val="0DE46D10"/>
    <w:rsid w:val="0DE545B5"/>
    <w:rsid w:val="0DE5685A"/>
    <w:rsid w:val="0DE6032D"/>
    <w:rsid w:val="0DE620DB"/>
    <w:rsid w:val="0DE63E89"/>
    <w:rsid w:val="0DE72CF1"/>
    <w:rsid w:val="0DE75511"/>
    <w:rsid w:val="0DE80AB1"/>
    <w:rsid w:val="0DE819AF"/>
    <w:rsid w:val="0DE90C22"/>
    <w:rsid w:val="0DE92776"/>
    <w:rsid w:val="0DE93979"/>
    <w:rsid w:val="0DE9674A"/>
    <w:rsid w:val="0DEA0754"/>
    <w:rsid w:val="0DEA1BCB"/>
    <w:rsid w:val="0DEA2B82"/>
    <w:rsid w:val="0DEB14A0"/>
    <w:rsid w:val="0DEB1535"/>
    <w:rsid w:val="0DEB5944"/>
    <w:rsid w:val="0DEB5ADB"/>
    <w:rsid w:val="0DEB6B44"/>
    <w:rsid w:val="0DED16BC"/>
    <w:rsid w:val="0DED2780"/>
    <w:rsid w:val="0DED6FC6"/>
    <w:rsid w:val="0DEE0F90"/>
    <w:rsid w:val="0DEE2993"/>
    <w:rsid w:val="0DEE618C"/>
    <w:rsid w:val="0DEF0A31"/>
    <w:rsid w:val="0DEF71E2"/>
    <w:rsid w:val="0DEF7BA6"/>
    <w:rsid w:val="0DF02D6C"/>
    <w:rsid w:val="0DF04D08"/>
    <w:rsid w:val="0DF07431"/>
    <w:rsid w:val="0DF10215"/>
    <w:rsid w:val="0DF1073E"/>
    <w:rsid w:val="0DF115D4"/>
    <w:rsid w:val="0DF1161F"/>
    <w:rsid w:val="0DF11C16"/>
    <w:rsid w:val="0DF1591A"/>
    <w:rsid w:val="0DF16743"/>
    <w:rsid w:val="0DF20A80"/>
    <w:rsid w:val="0DF26CD2"/>
    <w:rsid w:val="0DF31E19"/>
    <w:rsid w:val="0DF33223"/>
    <w:rsid w:val="0DF34686"/>
    <w:rsid w:val="0DF418E9"/>
    <w:rsid w:val="0DF447F8"/>
    <w:rsid w:val="0DF452BE"/>
    <w:rsid w:val="0DF465A6"/>
    <w:rsid w:val="0DF50570"/>
    <w:rsid w:val="0DF5231E"/>
    <w:rsid w:val="0DF5681E"/>
    <w:rsid w:val="0DF57C95"/>
    <w:rsid w:val="0DF60AB0"/>
    <w:rsid w:val="0DF62277"/>
    <w:rsid w:val="0DF62D98"/>
    <w:rsid w:val="0DF63CF6"/>
    <w:rsid w:val="0DF676AF"/>
    <w:rsid w:val="0DF70665"/>
    <w:rsid w:val="0DF7565D"/>
    <w:rsid w:val="0DF76096"/>
    <w:rsid w:val="0DF7681F"/>
    <w:rsid w:val="0DF77C29"/>
    <w:rsid w:val="0DF77E44"/>
    <w:rsid w:val="0DF81315"/>
    <w:rsid w:val="0DF81AB7"/>
    <w:rsid w:val="0DF82D6B"/>
    <w:rsid w:val="0DF85AE6"/>
    <w:rsid w:val="0DF91809"/>
    <w:rsid w:val="0DF927B5"/>
    <w:rsid w:val="0DF93BBD"/>
    <w:rsid w:val="0DF95E8A"/>
    <w:rsid w:val="0DFA14F7"/>
    <w:rsid w:val="0DFA69A0"/>
    <w:rsid w:val="0DFA7935"/>
    <w:rsid w:val="0DFB0C04"/>
    <w:rsid w:val="0DFB1411"/>
    <w:rsid w:val="0DFB23C6"/>
    <w:rsid w:val="0DFB39CA"/>
    <w:rsid w:val="0DFB4F97"/>
    <w:rsid w:val="0DFB537D"/>
    <w:rsid w:val="0DFB6F6A"/>
    <w:rsid w:val="0DFC0735"/>
    <w:rsid w:val="0DFC18FF"/>
    <w:rsid w:val="0DFD0605"/>
    <w:rsid w:val="0DFE11D3"/>
    <w:rsid w:val="0DFE4238"/>
    <w:rsid w:val="0DFF1637"/>
    <w:rsid w:val="0DFF4F4B"/>
    <w:rsid w:val="0DFF5365"/>
    <w:rsid w:val="0DFF77DB"/>
    <w:rsid w:val="0E007979"/>
    <w:rsid w:val="0E010CC3"/>
    <w:rsid w:val="0E012A71"/>
    <w:rsid w:val="0E013A91"/>
    <w:rsid w:val="0E016F15"/>
    <w:rsid w:val="0E022299"/>
    <w:rsid w:val="0E024F5C"/>
    <w:rsid w:val="0E032C8D"/>
    <w:rsid w:val="0E032FC0"/>
    <w:rsid w:val="0E034A3B"/>
    <w:rsid w:val="0E03526E"/>
    <w:rsid w:val="0E0367E9"/>
    <w:rsid w:val="0E0407B3"/>
    <w:rsid w:val="0E042DF9"/>
    <w:rsid w:val="0E0573A9"/>
    <w:rsid w:val="0E060087"/>
    <w:rsid w:val="0E06277D"/>
    <w:rsid w:val="0E063987"/>
    <w:rsid w:val="0E070BF2"/>
    <w:rsid w:val="0E074B7C"/>
    <w:rsid w:val="0E074C7B"/>
    <w:rsid w:val="0E0765D2"/>
    <w:rsid w:val="0E081DB9"/>
    <w:rsid w:val="0E082052"/>
    <w:rsid w:val="0E0849CA"/>
    <w:rsid w:val="0E0853E3"/>
    <w:rsid w:val="0E08610B"/>
    <w:rsid w:val="0E090B67"/>
    <w:rsid w:val="0E097B78"/>
    <w:rsid w:val="0E0A401C"/>
    <w:rsid w:val="0E0A513C"/>
    <w:rsid w:val="0E0A6DB3"/>
    <w:rsid w:val="0E0B4699"/>
    <w:rsid w:val="0E0B48EC"/>
    <w:rsid w:val="0E0B4A8C"/>
    <w:rsid w:val="0E0B7039"/>
    <w:rsid w:val="0E0C334B"/>
    <w:rsid w:val="0E0C412B"/>
    <w:rsid w:val="0E0C5F1C"/>
    <w:rsid w:val="0E0D0A57"/>
    <w:rsid w:val="0E0D1416"/>
    <w:rsid w:val="0E0D7075"/>
    <w:rsid w:val="0E0D7668"/>
    <w:rsid w:val="0E0E518E"/>
    <w:rsid w:val="0E0E71A3"/>
    <w:rsid w:val="0E0F1632"/>
    <w:rsid w:val="0E100F06"/>
    <w:rsid w:val="0E1010C1"/>
    <w:rsid w:val="0E101CAC"/>
    <w:rsid w:val="0E10489D"/>
    <w:rsid w:val="0E105143"/>
    <w:rsid w:val="0E1053AA"/>
    <w:rsid w:val="0E1069A3"/>
    <w:rsid w:val="0E107158"/>
    <w:rsid w:val="0E112D08"/>
    <w:rsid w:val="0E12064D"/>
    <w:rsid w:val="0E124C7E"/>
    <w:rsid w:val="0E126BFD"/>
    <w:rsid w:val="0E1277E0"/>
    <w:rsid w:val="0E127D38"/>
    <w:rsid w:val="0E1329E6"/>
    <w:rsid w:val="0E133B38"/>
    <w:rsid w:val="0E134CBA"/>
    <w:rsid w:val="0E140F06"/>
    <w:rsid w:val="0E141A97"/>
    <w:rsid w:val="0E142267"/>
    <w:rsid w:val="0E143972"/>
    <w:rsid w:val="0E143EE8"/>
    <w:rsid w:val="0E145C92"/>
    <w:rsid w:val="0E146C48"/>
    <w:rsid w:val="0E14727F"/>
    <w:rsid w:val="0E15476E"/>
    <w:rsid w:val="0E15651D"/>
    <w:rsid w:val="0E163EA2"/>
    <w:rsid w:val="0E164087"/>
    <w:rsid w:val="0E165611"/>
    <w:rsid w:val="0E1704E7"/>
    <w:rsid w:val="0E171DFD"/>
    <w:rsid w:val="0E176739"/>
    <w:rsid w:val="0E177E34"/>
    <w:rsid w:val="0E1806AD"/>
    <w:rsid w:val="0E180A73"/>
    <w:rsid w:val="0E1924B1"/>
    <w:rsid w:val="0E1928F2"/>
    <w:rsid w:val="0E194168"/>
    <w:rsid w:val="0E19425F"/>
    <w:rsid w:val="0E19600D"/>
    <w:rsid w:val="0E197880"/>
    <w:rsid w:val="0E197DBB"/>
    <w:rsid w:val="0E1A1D85"/>
    <w:rsid w:val="0E1A2DE0"/>
    <w:rsid w:val="0E1A722C"/>
    <w:rsid w:val="0E1B06D6"/>
    <w:rsid w:val="0E1B122C"/>
    <w:rsid w:val="0E1B78DD"/>
    <w:rsid w:val="0E1B7FD7"/>
    <w:rsid w:val="0E1C2E40"/>
    <w:rsid w:val="0E1C3DD3"/>
    <w:rsid w:val="0E1C42D0"/>
    <w:rsid w:val="0E1C5A11"/>
    <w:rsid w:val="0E1C78AB"/>
    <w:rsid w:val="0E1C7FD6"/>
    <w:rsid w:val="0E1D549B"/>
    <w:rsid w:val="0E1D7271"/>
    <w:rsid w:val="0E1E1875"/>
    <w:rsid w:val="0E1E2F78"/>
    <w:rsid w:val="0E1E3623"/>
    <w:rsid w:val="0E1E5AE4"/>
    <w:rsid w:val="0E1E6754"/>
    <w:rsid w:val="0E1E7AC7"/>
    <w:rsid w:val="0E1F0038"/>
    <w:rsid w:val="0E1F1149"/>
    <w:rsid w:val="0E1F17C1"/>
    <w:rsid w:val="0E1F2F02"/>
    <w:rsid w:val="0E1F38BB"/>
    <w:rsid w:val="0E1F3C1A"/>
    <w:rsid w:val="0E1F739B"/>
    <w:rsid w:val="0E203183"/>
    <w:rsid w:val="0E2065D1"/>
    <w:rsid w:val="0E211365"/>
    <w:rsid w:val="0E2125DA"/>
    <w:rsid w:val="0E213113"/>
    <w:rsid w:val="0E21367C"/>
    <w:rsid w:val="0E214EC1"/>
    <w:rsid w:val="0E221883"/>
    <w:rsid w:val="0E22497A"/>
    <w:rsid w:val="0E232D13"/>
    <w:rsid w:val="0E232E17"/>
    <w:rsid w:val="0E236E8B"/>
    <w:rsid w:val="0E240474"/>
    <w:rsid w:val="0E24144D"/>
    <w:rsid w:val="0E24158B"/>
    <w:rsid w:val="0E2449B2"/>
    <w:rsid w:val="0E245DFA"/>
    <w:rsid w:val="0E245E83"/>
    <w:rsid w:val="0E250204"/>
    <w:rsid w:val="0E250D15"/>
    <w:rsid w:val="0E250E55"/>
    <w:rsid w:val="0E252C04"/>
    <w:rsid w:val="0E256CFA"/>
    <w:rsid w:val="0E2624D8"/>
    <w:rsid w:val="0E264F83"/>
    <w:rsid w:val="0E266475"/>
    <w:rsid w:val="0E266AC3"/>
    <w:rsid w:val="0E272B23"/>
    <w:rsid w:val="0E2826F4"/>
    <w:rsid w:val="0E2844A2"/>
    <w:rsid w:val="0E2855BD"/>
    <w:rsid w:val="0E285898"/>
    <w:rsid w:val="0E286250"/>
    <w:rsid w:val="0E2913AB"/>
    <w:rsid w:val="0E2954D7"/>
    <w:rsid w:val="0E297551"/>
    <w:rsid w:val="0E2A021A"/>
    <w:rsid w:val="0E2A1FC8"/>
    <w:rsid w:val="0E2A646C"/>
    <w:rsid w:val="0E2B0210"/>
    <w:rsid w:val="0E2B5D40"/>
    <w:rsid w:val="0E2C3DC4"/>
    <w:rsid w:val="0E2D1AB8"/>
    <w:rsid w:val="0E2D3866"/>
    <w:rsid w:val="0E2D7D0A"/>
    <w:rsid w:val="0E2E7E25"/>
    <w:rsid w:val="0E2F3A82"/>
    <w:rsid w:val="0E2F5830"/>
    <w:rsid w:val="0E2F73E6"/>
    <w:rsid w:val="0E2F75DE"/>
    <w:rsid w:val="0E302938"/>
    <w:rsid w:val="0E305316"/>
    <w:rsid w:val="0E313BD5"/>
    <w:rsid w:val="0E3177FA"/>
    <w:rsid w:val="0E320E7D"/>
    <w:rsid w:val="0E320F77"/>
    <w:rsid w:val="0E323572"/>
    <w:rsid w:val="0E325320"/>
    <w:rsid w:val="0E326BB8"/>
    <w:rsid w:val="0E332357"/>
    <w:rsid w:val="0E342556"/>
    <w:rsid w:val="0E342E47"/>
    <w:rsid w:val="0E344BF5"/>
    <w:rsid w:val="0E35096D"/>
    <w:rsid w:val="0E355127"/>
    <w:rsid w:val="0E356BBF"/>
    <w:rsid w:val="0E362B20"/>
    <w:rsid w:val="0E372937"/>
    <w:rsid w:val="0E372F95"/>
    <w:rsid w:val="0E3746E5"/>
    <w:rsid w:val="0E376FED"/>
    <w:rsid w:val="0E377A47"/>
    <w:rsid w:val="0E383AA8"/>
    <w:rsid w:val="0E386F39"/>
    <w:rsid w:val="0E390214"/>
    <w:rsid w:val="0E39045D"/>
    <w:rsid w:val="0E39220B"/>
    <w:rsid w:val="0E394F38"/>
    <w:rsid w:val="0E395927"/>
    <w:rsid w:val="0E3966AF"/>
    <w:rsid w:val="0E3A1CE6"/>
    <w:rsid w:val="0E3A2C2D"/>
    <w:rsid w:val="0E3A3BE5"/>
    <w:rsid w:val="0E3A5F83"/>
    <w:rsid w:val="0E3A5FC1"/>
    <w:rsid w:val="0E3B2427"/>
    <w:rsid w:val="0E3B2429"/>
    <w:rsid w:val="0E3C0FAC"/>
    <w:rsid w:val="0E3C1B66"/>
    <w:rsid w:val="0E3C279D"/>
    <w:rsid w:val="0E3C3483"/>
    <w:rsid w:val="0E3C5613"/>
    <w:rsid w:val="0E3D2907"/>
    <w:rsid w:val="0E3D4A8F"/>
    <w:rsid w:val="0E3D7D7B"/>
    <w:rsid w:val="0E3E1F17"/>
    <w:rsid w:val="0E3E3CC5"/>
    <w:rsid w:val="0E3E5A73"/>
    <w:rsid w:val="0E3E61D9"/>
    <w:rsid w:val="0E3E791A"/>
    <w:rsid w:val="0E3F3599"/>
    <w:rsid w:val="0E3F6C06"/>
    <w:rsid w:val="0E405D53"/>
    <w:rsid w:val="0E407926"/>
    <w:rsid w:val="0E407A3D"/>
    <w:rsid w:val="0E4105BC"/>
    <w:rsid w:val="0E411122"/>
    <w:rsid w:val="0E4137B5"/>
    <w:rsid w:val="0E414C27"/>
    <w:rsid w:val="0E415563"/>
    <w:rsid w:val="0E417312"/>
    <w:rsid w:val="0E420FD0"/>
    <w:rsid w:val="0E42139A"/>
    <w:rsid w:val="0E421E2A"/>
    <w:rsid w:val="0E42772B"/>
    <w:rsid w:val="0E4312DC"/>
    <w:rsid w:val="0E433A29"/>
    <w:rsid w:val="0E434661"/>
    <w:rsid w:val="0E43752E"/>
    <w:rsid w:val="0E440BB0"/>
    <w:rsid w:val="0E44204B"/>
    <w:rsid w:val="0E444C58"/>
    <w:rsid w:val="0E4532A6"/>
    <w:rsid w:val="0E45406D"/>
    <w:rsid w:val="0E454C1C"/>
    <w:rsid w:val="0E455CF9"/>
    <w:rsid w:val="0E460DCC"/>
    <w:rsid w:val="0E460FDD"/>
    <w:rsid w:val="0E462B7A"/>
    <w:rsid w:val="0E464928"/>
    <w:rsid w:val="0E4660AC"/>
    <w:rsid w:val="0E472CF1"/>
    <w:rsid w:val="0E4742D5"/>
    <w:rsid w:val="0E4759B8"/>
    <w:rsid w:val="0E482233"/>
    <w:rsid w:val="0E482DBF"/>
    <w:rsid w:val="0E484B44"/>
    <w:rsid w:val="0E485094"/>
    <w:rsid w:val="0E4868F2"/>
    <w:rsid w:val="0E490794"/>
    <w:rsid w:val="0E494A2D"/>
    <w:rsid w:val="0E495206"/>
    <w:rsid w:val="0E4A08BC"/>
    <w:rsid w:val="0E4A1F2E"/>
    <w:rsid w:val="0E4A266A"/>
    <w:rsid w:val="0E4A2DAA"/>
    <w:rsid w:val="0E4A4418"/>
    <w:rsid w:val="0E4A5EBD"/>
    <w:rsid w:val="0E4A7961"/>
    <w:rsid w:val="0E4B0190"/>
    <w:rsid w:val="0E4B0B18"/>
    <w:rsid w:val="0E4B0DED"/>
    <w:rsid w:val="0E4B1A32"/>
    <w:rsid w:val="0E4B203C"/>
    <w:rsid w:val="0E4B7969"/>
    <w:rsid w:val="0E4C02E7"/>
    <w:rsid w:val="0E4C07DD"/>
    <w:rsid w:val="0E4C1E01"/>
    <w:rsid w:val="0E4C4992"/>
    <w:rsid w:val="0E4C4C9F"/>
    <w:rsid w:val="0E4D215A"/>
    <w:rsid w:val="0E4D3588"/>
    <w:rsid w:val="0E4D3F08"/>
    <w:rsid w:val="0E4D5BB2"/>
    <w:rsid w:val="0E4E0378"/>
    <w:rsid w:val="0E4E5E4E"/>
    <w:rsid w:val="0E4E740F"/>
    <w:rsid w:val="0E4E771E"/>
    <w:rsid w:val="0E4E7B1F"/>
    <w:rsid w:val="0E4F1A2E"/>
    <w:rsid w:val="0E4F4F1B"/>
    <w:rsid w:val="0E4F5ED2"/>
    <w:rsid w:val="0E4F7C80"/>
    <w:rsid w:val="0E5005EE"/>
    <w:rsid w:val="0E50787A"/>
    <w:rsid w:val="0E511C4E"/>
    <w:rsid w:val="0E5139F9"/>
    <w:rsid w:val="0E51419F"/>
    <w:rsid w:val="0E51464F"/>
    <w:rsid w:val="0E52151F"/>
    <w:rsid w:val="0E52283C"/>
    <w:rsid w:val="0E522EB5"/>
    <w:rsid w:val="0E5232CD"/>
    <w:rsid w:val="0E523D0A"/>
    <w:rsid w:val="0E525ADF"/>
    <w:rsid w:val="0E527220"/>
    <w:rsid w:val="0E527741"/>
    <w:rsid w:val="0E536F6F"/>
    <w:rsid w:val="0E540297"/>
    <w:rsid w:val="0E541B40"/>
    <w:rsid w:val="0E54342A"/>
    <w:rsid w:val="0E54467E"/>
    <w:rsid w:val="0E545297"/>
    <w:rsid w:val="0E547045"/>
    <w:rsid w:val="0E56100F"/>
    <w:rsid w:val="0E567B2C"/>
    <w:rsid w:val="0E580B04"/>
    <w:rsid w:val="0E581A03"/>
    <w:rsid w:val="0E594522"/>
    <w:rsid w:val="0E59465B"/>
    <w:rsid w:val="0E5A03D3"/>
    <w:rsid w:val="0E5A076B"/>
    <w:rsid w:val="0E5A1F61"/>
    <w:rsid w:val="0E5B1BD7"/>
    <w:rsid w:val="0E5B4877"/>
    <w:rsid w:val="0E5B6239"/>
    <w:rsid w:val="0E5B6625"/>
    <w:rsid w:val="0E5C05EF"/>
    <w:rsid w:val="0E5C0819"/>
    <w:rsid w:val="0E5C239D"/>
    <w:rsid w:val="0E5C414B"/>
    <w:rsid w:val="0E5C5EAE"/>
    <w:rsid w:val="0E5C7627"/>
    <w:rsid w:val="0E5C7E9D"/>
    <w:rsid w:val="0E5D2BF2"/>
    <w:rsid w:val="0E5D5A6E"/>
    <w:rsid w:val="0E5E0CF7"/>
    <w:rsid w:val="0E5E193F"/>
    <w:rsid w:val="0E5E1C72"/>
    <w:rsid w:val="0E5E3B51"/>
    <w:rsid w:val="0E5E3CC7"/>
    <w:rsid w:val="0E5E4367"/>
    <w:rsid w:val="0E5F139E"/>
    <w:rsid w:val="0E5F18FC"/>
    <w:rsid w:val="0E6000E3"/>
    <w:rsid w:val="0E601E8E"/>
    <w:rsid w:val="0E603C3C"/>
    <w:rsid w:val="0E6059EA"/>
    <w:rsid w:val="0E6179B4"/>
    <w:rsid w:val="0E6269C1"/>
    <w:rsid w:val="0E6307F2"/>
    <w:rsid w:val="0E63197E"/>
    <w:rsid w:val="0E63372C"/>
    <w:rsid w:val="0E6354DA"/>
    <w:rsid w:val="0E6378C6"/>
    <w:rsid w:val="0E6436BE"/>
    <w:rsid w:val="0E6453CE"/>
    <w:rsid w:val="0E645B08"/>
    <w:rsid w:val="0E6465E3"/>
    <w:rsid w:val="0E647EF4"/>
    <w:rsid w:val="0E651252"/>
    <w:rsid w:val="0E653000"/>
    <w:rsid w:val="0E664963"/>
    <w:rsid w:val="0E664FCA"/>
    <w:rsid w:val="0E667068"/>
    <w:rsid w:val="0E6671F9"/>
    <w:rsid w:val="0E67321C"/>
    <w:rsid w:val="0E675CD8"/>
    <w:rsid w:val="0E680D42"/>
    <w:rsid w:val="0E682AF0"/>
    <w:rsid w:val="0E683FC3"/>
    <w:rsid w:val="0E685B28"/>
    <w:rsid w:val="0E686875"/>
    <w:rsid w:val="0E6964AF"/>
    <w:rsid w:val="0E69749F"/>
    <w:rsid w:val="0E6A2D42"/>
    <w:rsid w:val="0E6A54A7"/>
    <w:rsid w:val="0E6A6868"/>
    <w:rsid w:val="0E6A7A0D"/>
    <w:rsid w:val="0E6B2454"/>
    <w:rsid w:val="0E6B3A5B"/>
    <w:rsid w:val="0E6B4004"/>
    <w:rsid w:val="0E6B6937"/>
    <w:rsid w:val="0E6B77BE"/>
    <w:rsid w:val="0E6C0832"/>
    <w:rsid w:val="0E6C7887"/>
    <w:rsid w:val="0E6D0107"/>
    <w:rsid w:val="0E6D01BB"/>
    <w:rsid w:val="0E6D0580"/>
    <w:rsid w:val="0E6D108F"/>
    <w:rsid w:val="0E6D26E7"/>
    <w:rsid w:val="0E6D3E28"/>
    <w:rsid w:val="0E6D45AA"/>
    <w:rsid w:val="0E6D6359"/>
    <w:rsid w:val="0E6E1AF2"/>
    <w:rsid w:val="0E6E6DEF"/>
    <w:rsid w:val="0E6F20D1"/>
    <w:rsid w:val="0E6F3E7F"/>
    <w:rsid w:val="0E6F413C"/>
    <w:rsid w:val="0E6F70A1"/>
    <w:rsid w:val="0E70013B"/>
    <w:rsid w:val="0E7001F6"/>
    <w:rsid w:val="0E701995"/>
    <w:rsid w:val="0E7027A9"/>
    <w:rsid w:val="0E707104"/>
    <w:rsid w:val="0E707BF7"/>
    <w:rsid w:val="0E711068"/>
    <w:rsid w:val="0E7117D9"/>
    <w:rsid w:val="0E712805"/>
    <w:rsid w:val="0E71409B"/>
    <w:rsid w:val="0E715BBE"/>
    <w:rsid w:val="0E715E49"/>
    <w:rsid w:val="0E721BC1"/>
    <w:rsid w:val="0E722730"/>
    <w:rsid w:val="0E72396F"/>
    <w:rsid w:val="0E7242E8"/>
    <w:rsid w:val="0E725F07"/>
    <w:rsid w:val="0E73034D"/>
    <w:rsid w:val="0E730485"/>
    <w:rsid w:val="0E7341B1"/>
    <w:rsid w:val="0E736223"/>
    <w:rsid w:val="0E740E08"/>
    <w:rsid w:val="0E741495"/>
    <w:rsid w:val="0E7463D5"/>
    <w:rsid w:val="0E746E11"/>
    <w:rsid w:val="0E7476E7"/>
    <w:rsid w:val="0E7479E9"/>
    <w:rsid w:val="0E747F12"/>
    <w:rsid w:val="0E75128A"/>
    <w:rsid w:val="0E7525BA"/>
    <w:rsid w:val="0E753703"/>
    <w:rsid w:val="0E760249"/>
    <w:rsid w:val="0E761E78"/>
    <w:rsid w:val="0E762BCD"/>
    <w:rsid w:val="0E763F95"/>
    <w:rsid w:val="0E76520D"/>
    <w:rsid w:val="0E767A23"/>
    <w:rsid w:val="0E7714C9"/>
    <w:rsid w:val="0E77636A"/>
    <w:rsid w:val="0E7771D7"/>
    <w:rsid w:val="0E781B23"/>
    <w:rsid w:val="0E782D92"/>
    <w:rsid w:val="0E7877FA"/>
    <w:rsid w:val="0E790545"/>
    <w:rsid w:val="0E7923CB"/>
    <w:rsid w:val="0E7950F9"/>
    <w:rsid w:val="0E796AAB"/>
    <w:rsid w:val="0E7A0243"/>
    <w:rsid w:val="0E7A0DC9"/>
    <w:rsid w:val="0E7A1784"/>
    <w:rsid w:val="0E7A230A"/>
    <w:rsid w:val="0E7A23C0"/>
    <w:rsid w:val="0E7A3257"/>
    <w:rsid w:val="0E7B2823"/>
    <w:rsid w:val="0E7B4839"/>
    <w:rsid w:val="0E7B5C7B"/>
    <w:rsid w:val="0E7B647B"/>
    <w:rsid w:val="0E7B6CC7"/>
    <w:rsid w:val="0E7B78BC"/>
    <w:rsid w:val="0E7B7BE7"/>
    <w:rsid w:val="0E7B7FDD"/>
    <w:rsid w:val="0E7C0F26"/>
    <w:rsid w:val="0E7C4E30"/>
    <w:rsid w:val="0E7C659C"/>
    <w:rsid w:val="0E7D1D19"/>
    <w:rsid w:val="0E7D666E"/>
    <w:rsid w:val="0E7D784C"/>
    <w:rsid w:val="0E7E0566"/>
    <w:rsid w:val="0E7E2310"/>
    <w:rsid w:val="0E7E2314"/>
    <w:rsid w:val="0E7E40C2"/>
    <w:rsid w:val="0E7E4DAD"/>
    <w:rsid w:val="0E7E5B83"/>
    <w:rsid w:val="0E7E7414"/>
    <w:rsid w:val="0E7F107C"/>
    <w:rsid w:val="0E7F6813"/>
    <w:rsid w:val="0E80608C"/>
    <w:rsid w:val="0E8076CD"/>
    <w:rsid w:val="0E807E3A"/>
    <w:rsid w:val="0E810B5D"/>
    <w:rsid w:val="0E8118D7"/>
    <w:rsid w:val="0E811E04"/>
    <w:rsid w:val="0E812E14"/>
    <w:rsid w:val="0E813BB2"/>
    <w:rsid w:val="0E820056"/>
    <w:rsid w:val="0E833DCE"/>
    <w:rsid w:val="0E835B7C"/>
    <w:rsid w:val="0E836570"/>
    <w:rsid w:val="0E840D80"/>
    <w:rsid w:val="0E841C78"/>
    <w:rsid w:val="0E85096E"/>
    <w:rsid w:val="0E8520AF"/>
    <w:rsid w:val="0E855450"/>
    <w:rsid w:val="0E8568CD"/>
    <w:rsid w:val="0E860FB9"/>
    <w:rsid w:val="0E86102F"/>
    <w:rsid w:val="0E8649CF"/>
    <w:rsid w:val="0E866D60"/>
    <w:rsid w:val="0E8740E0"/>
    <w:rsid w:val="0E880A30"/>
    <w:rsid w:val="0E8813E4"/>
    <w:rsid w:val="0E883192"/>
    <w:rsid w:val="0E8849D6"/>
    <w:rsid w:val="0E884F40"/>
    <w:rsid w:val="0E89077F"/>
    <w:rsid w:val="0E891B60"/>
    <w:rsid w:val="0E8A0CB9"/>
    <w:rsid w:val="0E8A1EA9"/>
    <w:rsid w:val="0E8A2A67"/>
    <w:rsid w:val="0E8A3350"/>
    <w:rsid w:val="0E8A39BE"/>
    <w:rsid w:val="0E8A39DB"/>
    <w:rsid w:val="0E8A515C"/>
    <w:rsid w:val="0E8A6F0A"/>
    <w:rsid w:val="0E8B1610"/>
    <w:rsid w:val="0E8B5169"/>
    <w:rsid w:val="0E8B67DF"/>
    <w:rsid w:val="0E8C00D6"/>
    <w:rsid w:val="0E8C0841"/>
    <w:rsid w:val="0E8C4A31"/>
    <w:rsid w:val="0E8C4EBA"/>
    <w:rsid w:val="0E8C60E5"/>
    <w:rsid w:val="0E8D07A9"/>
    <w:rsid w:val="0E8D2557"/>
    <w:rsid w:val="0E8D4238"/>
    <w:rsid w:val="0E8D69FB"/>
    <w:rsid w:val="0E8E3161"/>
    <w:rsid w:val="0E8F0BFA"/>
    <w:rsid w:val="0E8F1C3E"/>
    <w:rsid w:val="0E8F49C1"/>
    <w:rsid w:val="0E8F5E2D"/>
    <w:rsid w:val="0E903DF5"/>
    <w:rsid w:val="0E905DD8"/>
    <w:rsid w:val="0E905E67"/>
    <w:rsid w:val="0E9071C2"/>
    <w:rsid w:val="0E907953"/>
    <w:rsid w:val="0E910652"/>
    <w:rsid w:val="0E912385"/>
    <w:rsid w:val="0E914B75"/>
    <w:rsid w:val="0E921AE2"/>
    <w:rsid w:val="0E927B6D"/>
    <w:rsid w:val="0E930784"/>
    <w:rsid w:val="0E93195A"/>
    <w:rsid w:val="0E9438E5"/>
    <w:rsid w:val="0E953034"/>
    <w:rsid w:val="0E957E20"/>
    <w:rsid w:val="0E971127"/>
    <w:rsid w:val="0E973E08"/>
    <w:rsid w:val="0E9815AE"/>
    <w:rsid w:val="0E981627"/>
    <w:rsid w:val="0E990274"/>
    <w:rsid w:val="0E990E73"/>
    <w:rsid w:val="0E990EFC"/>
    <w:rsid w:val="0E9953A0"/>
    <w:rsid w:val="0E99714E"/>
    <w:rsid w:val="0E9A38CE"/>
    <w:rsid w:val="0E9A649F"/>
    <w:rsid w:val="0E9B1118"/>
    <w:rsid w:val="0E9B4C74"/>
    <w:rsid w:val="0E9B7A0E"/>
    <w:rsid w:val="0E9C1C2E"/>
    <w:rsid w:val="0E9C2774"/>
    <w:rsid w:val="0E9D4E90"/>
    <w:rsid w:val="0E9D6BF5"/>
    <w:rsid w:val="0E9D7EE7"/>
    <w:rsid w:val="0E9E29B6"/>
    <w:rsid w:val="0E9E34BC"/>
    <w:rsid w:val="0E9E667F"/>
    <w:rsid w:val="0E9F5C3D"/>
    <w:rsid w:val="0E9F5CF7"/>
    <w:rsid w:val="0EA01A9F"/>
    <w:rsid w:val="0EA0228A"/>
    <w:rsid w:val="0EA068E5"/>
    <w:rsid w:val="0EA06CB7"/>
    <w:rsid w:val="0EA10147"/>
    <w:rsid w:val="0EA124AB"/>
    <w:rsid w:val="0EA16A06"/>
    <w:rsid w:val="0EA20B50"/>
    <w:rsid w:val="0EA224A6"/>
    <w:rsid w:val="0EA24254"/>
    <w:rsid w:val="0EA26913"/>
    <w:rsid w:val="0EA300C1"/>
    <w:rsid w:val="0EA31D7A"/>
    <w:rsid w:val="0EA32CB3"/>
    <w:rsid w:val="0EA33B28"/>
    <w:rsid w:val="0EA35638"/>
    <w:rsid w:val="0EA37FCC"/>
    <w:rsid w:val="0EA445DB"/>
    <w:rsid w:val="0EA46AC8"/>
    <w:rsid w:val="0EA5253C"/>
    <w:rsid w:val="0EA53D44"/>
    <w:rsid w:val="0EA55AF2"/>
    <w:rsid w:val="0EA578A0"/>
    <w:rsid w:val="0EA613E8"/>
    <w:rsid w:val="0EA63619"/>
    <w:rsid w:val="0EA63FB9"/>
    <w:rsid w:val="0EA650A2"/>
    <w:rsid w:val="0EA65F9E"/>
    <w:rsid w:val="0EA716E3"/>
    <w:rsid w:val="0EA7186A"/>
    <w:rsid w:val="0EA72878"/>
    <w:rsid w:val="0EA8189F"/>
    <w:rsid w:val="0EA87131"/>
    <w:rsid w:val="0EA93835"/>
    <w:rsid w:val="0EA93C67"/>
    <w:rsid w:val="0EA9714A"/>
    <w:rsid w:val="0EA972F6"/>
    <w:rsid w:val="0EAA135B"/>
    <w:rsid w:val="0EAA1EF4"/>
    <w:rsid w:val="0EAA25C7"/>
    <w:rsid w:val="0EAA3BE7"/>
    <w:rsid w:val="0EAA4EB7"/>
    <w:rsid w:val="0EAA60E0"/>
    <w:rsid w:val="0EAA6A49"/>
    <w:rsid w:val="0EAA7549"/>
    <w:rsid w:val="0EAB349F"/>
    <w:rsid w:val="0EAB3B26"/>
    <w:rsid w:val="0EAB4FE2"/>
    <w:rsid w:val="0EAC0C2F"/>
    <w:rsid w:val="0EAC495C"/>
    <w:rsid w:val="0EAC50D3"/>
    <w:rsid w:val="0EAC525A"/>
    <w:rsid w:val="0EAC66EA"/>
    <w:rsid w:val="0EAC6E81"/>
    <w:rsid w:val="0EAD177A"/>
    <w:rsid w:val="0EAD2BF9"/>
    <w:rsid w:val="0EAD7F6E"/>
    <w:rsid w:val="0EAE09A0"/>
    <w:rsid w:val="0EAE0E4B"/>
    <w:rsid w:val="0EAE36BE"/>
    <w:rsid w:val="0EAF00A7"/>
    <w:rsid w:val="0EAF071F"/>
    <w:rsid w:val="0EAF24CD"/>
    <w:rsid w:val="0EAF6971"/>
    <w:rsid w:val="0EB021FD"/>
    <w:rsid w:val="0EB067B2"/>
    <w:rsid w:val="0EB07C3C"/>
    <w:rsid w:val="0EB17D0D"/>
    <w:rsid w:val="0EB21FBD"/>
    <w:rsid w:val="0EB25540"/>
    <w:rsid w:val="0EB328C7"/>
    <w:rsid w:val="0EB40F68"/>
    <w:rsid w:val="0EB421D9"/>
    <w:rsid w:val="0EB43DAF"/>
    <w:rsid w:val="0EB43F87"/>
    <w:rsid w:val="0EB45D35"/>
    <w:rsid w:val="0EB465BD"/>
    <w:rsid w:val="0EB5165B"/>
    <w:rsid w:val="0EB53170"/>
    <w:rsid w:val="0EB556B5"/>
    <w:rsid w:val="0EB61AAE"/>
    <w:rsid w:val="0EB62D3C"/>
    <w:rsid w:val="0EB6372A"/>
    <w:rsid w:val="0EB6385C"/>
    <w:rsid w:val="0EB67E1E"/>
    <w:rsid w:val="0EB7031F"/>
    <w:rsid w:val="0EB73604"/>
    <w:rsid w:val="0EB74F3E"/>
    <w:rsid w:val="0EB751D1"/>
    <w:rsid w:val="0EB76912"/>
    <w:rsid w:val="0EB820E1"/>
    <w:rsid w:val="0EB83571"/>
    <w:rsid w:val="0EB83A78"/>
    <w:rsid w:val="0EB863CE"/>
    <w:rsid w:val="0EB91C23"/>
    <w:rsid w:val="0EBB07FB"/>
    <w:rsid w:val="0EBB3118"/>
    <w:rsid w:val="0EBB3568"/>
    <w:rsid w:val="0EBB37EE"/>
    <w:rsid w:val="0EBB38BF"/>
    <w:rsid w:val="0EBB5DB8"/>
    <w:rsid w:val="0EBB698C"/>
    <w:rsid w:val="0EBB70C4"/>
    <w:rsid w:val="0EBC4BEA"/>
    <w:rsid w:val="0EBD108E"/>
    <w:rsid w:val="0EBD2E3C"/>
    <w:rsid w:val="0EBD5AC2"/>
    <w:rsid w:val="0EBE21E6"/>
    <w:rsid w:val="0EBE4763"/>
    <w:rsid w:val="0EBE4E06"/>
    <w:rsid w:val="0EBE6BB4"/>
    <w:rsid w:val="0EBE7343"/>
    <w:rsid w:val="0EBF11F9"/>
    <w:rsid w:val="0EBF2963"/>
    <w:rsid w:val="0EBF5745"/>
    <w:rsid w:val="0EC00B7E"/>
    <w:rsid w:val="0EC012C4"/>
    <w:rsid w:val="0EC07861"/>
    <w:rsid w:val="0EC10BC1"/>
    <w:rsid w:val="0EC16271"/>
    <w:rsid w:val="0EC20452"/>
    <w:rsid w:val="0EC22051"/>
    <w:rsid w:val="0EC24D46"/>
    <w:rsid w:val="0EC25374"/>
    <w:rsid w:val="0EC266A4"/>
    <w:rsid w:val="0EC304A7"/>
    <w:rsid w:val="0EC30910"/>
    <w:rsid w:val="0EC3241C"/>
    <w:rsid w:val="0EC341CA"/>
    <w:rsid w:val="0EC34F7A"/>
    <w:rsid w:val="0EC35F79"/>
    <w:rsid w:val="0EC426D6"/>
    <w:rsid w:val="0EC51CF1"/>
    <w:rsid w:val="0EC55E01"/>
    <w:rsid w:val="0EC563B0"/>
    <w:rsid w:val="0EC56E0B"/>
    <w:rsid w:val="0EC57542"/>
    <w:rsid w:val="0EC57F43"/>
    <w:rsid w:val="0EC638A4"/>
    <w:rsid w:val="0EC71F0D"/>
    <w:rsid w:val="0EC73CBB"/>
    <w:rsid w:val="0EC74C14"/>
    <w:rsid w:val="0EC80B2C"/>
    <w:rsid w:val="0EC817E1"/>
    <w:rsid w:val="0EC8358F"/>
    <w:rsid w:val="0EC84782"/>
    <w:rsid w:val="0EC92767"/>
    <w:rsid w:val="0EC95237"/>
    <w:rsid w:val="0EC95C12"/>
    <w:rsid w:val="0EC95C85"/>
    <w:rsid w:val="0EC96807"/>
    <w:rsid w:val="0EC97353"/>
    <w:rsid w:val="0ECA2642"/>
    <w:rsid w:val="0ECA37AB"/>
    <w:rsid w:val="0ECA5559"/>
    <w:rsid w:val="0ECA736D"/>
    <w:rsid w:val="0ECB316C"/>
    <w:rsid w:val="0ECB55D0"/>
    <w:rsid w:val="0ECC0833"/>
    <w:rsid w:val="0ECC2C2E"/>
    <w:rsid w:val="0ECC307F"/>
    <w:rsid w:val="0ECC3193"/>
    <w:rsid w:val="0ECC338A"/>
    <w:rsid w:val="0ECC4266"/>
    <w:rsid w:val="0ECC7523"/>
    <w:rsid w:val="0ECD04CF"/>
    <w:rsid w:val="0ECD6DF7"/>
    <w:rsid w:val="0ECE05F4"/>
    <w:rsid w:val="0ECE1A18"/>
    <w:rsid w:val="0ECE329B"/>
    <w:rsid w:val="0ECE43EC"/>
    <w:rsid w:val="0ECE5049"/>
    <w:rsid w:val="0ECE5A23"/>
    <w:rsid w:val="0ECF0DC1"/>
    <w:rsid w:val="0ECF1A84"/>
    <w:rsid w:val="0ECF2B6F"/>
    <w:rsid w:val="0ECF4488"/>
    <w:rsid w:val="0ECF491D"/>
    <w:rsid w:val="0ED05B7A"/>
    <w:rsid w:val="0ED10695"/>
    <w:rsid w:val="0ED13819"/>
    <w:rsid w:val="0ED143A4"/>
    <w:rsid w:val="0ED14B39"/>
    <w:rsid w:val="0ED168E7"/>
    <w:rsid w:val="0ED21B46"/>
    <w:rsid w:val="0ED2440E"/>
    <w:rsid w:val="0ED25C12"/>
    <w:rsid w:val="0ED27AE6"/>
    <w:rsid w:val="0ED308B1"/>
    <w:rsid w:val="0ED40186"/>
    <w:rsid w:val="0ED4462A"/>
    <w:rsid w:val="0ED463D8"/>
    <w:rsid w:val="0ED55F44"/>
    <w:rsid w:val="0ED61957"/>
    <w:rsid w:val="0ED64635"/>
    <w:rsid w:val="0ED70216"/>
    <w:rsid w:val="0ED85EC8"/>
    <w:rsid w:val="0ED87C76"/>
    <w:rsid w:val="0ED901D4"/>
    <w:rsid w:val="0ED939EE"/>
    <w:rsid w:val="0ED94B4F"/>
    <w:rsid w:val="0ED95707"/>
    <w:rsid w:val="0ED9579C"/>
    <w:rsid w:val="0EDA02D8"/>
    <w:rsid w:val="0EDA4714"/>
    <w:rsid w:val="0EDA6B97"/>
    <w:rsid w:val="0EDA726C"/>
    <w:rsid w:val="0EDB1514"/>
    <w:rsid w:val="0EDB1768"/>
    <w:rsid w:val="0EDB32C2"/>
    <w:rsid w:val="0EDB59B8"/>
    <w:rsid w:val="0EDC5AB4"/>
    <w:rsid w:val="0EDC703A"/>
    <w:rsid w:val="0EDD187C"/>
    <w:rsid w:val="0EDD34DE"/>
    <w:rsid w:val="0EDD4088"/>
    <w:rsid w:val="0EDD528C"/>
    <w:rsid w:val="0EDD7870"/>
    <w:rsid w:val="0EDE00E9"/>
    <w:rsid w:val="0EDE1004"/>
    <w:rsid w:val="0EDE1042"/>
    <w:rsid w:val="0EDE2DB2"/>
    <w:rsid w:val="0EDE69A8"/>
    <w:rsid w:val="0EDF0476"/>
    <w:rsid w:val="0EDF1579"/>
    <w:rsid w:val="0EDF39F1"/>
    <w:rsid w:val="0EE04A83"/>
    <w:rsid w:val="0EE04D7C"/>
    <w:rsid w:val="0EE06B2A"/>
    <w:rsid w:val="0EE06DBB"/>
    <w:rsid w:val="0EE14EF5"/>
    <w:rsid w:val="0EE155DA"/>
    <w:rsid w:val="0EE24651"/>
    <w:rsid w:val="0EE27EFF"/>
    <w:rsid w:val="0EE303C9"/>
    <w:rsid w:val="0EE3138A"/>
    <w:rsid w:val="0EE31A50"/>
    <w:rsid w:val="0EE31C8A"/>
    <w:rsid w:val="0EE32C1C"/>
    <w:rsid w:val="0EE33E0C"/>
    <w:rsid w:val="0EE35237"/>
    <w:rsid w:val="0EE4281A"/>
    <w:rsid w:val="0EE4486D"/>
    <w:rsid w:val="0EE505E5"/>
    <w:rsid w:val="0EE52393"/>
    <w:rsid w:val="0EE53CAA"/>
    <w:rsid w:val="0EE634A6"/>
    <w:rsid w:val="0EE6685C"/>
    <w:rsid w:val="0EE6743E"/>
    <w:rsid w:val="0EE70223"/>
    <w:rsid w:val="0EE72D5D"/>
    <w:rsid w:val="0EE73D39"/>
    <w:rsid w:val="0EE76FB7"/>
    <w:rsid w:val="0EE80D9E"/>
    <w:rsid w:val="0EE859DF"/>
    <w:rsid w:val="0EE95815"/>
    <w:rsid w:val="0EEA0745"/>
    <w:rsid w:val="0EEA1673"/>
    <w:rsid w:val="0EEA1757"/>
    <w:rsid w:val="0EEA5964"/>
    <w:rsid w:val="0EEA5BFB"/>
    <w:rsid w:val="0EEA668C"/>
    <w:rsid w:val="0EEB6DB7"/>
    <w:rsid w:val="0EEB6E6C"/>
    <w:rsid w:val="0EEB7A85"/>
    <w:rsid w:val="0EEB7AE2"/>
    <w:rsid w:val="0EEC3721"/>
    <w:rsid w:val="0EEC54CF"/>
    <w:rsid w:val="0EEC6B2B"/>
    <w:rsid w:val="0EEC6E63"/>
    <w:rsid w:val="0EED2944"/>
    <w:rsid w:val="0EED7B63"/>
    <w:rsid w:val="0EEE334F"/>
    <w:rsid w:val="0EEE6A98"/>
    <w:rsid w:val="0EEE6B8D"/>
    <w:rsid w:val="0EEE7BF4"/>
    <w:rsid w:val="0EEF4FBF"/>
    <w:rsid w:val="0EEF592E"/>
    <w:rsid w:val="0EEF792D"/>
    <w:rsid w:val="0EF10D38"/>
    <w:rsid w:val="0EF12AE6"/>
    <w:rsid w:val="0EF14335"/>
    <w:rsid w:val="0EF24E1E"/>
    <w:rsid w:val="0EF26639"/>
    <w:rsid w:val="0EF30E7F"/>
    <w:rsid w:val="0EF32D02"/>
    <w:rsid w:val="0EF34AB0"/>
    <w:rsid w:val="0EF3685E"/>
    <w:rsid w:val="0EF40828"/>
    <w:rsid w:val="0EF4230F"/>
    <w:rsid w:val="0EF433BE"/>
    <w:rsid w:val="0EF43A44"/>
    <w:rsid w:val="0EF460CF"/>
    <w:rsid w:val="0EF5276A"/>
    <w:rsid w:val="0EF528E3"/>
    <w:rsid w:val="0EF56A7A"/>
    <w:rsid w:val="0EF579FE"/>
    <w:rsid w:val="0EF600FC"/>
    <w:rsid w:val="0EF60FA5"/>
    <w:rsid w:val="0EF63C09"/>
    <w:rsid w:val="0EF6423D"/>
    <w:rsid w:val="0EF645A0"/>
    <w:rsid w:val="0EF80318"/>
    <w:rsid w:val="0EF80C90"/>
    <w:rsid w:val="0EF80E8F"/>
    <w:rsid w:val="0EF83E74"/>
    <w:rsid w:val="0EF86563"/>
    <w:rsid w:val="0EF9312D"/>
    <w:rsid w:val="0EF95E3E"/>
    <w:rsid w:val="0EF97BEC"/>
    <w:rsid w:val="0EFA4090"/>
    <w:rsid w:val="0EFA6181"/>
    <w:rsid w:val="0EFB0258"/>
    <w:rsid w:val="0EFB3964"/>
    <w:rsid w:val="0EFB5712"/>
    <w:rsid w:val="0EFB58F5"/>
    <w:rsid w:val="0EFB70EA"/>
    <w:rsid w:val="0EFC084F"/>
    <w:rsid w:val="0EFC3D5A"/>
    <w:rsid w:val="0EFD052B"/>
    <w:rsid w:val="0EFD148A"/>
    <w:rsid w:val="0EFE21AB"/>
    <w:rsid w:val="0EFE3455"/>
    <w:rsid w:val="0EFE5864"/>
    <w:rsid w:val="0EFE5F92"/>
    <w:rsid w:val="0EFF01A9"/>
    <w:rsid w:val="0EFF07A0"/>
    <w:rsid w:val="0EFF0B63"/>
    <w:rsid w:val="0EFF12CB"/>
    <w:rsid w:val="0EFF16A6"/>
    <w:rsid w:val="0EFF2C2B"/>
    <w:rsid w:val="0EFF2FF5"/>
    <w:rsid w:val="0EFF7422"/>
    <w:rsid w:val="0F00541F"/>
    <w:rsid w:val="0F005C90"/>
    <w:rsid w:val="0F011457"/>
    <w:rsid w:val="0F0117E6"/>
    <w:rsid w:val="0F013483"/>
    <w:rsid w:val="0F0141F6"/>
    <w:rsid w:val="0F021B5D"/>
    <w:rsid w:val="0F021E25"/>
    <w:rsid w:val="0F024CF3"/>
    <w:rsid w:val="0F026500"/>
    <w:rsid w:val="0F026AA1"/>
    <w:rsid w:val="0F032819"/>
    <w:rsid w:val="0F0345BF"/>
    <w:rsid w:val="0F040A6B"/>
    <w:rsid w:val="0F042508"/>
    <w:rsid w:val="0F043D93"/>
    <w:rsid w:val="0F052A35"/>
    <w:rsid w:val="0F0547E3"/>
    <w:rsid w:val="0F06044C"/>
    <w:rsid w:val="0F0703DC"/>
    <w:rsid w:val="0F07055B"/>
    <w:rsid w:val="0F0715E4"/>
    <w:rsid w:val="0F0740B7"/>
    <w:rsid w:val="0F077233"/>
    <w:rsid w:val="0F0772F5"/>
    <w:rsid w:val="0F085F8B"/>
    <w:rsid w:val="0F086D0D"/>
    <w:rsid w:val="0F087E2F"/>
    <w:rsid w:val="0F090C06"/>
    <w:rsid w:val="0F095B78"/>
    <w:rsid w:val="0F096081"/>
    <w:rsid w:val="0F0A1DF9"/>
    <w:rsid w:val="0F0A3BA7"/>
    <w:rsid w:val="0F0A4535"/>
    <w:rsid w:val="0F0A4B6B"/>
    <w:rsid w:val="0F0B1CAF"/>
    <w:rsid w:val="0F0B1F6D"/>
    <w:rsid w:val="0F0B7106"/>
    <w:rsid w:val="0F0C0596"/>
    <w:rsid w:val="0F0C3DC3"/>
    <w:rsid w:val="0F0C4970"/>
    <w:rsid w:val="0F0C5B71"/>
    <w:rsid w:val="0F0C7E79"/>
    <w:rsid w:val="0F0D035A"/>
    <w:rsid w:val="0F0D042A"/>
    <w:rsid w:val="0F0D5446"/>
    <w:rsid w:val="0F0D723E"/>
    <w:rsid w:val="0F0E18EA"/>
    <w:rsid w:val="0F0E2EB6"/>
    <w:rsid w:val="0F0E3698"/>
    <w:rsid w:val="0F0E7B3C"/>
    <w:rsid w:val="0F0F11BE"/>
    <w:rsid w:val="0F0F3857"/>
    <w:rsid w:val="0F0F5662"/>
    <w:rsid w:val="0F0F7410"/>
    <w:rsid w:val="0F0F7DBB"/>
    <w:rsid w:val="0F100F30"/>
    <w:rsid w:val="0F1028F3"/>
    <w:rsid w:val="0F104ADC"/>
    <w:rsid w:val="0F104F34"/>
    <w:rsid w:val="0F1113DA"/>
    <w:rsid w:val="0F112F78"/>
    <w:rsid w:val="0F113188"/>
    <w:rsid w:val="0F124A96"/>
    <w:rsid w:val="0F125989"/>
    <w:rsid w:val="0F1303A2"/>
    <w:rsid w:val="0F130469"/>
    <w:rsid w:val="0F130CAE"/>
    <w:rsid w:val="0F13233A"/>
    <w:rsid w:val="0F135152"/>
    <w:rsid w:val="0F13775A"/>
    <w:rsid w:val="0F1401B8"/>
    <w:rsid w:val="0F143065"/>
    <w:rsid w:val="0F144061"/>
    <w:rsid w:val="0F144A26"/>
    <w:rsid w:val="0F1467D4"/>
    <w:rsid w:val="0F150484"/>
    <w:rsid w:val="0F150E69"/>
    <w:rsid w:val="0F152D89"/>
    <w:rsid w:val="0F153C4C"/>
    <w:rsid w:val="0F15608D"/>
    <w:rsid w:val="0F16079E"/>
    <w:rsid w:val="0F16254C"/>
    <w:rsid w:val="0F164D4D"/>
    <w:rsid w:val="0F1669F0"/>
    <w:rsid w:val="0F166B03"/>
    <w:rsid w:val="0F18017D"/>
    <w:rsid w:val="0F180EAC"/>
    <w:rsid w:val="0F182768"/>
    <w:rsid w:val="0F184516"/>
    <w:rsid w:val="0F1862C4"/>
    <w:rsid w:val="0F186B39"/>
    <w:rsid w:val="0F19203C"/>
    <w:rsid w:val="0F192B9A"/>
    <w:rsid w:val="0F1A028E"/>
    <w:rsid w:val="0F1A402A"/>
    <w:rsid w:val="0F1A5655"/>
    <w:rsid w:val="0F1B0DD5"/>
    <w:rsid w:val="0F1B31BC"/>
    <w:rsid w:val="0F1B4006"/>
    <w:rsid w:val="0F1C37E1"/>
    <w:rsid w:val="0F1C6D63"/>
    <w:rsid w:val="0F1D1B2D"/>
    <w:rsid w:val="0F1D3ABF"/>
    <w:rsid w:val="0F1D59C2"/>
    <w:rsid w:val="0F1D7D7F"/>
    <w:rsid w:val="0F1E557C"/>
    <w:rsid w:val="0F1F5670"/>
    <w:rsid w:val="0F1F6215"/>
    <w:rsid w:val="0F1F6A0C"/>
    <w:rsid w:val="0F1F72AC"/>
    <w:rsid w:val="0F1F7667"/>
    <w:rsid w:val="0F202A1C"/>
    <w:rsid w:val="0F20331F"/>
    <w:rsid w:val="0F2033CB"/>
    <w:rsid w:val="0F205179"/>
    <w:rsid w:val="0F206018"/>
    <w:rsid w:val="0F2064DE"/>
    <w:rsid w:val="0F206DEC"/>
    <w:rsid w:val="0F210455"/>
    <w:rsid w:val="0F211265"/>
    <w:rsid w:val="0F212A6D"/>
    <w:rsid w:val="0F212F2B"/>
    <w:rsid w:val="0F22299C"/>
    <w:rsid w:val="0F225395"/>
    <w:rsid w:val="0F225DCF"/>
    <w:rsid w:val="0F227143"/>
    <w:rsid w:val="0F2321D0"/>
    <w:rsid w:val="0F234C69"/>
    <w:rsid w:val="0F237214"/>
    <w:rsid w:val="0F24110D"/>
    <w:rsid w:val="0F2413EE"/>
    <w:rsid w:val="0F2418B8"/>
    <w:rsid w:val="0F2437F6"/>
    <w:rsid w:val="0F247CAD"/>
    <w:rsid w:val="0F2509CA"/>
    <w:rsid w:val="0F2509E1"/>
    <w:rsid w:val="0F25284C"/>
    <w:rsid w:val="0F25287E"/>
    <w:rsid w:val="0F260BBB"/>
    <w:rsid w:val="0F264E85"/>
    <w:rsid w:val="0F270324"/>
    <w:rsid w:val="0F2704A8"/>
    <w:rsid w:val="0F271885"/>
    <w:rsid w:val="0F274028"/>
    <w:rsid w:val="0F274759"/>
    <w:rsid w:val="0F27519E"/>
    <w:rsid w:val="0F276507"/>
    <w:rsid w:val="0F277677"/>
    <w:rsid w:val="0F2811FF"/>
    <w:rsid w:val="0F281D98"/>
    <w:rsid w:val="0F282BEC"/>
    <w:rsid w:val="0F284908"/>
    <w:rsid w:val="0F28662E"/>
    <w:rsid w:val="0F2904D1"/>
    <w:rsid w:val="0F29268F"/>
    <w:rsid w:val="0F295582"/>
    <w:rsid w:val="0F29708F"/>
    <w:rsid w:val="0F2A3B1F"/>
    <w:rsid w:val="0F2A424A"/>
    <w:rsid w:val="0F2B0068"/>
    <w:rsid w:val="0F2B249C"/>
    <w:rsid w:val="0F2B3E08"/>
    <w:rsid w:val="0F2B4FAF"/>
    <w:rsid w:val="0F2C1D70"/>
    <w:rsid w:val="0F2C6214"/>
    <w:rsid w:val="0F2C6E6C"/>
    <w:rsid w:val="0F2C7FC2"/>
    <w:rsid w:val="0F2D2A0D"/>
    <w:rsid w:val="0F2D5415"/>
    <w:rsid w:val="0F2D77CC"/>
    <w:rsid w:val="0F2E0BC5"/>
    <w:rsid w:val="0F2E1151"/>
    <w:rsid w:val="0F2E3D3A"/>
    <w:rsid w:val="0F2E5AE8"/>
    <w:rsid w:val="0F2E73F9"/>
    <w:rsid w:val="0F2F360E"/>
    <w:rsid w:val="0F2F3BC9"/>
    <w:rsid w:val="0F2F609E"/>
    <w:rsid w:val="0F301E13"/>
    <w:rsid w:val="0F304643"/>
    <w:rsid w:val="0F304652"/>
    <w:rsid w:val="0F305FD2"/>
    <w:rsid w:val="0F306838"/>
    <w:rsid w:val="0F307AB2"/>
    <w:rsid w:val="0F310E21"/>
    <w:rsid w:val="0F3139F2"/>
    <w:rsid w:val="0F3155D8"/>
    <w:rsid w:val="0F317386"/>
    <w:rsid w:val="0F3222B1"/>
    <w:rsid w:val="0F331350"/>
    <w:rsid w:val="0F331DD9"/>
    <w:rsid w:val="0F3330FE"/>
    <w:rsid w:val="0F334E89"/>
    <w:rsid w:val="0F334EAC"/>
    <w:rsid w:val="0F336312"/>
    <w:rsid w:val="0F3375A2"/>
    <w:rsid w:val="0F34556E"/>
    <w:rsid w:val="0F360E40"/>
    <w:rsid w:val="0F362BEE"/>
    <w:rsid w:val="0F364D34"/>
    <w:rsid w:val="0F375986"/>
    <w:rsid w:val="0F380715"/>
    <w:rsid w:val="0F384BB8"/>
    <w:rsid w:val="0F386123"/>
    <w:rsid w:val="0F386966"/>
    <w:rsid w:val="0F387AAB"/>
    <w:rsid w:val="0F394DC1"/>
    <w:rsid w:val="0F394F9B"/>
    <w:rsid w:val="0F39623B"/>
    <w:rsid w:val="0F3A01C3"/>
    <w:rsid w:val="0F3A1591"/>
    <w:rsid w:val="0F3A199C"/>
    <w:rsid w:val="0F3A2298"/>
    <w:rsid w:val="0F3A448D"/>
    <w:rsid w:val="0F3B0205"/>
    <w:rsid w:val="0F3B1FB3"/>
    <w:rsid w:val="0F3B4A2E"/>
    <w:rsid w:val="0F3C7675"/>
    <w:rsid w:val="0F3D2D79"/>
    <w:rsid w:val="0F3E16FD"/>
    <w:rsid w:val="0F3E1C3F"/>
    <w:rsid w:val="0F3E3425"/>
    <w:rsid w:val="0F3E4971"/>
    <w:rsid w:val="0F3F1AA3"/>
    <w:rsid w:val="0F3F31E9"/>
    <w:rsid w:val="0F3F48B5"/>
    <w:rsid w:val="0F3F5D17"/>
    <w:rsid w:val="0F3F5F47"/>
    <w:rsid w:val="0F3F5FF6"/>
    <w:rsid w:val="0F3F7CF5"/>
    <w:rsid w:val="0F402F94"/>
    <w:rsid w:val="0F403A6D"/>
    <w:rsid w:val="0F404C0D"/>
    <w:rsid w:val="0F40505E"/>
    <w:rsid w:val="0F40581B"/>
    <w:rsid w:val="0F405D45"/>
    <w:rsid w:val="0F410B24"/>
    <w:rsid w:val="0F42108F"/>
    <w:rsid w:val="0F421593"/>
    <w:rsid w:val="0F422485"/>
    <w:rsid w:val="0F4234E9"/>
    <w:rsid w:val="0F42570F"/>
    <w:rsid w:val="0F4277E5"/>
    <w:rsid w:val="0F437CC1"/>
    <w:rsid w:val="0F44530B"/>
    <w:rsid w:val="0F447297"/>
    <w:rsid w:val="0F44730E"/>
    <w:rsid w:val="0F450727"/>
    <w:rsid w:val="0F452E31"/>
    <w:rsid w:val="0F4550F8"/>
    <w:rsid w:val="0F456E76"/>
    <w:rsid w:val="0F474DFC"/>
    <w:rsid w:val="0F475669"/>
    <w:rsid w:val="0F476BAA"/>
    <w:rsid w:val="0F483ECA"/>
    <w:rsid w:val="0F4846A7"/>
    <w:rsid w:val="0F48510F"/>
    <w:rsid w:val="0F490538"/>
    <w:rsid w:val="0F492922"/>
    <w:rsid w:val="0F4942A2"/>
    <w:rsid w:val="0F49431A"/>
    <w:rsid w:val="0F4946D0"/>
    <w:rsid w:val="0F4A0448"/>
    <w:rsid w:val="0F4A19C8"/>
    <w:rsid w:val="0F4A6930"/>
    <w:rsid w:val="0F4A75A5"/>
    <w:rsid w:val="0F4B38E4"/>
    <w:rsid w:val="0F4B48EC"/>
    <w:rsid w:val="0F4C2412"/>
    <w:rsid w:val="0F4C2D44"/>
    <w:rsid w:val="0F4C53BD"/>
    <w:rsid w:val="0F4C5F6E"/>
    <w:rsid w:val="0F4D0AF0"/>
    <w:rsid w:val="0F4D3437"/>
    <w:rsid w:val="0F4D7D6C"/>
    <w:rsid w:val="0F4E0349"/>
    <w:rsid w:val="0F4E0431"/>
    <w:rsid w:val="0F4E7F38"/>
    <w:rsid w:val="0F4F26CA"/>
    <w:rsid w:val="0F4F78B0"/>
    <w:rsid w:val="0F50049E"/>
    <w:rsid w:val="0F500D53"/>
    <w:rsid w:val="0F501F02"/>
    <w:rsid w:val="0F503CB0"/>
    <w:rsid w:val="0F504E54"/>
    <w:rsid w:val="0F50583A"/>
    <w:rsid w:val="0F506025"/>
    <w:rsid w:val="0F507C87"/>
    <w:rsid w:val="0F510A95"/>
    <w:rsid w:val="0F511654"/>
    <w:rsid w:val="0F5117D6"/>
    <w:rsid w:val="0F513D08"/>
    <w:rsid w:val="0F515C7A"/>
    <w:rsid w:val="0F516FB2"/>
    <w:rsid w:val="0F517A28"/>
    <w:rsid w:val="0F522C30"/>
    <w:rsid w:val="0F526A93"/>
    <w:rsid w:val="0F52774E"/>
    <w:rsid w:val="0F5337A0"/>
    <w:rsid w:val="0F5340F4"/>
    <w:rsid w:val="0F53554E"/>
    <w:rsid w:val="0F5357A1"/>
    <w:rsid w:val="0F5358FC"/>
    <w:rsid w:val="0F5376F4"/>
    <w:rsid w:val="0F543075"/>
    <w:rsid w:val="0F544E83"/>
    <w:rsid w:val="0F54543B"/>
    <w:rsid w:val="0F54564B"/>
    <w:rsid w:val="0F547F82"/>
    <w:rsid w:val="0F5512C6"/>
    <w:rsid w:val="0F554CE2"/>
    <w:rsid w:val="0F556804"/>
    <w:rsid w:val="0F557518"/>
    <w:rsid w:val="0F560861"/>
    <w:rsid w:val="0F563291"/>
    <w:rsid w:val="0F56503F"/>
    <w:rsid w:val="0F566158"/>
    <w:rsid w:val="0F56647D"/>
    <w:rsid w:val="0F5669BD"/>
    <w:rsid w:val="0F566DED"/>
    <w:rsid w:val="0F567752"/>
    <w:rsid w:val="0F570340"/>
    <w:rsid w:val="0F582B65"/>
    <w:rsid w:val="0F5844C9"/>
    <w:rsid w:val="0F587009"/>
    <w:rsid w:val="0F59002D"/>
    <w:rsid w:val="0F59233E"/>
    <w:rsid w:val="0F593063"/>
    <w:rsid w:val="0F59480E"/>
    <w:rsid w:val="0F5A2BFE"/>
    <w:rsid w:val="0F5A54CA"/>
    <w:rsid w:val="0F5B4403"/>
    <w:rsid w:val="0F5B79D2"/>
    <w:rsid w:val="0F5C5E8B"/>
    <w:rsid w:val="0F5D017B"/>
    <w:rsid w:val="0F5D1EFC"/>
    <w:rsid w:val="0F5D29C3"/>
    <w:rsid w:val="0F5D461F"/>
    <w:rsid w:val="0F5D63CD"/>
    <w:rsid w:val="0F5D69AE"/>
    <w:rsid w:val="0F5E0EC0"/>
    <w:rsid w:val="0F5E389F"/>
    <w:rsid w:val="0F5E50AA"/>
    <w:rsid w:val="0F5E566B"/>
    <w:rsid w:val="0F5F45FE"/>
    <w:rsid w:val="0F5F5CA1"/>
    <w:rsid w:val="0F601A19"/>
    <w:rsid w:val="0F602A41"/>
    <w:rsid w:val="0F602EB6"/>
    <w:rsid w:val="0F603910"/>
    <w:rsid w:val="0F611E7F"/>
    <w:rsid w:val="0F6167BF"/>
    <w:rsid w:val="0F617F00"/>
    <w:rsid w:val="0F6204E5"/>
    <w:rsid w:val="0F621390"/>
    <w:rsid w:val="0F622805"/>
    <w:rsid w:val="0F622820"/>
    <w:rsid w:val="0F623902"/>
    <w:rsid w:val="0F6239E3"/>
    <w:rsid w:val="0F625791"/>
    <w:rsid w:val="0F62655D"/>
    <w:rsid w:val="0F627905"/>
    <w:rsid w:val="0F6310DF"/>
    <w:rsid w:val="0F633F41"/>
    <w:rsid w:val="0F635534"/>
    <w:rsid w:val="0F636010"/>
    <w:rsid w:val="0F636D32"/>
    <w:rsid w:val="0F6408BC"/>
    <w:rsid w:val="0F642218"/>
    <w:rsid w:val="0F6459AD"/>
    <w:rsid w:val="0F647E30"/>
    <w:rsid w:val="0F655282"/>
    <w:rsid w:val="0F6565D0"/>
    <w:rsid w:val="0F657030"/>
    <w:rsid w:val="0F66165C"/>
    <w:rsid w:val="0F661726"/>
    <w:rsid w:val="0F661BEE"/>
    <w:rsid w:val="0F667A60"/>
    <w:rsid w:val="0F672DA8"/>
    <w:rsid w:val="0F6758B8"/>
    <w:rsid w:val="0F6812D4"/>
    <w:rsid w:val="0F6925D8"/>
    <w:rsid w:val="0F694D72"/>
    <w:rsid w:val="0F6A08B6"/>
    <w:rsid w:val="0F6A0FB2"/>
    <w:rsid w:val="0F6A2898"/>
    <w:rsid w:val="0F6A62E8"/>
    <w:rsid w:val="0F6A6824"/>
    <w:rsid w:val="0F6B0AEA"/>
    <w:rsid w:val="0F6B218F"/>
    <w:rsid w:val="0F6B2258"/>
    <w:rsid w:val="0F6B4D80"/>
    <w:rsid w:val="0F6B5ADC"/>
    <w:rsid w:val="0F6B6D3C"/>
    <w:rsid w:val="0F6C03BE"/>
    <w:rsid w:val="0F6C4862"/>
    <w:rsid w:val="0F6C5FE1"/>
    <w:rsid w:val="0F6C7B66"/>
    <w:rsid w:val="0F6C7F31"/>
    <w:rsid w:val="0F6D4D62"/>
    <w:rsid w:val="0F6E05DA"/>
    <w:rsid w:val="0F6E2388"/>
    <w:rsid w:val="0F6E6B1E"/>
    <w:rsid w:val="0F7036E3"/>
    <w:rsid w:val="0F704F33"/>
    <w:rsid w:val="0F705A3B"/>
    <w:rsid w:val="0F706100"/>
    <w:rsid w:val="0F711E78"/>
    <w:rsid w:val="0F713C26"/>
    <w:rsid w:val="0F717786"/>
    <w:rsid w:val="0F721DEF"/>
    <w:rsid w:val="0F727B9B"/>
    <w:rsid w:val="0F727F36"/>
    <w:rsid w:val="0F7326D8"/>
    <w:rsid w:val="0F7345F3"/>
    <w:rsid w:val="0F73533B"/>
    <w:rsid w:val="0F737BEB"/>
    <w:rsid w:val="0F742064"/>
    <w:rsid w:val="0F743C24"/>
    <w:rsid w:val="0F745096"/>
    <w:rsid w:val="0F745548"/>
    <w:rsid w:val="0F751969"/>
    <w:rsid w:val="0F753717"/>
    <w:rsid w:val="0F755445"/>
    <w:rsid w:val="0F7554C5"/>
    <w:rsid w:val="0F7606A8"/>
    <w:rsid w:val="0F76123D"/>
    <w:rsid w:val="0F761782"/>
    <w:rsid w:val="0F76748F"/>
    <w:rsid w:val="0F767DEB"/>
    <w:rsid w:val="0F7709E1"/>
    <w:rsid w:val="0F772126"/>
    <w:rsid w:val="0F7729A5"/>
    <w:rsid w:val="0F773359"/>
    <w:rsid w:val="0F773AEC"/>
    <w:rsid w:val="0F781459"/>
    <w:rsid w:val="0F782EBE"/>
    <w:rsid w:val="0F7835B6"/>
    <w:rsid w:val="0F784FB5"/>
    <w:rsid w:val="0F786D63"/>
    <w:rsid w:val="0F794DF1"/>
    <w:rsid w:val="0F7961A0"/>
    <w:rsid w:val="0F7A0392"/>
    <w:rsid w:val="0F7A2DD7"/>
    <w:rsid w:val="0F7A6F7F"/>
    <w:rsid w:val="0F7B17FE"/>
    <w:rsid w:val="0F7B3680"/>
    <w:rsid w:val="0F7B3941"/>
    <w:rsid w:val="0F7B4AA5"/>
    <w:rsid w:val="0F7B6853"/>
    <w:rsid w:val="0F7C0340"/>
    <w:rsid w:val="0F7C297A"/>
    <w:rsid w:val="0F7C6B81"/>
    <w:rsid w:val="0F7D25CB"/>
    <w:rsid w:val="0F7D342F"/>
    <w:rsid w:val="0F7D37F7"/>
    <w:rsid w:val="0F7D4857"/>
    <w:rsid w:val="0F7D5F98"/>
    <w:rsid w:val="0F7D6A6F"/>
    <w:rsid w:val="0F7D7428"/>
    <w:rsid w:val="0F7E4D46"/>
    <w:rsid w:val="0F7E5CE7"/>
    <w:rsid w:val="0F7F4595"/>
    <w:rsid w:val="0F7F5982"/>
    <w:rsid w:val="0F7F6343"/>
    <w:rsid w:val="0F800702"/>
    <w:rsid w:val="0F80233D"/>
    <w:rsid w:val="0F804919"/>
    <w:rsid w:val="0F813B3F"/>
    <w:rsid w:val="0F822A02"/>
    <w:rsid w:val="0F824086"/>
    <w:rsid w:val="0F825E34"/>
    <w:rsid w:val="0F82781D"/>
    <w:rsid w:val="0F827BE2"/>
    <w:rsid w:val="0F836C45"/>
    <w:rsid w:val="0F837741"/>
    <w:rsid w:val="0F841BAC"/>
    <w:rsid w:val="0F84395A"/>
    <w:rsid w:val="0F845381"/>
    <w:rsid w:val="0F850FF9"/>
    <w:rsid w:val="0F855BBA"/>
    <w:rsid w:val="0F860714"/>
    <w:rsid w:val="0F8611BD"/>
    <w:rsid w:val="0F8611CB"/>
    <w:rsid w:val="0F864DFA"/>
    <w:rsid w:val="0F865924"/>
    <w:rsid w:val="0F87169C"/>
    <w:rsid w:val="0F872AE2"/>
    <w:rsid w:val="0F87344A"/>
    <w:rsid w:val="0F8751F8"/>
    <w:rsid w:val="0F875987"/>
    <w:rsid w:val="0F882D23"/>
    <w:rsid w:val="0F883D87"/>
    <w:rsid w:val="0F88590A"/>
    <w:rsid w:val="0F895414"/>
    <w:rsid w:val="0F8971C2"/>
    <w:rsid w:val="0F8A0F2A"/>
    <w:rsid w:val="0F8A1F4D"/>
    <w:rsid w:val="0F8A6A96"/>
    <w:rsid w:val="0F8B02EB"/>
    <w:rsid w:val="0F8B118C"/>
    <w:rsid w:val="0F8B56A8"/>
    <w:rsid w:val="0F8C6CB2"/>
    <w:rsid w:val="0F8D6B37"/>
    <w:rsid w:val="0F8D7C7A"/>
    <w:rsid w:val="0F8E6586"/>
    <w:rsid w:val="0F8F4094"/>
    <w:rsid w:val="0F8F45BB"/>
    <w:rsid w:val="0F8F67C1"/>
    <w:rsid w:val="0F900551"/>
    <w:rsid w:val="0F900F5C"/>
    <w:rsid w:val="0F9053CD"/>
    <w:rsid w:val="0F9067A2"/>
    <w:rsid w:val="0F9130CA"/>
    <w:rsid w:val="0F91415D"/>
    <w:rsid w:val="0F915CD1"/>
    <w:rsid w:val="0F915D15"/>
    <w:rsid w:val="0F915DE6"/>
    <w:rsid w:val="0F916077"/>
    <w:rsid w:val="0F917E25"/>
    <w:rsid w:val="0F9206EC"/>
    <w:rsid w:val="0F9255ED"/>
    <w:rsid w:val="0F926D2E"/>
    <w:rsid w:val="0F930041"/>
    <w:rsid w:val="0F9300BE"/>
    <w:rsid w:val="0F9301BE"/>
    <w:rsid w:val="0F93134B"/>
    <w:rsid w:val="0F931A74"/>
    <w:rsid w:val="0F931DEF"/>
    <w:rsid w:val="0F9369F0"/>
    <w:rsid w:val="0F937CCB"/>
    <w:rsid w:val="0F9435CF"/>
    <w:rsid w:val="0F947289"/>
    <w:rsid w:val="0F9473EA"/>
    <w:rsid w:val="0F953DB9"/>
    <w:rsid w:val="0F9542E0"/>
    <w:rsid w:val="0F9556AF"/>
    <w:rsid w:val="0F955833"/>
    <w:rsid w:val="0F955B67"/>
    <w:rsid w:val="0F96368D"/>
    <w:rsid w:val="0F966B3F"/>
    <w:rsid w:val="0F970662"/>
    <w:rsid w:val="0F9718DF"/>
    <w:rsid w:val="0F97238F"/>
    <w:rsid w:val="0F974E23"/>
    <w:rsid w:val="0F97533A"/>
    <w:rsid w:val="0F976436"/>
    <w:rsid w:val="0F976970"/>
    <w:rsid w:val="0F980060"/>
    <w:rsid w:val="0F98082C"/>
    <w:rsid w:val="0F98145F"/>
    <w:rsid w:val="0F982496"/>
    <w:rsid w:val="0F983D5E"/>
    <w:rsid w:val="0F984030"/>
    <w:rsid w:val="0F985657"/>
    <w:rsid w:val="0F99041C"/>
    <w:rsid w:val="0F9928EF"/>
    <w:rsid w:val="0F9A112B"/>
    <w:rsid w:val="0F9A317D"/>
    <w:rsid w:val="0F9A4645"/>
    <w:rsid w:val="0F9A4F2B"/>
    <w:rsid w:val="0F9A6392"/>
    <w:rsid w:val="0F9A66DE"/>
    <w:rsid w:val="0F9A77CE"/>
    <w:rsid w:val="0F9B0CA3"/>
    <w:rsid w:val="0F9B1F05"/>
    <w:rsid w:val="0F9B519E"/>
    <w:rsid w:val="0F9B6614"/>
    <w:rsid w:val="0F9B7DE0"/>
    <w:rsid w:val="0F9C1270"/>
    <w:rsid w:val="0F9C5147"/>
    <w:rsid w:val="0F9C6EF5"/>
    <w:rsid w:val="0F9C71DC"/>
    <w:rsid w:val="0F9D0EBF"/>
    <w:rsid w:val="0F9D2C6D"/>
    <w:rsid w:val="0F9D4A1B"/>
    <w:rsid w:val="0F9D599E"/>
    <w:rsid w:val="0F9D6DED"/>
    <w:rsid w:val="0F9E3A5D"/>
    <w:rsid w:val="0F9E3DFF"/>
    <w:rsid w:val="0F9E51B7"/>
    <w:rsid w:val="0F9F003C"/>
    <w:rsid w:val="0F9F0794"/>
    <w:rsid w:val="0F9F1E8C"/>
    <w:rsid w:val="0F9F69E6"/>
    <w:rsid w:val="0FA04099"/>
    <w:rsid w:val="0FA062BA"/>
    <w:rsid w:val="0FA07BF0"/>
    <w:rsid w:val="0FA10347"/>
    <w:rsid w:val="0FA107A1"/>
    <w:rsid w:val="0FA11C75"/>
    <w:rsid w:val="0FA12C2F"/>
    <w:rsid w:val="0FA13C51"/>
    <w:rsid w:val="0FA1450C"/>
    <w:rsid w:val="0FA1522C"/>
    <w:rsid w:val="0FA15BB7"/>
    <w:rsid w:val="0FA20284"/>
    <w:rsid w:val="0FA20555"/>
    <w:rsid w:val="0FA20F54"/>
    <w:rsid w:val="0FA2614D"/>
    <w:rsid w:val="0FA364D6"/>
    <w:rsid w:val="0FA4042D"/>
    <w:rsid w:val="0FA4224E"/>
    <w:rsid w:val="0FA43FFC"/>
    <w:rsid w:val="0FA47B58"/>
    <w:rsid w:val="0FA53A62"/>
    <w:rsid w:val="0FA61347"/>
    <w:rsid w:val="0FA61EBB"/>
    <w:rsid w:val="0FA638D0"/>
    <w:rsid w:val="0FA66633"/>
    <w:rsid w:val="0FA719D0"/>
    <w:rsid w:val="0FA83AEC"/>
    <w:rsid w:val="0FA86312"/>
    <w:rsid w:val="0FA91612"/>
    <w:rsid w:val="0FA91E33"/>
    <w:rsid w:val="0FA92AAF"/>
    <w:rsid w:val="0FA933C0"/>
    <w:rsid w:val="0FA94FB4"/>
    <w:rsid w:val="0FA97864"/>
    <w:rsid w:val="0FAA6444"/>
    <w:rsid w:val="0FAA7D35"/>
    <w:rsid w:val="0FAB3C94"/>
    <w:rsid w:val="0FAB538A"/>
    <w:rsid w:val="0FAB5B16"/>
    <w:rsid w:val="0FAB68C5"/>
    <w:rsid w:val="0FAC192E"/>
    <w:rsid w:val="0FAC24A5"/>
    <w:rsid w:val="0FAC49D6"/>
    <w:rsid w:val="0FAC69A2"/>
    <w:rsid w:val="0FAD1102"/>
    <w:rsid w:val="0FAD2FF6"/>
    <w:rsid w:val="0FAD3935"/>
    <w:rsid w:val="0FAD77E2"/>
    <w:rsid w:val="0FAE09D7"/>
    <w:rsid w:val="0FAE176B"/>
    <w:rsid w:val="0FAE4DC5"/>
    <w:rsid w:val="0FAE4E7B"/>
    <w:rsid w:val="0FAE6989"/>
    <w:rsid w:val="0FAE6C29"/>
    <w:rsid w:val="0FAF0351"/>
    <w:rsid w:val="0FAF253D"/>
    <w:rsid w:val="0FAF276A"/>
    <w:rsid w:val="0FAF3150"/>
    <w:rsid w:val="0FAF5A67"/>
    <w:rsid w:val="0FAF76E5"/>
    <w:rsid w:val="0FB029A1"/>
    <w:rsid w:val="0FB0474F"/>
    <w:rsid w:val="0FB047D2"/>
    <w:rsid w:val="0FB04FDE"/>
    <w:rsid w:val="0FB104C7"/>
    <w:rsid w:val="0FB12275"/>
    <w:rsid w:val="0FB12F47"/>
    <w:rsid w:val="0FB14DC9"/>
    <w:rsid w:val="0FB202A6"/>
    <w:rsid w:val="0FB24BD6"/>
    <w:rsid w:val="0FB277A7"/>
    <w:rsid w:val="0FB308F7"/>
    <w:rsid w:val="0FB32491"/>
    <w:rsid w:val="0FB3423F"/>
    <w:rsid w:val="0FB35FED"/>
    <w:rsid w:val="0FB36066"/>
    <w:rsid w:val="0FB36417"/>
    <w:rsid w:val="0FB36E72"/>
    <w:rsid w:val="0FB4458A"/>
    <w:rsid w:val="0FB474F6"/>
    <w:rsid w:val="0FB51D65"/>
    <w:rsid w:val="0FB540D2"/>
    <w:rsid w:val="0FB548BB"/>
    <w:rsid w:val="0FB57FB7"/>
    <w:rsid w:val="0FB67130"/>
    <w:rsid w:val="0FB6788B"/>
    <w:rsid w:val="0FB708D3"/>
    <w:rsid w:val="0FB71264"/>
    <w:rsid w:val="0FB73D2F"/>
    <w:rsid w:val="0FB7580F"/>
    <w:rsid w:val="0FB75ADD"/>
    <w:rsid w:val="0FB81855"/>
    <w:rsid w:val="0FB83603"/>
    <w:rsid w:val="0FB83CDB"/>
    <w:rsid w:val="0FB84255"/>
    <w:rsid w:val="0FB861EA"/>
    <w:rsid w:val="0FB87AA7"/>
    <w:rsid w:val="0FB94AA9"/>
    <w:rsid w:val="0FBA2391"/>
    <w:rsid w:val="0FBA381F"/>
    <w:rsid w:val="0FBA5F39"/>
    <w:rsid w:val="0FBA737B"/>
    <w:rsid w:val="0FBB36C0"/>
    <w:rsid w:val="0FBB73C9"/>
    <w:rsid w:val="0FBC1346"/>
    <w:rsid w:val="0FBD0C1A"/>
    <w:rsid w:val="0FBD4482"/>
    <w:rsid w:val="0FBD50BE"/>
    <w:rsid w:val="0FBD6E6C"/>
    <w:rsid w:val="0FBE7460"/>
    <w:rsid w:val="0FBE7AE4"/>
    <w:rsid w:val="0FBF0E36"/>
    <w:rsid w:val="0FBF11BB"/>
    <w:rsid w:val="0FBF1C60"/>
    <w:rsid w:val="0FBF2767"/>
    <w:rsid w:val="0FBF41C0"/>
    <w:rsid w:val="0FBF4F44"/>
    <w:rsid w:val="0FBF71DA"/>
    <w:rsid w:val="0FC0256E"/>
    <w:rsid w:val="0FC02BC0"/>
    <w:rsid w:val="0FC02EA0"/>
    <w:rsid w:val="0FC07764"/>
    <w:rsid w:val="0FC1070A"/>
    <w:rsid w:val="0FC107D6"/>
    <w:rsid w:val="0FC12515"/>
    <w:rsid w:val="0FC14BAE"/>
    <w:rsid w:val="0FC15ECF"/>
    <w:rsid w:val="0FC16101"/>
    <w:rsid w:val="0FC1695C"/>
    <w:rsid w:val="0FC221F0"/>
    <w:rsid w:val="0FC226D4"/>
    <w:rsid w:val="0FC24482"/>
    <w:rsid w:val="0FC26B0A"/>
    <w:rsid w:val="0FC33449"/>
    <w:rsid w:val="0FC343AC"/>
    <w:rsid w:val="0FC401FA"/>
    <w:rsid w:val="0FC41FA8"/>
    <w:rsid w:val="0FC468B7"/>
    <w:rsid w:val="0FC5304C"/>
    <w:rsid w:val="0FC55738"/>
    <w:rsid w:val="0FC63F72"/>
    <w:rsid w:val="0FC642D8"/>
    <w:rsid w:val="0FC644DC"/>
    <w:rsid w:val="0FC65D20"/>
    <w:rsid w:val="0FC71A98"/>
    <w:rsid w:val="0FC76BA3"/>
    <w:rsid w:val="0FC770AD"/>
    <w:rsid w:val="0FC80EC8"/>
    <w:rsid w:val="0FC85F3C"/>
    <w:rsid w:val="0FC87CEA"/>
    <w:rsid w:val="0FC93619"/>
    <w:rsid w:val="0FC93A62"/>
    <w:rsid w:val="0FC95811"/>
    <w:rsid w:val="0FCA0AED"/>
    <w:rsid w:val="0FCA33AE"/>
    <w:rsid w:val="0FCA6FE5"/>
    <w:rsid w:val="0FCB1589"/>
    <w:rsid w:val="0FCB3337"/>
    <w:rsid w:val="0FCB3477"/>
    <w:rsid w:val="0FCB433D"/>
    <w:rsid w:val="0FCB59C7"/>
    <w:rsid w:val="0FCB77DB"/>
    <w:rsid w:val="0FCC034E"/>
    <w:rsid w:val="0FCC0FA1"/>
    <w:rsid w:val="0FCC4C46"/>
    <w:rsid w:val="0FCC6B78"/>
    <w:rsid w:val="0FCD026C"/>
    <w:rsid w:val="0FCD17DE"/>
    <w:rsid w:val="0FCD29A5"/>
    <w:rsid w:val="0FCD3553"/>
    <w:rsid w:val="0FCD4873"/>
    <w:rsid w:val="0FCD5301"/>
    <w:rsid w:val="0FCD5B5D"/>
    <w:rsid w:val="0FCE2E27"/>
    <w:rsid w:val="0FCE5CBC"/>
    <w:rsid w:val="0FCE72CB"/>
    <w:rsid w:val="0FCF5902"/>
    <w:rsid w:val="0FCF6CCF"/>
    <w:rsid w:val="0FCF7F93"/>
    <w:rsid w:val="0FD0658C"/>
    <w:rsid w:val="0FD06741"/>
    <w:rsid w:val="0FD06B9F"/>
    <w:rsid w:val="0FD1323B"/>
    <w:rsid w:val="0FD146C5"/>
    <w:rsid w:val="0FD20DA7"/>
    <w:rsid w:val="0FD2175C"/>
    <w:rsid w:val="0FD22C29"/>
    <w:rsid w:val="0FD241C0"/>
    <w:rsid w:val="0FD26690"/>
    <w:rsid w:val="0FD3043D"/>
    <w:rsid w:val="0FD32875"/>
    <w:rsid w:val="0FD348E1"/>
    <w:rsid w:val="0FD35650"/>
    <w:rsid w:val="0FD36B82"/>
    <w:rsid w:val="0FD409E3"/>
    <w:rsid w:val="0FD4315B"/>
    <w:rsid w:val="0FD4338A"/>
    <w:rsid w:val="0FD44A0C"/>
    <w:rsid w:val="0FD459DE"/>
    <w:rsid w:val="0FD45C91"/>
    <w:rsid w:val="0FD46AE0"/>
    <w:rsid w:val="0FD50659"/>
    <w:rsid w:val="0FD52407"/>
    <w:rsid w:val="0FD541B5"/>
    <w:rsid w:val="0FD549FC"/>
    <w:rsid w:val="0FD54DA0"/>
    <w:rsid w:val="0FD56E0C"/>
    <w:rsid w:val="0FD612EF"/>
    <w:rsid w:val="0FD61CDB"/>
    <w:rsid w:val="0FD66E76"/>
    <w:rsid w:val="0FD7617F"/>
    <w:rsid w:val="0FD8005B"/>
    <w:rsid w:val="0FD8200B"/>
    <w:rsid w:val="0FD91EF8"/>
    <w:rsid w:val="0FD92952"/>
    <w:rsid w:val="0FD97D81"/>
    <w:rsid w:val="0FDA1211"/>
    <w:rsid w:val="0FDA17CC"/>
    <w:rsid w:val="0FDA5C70"/>
    <w:rsid w:val="0FDA5E5F"/>
    <w:rsid w:val="0FDA7A1E"/>
    <w:rsid w:val="0FDB1837"/>
    <w:rsid w:val="0FDB3ADD"/>
    <w:rsid w:val="0FDB5A6C"/>
    <w:rsid w:val="0FDC05A2"/>
    <w:rsid w:val="0FDC5544"/>
    <w:rsid w:val="0FDC6A3B"/>
    <w:rsid w:val="0FDC7E43"/>
    <w:rsid w:val="0FDE3B2E"/>
    <w:rsid w:val="0FDE5334"/>
    <w:rsid w:val="0FDE5D1F"/>
    <w:rsid w:val="0FDF3286"/>
    <w:rsid w:val="0FDF5034"/>
    <w:rsid w:val="0FDF5CFE"/>
    <w:rsid w:val="0FDF5E68"/>
    <w:rsid w:val="0FDF6DE2"/>
    <w:rsid w:val="0FE0274F"/>
    <w:rsid w:val="0FE045DC"/>
    <w:rsid w:val="0FE0739F"/>
    <w:rsid w:val="0FE110E4"/>
    <w:rsid w:val="0FE1435F"/>
    <w:rsid w:val="0FE16FFE"/>
    <w:rsid w:val="0FE20680"/>
    <w:rsid w:val="0FE22313"/>
    <w:rsid w:val="0FE223C3"/>
    <w:rsid w:val="0FE23CB5"/>
    <w:rsid w:val="0FE2587A"/>
    <w:rsid w:val="0FE32AA8"/>
    <w:rsid w:val="0FE32D76"/>
    <w:rsid w:val="0FE34B24"/>
    <w:rsid w:val="0FE35145"/>
    <w:rsid w:val="0FE36A1F"/>
    <w:rsid w:val="0FE372C7"/>
    <w:rsid w:val="0FE4089C"/>
    <w:rsid w:val="0FE4264A"/>
    <w:rsid w:val="0FE47A65"/>
    <w:rsid w:val="0FE52E17"/>
    <w:rsid w:val="0FE5711A"/>
    <w:rsid w:val="0FE60884"/>
    <w:rsid w:val="0FE64614"/>
    <w:rsid w:val="0FE76C93"/>
    <w:rsid w:val="0FE771C2"/>
    <w:rsid w:val="0FE8038D"/>
    <w:rsid w:val="0FE81739"/>
    <w:rsid w:val="0FE8213B"/>
    <w:rsid w:val="0FE901C9"/>
    <w:rsid w:val="0FE91A0F"/>
    <w:rsid w:val="0FE95EB3"/>
    <w:rsid w:val="0FE97C61"/>
    <w:rsid w:val="0FEA04BA"/>
    <w:rsid w:val="0FEA0D06"/>
    <w:rsid w:val="0FEA607D"/>
    <w:rsid w:val="0FEB18C5"/>
    <w:rsid w:val="0FEB1C2B"/>
    <w:rsid w:val="0FEB39D9"/>
    <w:rsid w:val="0FEC5C23"/>
    <w:rsid w:val="0FEC61F7"/>
    <w:rsid w:val="0FED0DC8"/>
    <w:rsid w:val="0FED14FF"/>
    <w:rsid w:val="0FED3C1C"/>
    <w:rsid w:val="0FED53BE"/>
    <w:rsid w:val="0FED5999"/>
    <w:rsid w:val="0FED59A3"/>
    <w:rsid w:val="0FEE013A"/>
    <w:rsid w:val="0FEE0B17"/>
    <w:rsid w:val="0FEE2258"/>
    <w:rsid w:val="0FEE318D"/>
    <w:rsid w:val="0FEE34C9"/>
    <w:rsid w:val="0FEE5277"/>
    <w:rsid w:val="0FEE6FAE"/>
    <w:rsid w:val="0FEF171B"/>
    <w:rsid w:val="0FEF3109"/>
    <w:rsid w:val="0FEF36E8"/>
    <w:rsid w:val="0FF024B1"/>
    <w:rsid w:val="0FF02831"/>
    <w:rsid w:val="0FF02D9D"/>
    <w:rsid w:val="0FF06008"/>
    <w:rsid w:val="0FF07241"/>
    <w:rsid w:val="0FF07749"/>
    <w:rsid w:val="0FF10C12"/>
    <w:rsid w:val="0FF13CF6"/>
    <w:rsid w:val="0FF14845"/>
    <w:rsid w:val="0FF15705"/>
    <w:rsid w:val="0FF159F2"/>
    <w:rsid w:val="0FF164A5"/>
    <w:rsid w:val="0FF17498"/>
    <w:rsid w:val="0FF22069"/>
    <w:rsid w:val="0FF22FB9"/>
    <w:rsid w:val="0FF24D67"/>
    <w:rsid w:val="0FF24E0C"/>
    <w:rsid w:val="0FF264C6"/>
    <w:rsid w:val="0FF26C9C"/>
    <w:rsid w:val="0FF30ADF"/>
    <w:rsid w:val="0FF3288D"/>
    <w:rsid w:val="0FF46D31"/>
    <w:rsid w:val="0FF509EA"/>
    <w:rsid w:val="0FF51F28"/>
    <w:rsid w:val="0FF54858"/>
    <w:rsid w:val="0FF56606"/>
    <w:rsid w:val="0FF665BB"/>
    <w:rsid w:val="0FF67D7F"/>
    <w:rsid w:val="0FF705D0"/>
    <w:rsid w:val="0FF82D10"/>
    <w:rsid w:val="0FF860F6"/>
    <w:rsid w:val="0FF87CC7"/>
    <w:rsid w:val="0FF87EA4"/>
    <w:rsid w:val="0FF96546"/>
    <w:rsid w:val="0FFA00C0"/>
    <w:rsid w:val="0FFA1E6E"/>
    <w:rsid w:val="0FFA2B8A"/>
    <w:rsid w:val="0FFA6533"/>
    <w:rsid w:val="0FFA6644"/>
    <w:rsid w:val="0FFB63F9"/>
    <w:rsid w:val="0FFB6786"/>
    <w:rsid w:val="0FFB7A5A"/>
    <w:rsid w:val="0FFC0833"/>
    <w:rsid w:val="0FFC1742"/>
    <w:rsid w:val="0FFC2289"/>
    <w:rsid w:val="0FFC2FC3"/>
    <w:rsid w:val="0FFC3E38"/>
    <w:rsid w:val="0FFC5BE6"/>
    <w:rsid w:val="0FFD2754"/>
    <w:rsid w:val="0FFD4D61"/>
    <w:rsid w:val="0FFD4DD8"/>
    <w:rsid w:val="0FFD54BA"/>
    <w:rsid w:val="0FFD556D"/>
    <w:rsid w:val="0FFD5E0B"/>
    <w:rsid w:val="0FFD6402"/>
    <w:rsid w:val="0FFD717C"/>
    <w:rsid w:val="0FFE13DA"/>
    <w:rsid w:val="0FFE1D4D"/>
    <w:rsid w:val="0FFE370C"/>
    <w:rsid w:val="0FFE387A"/>
    <w:rsid w:val="0FFE705A"/>
    <w:rsid w:val="0FFF1232"/>
    <w:rsid w:val="0FFF535E"/>
    <w:rsid w:val="0FFF56D6"/>
    <w:rsid w:val="0FFF7484"/>
    <w:rsid w:val="100005AB"/>
    <w:rsid w:val="10000853"/>
    <w:rsid w:val="100044D6"/>
    <w:rsid w:val="100064CC"/>
    <w:rsid w:val="100078B0"/>
    <w:rsid w:val="100106CE"/>
    <w:rsid w:val="1001144E"/>
    <w:rsid w:val="10014FAA"/>
    <w:rsid w:val="10022AD1"/>
    <w:rsid w:val="100250C1"/>
    <w:rsid w:val="10030D22"/>
    <w:rsid w:val="10033443"/>
    <w:rsid w:val="10033D76"/>
    <w:rsid w:val="100438B6"/>
    <w:rsid w:val="1004704F"/>
    <w:rsid w:val="1005590E"/>
    <w:rsid w:val="10060813"/>
    <w:rsid w:val="10061A95"/>
    <w:rsid w:val="100646AA"/>
    <w:rsid w:val="10066D9E"/>
    <w:rsid w:val="10067ED8"/>
    <w:rsid w:val="10074984"/>
    <w:rsid w:val="100827DD"/>
    <w:rsid w:val="1008428F"/>
    <w:rsid w:val="10086339"/>
    <w:rsid w:val="10090303"/>
    <w:rsid w:val="10092B35"/>
    <w:rsid w:val="10093E5F"/>
    <w:rsid w:val="10094969"/>
    <w:rsid w:val="100952C7"/>
    <w:rsid w:val="10096E60"/>
    <w:rsid w:val="10097195"/>
    <w:rsid w:val="100B4351"/>
    <w:rsid w:val="100B5E29"/>
    <w:rsid w:val="100B7354"/>
    <w:rsid w:val="100B7BD7"/>
    <w:rsid w:val="100C2F23"/>
    <w:rsid w:val="100D1BA1"/>
    <w:rsid w:val="100D394F"/>
    <w:rsid w:val="100D68F7"/>
    <w:rsid w:val="100E1475"/>
    <w:rsid w:val="100E3CA3"/>
    <w:rsid w:val="100F3B6B"/>
    <w:rsid w:val="100F4162"/>
    <w:rsid w:val="100F5919"/>
    <w:rsid w:val="101007A6"/>
    <w:rsid w:val="1010081D"/>
    <w:rsid w:val="10101691"/>
    <w:rsid w:val="1010343F"/>
    <w:rsid w:val="101040FE"/>
    <w:rsid w:val="101051ED"/>
    <w:rsid w:val="101128C5"/>
    <w:rsid w:val="10114CD6"/>
    <w:rsid w:val="101216C8"/>
    <w:rsid w:val="10123055"/>
    <w:rsid w:val="10123B62"/>
    <w:rsid w:val="10125409"/>
    <w:rsid w:val="10125B0B"/>
    <w:rsid w:val="101271B8"/>
    <w:rsid w:val="10132C82"/>
    <w:rsid w:val="10135BC4"/>
    <w:rsid w:val="10141182"/>
    <w:rsid w:val="10142F30"/>
    <w:rsid w:val="10143C99"/>
    <w:rsid w:val="10144229"/>
    <w:rsid w:val="10150A56"/>
    <w:rsid w:val="10152804"/>
    <w:rsid w:val="101534DA"/>
    <w:rsid w:val="10161E3A"/>
    <w:rsid w:val="101637E3"/>
    <w:rsid w:val="101651E3"/>
    <w:rsid w:val="10171317"/>
    <w:rsid w:val="1017657C"/>
    <w:rsid w:val="101771D8"/>
    <w:rsid w:val="101822F4"/>
    <w:rsid w:val="10190546"/>
    <w:rsid w:val="10190879"/>
    <w:rsid w:val="101910F7"/>
    <w:rsid w:val="10195214"/>
    <w:rsid w:val="101A0EB6"/>
    <w:rsid w:val="101A2510"/>
    <w:rsid w:val="101A2892"/>
    <w:rsid w:val="101A606C"/>
    <w:rsid w:val="101A78FF"/>
    <w:rsid w:val="101B2705"/>
    <w:rsid w:val="101C0036"/>
    <w:rsid w:val="101C0538"/>
    <w:rsid w:val="101C1DE4"/>
    <w:rsid w:val="101C2AD0"/>
    <w:rsid w:val="101C677C"/>
    <w:rsid w:val="101D7C4F"/>
    <w:rsid w:val="101E0D0C"/>
    <w:rsid w:val="101E1426"/>
    <w:rsid w:val="101E2F73"/>
    <w:rsid w:val="101E3381"/>
    <w:rsid w:val="101E3493"/>
    <w:rsid w:val="101E3DAE"/>
    <w:rsid w:val="101E7671"/>
    <w:rsid w:val="101F3682"/>
    <w:rsid w:val="10200217"/>
    <w:rsid w:val="10201743"/>
    <w:rsid w:val="10202516"/>
    <w:rsid w:val="10205772"/>
    <w:rsid w:val="1021578A"/>
    <w:rsid w:val="10215CA7"/>
    <w:rsid w:val="10216577"/>
    <w:rsid w:val="10221329"/>
    <w:rsid w:val="10221FFB"/>
    <w:rsid w:val="1023023B"/>
    <w:rsid w:val="102325D8"/>
    <w:rsid w:val="10233E36"/>
    <w:rsid w:val="10240C99"/>
    <w:rsid w:val="10242327"/>
    <w:rsid w:val="10246EEB"/>
    <w:rsid w:val="102472C0"/>
    <w:rsid w:val="1025513D"/>
    <w:rsid w:val="102560B4"/>
    <w:rsid w:val="10260EB5"/>
    <w:rsid w:val="10260F59"/>
    <w:rsid w:val="10262C63"/>
    <w:rsid w:val="10264A11"/>
    <w:rsid w:val="1026584F"/>
    <w:rsid w:val="10265B91"/>
    <w:rsid w:val="10267415"/>
    <w:rsid w:val="10270CA8"/>
    <w:rsid w:val="10280789"/>
    <w:rsid w:val="10282537"/>
    <w:rsid w:val="10283879"/>
    <w:rsid w:val="10284C2D"/>
    <w:rsid w:val="102858E0"/>
    <w:rsid w:val="102868EB"/>
    <w:rsid w:val="102869DB"/>
    <w:rsid w:val="1028716B"/>
    <w:rsid w:val="10287762"/>
    <w:rsid w:val="10294501"/>
    <w:rsid w:val="1029611E"/>
    <w:rsid w:val="10297BA7"/>
    <w:rsid w:val="102A2753"/>
    <w:rsid w:val="102B0279"/>
    <w:rsid w:val="102B33B7"/>
    <w:rsid w:val="102B4A14"/>
    <w:rsid w:val="102B4C43"/>
    <w:rsid w:val="102B613C"/>
    <w:rsid w:val="102B630F"/>
    <w:rsid w:val="102C7CAA"/>
    <w:rsid w:val="102D02A1"/>
    <w:rsid w:val="102D1D02"/>
    <w:rsid w:val="102D2900"/>
    <w:rsid w:val="102D5D9F"/>
    <w:rsid w:val="102D625B"/>
    <w:rsid w:val="102D7AEA"/>
    <w:rsid w:val="102E172D"/>
    <w:rsid w:val="102E1B18"/>
    <w:rsid w:val="102E242A"/>
    <w:rsid w:val="102E2D11"/>
    <w:rsid w:val="102E6A16"/>
    <w:rsid w:val="102E76EB"/>
    <w:rsid w:val="102F0723"/>
    <w:rsid w:val="102F7D69"/>
    <w:rsid w:val="10302074"/>
    <w:rsid w:val="10303F3B"/>
    <w:rsid w:val="10306641"/>
    <w:rsid w:val="103163E7"/>
    <w:rsid w:val="1032160D"/>
    <w:rsid w:val="103233B6"/>
    <w:rsid w:val="103250DB"/>
    <w:rsid w:val="10327C7C"/>
    <w:rsid w:val="1033355D"/>
    <w:rsid w:val="10333F15"/>
    <w:rsid w:val="10336601"/>
    <w:rsid w:val="10337554"/>
    <w:rsid w:val="10337AA3"/>
    <w:rsid w:val="10341E1C"/>
    <w:rsid w:val="103449ED"/>
    <w:rsid w:val="10345380"/>
    <w:rsid w:val="10352749"/>
    <w:rsid w:val="10352EA6"/>
    <w:rsid w:val="10353461"/>
    <w:rsid w:val="10362C26"/>
    <w:rsid w:val="1036730D"/>
    <w:rsid w:val="103709CC"/>
    <w:rsid w:val="10374E70"/>
    <w:rsid w:val="10376C1E"/>
    <w:rsid w:val="10377F8B"/>
    <w:rsid w:val="103800F8"/>
    <w:rsid w:val="1038336E"/>
    <w:rsid w:val="103850A1"/>
    <w:rsid w:val="10390BE8"/>
    <w:rsid w:val="10392996"/>
    <w:rsid w:val="10394744"/>
    <w:rsid w:val="103947FE"/>
    <w:rsid w:val="103A0B21"/>
    <w:rsid w:val="103A226A"/>
    <w:rsid w:val="103A2FE3"/>
    <w:rsid w:val="103A5C8E"/>
    <w:rsid w:val="103A670E"/>
    <w:rsid w:val="103B594B"/>
    <w:rsid w:val="103B6962"/>
    <w:rsid w:val="103C2486"/>
    <w:rsid w:val="103C2738"/>
    <w:rsid w:val="103C317F"/>
    <w:rsid w:val="103C4234"/>
    <w:rsid w:val="103D57A2"/>
    <w:rsid w:val="103E1BE6"/>
    <w:rsid w:val="103E21D8"/>
    <w:rsid w:val="103E5A9F"/>
    <w:rsid w:val="103E61FE"/>
    <w:rsid w:val="103F3D25"/>
    <w:rsid w:val="103F7C37"/>
    <w:rsid w:val="10402F90"/>
    <w:rsid w:val="104101A4"/>
    <w:rsid w:val="104135F9"/>
    <w:rsid w:val="10426FF1"/>
    <w:rsid w:val="104355C3"/>
    <w:rsid w:val="10437371"/>
    <w:rsid w:val="104430E9"/>
    <w:rsid w:val="1045075F"/>
    <w:rsid w:val="10450D06"/>
    <w:rsid w:val="1045632D"/>
    <w:rsid w:val="104565B1"/>
    <w:rsid w:val="1045791B"/>
    <w:rsid w:val="10463305"/>
    <w:rsid w:val="10473351"/>
    <w:rsid w:val="104755B4"/>
    <w:rsid w:val="10477B50"/>
    <w:rsid w:val="1048062B"/>
    <w:rsid w:val="10482BD9"/>
    <w:rsid w:val="10484987"/>
    <w:rsid w:val="104906FF"/>
    <w:rsid w:val="104909EE"/>
    <w:rsid w:val="10492BB2"/>
    <w:rsid w:val="104A0510"/>
    <w:rsid w:val="104A36F3"/>
    <w:rsid w:val="104A4BA3"/>
    <w:rsid w:val="104A6951"/>
    <w:rsid w:val="104A6ACF"/>
    <w:rsid w:val="104B091B"/>
    <w:rsid w:val="104B4477"/>
    <w:rsid w:val="104B514A"/>
    <w:rsid w:val="104C2C74"/>
    <w:rsid w:val="104C5355"/>
    <w:rsid w:val="104D01F0"/>
    <w:rsid w:val="104D3108"/>
    <w:rsid w:val="104D4104"/>
    <w:rsid w:val="104D4694"/>
    <w:rsid w:val="104D4B3A"/>
    <w:rsid w:val="104D6442"/>
    <w:rsid w:val="104E0AF7"/>
    <w:rsid w:val="104E5594"/>
    <w:rsid w:val="104E5D16"/>
    <w:rsid w:val="104F21BA"/>
    <w:rsid w:val="104F3F68"/>
    <w:rsid w:val="10501A8E"/>
    <w:rsid w:val="10505F32"/>
    <w:rsid w:val="10507B5C"/>
    <w:rsid w:val="10511AEA"/>
    <w:rsid w:val="10512312"/>
    <w:rsid w:val="10516B0A"/>
    <w:rsid w:val="10517CB0"/>
    <w:rsid w:val="10520CF7"/>
    <w:rsid w:val="10521CAA"/>
    <w:rsid w:val="10523A58"/>
    <w:rsid w:val="1052532D"/>
    <w:rsid w:val="105253A5"/>
    <w:rsid w:val="10526AE6"/>
    <w:rsid w:val="10530AC2"/>
    <w:rsid w:val="10531159"/>
    <w:rsid w:val="1053332C"/>
    <w:rsid w:val="10537F4A"/>
    <w:rsid w:val="10537F76"/>
    <w:rsid w:val="10541406"/>
    <w:rsid w:val="1054237C"/>
    <w:rsid w:val="105431A4"/>
    <w:rsid w:val="10545A22"/>
    <w:rsid w:val="10545C59"/>
    <w:rsid w:val="105477D0"/>
    <w:rsid w:val="10547C82"/>
    <w:rsid w:val="10550ADA"/>
    <w:rsid w:val="10553B29"/>
    <w:rsid w:val="10554120"/>
    <w:rsid w:val="10555467"/>
    <w:rsid w:val="105570A4"/>
    <w:rsid w:val="10557E25"/>
    <w:rsid w:val="1056229E"/>
    <w:rsid w:val="10563548"/>
    <w:rsid w:val="10564717"/>
    <w:rsid w:val="10566ADB"/>
    <w:rsid w:val="1057106E"/>
    <w:rsid w:val="10572E1C"/>
    <w:rsid w:val="10572E8C"/>
    <w:rsid w:val="105730A2"/>
    <w:rsid w:val="10574912"/>
    <w:rsid w:val="10575DB0"/>
    <w:rsid w:val="105772C0"/>
    <w:rsid w:val="10581419"/>
    <w:rsid w:val="10585A23"/>
    <w:rsid w:val="1058777E"/>
    <w:rsid w:val="105926A7"/>
    <w:rsid w:val="10593038"/>
    <w:rsid w:val="10594DE6"/>
    <w:rsid w:val="10596B94"/>
    <w:rsid w:val="105A065E"/>
    <w:rsid w:val="105A2DDD"/>
    <w:rsid w:val="105A39FD"/>
    <w:rsid w:val="105A40DF"/>
    <w:rsid w:val="105B0B5E"/>
    <w:rsid w:val="105B2773"/>
    <w:rsid w:val="105B7B98"/>
    <w:rsid w:val="105C0433"/>
    <w:rsid w:val="105C06FC"/>
    <w:rsid w:val="105C48D7"/>
    <w:rsid w:val="105C584D"/>
    <w:rsid w:val="105C6685"/>
    <w:rsid w:val="105C7EC0"/>
    <w:rsid w:val="105D02BD"/>
    <w:rsid w:val="105D08B4"/>
    <w:rsid w:val="105D24B8"/>
    <w:rsid w:val="105D2FE8"/>
    <w:rsid w:val="105D643B"/>
    <w:rsid w:val="105E064F"/>
    <w:rsid w:val="105E176C"/>
    <w:rsid w:val="105E41AB"/>
    <w:rsid w:val="105E4BB0"/>
    <w:rsid w:val="105E4C72"/>
    <w:rsid w:val="105E5705"/>
    <w:rsid w:val="105E63E6"/>
    <w:rsid w:val="105E6A32"/>
    <w:rsid w:val="105F2CAD"/>
    <w:rsid w:val="105F7F23"/>
    <w:rsid w:val="1060257A"/>
    <w:rsid w:val="106043C7"/>
    <w:rsid w:val="10606175"/>
    <w:rsid w:val="10611D55"/>
    <w:rsid w:val="10611EED"/>
    <w:rsid w:val="10613C9B"/>
    <w:rsid w:val="106305DF"/>
    <w:rsid w:val="10636FD9"/>
    <w:rsid w:val="10643F30"/>
    <w:rsid w:val="106442B7"/>
    <w:rsid w:val="10645539"/>
    <w:rsid w:val="106477BA"/>
    <w:rsid w:val="106506C3"/>
    <w:rsid w:val="10650C4A"/>
    <w:rsid w:val="106519DD"/>
    <w:rsid w:val="10651FBF"/>
    <w:rsid w:val="1065381B"/>
    <w:rsid w:val="106612B1"/>
    <w:rsid w:val="1066305F"/>
    <w:rsid w:val="10664CAB"/>
    <w:rsid w:val="10667503"/>
    <w:rsid w:val="10675755"/>
    <w:rsid w:val="1067613B"/>
    <w:rsid w:val="1068327B"/>
    <w:rsid w:val="10685029"/>
    <w:rsid w:val="10686DD7"/>
    <w:rsid w:val="10690475"/>
    <w:rsid w:val="10691CB2"/>
    <w:rsid w:val="10694545"/>
    <w:rsid w:val="10694D6D"/>
    <w:rsid w:val="106974DB"/>
    <w:rsid w:val="106A362C"/>
    <w:rsid w:val="106A61FD"/>
    <w:rsid w:val="106A6FF4"/>
    <w:rsid w:val="106B4B1A"/>
    <w:rsid w:val="106B68C8"/>
    <w:rsid w:val="106B768D"/>
    <w:rsid w:val="106C3FDC"/>
    <w:rsid w:val="106C47C7"/>
    <w:rsid w:val="106C6715"/>
    <w:rsid w:val="106D0261"/>
    <w:rsid w:val="106D0892"/>
    <w:rsid w:val="106D0EE8"/>
    <w:rsid w:val="106D2640"/>
    <w:rsid w:val="106D2F64"/>
    <w:rsid w:val="106D36EE"/>
    <w:rsid w:val="106D37AD"/>
    <w:rsid w:val="106D3E50"/>
    <w:rsid w:val="106D43EE"/>
    <w:rsid w:val="106D7130"/>
    <w:rsid w:val="106F0166"/>
    <w:rsid w:val="106F27B8"/>
    <w:rsid w:val="106F3425"/>
    <w:rsid w:val="106F460A"/>
    <w:rsid w:val="106F48CD"/>
    <w:rsid w:val="10701672"/>
    <w:rsid w:val="10702130"/>
    <w:rsid w:val="10703DA3"/>
    <w:rsid w:val="10703EDE"/>
    <w:rsid w:val="10704BE1"/>
    <w:rsid w:val="10710382"/>
    <w:rsid w:val="107109FF"/>
    <w:rsid w:val="107134FF"/>
    <w:rsid w:val="107149AC"/>
    <w:rsid w:val="107200CE"/>
    <w:rsid w:val="10720D50"/>
    <w:rsid w:val="1072324E"/>
    <w:rsid w:val="107240FA"/>
    <w:rsid w:val="1072498F"/>
    <w:rsid w:val="10725EA8"/>
    <w:rsid w:val="10730420"/>
    <w:rsid w:val="10735D59"/>
    <w:rsid w:val="10735E1F"/>
    <w:rsid w:val="10741C20"/>
    <w:rsid w:val="10741E80"/>
    <w:rsid w:val="107423E5"/>
    <w:rsid w:val="107439CE"/>
    <w:rsid w:val="1074532C"/>
    <w:rsid w:val="107647A0"/>
    <w:rsid w:val="10765998"/>
    <w:rsid w:val="10767527"/>
    <w:rsid w:val="10771710"/>
    <w:rsid w:val="107734BE"/>
    <w:rsid w:val="10774631"/>
    <w:rsid w:val="10777F0B"/>
    <w:rsid w:val="10790550"/>
    <w:rsid w:val="1079118D"/>
    <w:rsid w:val="10791C91"/>
    <w:rsid w:val="10792AF0"/>
    <w:rsid w:val="10795489"/>
    <w:rsid w:val="10797237"/>
    <w:rsid w:val="1079731F"/>
    <w:rsid w:val="107A6B0B"/>
    <w:rsid w:val="107B2BF1"/>
    <w:rsid w:val="107B2FAF"/>
    <w:rsid w:val="107B4C3F"/>
    <w:rsid w:val="107C0AD5"/>
    <w:rsid w:val="107C2883"/>
    <w:rsid w:val="107C5A41"/>
    <w:rsid w:val="107C6D27"/>
    <w:rsid w:val="107D336E"/>
    <w:rsid w:val="107D3B5D"/>
    <w:rsid w:val="107D4891"/>
    <w:rsid w:val="107D6CCB"/>
    <w:rsid w:val="107D78CB"/>
    <w:rsid w:val="107E32D1"/>
    <w:rsid w:val="107E469F"/>
    <w:rsid w:val="107E484D"/>
    <w:rsid w:val="107E65FB"/>
    <w:rsid w:val="107F4121"/>
    <w:rsid w:val="107F5400"/>
    <w:rsid w:val="108005C5"/>
    <w:rsid w:val="10806817"/>
    <w:rsid w:val="108118B3"/>
    <w:rsid w:val="10814FB4"/>
    <w:rsid w:val="108160EB"/>
    <w:rsid w:val="10817E99"/>
    <w:rsid w:val="10822D43"/>
    <w:rsid w:val="10823EE3"/>
    <w:rsid w:val="10824484"/>
    <w:rsid w:val="10825D91"/>
    <w:rsid w:val="108272F3"/>
    <w:rsid w:val="108300B5"/>
    <w:rsid w:val="10831370"/>
    <w:rsid w:val="108341D3"/>
    <w:rsid w:val="10834DDA"/>
    <w:rsid w:val="10834EF4"/>
    <w:rsid w:val="10841404"/>
    <w:rsid w:val="1085184A"/>
    <w:rsid w:val="10852E05"/>
    <w:rsid w:val="10853648"/>
    <w:rsid w:val="10853B45"/>
    <w:rsid w:val="10854D04"/>
    <w:rsid w:val="10855FBF"/>
    <w:rsid w:val="10860438"/>
    <w:rsid w:val="108628B1"/>
    <w:rsid w:val="10863702"/>
    <w:rsid w:val="108658D8"/>
    <w:rsid w:val="1087349F"/>
    <w:rsid w:val="1087489D"/>
    <w:rsid w:val="1088161D"/>
    <w:rsid w:val="108831E9"/>
    <w:rsid w:val="1088747A"/>
    <w:rsid w:val="10887C8C"/>
    <w:rsid w:val="1089162C"/>
    <w:rsid w:val="1089220B"/>
    <w:rsid w:val="1089530E"/>
    <w:rsid w:val="1089687E"/>
    <w:rsid w:val="108A214C"/>
    <w:rsid w:val="108A2C16"/>
    <w:rsid w:val="108A31F2"/>
    <w:rsid w:val="108A4FA0"/>
    <w:rsid w:val="108A5D20"/>
    <w:rsid w:val="108B0D18"/>
    <w:rsid w:val="108B40A6"/>
    <w:rsid w:val="108B5536"/>
    <w:rsid w:val="108B76EB"/>
    <w:rsid w:val="108B7EA7"/>
    <w:rsid w:val="108C39E7"/>
    <w:rsid w:val="108C6940"/>
    <w:rsid w:val="108C6F6A"/>
    <w:rsid w:val="108D2CE2"/>
    <w:rsid w:val="108D4A90"/>
    <w:rsid w:val="108D683E"/>
    <w:rsid w:val="108E036B"/>
    <w:rsid w:val="108E5098"/>
    <w:rsid w:val="108F0808"/>
    <w:rsid w:val="108F25B6"/>
    <w:rsid w:val="108F3B6B"/>
    <w:rsid w:val="108F4D0F"/>
    <w:rsid w:val="108F6A88"/>
    <w:rsid w:val="10901B56"/>
    <w:rsid w:val="1090632E"/>
    <w:rsid w:val="109074FA"/>
    <w:rsid w:val="10907F18"/>
    <w:rsid w:val="109113A8"/>
    <w:rsid w:val="109127D2"/>
    <w:rsid w:val="10914580"/>
    <w:rsid w:val="109202F8"/>
    <w:rsid w:val="1092390C"/>
    <w:rsid w:val="10932E8F"/>
    <w:rsid w:val="10933CC8"/>
    <w:rsid w:val="10935409"/>
    <w:rsid w:val="1093736D"/>
    <w:rsid w:val="10941366"/>
    <w:rsid w:val="109418C6"/>
    <w:rsid w:val="10944070"/>
    <w:rsid w:val="10945158"/>
    <w:rsid w:val="10945E1E"/>
    <w:rsid w:val="10947BCD"/>
    <w:rsid w:val="10955661"/>
    <w:rsid w:val="1096334C"/>
    <w:rsid w:val="109635B0"/>
    <w:rsid w:val="10963D8A"/>
    <w:rsid w:val="10965729"/>
    <w:rsid w:val="10967DE9"/>
    <w:rsid w:val="1097224E"/>
    <w:rsid w:val="10973B61"/>
    <w:rsid w:val="10991687"/>
    <w:rsid w:val="10993435"/>
    <w:rsid w:val="109951E3"/>
    <w:rsid w:val="109A13E3"/>
    <w:rsid w:val="109A270B"/>
    <w:rsid w:val="109A4C31"/>
    <w:rsid w:val="109B245A"/>
    <w:rsid w:val="109B502B"/>
    <w:rsid w:val="109B53FF"/>
    <w:rsid w:val="109B71AD"/>
    <w:rsid w:val="109C2D65"/>
    <w:rsid w:val="109C31B1"/>
    <w:rsid w:val="109C5BC1"/>
    <w:rsid w:val="109C6380"/>
    <w:rsid w:val="109C64BB"/>
    <w:rsid w:val="109D1177"/>
    <w:rsid w:val="109D50E2"/>
    <w:rsid w:val="109E0A4B"/>
    <w:rsid w:val="109E4CE5"/>
    <w:rsid w:val="109E4EEF"/>
    <w:rsid w:val="109E55F6"/>
    <w:rsid w:val="109E581C"/>
    <w:rsid w:val="109E5D62"/>
    <w:rsid w:val="109F39AC"/>
    <w:rsid w:val="109F7AF5"/>
    <w:rsid w:val="10A02A15"/>
    <w:rsid w:val="10A06571"/>
    <w:rsid w:val="10A07A93"/>
    <w:rsid w:val="10A12F74"/>
    <w:rsid w:val="10A13A9A"/>
    <w:rsid w:val="10A27929"/>
    <w:rsid w:val="10A30D3B"/>
    <w:rsid w:val="10A32505"/>
    <w:rsid w:val="10A342B4"/>
    <w:rsid w:val="10A357D8"/>
    <w:rsid w:val="10A36062"/>
    <w:rsid w:val="10A36F71"/>
    <w:rsid w:val="10A42DEA"/>
    <w:rsid w:val="10A43754"/>
    <w:rsid w:val="10A455BA"/>
    <w:rsid w:val="10A4638E"/>
    <w:rsid w:val="10A5049E"/>
    <w:rsid w:val="10A50CAE"/>
    <w:rsid w:val="10A51DDA"/>
    <w:rsid w:val="10A55A69"/>
    <w:rsid w:val="10A65B52"/>
    <w:rsid w:val="10A65CB3"/>
    <w:rsid w:val="10A6686F"/>
    <w:rsid w:val="10A67900"/>
    <w:rsid w:val="10A73DA4"/>
    <w:rsid w:val="10A8253F"/>
    <w:rsid w:val="10A85396"/>
    <w:rsid w:val="10A86610"/>
    <w:rsid w:val="10A867D5"/>
    <w:rsid w:val="10A87B1C"/>
    <w:rsid w:val="10A92BFD"/>
    <w:rsid w:val="10AA0ABF"/>
    <w:rsid w:val="10AA3894"/>
    <w:rsid w:val="10AA3D6A"/>
    <w:rsid w:val="10AA5642"/>
    <w:rsid w:val="10AB3168"/>
    <w:rsid w:val="10AB6381"/>
    <w:rsid w:val="10AC0C59"/>
    <w:rsid w:val="10AC1E65"/>
    <w:rsid w:val="10AC2D6C"/>
    <w:rsid w:val="10AC760C"/>
    <w:rsid w:val="10AD429A"/>
    <w:rsid w:val="10AD622C"/>
    <w:rsid w:val="10AD6EE0"/>
    <w:rsid w:val="10AD7440"/>
    <w:rsid w:val="10AE37FB"/>
    <w:rsid w:val="10AE42B7"/>
    <w:rsid w:val="10AF0EAA"/>
    <w:rsid w:val="10AF1D60"/>
    <w:rsid w:val="10AF2C58"/>
    <w:rsid w:val="10AF34A1"/>
    <w:rsid w:val="10AF49DF"/>
    <w:rsid w:val="10B01798"/>
    <w:rsid w:val="10B04A44"/>
    <w:rsid w:val="10B0549C"/>
    <w:rsid w:val="10B1077E"/>
    <w:rsid w:val="10B12394"/>
    <w:rsid w:val="10B13BFF"/>
    <w:rsid w:val="10B14C22"/>
    <w:rsid w:val="10B169D0"/>
    <w:rsid w:val="10B17F0C"/>
    <w:rsid w:val="10B206E1"/>
    <w:rsid w:val="10B223C8"/>
    <w:rsid w:val="10B22749"/>
    <w:rsid w:val="10B244F7"/>
    <w:rsid w:val="10B2650A"/>
    <w:rsid w:val="10B332B2"/>
    <w:rsid w:val="10B36439"/>
    <w:rsid w:val="10B372F7"/>
    <w:rsid w:val="10B464C1"/>
    <w:rsid w:val="10B5402A"/>
    <w:rsid w:val="10B54159"/>
    <w:rsid w:val="10B55BD2"/>
    <w:rsid w:val="10B62239"/>
    <w:rsid w:val="10B63710"/>
    <w:rsid w:val="10B63FE7"/>
    <w:rsid w:val="10B64D47"/>
    <w:rsid w:val="10B65B14"/>
    <w:rsid w:val="10B65D95"/>
    <w:rsid w:val="10B771C0"/>
    <w:rsid w:val="10B77D5F"/>
    <w:rsid w:val="10B84553"/>
    <w:rsid w:val="10B87A51"/>
    <w:rsid w:val="10B91988"/>
    <w:rsid w:val="10B9448D"/>
    <w:rsid w:val="10B950F1"/>
    <w:rsid w:val="10B97633"/>
    <w:rsid w:val="10B9797C"/>
    <w:rsid w:val="10BA1CA7"/>
    <w:rsid w:val="10BA61AE"/>
    <w:rsid w:val="10BB03EE"/>
    <w:rsid w:val="10BB1A44"/>
    <w:rsid w:val="10BB1AAD"/>
    <w:rsid w:val="10BB33AB"/>
    <w:rsid w:val="10BB784F"/>
    <w:rsid w:val="10BC5375"/>
    <w:rsid w:val="10BC5CFC"/>
    <w:rsid w:val="10BC637C"/>
    <w:rsid w:val="10BC69A7"/>
    <w:rsid w:val="10BC7123"/>
    <w:rsid w:val="10BD25FD"/>
    <w:rsid w:val="10BD35C7"/>
    <w:rsid w:val="10BD3846"/>
    <w:rsid w:val="10BD632E"/>
    <w:rsid w:val="10BD6D9F"/>
    <w:rsid w:val="10BE10ED"/>
    <w:rsid w:val="10BE2E9B"/>
    <w:rsid w:val="10BE4C49"/>
    <w:rsid w:val="10BE56D6"/>
    <w:rsid w:val="10BE733F"/>
    <w:rsid w:val="10BE7D92"/>
    <w:rsid w:val="10C009C2"/>
    <w:rsid w:val="10C02942"/>
    <w:rsid w:val="10C02CE5"/>
    <w:rsid w:val="10C04E65"/>
    <w:rsid w:val="10C0565B"/>
    <w:rsid w:val="10C0661B"/>
    <w:rsid w:val="10C06C14"/>
    <w:rsid w:val="10C1089F"/>
    <w:rsid w:val="10C13711"/>
    <w:rsid w:val="10C20BDE"/>
    <w:rsid w:val="10C24E9A"/>
    <w:rsid w:val="10C304B2"/>
    <w:rsid w:val="10C31312"/>
    <w:rsid w:val="10C34956"/>
    <w:rsid w:val="10C36704"/>
    <w:rsid w:val="10C41D51"/>
    <w:rsid w:val="10C50133"/>
    <w:rsid w:val="10C5422A"/>
    <w:rsid w:val="10C54E6C"/>
    <w:rsid w:val="10C556C7"/>
    <w:rsid w:val="10C72751"/>
    <w:rsid w:val="10C72BB8"/>
    <w:rsid w:val="10C7331B"/>
    <w:rsid w:val="10C766C3"/>
    <w:rsid w:val="10C81F6C"/>
    <w:rsid w:val="10C84048"/>
    <w:rsid w:val="10C85AC8"/>
    <w:rsid w:val="10C927A4"/>
    <w:rsid w:val="10C93BE8"/>
    <w:rsid w:val="10C9708B"/>
    <w:rsid w:val="10CA00A9"/>
    <w:rsid w:val="10CA5CE4"/>
    <w:rsid w:val="10CB7366"/>
    <w:rsid w:val="10CB7A27"/>
    <w:rsid w:val="10CC1DDD"/>
    <w:rsid w:val="10CC380A"/>
    <w:rsid w:val="10CC4527"/>
    <w:rsid w:val="10CC55B8"/>
    <w:rsid w:val="10CC5A9A"/>
    <w:rsid w:val="10CC79BF"/>
    <w:rsid w:val="10CD1330"/>
    <w:rsid w:val="10CD30DE"/>
    <w:rsid w:val="10CD638F"/>
    <w:rsid w:val="10CD6A2A"/>
    <w:rsid w:val="10CE15AA"/>
    <w:rsid w:val="10CE2AEF"/>
    <w:rsid w:val="10CE310C"/>
    <w:rsid w:val="10CE46FA"/>
    <w:rsid w:val="10CF226F"/>
    <w:rsid w:val="10CF32FA"/>
    <w:rsid w:val="10CF50A9"/>
    <w:rsid w:val="10CF7863"/>
    <w:rsid w:val="10D00A9D"/>
    <w:rsid w:val="10D027DA"/>
    <w:rsid w:val="10D03B48"/>
    <w:rsid w:val="10D048AD"/>
    <w:rsid w:val="10D0497D"/>
    <w:rsid w:val="10D10E21"/>
    <w:rsid w:val="10D12BCF"/>
    <w:rsid w:val="10D223F6"/>
    <w:rsid w:val="10D32DF6"/>
    <w:rsid w:val="10D37ED3"/>
    <w:rsid w:val="10D426BF"/>
    <w:rsid w:val="10D551BC"/>
    <w:rsid w:val="10D601E5"/>
    <w:rsid w:val="10D6033B"/>
    <w:rsid w:val="10D64689"/>
    <w:rsid w:val="10D66437"/>
    <w:rsid w:val="10D66B74"/>
    <w:rsid w:val="10D6705B"/>
    <w:rsid w:val="10D70578"/>
    <w:rsid w:val="10D73F5D"/>
    <w:rsid w:val="10D75D0B"/>
    <w:rsid w:val="10D768AB"/>
    <w:rsid w:val="10D76F17"/>
    <w:rsid w:val="10D777C0"/>
    <w:rsid w:val="10D80401"/>
    <w:rsid w:val="10D821AF"/>
    <w:rsid w:val="10D85020"/>
    <w:rsid w:val="10D94FCD"/>
    <w:rsid w:val="10D95F27"/>
    <w:rsid w:val="10D97CD5"/>
    <w:rsid w:val="10DA1EAA"/>
    <w:rsid w:val="10DA459D"/>
    <w:rsid w:val="10DA7B9E"/>
    <w:rsid w:val="10DB040A"/>
    <w:rsid w:val="10DB3A4D"/>
    <w:rsid w:val="10DB66E8"/>
    <w:rsid w:val="10DB7339"/>
    <w:rsid w:val="10DC1574"/>
    <w:rsid w:val="10DC3616"/>
    <w:rsid w:val="10DC394E"/>
    <w:rsid w:val="10DD3CDC"/>
    <w:rsid w:val="10DD5A17"/>
    <w:rsid w:val="10DD77C5"/>
    <w:rsid w:val="10DD79E1"/>
    <w:rsid w:val="10DE1E44"/>
    <w:rsid w:val="10DE353E"/>
    <w:rsid w:val="10DE52EC"/>
    <w:rsid w:val="10DF5416"/>
    <w:rsid w:val="10DF593B"/>
    <w:rsid w:val="10DF6F3C"/>
    <w:rsid w:val="10E01064"/>
    <w:rsid w:val="10E02E12"/>
    <w:rsid w:val="10E072B6"/>
    <w:rsid w:val="10E12961"/>
    <w:rsid w:val="10E15F07"/>
    <w:rsid w:val="10E16B8A"/>
    <w:rsid w:val="10E2302E"/>
    <w:rsid w:val="10E24BEF"/>
    <w:rsid w:val="10E24DDC"/>
    <w:rsid w:val="10E26C94"/>
    <w:rsid w:val="10E30C50"/>
    <w:rsid w:val="10E32902"/>
    <w:rsid w:val="10E35A82"/>
    <w:rsid w:val="10E365F9"/>
    <w:rsid w:val="10E36DA6"/>
    <w:rsid w:val="10E415A3"/>
    <w:rsid w:val="10E43038"/>
    <w:rsid w:val="10E50428"/>
    <w:rsid w:val="10E51BB1"/>
    <w:rsid w:val="10E51F9C"/>
    <w:rsid w:val="10E56319"/>
    <w:rsid w:val="10E5667A"/>
    <w:rsid w:val="10E57CE4"/>
    <w:rsid w:val="10E64B74"/>
    <w:rsid w:val="10E66141"/>
    <w:rsid w:val="10E70644"/>
    <w:rsid w:val="10E721A2"/>
    <w:rsid w:val="10E723F2"/>
    <w:rsid w:val="10E824F3"/>
    <w:rsid w:val="10E8616A"/>
    <w:rsid w:val="10EA0134"/>
    <w:rsid w:val="10EA1A95"/>
    <w:rsid w:val="10EA1EE2"/>
    <w:rsid w:val="10EA3C90"/>
    <w:rsid w:val="10EA5F52"/>
    <w:rsid w:val="10EB27AF"/>
    <w:rsid w:val="10EB2873"/>
    <w:rsid w:val="10EB6C2E"/>
    <w:rsid w:val="10EB73E2"/>
    <w:rsid w:val="10EC0872"/>
    <w:rsid w:val="10EC3443"/>
    <w:rsid w:val="10EC4AAE"/>
    <w:rsid w:val="10EC53A5"/>
    <w:rsid w:val="10EC7A09"/>
    <w:rsid w:val="10EC7D9E"/>
    <w:rsid w:val="10ED01DA"/>
    <w:rsid w:val="10ED0B53"/>
    <w:rsid w:val="10ED3781"/>
    <w:rsid w:val="10ED48D3"/>
    <w:rsid w:val="10ED552F"/>
    <w:rsid w:val="10EE19D3"/>
    <w:rsid w:val="10EE37D0"/>
    <w:rsid w:val="10EE5D63"/>
    <w:rsid w:val="10EF0934"/>
    <w:rsid w:val="10EF12A7"/>
    <w:rsid w:val="10EF574B"/>
    <w:rsid w:val="10EF74F9"/>
    <w:rsid w:val="10F01DC4"/>
    <w:rsid w:val="10F04807"/>
    <w:rsid w:val="10F05150"/>
    <w:rsid w:val="10F07EAA"/>
    <w:rsid w:val="10F10820"/>
    <w:rsid w:val="10F13271"/>
    <w:rsid w:val="10F1501F"/>
    <w:rsid w:val="10F15E25"/>
    <w:rsid w:val="10F21A36"/>
    <w:rsid w:val="10F22B45"/>
    <w:rsid w:val="10F246E4"/>
    <w:rsid w:val="10F24DC5"/>
    <w:rsid w:val="10F25EEC"/>
    <w:rsid w:val="10F300E6"/>
    <w:rsid w:val="10F35F02"/>
    <w:rsid w:val="10F36FE9"/>
    <w:rsid w:val="10F41EDB"/>
    <w:rsid w:val="10F42D61"/>
    <w:rsid w:val="10F44B0F"/>
    <w:rsid w:val="10F468BD"/>
    <w:rsid w:val="10F46A4B"/>
    <w:rsid w:val="10F4785F"/>
    <w:rsid w:val="10F547A6"/>
    <w:rsid w:val="10F55C36"/>
    <w:rsid w:val="10F569D8"/>
    <w:rsid w:val="10F62635"/>
    <w:rsid w:val="10F63291"/>
    <w:rsid w:val="10F637A5"/>
    <w:rsid w:val="10F658AC"/>
    <w:rsid w:val="10F70556"/>
    <w:rsid w:val="10F7109A"/>
    <w:rsid w:val="10F77511"/>
    <w:rsid w:val="10F83188"/>
    <w:rsid w:val="10F90377"/>
    <w:rsid w:val="10F91AA4"/>
    <w:rsid w:val="10F92B8D"/>
    <w:rsid w:val="10FA3D23"/>
    <w:rsid w:val="10FA4B92"/>
    <w:rsid w:val="10FA5A47"/>
    <w:rsid w:val="10FA64D8"/>
    <w:rsid w:val="10FB3FBE"/>
    <w:rsid w:val="10FB5727"/>
    <w:rsid w:val="10FB6ED7"/>
    <w:rsid w:val="10FC2F38"/>
    <w:rsid w:val="10FC5772"/>
    <w:rsid w:val="10FD17F7"/>
    <w:rsid w:val="10FD1C16"/>
    <w:rsid w:val="10FD1FB4"/>
    <w:rsid w:val="10FD39C4"/>
    <w:rsid w:val="10FD63A3"/>
    <w:rsid w:val="10FE14EA"/>
    <w:rsid w:val="10FE1A2B"/>
    <w:rsid w:val="10FE55E4"/>
    <w:rsid w:val="10FF1B93"/>
    <w:rsid w:val="11001706"/>
    <w:rsid w:val="11005262"/>
    <w:rsid w:val="11012F4B"/>
    <w:rsid w:val="11014730"/>
    <w:rsid w:val="11017039"/>
    <w:rsid w:val="1102390F"/>
    <w:rsid w:val="1102547E"/>
    <w:rsid w:val="11026C2E"/>
    <w:rsid w:val="1102722C"/>
    <w:rsid w:val="11027D30"/>
    <w:rsid w:val="1103023A"/>
    <w:rsid w:val="11030400"/>
    <w:rsid w:val="11032FA4"/>
    <w:rsid w:val="1103662E"/>
    <w:rsid w:val="11036B00"/>
    <w:rsid w:val="1103791B"/>
    <w:rsid w:val="11037D1A"/>
    <w:rsid w:val="11040DF0"/>
    <w:rsid w:val="110411F6"/>
    <w:rsid w:val="11046C30"/>
    <w:rsid w:val="11047A69"/>
    <w:rsid w:val="11047F89"/>
    <w:rsid w:val="11052878"/>
    <w:rsid w:val="11063FEA"/>
    <w:rsid w:val="11071547"/>
    <w:rsid w:val="11071E76"/>
    <w:rsid w:val="11072A94"/>
    <w:rsid w:val="11074842"/>
    <w:rsid w:val="11074890"/>
    <w:rsid w:val="1107547A"/>
    <w:rsid w:val="110765F0"/>
    <w:rsid w:val="110804ED"/>
    <w:rsid w:val="110805BA"/>
    <w:rsid w:val="110819B2"/>
    <w:rsid w:val="11082369"/>
    <w:rsid w:val="1108690A"/>
    <w:rsid w:val="11087B59"/>
    <w:rsid w:val="11095C2A"/>
    <w:rsid w:val="110A2003"/>
    <w:rsid w:val="110A4333"/>
    <w:rsid w:val="110A45A1"/>
    <w:rsid w:val="110A5208"/>
    <w:rsid w:val="110A60E1"/>
    <w:rsid w:val="110B36E6"/>
    <w:rsid w:val="110B4B5D"/>
    <w:rsid w:val="110C12EC"/>
    <w:rsid w:val="110C1E59"/>
    <w:rsid w:val="110C3C07"/>
    <w:rsid w:val="110D140B"/>
    <w:rsid w:val="110D3EBD"/>
    <w:rsid w:val="110D797F"/>
    <w:rsid w:val="110E0901"/>
    <w:rsid w:val="110E2A64"/>
    <w:rsid w:val="110E3E23"/>
    <w:rsid w:val="110E5BD1"/>
    <w:rsid w:val="110F1949"/>
    <w:rsid w:val="110F36F7"/>
    <w:rsid w:val="110F3B44"/>
    <w:rsid w:val="110F3D63"/>
    <w:rsid w:val="110F7B9B"/>
    <w:rsid w:val="11102EB9"/>
    <w:rsid w:val="111037C2"/>
    <w:rsid w:val="11113CCE"/>
    <w:rsid w:val="111156C1"/>
    <w:rsid w:val="1111746F"/>
    <w:rsid w:val="111206C4"/>
    <w:rsid w:val="111207FF"/>
    <w:rsid w:val="1112121F"/>
    <w:rsid w:val="11124F95"/>
    <w:rsid w:val="11131439"/>
    <w:rsid w:val="111331E7"/>
    <w:rsid w:val="111365EE"/>
    <w:rsid w:val="11136F1B"/>
    <w:rsid w:val="11140D0D"/>
    <w:rsid w:val="11144272"/>
    <w:rsid w:val="11144B56"/>
    <w:rsid w:val="11146F5F"/>
    <w:rsid w:val="111470F0"/>
    <w:rsid w:val="1115173F"/>
    <w:rsid w:val="11157F9F"/>
    <w:rsid w:val="11160F29"/>
    <w:rsid w:val="11161147"/>
    <w:rsid w:val="11162CD7"/>
    <w:rsid w:val="11166833"/>
    <w:rsid w:val="111725AC"/>
    <w:rsid w:val="11177B40"/>
    <w:rsid w:val="111807FE"/>
    <w:rsid w:val="111863FF"/>
    <w:rsid w:val="11186A50"/>
    <w:rsid w:val="111927C8"/>
    <w:rsid w:val="11192A6F"/>
    <w:rsid w:val="11193BF1"/>
    <w:rsid w:val="11194576"/>
    <w:rsid w:val="11196324"/>
    <w:rsid w:val="11196874"/>
    <w:rsid w:val="1119735C"/>
    <w:rsid w:val="111A0052"/>
    <w:rsid w:val="111A14A8"/>
    <w:rsid w:val="111A2E4F"/>
    <w:rsid w:val="111A38EF"/>
    <w:rsid w:val="111A451D"/>
    <w:rsid w:val="111B02EE"/>
    <w:rsid w:val="111B030C"/>
    <w:rsid w:val="111B209C"/>
    <w:rsid w:val="111B4D7F"/>
    <w:rsid w:val="111B615F"/>
    <w:rsid w:val="111B6540"/>
    <w:rsid w:val="111B6FF8"/>
    <w:rsid w:val="111C0DE0"/>
    <w:rsid w:val="111C2F7A"/>
    <w:rsid w:val="111C3853"/>
    <w:rsid w:val="111D0662"/>
    <w:rsid w:val="111D0CC6"/>
    <w:rsid w:val="111D155B"/>
    <w:rsid w:val="111D394B"/>
    <w:rsid w:val="111D4066"/>
    <w:rsid w:val="111D7BC2"/>
    <w:rsid w:val="111D7E16"/>
    <w:rsid w:val="111E1B8C"/>
    <w:rsid w:val="111E2068"/>
    <w:rsid w:val="111E393A"/>
    <w:rsid w:val="111E4BF9"/>
    <w:rsid w:val="111E6FF9"/>
    <w:rsid w:val="111F4218"/>
    <w:rsid w:val="111F4B90"/>
    <w:rsid w:val="111F7DDE"/>
    <w:rsid w:val="11203487"/>
    <w:rsid w:val="11205904"/>
    <w:rsid w:val="11206B71"/>
    <w:rsid w:val="11206DF3"/>
    <w:rsid w:val="11213093"/>
    <w:rsid w:val="112151D7"/>
    <w:rsid w:val="1122167C"/>
    <w:rsid w:val="11223F8A"/>
    <w:rsid w:val="112241D9"/>
    <w:rsid w:val="11225E68"/>
    <w:rsid w:val="11230F50"/>
    <w:rsid w:val="11233511"/>
    <w:rsid w:val="112371A2"/>
    <w:rsid w:val="11241C58"/>
    <w:rsid w:val="11242E03"/>
    <w:rsid w:val="112453F4"/>
    <w:rsid w:val="112509F4"/>
    <w:rsid w:val="11254CC9"/>
    <w:rsid w:val="11261E92"/>
    <w:rsid w:val="11265439"/>
    <w:rsid w:val="11267850"/>
    <w:rsid w:val="11270A41"/>
    <w:rsid w:val="11274A63"/>
    <w:rsid w:val="11274C21"/>
    <w:rsid w:val="112847B9"/>
    <w:rsid w:val="1128513A"/>
    <w:rsid w:val="112877EF"/>
    <w:rsid w:val="11290C5D"/>
    <w:rsid w:val="1129374D"/>
    <w:rsid w:val="112A4DA5"/>
    <w:rsid w:val="112A6783"/>
    <w:rsid w:val="112B01CB"/>
    <w:rsid w:val="112C4EB8"/>
    <w:rsid w:val="112D0B2B"/>
    <w:rsid w:val="112D2477"/>
    <w:rsid w:val="112E0021"/>
    <w:rsid w:val="112E1DCF"/>
    <w:rsid w:val="112E355B"/>
    <w:rsid w:val="112E375D"/>
    <w:rsid w:val="112E585D"/>
    <w:rsid w:val="112E6273"/>
    <w:rsid w:val="112E6F88"/>
    <w:rsid w:val="112F0E3C"/>
    <w:rsid w:val="11301098"/>
    <w:rsid w:val="11301FEB"/>
    <w:rsid w:val="11302104"/>
    <w:rsid w:val="11304BC0"/>
    <w:rsid w:val="113106E6"/>
    <w:rsid w:val="113109DB"/>
    <w:rsid w:val="1131276B"/>
    <w:rsid w:val="11313335"/>
    <w:rsid w:val="11321AA9"/>
    <w:rsid w:val="11321B76"/>
    <w:rsid w:val="11324747"/>
    <w:rsid w:val="11335637"/>
    <w:rsid w:val="11335BD7"/>
    <w:rsid w:val="1133639C"/>
    <w:rsid w:val="113373E5"/>
    <w:rsid w:val="113413B0"/>
    <w:rsid w:val="113517AB"/>
    <w:rsid w:val="113517D7"/>
    <w:rsid w:val="1136446A"/>
    <w:rsid w:val="11365128"/>
    <w:rsid w:val="1136691D"/>
    <w:rsid w:val="11366ED6"/>
    <w:rsid w:val="11372E17"/>
    <w:rsid w:val="1137439F"/>
    <w:rsid w:val="11375B67"/>
    <w:rsid w:val="11375F1E"/>
    <w:rsid w:val="11380C86"/>
    <w:rsid w:val="11380EA0"/>
    <w:rsid w:val="11382C4E"/>
    <w:rsid w:val="113874D2"/>
    <w:rsid w:val="11390774"/>
    <w:rsid w:val="11390ABA"/>
    <w:rsid w:val="113A1798"/>
    <w:rsid w:val="113A4C18"/>
    <w:rsid w:val="113B1963"/>
    <w:rsid w:val="113B20A7"/>
    <w:rsid w:val="113B38EB"/>
    <w:rsid w:val="113B44EC"/>
    <w:rsid w:val="113C4031"/>
    <w:rsid w:val="113C7B4E"/>
    <w:rsid w:val="113D185A"/>
    <w:rsid w:val="113D2012"/>
    <w:rsid w:val="113D2BAE"/>
    <w:rsid w:val="113D64B6"/>
    <w:rsid w:val="113D6C89"/>
    <w:rsid w:val="113D7983"/>
    <w:rsid w:val="113E2CEA"/>
    <w:rsid w:val="113E3FDC"/>
    <w:rsid w:val="113E582B"/>
    <w:rsid w:val="113E5D8A"/>
    <w:rsid w:val="113F0C92"/>
    <w:rsid w:val="113F417A"/>
    <w:rsid w:val="11401152"/>
    <w:rsid w:val="1140300E"/>
    <w:rsid w:val="1140560A"/>
    <w:rsid w:val="1140565E"/>
    <w:rsid w:val="11405E94"/>
    <w:rsid w:val="11405FA6"/>
    <w:rsid w:val="11407D54"/>
    <w:rsid w:val="114101DB"/>
    <w:rsid w:val="11410FEA"/>
    <w:rsid w:val="114137E2"/>
    <w:rsid w:val="1141525C"/>
    <w:rsid w:val="11416C80"/>
    <w:rsid w:val="1142016F"/>
    <w:rsid w:val="11423ACC"/>
    <w:rsid w:val="1142587A"/>
    <w:rsid w:val="11427629"/>
    <w:rsid w:val="11430D24"/>
    <w:rsid w:val="11431B6E"/>
    <w:rsid w:val="114333A1"/>
    <w:rsid w:val="114356CC"/>
    <w:rsid w:val="1143775C"/>
    <w:rsid w:val="11447B82"/>
    <w:rsid w:val="11447FEB"/>
    <w:rsid w:val="114535BD"/>
    <w:rsid w:val="1145529D"/>
    <w:rsid w:val="11457119"/>
    <w:rsid w:val="11464A7F"/>
    <w:rsid w:val="114710E3"/>
    <w:rsid w:val="11472E91"/>
    <w:rsid w:val="11474599"/>
    <w:rsid w:val="114754DD"/>
    <w:rsid w:val="11475A92"/>
    <w:rsid w:val="11477335"/>
    <w:rsid w:val="11477F94"/>
    <w:rsid w:val="114809B7"/>
    <w:rsid w:val="114856A6"/>
    <w:rsid w:val="11490337"/>
    <w:rsid w:val="11494E5B"/>
    <w:rsid w:val="11496C09"/>
    <w:rsid w:val="114A35BC"/>
    <w:rsid w:val="114A3956"/>
    <w:rsid w:val="114A472F"/>
    <w:rsid w:val="114B3E5E"/>
    <w:rsid w:val="114B6865"/>
    <w:rsid w:val="114C04A7"/>
    <w:rsid w:val="114C242D"/>
    <w:rsid w:val="114C494B"/>
    <w:rsid w:val="114C52EE"/>
    <w:rsid w:val="114C66F9"/>
    <w:rsid w:val="114C6755"/>
    <w:rsid w:val="114D0C2C"/>
    <w:rsid w:val="114D19F9"/>
    <w:rsid w:val="114D7A9B"/>
    <w:rsid w:val="114D7C0E"/>
    <w:rsid w:val="114E06C3"/>
    <w:rsid w:val="114E154D"/>
    <w:rsid w:val="114E2471"/>
    <w:rsid w:val="114E27DF"/>
    <w:rsid w:val="114E2A68"/>
    <w:rsid w:val="114F1D45"/>
    <w:rsid w:val="114F3C6F"/>
    <w:rsid w:val="114F4E06"/>
    <w:rsid w:val="114F5934"/>
    <w:rsid w:val="114F61E9"/>
    <w:rsid w:val="114F7F97"/>
    <w:rsid w:val="11507CD0"/>
    <w:rsid w:val="11511160"/>
    <w:rsid w:val="11513999"/>
    <w:rsid w:val="11513D10"/>
    <w:rsid w:val="11515ABE"/>
    <w:rsid w:val="115240D3"/>
    <w:rsid w:val="11531836"/>
    <w:rsid w:val="11540D63"/>
    <w:rsid w:val="11544F18"/>
    <w:rsid w:val="11551A52"/>
    <w:rsid w:val="115530A5"/>
    <w:rsid w:val="115563A0"/>
    <w:rsid w:val="11556783"/>
    <w:rsid w:val="11557AE1"/>
    <w:rsid w:val="11560F71"/>
    <w:rsid w:val="11561326"/>
    <w:rsid w:val="11561623"/>
    <w:rsid w:val="115630D4"/>
    <w:rsid w:val="11563A18"/>
    <w:rsid w:val="11567578"/>
    <w:rsid w:val="115714DA"/>
    <w:rsid w:val="11575FD0"/>
    <w:rsid w:val="1157782B"/>
    <w:rsid w:val="1158205A"/>
    <w:rsid w:val="11583891"/>
    <w:rsid w:val="115978F2"/>
    <w:rsid w:val="115A0E16"/>
    <w:rsid w:val="115A7068"/>
    <w:rsid w:val="115A717E"/>
    <w:rsid w:val="115B008D"/>
    <w:rsid w:val="115B2DE0"/>
    <w:rsid w:val="115B3953"/>
    <w:rsid w:val="115B5D3D"/>
    <w:rsid w:val="115B5F20"/>
    <w:rsid w:val="115B6517"/>
    <w:rsid w:val="115C36A2"/>
    <w:rsid w:val="115C6273"/>
    <w:rsid w:val="115D048A"/>
    <w:rsid w:val="115D0906"/>
    <w:rsid w:val="115D26B4"/>
    <w:rsid w:val="115D4462"/>
    <w:rsid w:val="115D5D52"/>
    <w:rsid w:val="115E01DA"/>
    <w:rsid w:val="115F09D5"/>
    <w:rsid w:val="115F0C23"/>
    <w:rsid w:val="115F0F5B"/>
    <w:rsid w:val="115F467E"/>
    <w:rsid w:val="115F642C"/>
    <w:rsid w:val="11603F53"/>
    <w:rsid w:val="11604BF4"/>
    <w:rsid w:val="11605A72"/>
    <w:rsid w:val="11607055"/>
    <w:rsid w:val="116102C2"/>
    <w:rsid w:val="1161107D"/>
    <w:rsid w:val="11621A79"/>
    <w:rsid w:val="116222E8"/>
    <w:rsid w:val="116236E7"/>
    <w:rsid w:val="11625F1D"/>
    <w:rsid w:val="11626185"/>
    <w:rsid w:val="11626289"/>
    <w:rsid w:val="116266B4"/>
    <w:rsid w:val="11627CCB"/>
    <w:rsid w:val="116309A4"/>
    <w:rsid w:val="116419C7"/>
    <w:rsid w:val="11641C95"/>
    <w:rsid w:val="11643698"/>
    <w:rsid w:val="116463AA"/>
    <w:rsid w:val="11655E95"/>
    <w:rsid w:val="116575D6"/>
    <w:rsid w:val="116577BB"/>
    <w:rsid w:val="11657B94"/>
    <w:rsid w:val="11663318"/>
    <w:rsid w:val="11665A0D"/>
    <w:rsid w:val="11665CA1"/>
    <w:rsid w:val="116708FA"/>
    <w:rsid w:val="11671785"/>
    <w:rsid w:val="11673386"/>
    <w:rsid w:val="11673533"/>
    <w:rsid w:val="116752E1"/>
    <w:rsid w:val="11680912"/>
    <w:rsid w:val="11687901"/>
    <w:rsid w:val="11691059"/>
    <w:rsid w:val="11692AA3"/>
    <w:rsid w:val="11692E07"/>
    <w:rsid w:val="11695CA6"/>
    <w:rsid w:val="116972AB"/>
    <w:rsid w:val="116978BA"/>
    <w:rsid w:val="116A1C17"/>
    <w:rsid w:val="116A1DC2"/>
    <w:rsid w:val="116A2657"/>
    <w:rsid w:val="116A4DD1"/>
    <w:rsid w:val="116B3023"/>
    <w:rsid w:val="116B48D8"/>
    <w:rsid w:val="116C0B49"/>
    <w:rsid w:val="116C28F7"/>
    <w:rsid w:val="116C6D9B"/>
    <w:rsid w:val="116D4627"/>
    <w:rsid w:val="116D6449"/>
    <w:rsid w:val="116D76DE"/>
    <w:rsid w:val="116D7C4E"/>
    <w:rsid w:val="116E041E"/>
    <w:rsid w:val="116E0688"/>
    <w:rsid w:val="116E2B13"/>
    <w:rsid w:val="116E6670"/>
    <w:rsid w:val="116F23E8"/>
    <w:rsid w:val="1170063A"/>
    <w:rsid w:val="11702DF7"/>
    <w:rsid w:val="11702FA8"/>
    <w:rsid w:val="117046E9"/>
    <w:rsid w:val="11714855"/>
    <w:rsid w:val="11715209"/>
    <w:rsid w:val="11715AB9"/>
    <w:rsid w:val="11715B79"/>
    <w:rsid w:val="11716160"/>
    <w:rsid w:val="11716B99"/>
    <w:rsid w:val="11722983"/>
    <w:rsid w:val="11730328"/>
    <w:rsid w:val="11731929"/>
    <w:rsid w:val="11731ED8"/>
    <w:rsid w:val="1173286D"/>
    <w:rsid w:val="1173306A"/>
    <w:rsid w:val="11733C86"/>
    <w:rsid w:val="11734C31"/>
    <w:rsid w:val="117417AC"/>
    <w:rsid w:val="11741ACD"/>
    <w:rsid w:val="11744246"/>
    <w:rsid w:val="117470BF"/>
    <w:rsid w:val="11755C50"/>
    <w:rsid w:val="11756408"/>
    <w:rsid w:val="11760BA1"/>
    <w:rsid w:val="117619C8"/>
    <w:rsid w:val="11763776"/>
    <w:rsid w:val="11764C83"/>
    <w:rsid w:val="11766AE0"/>
    <w:rsid w:val="11766F5F"/>
    <w:rsid w:val="11767C36"/>
    <w:rsid w:val="117765EA"/>
    <w:rsid w:val="1178129C"/>
    <w:rsid w:val="11785740"/>
    <w:rsid w:val="117874EE"/>
    <w:rsid w:val="11793D7B"/>
    <w:rsid w:val="11793EC0"/>
    <w:rsid w:val="1179579B"/>
    <w:rsid w:val="11796EDC"/>
    <w:rsid w:val="1179716D"/>
    <w:rsid w:val="117A036C"/>
    <w:rsid w:val="117A1220"/>
    <w:rsid w:val="117A3266"/>
    <w:rsid w:val="117A3337"/>
    <w:rsid w:val="117A5014"/>
    <w:rsid w:val="117A6C2B"/>
    <w:rsid w:val="117B0D8C"/>
    <w:rsid w:val="117B17FC"/>
    <w:rsid w:val="117B2B3A"/>
    <w:rsid w:val="117B6FDE"/>
    <w:rsid w:val="117C4947"/>
    <w:rsid w:val="117C62FD"/>
    <w:rsid w:val="117C6429"/>
    <w:rsid w:val="117D411C"/>
    <w:rsid w:val="117D4DF7"/>
    <w:rsid w:val="117D5C54"/>
    <w:rsid w:val="117D68B3"/>
    <w:rsid w:val="117D6CED"/>
    <w:rsid w:val="117E017D"/>
    <w:rsid w:val="117F087D"/>
    <w:rsid w:val="117F1149"/>
    <w:rsid w:val="117F160D"/>
    <w:rsid w:val="117F262B"/>
    <w:rsid w:val="117F700D"/>
    <w:rsid w:val="11800151"/>
    <w:rsid w:val="118006EF"/>
    <w:rsid w:val="11801CFC"/>
    <w:rsid w:val="11803074"/>
    <w:rsid w:val="118045F5"/>
    <w:rsid w:val="118063A3"/>
    <w:rsid w:val="1182036D"/>
    <w:rsid w:val="11821551"/>
    <w:rsid w:val="1182211B"/>
    <w:rsid w:val="11823E86"/>
    <w:rsid w:val="11823EC9"/>
    <w:rsid w:val="118253BD"/>
    <w:rsid w:val="118303FD"/>
    <w:rsid w:val="11832AAA"/>
    <w:rsid w:val="11834082"/>
    <w:rsid w:val="11837EB8"/>
    <w:rsid w:val="118412D9"/>
    <w:rsid w:val="118428AE"/>
    <w:rsid w:val="1184777C"/>
    <w:rsid w:val="11847C41"/>
    <w:rsid w:val="11850227"/>
    <w:rsid w:val="11851C0B"/>
    <w:rsid w:val="11853059"/>
    <w:rsid w:val="118539B9"/>
    <w:rsid w:val="11854932"/>
    <w:rsid w:val="1185547F"/>
    <w:rsid w:val="11856C88"/>
    <w:rsid w:val="1186189D"/>
    <w:rsid w:val="11861913"/>
    <w:rsid w:val="118653FD"/>
    <w:rsid w:val="11867E5D"/>
    <w:rsid w:val="118714DF"/>
    <w:rsid w:val="118722E7"/>
    <w:rsid w:val="11872970"/>
    <w:rsid w:val="11875983"/>
    <w:rsid w:val="11877D9F"/>
    <w:rsid w:val="118857F7"/>
    <w:rsid w:val="11891052"/>
    <w:rsid w:val="118926BF"/>
    <w:rsid w:val="118934A9"/>
    <w:rsid w:val="1189484A"/>
    <w:rsid w:val="118A1649"/>
    <w:rsid w:val="118A300B"/>
    <w:rsid w:val="118A4221"/>
    <w:rsid w:val="118A4F32"/>
    <w:rsid w:val="118A50BC"/>
    <w:rsid w:val="118B46B1"/>
    <w:rsid w:val="118B5473"/>
    <w:rsid w:val="118B68A1"/>
    <w:rsid w:val="118C07E6"/>
    <w:rsid w:val="118C37F2"/>
    <w:rsid w:val="118D3C11"/>
    <w:rsid w:val="118E2DF7"/>
    <w:rsid w:val="118E400A"/>
    <w:rsid w:val="118E44DC"/>
    <w:rsid w:val="118F009A"/>
    <w:rsid w:val="118F4601"/>
    <w:rsid w:val="118F6484"/>
    <w:rsid w:val="118F65E6"/>
    <w:rsid w:val="118F79C1"/>
    <w:rsid w:val="11904645"/>
    <w:rsid w:val="11904838"/>
    <w:rsid w:val="119051EF"/>
    <w:rsid w:val="119079DF"/>
    <w:rsid w:val="119105B0"/>
    <w:rsid w:val="11911E2E"/>
    <w:rsid w:val="1191235E"/>
    <w:rsid w:val="11913A22"/>
    <w:rsid w:val="11914EBF"/>
    <w:rsid w:val="11930F13"/>
    <w:rsid w:val="11936342"/>
    <w:rsid w:val="1194242F"/>
    <w:rsid w:val="11943BFC"/>
    <w:rsid w:val="119448B7"/>
    <w:rsid w:val="1194643A"/>
    <w:rsid w:val="119500A0"/>
    <w:rsid w:val="11951E4E"/>
    <w:rsid w:val="11953833"/>
    <w:rsid w:val="11954F74"/>
    <w:rsid w:val="11963E18"/>
    <w:rsid w:val="11965A12"/>
    <w:rsid w:val="11965BC6"/>
    <w:rsid w:val="11967974"/>
    <w:rsid w:val="11975A45"/>
    <w:rsid w:val="1197737B"/>
    <w:rsid w:val="11977894"/>
    <w:rsid w:val="119836EC"/>
    <w:rsid w:val="11984DFB"/>
    <w:rsid w:val="11985217"/>
    <w:rsid w:val="11987B90"/>
    <w:rsid w:val="119921B4"/>
    <w:rsid w:val="11993644"/>
    <w:rsid w:val="11994B5D"/>
    <w:rsid w:val="11995894"/>
    <w:rsid w:val="1199708A"/>
    <w:rsid w:val="119A08AD"/>
    <w:rsid w:val="119A32C2"/>
    <w:rsid w:val="119A3908"/>
    <w:rsid w:val="119A56B6"/>
    <w:rsid w:val="119A6215"/>
    <w:rsid w:val="119A6CA8"/>
    <w:rsid w:val="119A7465"/>
    <w:rsid w:val="119B0BCD"/>
    <w:rsid w:val="119B31DD"/>
    <w:rsid w:val="119B4F8B"/>
    <w:rsid w:val="119B56ED"/>
    <w:rsid w:val="119B5C5E"/>
    <w:rsid w:val="119B6F59"/>
    <w:rsid w:val="119C0B35"/>
    <w:rsid w:val="119C142F"/>
    <w:rsid w:val="119C17B8"/>
    <w:rsid w:val="119C2276"/>
    <w:rsid w:val="119C7A48"/>
    <w:rsid w:val="119D0D03"/>
    <w:rsid w:val="119D1D14"/>
    <w:rsid w:val="119D1FC5"/>
    <w:rsid w:val="119D51A7"/>
    <w:rsid w:val="119D5508"/>
    <w:rsid w:val="119E14A3"/>
    <w:rsid w:val="119E39C9"/>
    <w:rsid w:val="119E6026"/>
    <w:rsid w:val="119F0BF7"/>
    <w:rsid w:val="119F2CCD"/>
    <w:rsid w:val="119F605A"/>
    <w:rsid w:val="119F679F"/>
    <w:rsid w:val="11A007F3"/>
    <w:rsid w:val="11A00946"/>
    <w:rsid w:val="11A025A1"/>
    <w:rsid w:val="11A05BFE"/>
    <w:rsid w:val="11A069C3"/>
    <w:rsid w:val="11A14D6B"/>
    <w:rsid w:val="11A16A45"/>
    <w:rsid w:val="11A226ED"/>
    <w:rsid w:val="11A24C08"/>
    <w:rsid w:val="11A25693"/>
    <w:rsid w:val="11A26319"/>
    <w:rsid w:val="11A27578"/>
    <w:rsid w:val="11A30A08"/>
    <w:rsid w:val="11A34242"/>
    <w:rsid w:val="11A3762A"/>
    <w:rsid w:val="11A402E3"/>
    <w:rsid w:val="11A42091"/>
    <w:rsid w:val="11A46535"/>
    <w:rsid w:val="11A472C7"/>
    <w:rsid w:val="11A478D6"/>
    <w:rsid w:val="11A53A2B"/>
    <w:rsid w:val="11A57DC8"/>
    <w:rsid w:val="11A62866"/>
    <w:rsid w:val="11A7392F"/>
    <w:rsid w:val="11A77604"/>
    <w:rsid w:val="11A7793A"/>
    <w:rsid w:val="11A81C51"/>
    <w:rsid w:val="11A81CA9"/>
    <w:rsid w:val="11A84822"/>
    <w:rsid w:val="11A93B4C"/>
    <w:rsid w:val="11A9487A"/>
    <w:rsid w:val="11A958FA"/>
    <w:rsid w:val="11A976A8"/>
    <w:rsid w:val="11AA3781"/>
    <w:rsid w:val="11AA45C9"/>
    <w:rsid w:val="11AA6F59"/>
    <w:rsid w:val="11AB1672"/>
    <w:rsid w:val="11AB4159"/>
    <w:rsid w:val="11AB605E"/>
    <w:rsid w:val="11AB719A"/>
    <w:rsid w:val="11AB78C4"/>
    <w:rsid w:val="11AC0F46"/>
    <w:rsid w:val="11AC5E46"/>
    <w:rsid w:val="11AC7198"/>
    <w:rsid w:val="11AD1ABA"/>
    <w:rsid w:val="11AD248B"/>
    <w:rsid w:val="11AD363C"/>
    <w:rsid w:val="11AD468B"/>
    <w:rsid w:val="11AE077D"/>
    <w:rsid w:val="11AE2F10"/>
    <w:rsid w:val="11AE4CBE"/>
    <w:rsid w:val="11AE5AEF"/>
    <w:rsid w:val="11AF1928"/>
    <w:rsid w:val="11AF532A"/>
    <w:rsid w:val="11B02249"/>
    <w:rsid w:val="11B0491D"/>
    <w:rsid w:val="11B04EDA"/>
    <w:rsid w:val="11B06FD4"/>
    <w:rsid w:val="11B07930"/>
    <w:rsid w:val="11B12A00"/>
    <w:rsid w:val="11B1300C"/>
    <w:rsid w:val="11B147AE"/>
    <w:rsid w:val="11B1512C"/>
    <w:rsid w:val="11B15E04"/>
    <w:rsid w:val="11B2001F"/>
    <w:rsid w:val="11B20C52"/>
    <w:rsid w:val="11B217C4"/>
    <w:rsid w:val="11B2449C"/>
    <w:rsid w:val="11B259F6"/>
    <w:rsid w:val="11B270E2"/>
    <w:rsid w:val="11B310FD"/>
    <w:rsid w:val="11B322D4"/>
    <w:rsid w:val="11B36778"/>
    <w:rsid w:val="11B36D33"/>
    <w:rsid w:val="11B36DBC"/>
    <w:rsid w:val="11B41034"/>
    <w:rsid w:val="11B423B2"/>
    <w:rsid w:val="11B42DEF"/>
    <w:rsid w:val="11B440C1"/>
    <w:rsid w:val="11B524F0"/>
    <w:rsid w:val="11B55446"/>
    <w:rsid w:val="11B5604C"/>
    <w:rsid w:val="11B60016"/>
    <w:rsid w:val="11B610E1"/>
    <w:rsid w:val="11B61DC5"/>
    <w:rsid w:val="11B66CEB"/>
    <w:rsid w:val="11B6766C"/>
    <w:rsid w:val="11B7030E"/>
    <w:rsid w:val="11B74185"/>
    <w:rsid w:val="11B76268"/>
    <w:rsid w:val="11B81FE1"/>
    <w:rsid w:val="11B86BCD"/>
    <w:rsid w:val="11B8725A"/>
    <w:rsid w:val="11B87E57"/>
    <w:rsid w:val="11B971EC"/>
    <w:rsid w:val="11BA012C"/>
    <w:rsid w:val="11BA18B5"/>
    <w:rsid w:val="11BA192C"/>
    <w:rsid w:val="11BA193F"/>
    <w:rsid w:val="11BA3005"/>
    <w:rsid w:val="11BA3663"/>
    <w:rsid w:val="11BA405D"/>
    <w:rsid w:val="11BA40BE"/>
    <w:rsid w:val="11BA4507"/>
    <w:rsid w:val="11BA57FF"/>
    <w:rsid w:val="11BA5F58"/>
    <w:rsid w:val="11BA6625"/>
    <w:rsid w:val="11BB73DB"/>
    <w:rsid w:val="11BC387F"/>
    <w:rsid w:val="11BD3153"/>
    <w:rsid w:val="11BD4180"/>
    <w:rsid w:val="11BD75F7"/>
    <w:rsid w:val="11BE0C91"/>
    <w:rsid w:val="11BE2A3F"/>
    <w:rsid w:val="11BE3645"/>
    <w:rsid w:val="11BE3AAD"/>
    <w:rsid w:val="11BE7969"/>
    <w:rsid w:val="11BF29F6"/>
    <w:rsid w:val="11BF336F"/>
    <w:rsid w:val="11BF353F"/>
    <w:rsid w:val="11BF511D"/>
    <w:rsid w:val="11C00173"/>
    <w:rsid w:val="11C00AE1"/>
    <w:rsid w:val="11C027FC"/>
    <w:rsid w:val="11C04461"/>
    <w:rsid w:val="11C100EB"/>
    <w:rsid w:val="11C10E95"/>
    <w:rsid w:val="11C12B01"/>
    <w:rsid w:val="11C20769"/>
    <w:rsid w:val="11C21CCC"/>
    <w:rsid w:val="11C251BE"/>
    <w:rsid w:val="11C25421"/>
    <w:rsid w:val="11C269BB"/>
    <w:rsid w:val="11C273C8"/>
    <w:rsid w:val="11C31AC8"/>
    <w:rsid w:val="11C35F0C"/>
    <w:rsid w:val="11C444E1"/>
    <w:rsid w:val="11C447CC"/>
    <w:rsid w:val="11C4662E"/>
    <w:rsid w:val="11C52008"/>
    <w:rsid w:val="11C52912"/>
    <w:rsid w:val="11C54D5F"/>
    <w:rsid w:val="11C6025A"/>
    <w:rsid w:val="11C63DA2"/>
    <w:rsid w:val="11C646FD"/>
    <w:rsid w:val="11C711BA"/>
    <w:rsid w:val="11C72224"/>
    <w:rsid w:val="11C74274"/>
    <w:rsid w:val="11C75859"/>
    <w:rsid w:val="11C75D80"/>
    <w:rsid w:val="11C81EC6"/>
    <w:rsid w:val="11C83B3B"/>
    <w:rsid w:val="11C871DE"/>
    <w:rsid w:val="11C95F9C"/>
    <w:rsid w:val="11C97D4A"/>
    <w:rsid w:val="11CA68E9"/>
    <w:rsid w:val="11CA7426"/>
    <w:rsid w:val="11CB1D14"/>
    <w:rsid w:val="11CB1EC9"/>
    <w:rsid w:val="11CB390C"/>
    <w:rsid w:val="11CB3AC2"/>
    <w:rsid w:val="11CB617B"/>
    <w:rsid w:val="11CB7B6F"/>
    <w:rsid w:val="11CC15E8"/>
    <w:rsid w:val="11CC3396"/>
    <w:rsid w:val="11CC783A"/>
    <w:rsid w:val="11CD10A4"/>
    <w:rsid w:val="11CD4ABF"/>
    <w:rsid w:val="11CD5E73"/>
    <w:rsid w:val="11CD5FFC"/>
    <w:rsid w:val="11CE017F"/>
    <w:rsid w:val="11CE5105"/>
    <w:rsid w:val="11CE5360"/>
    <w:rsid w:val="11CE710E"/>
    <w:rsid w:val="11CF02A6"/>
    <w:rsid w:val="11D005EE"/>
    <w:rsid w:val="11D010D8"/>
    <w:rsid w:val="11D02E86"/>
    <w:rsid w:val="11D044F6"/>
    <w:rsid w:val="11D10EB5"/>
    <w:rsid w:val="11D13DD9"/>
    <w:rsid w:val="11D149BE"/>
    <w:rsid w:val="11D156C7"/>
    <w:rsid w:val="11D230A2"/>
    <w:rsid w:val="11D24E50"/>
    <w:rsid w:val="11D26439"/>
    <w:rsid w:val="11D301BE"/>
    <w:rsid w:val="11D30D0A"/>
    <w:rsid w:val="11D337D5"/>
    <w:rsid w:val="11D3453F"/>
    <w:rsid w:val="11D348AC"/>
    <w:rsid w:val="11D363A6"/>
    <w:rsid w:val="11D41978"/>
    <w:rsid w:val="11D50CC6"/>
    <w:rsid w:val="11D54704"/>
    <w:rsid w:val="11D54941"/>
    <w:rsid w:val="11D57EFA"/>
    <w:rsid w:val="11D60A04"/>
    <w:rsid w:val="11D63EC7"/>
    <w:rsid w:val="11D65607"/>
    <w:rsid w:val="11D706B9"/>
    <w:rsid w:val="11D81D3B"/>
    <w:rsid w:val="11D84431"/>
    <w:rsid w:val="11D92218"/>
    <w:rsid w:val="11D9669F"/>
    <w:rsid w:val="11DA0FC8"/>
    <w:rsid w:val="11DA3722"/>
    <w:rsid w:val="11DB5907"/>
    <w:rsid w:val="11DB71BA"/>
    <w:rsid w:val="11DC5C8E"/>
    <w:rsid w:val="11DC6219"/>
    <w:rsid w:val="11DD1A47"/>
    <w:rsid w:val="11DD1B83"/>
    <w:rsid w:val="11DD55A3"/>
    <w:rsid w:val="11DD7458"/>
    <w:rsid w:val="11DE019B"/>
    <w:rsid w:val="11DE1633"/>
    <w:rsid w:val="11DF131B"/>
    <w:rsid w:val="11DF176A"/>
    <w:rsid w:val="11DF1FF3"/>
    <w:rsid w:val="11DF30C9"/>
    <w:rsid w:val="11DF3526"/>
    <w:rsid w:val="11DF5B8B"/>
    <w:rsid w:val="11DF756D"/>
    <w:rsid w:val="11E0693E"/>
    <w:rsid w:val="11E06E41"/>
    <w:rsid w:val="11E116D4"/>
    <w:rsid w:val="11E13FB1"/>
    <w:rsid w:val="11E17C99"/>
    <w:rsid w:val="11E21E3A"/>
    <w:rsid w:val="11E22BBA"/>
    <w:rsid w:val="11E239D1"/>
    <w:rsid w:val="11E31982"/>
    <w:rsid w:val="11E35E9B"/>
    <w:rsid w:val="11E3705D"/>
    <w:rsid w:val="11E46932"/>
    <w:rsid w:val="11E47EE9"/>
    <w:rsid w:val="11E51146"/>
    <w:rsid w:val="11E52FBC"/>
    <w:rsid w:val="11E57464"/>
    <w:rsid w:val="11E6010F"/>
    <w:rsid w:val="11E608FC"/>
    <w:rsid w:val="11E61C4B"/>
    <w:rsid w:val="11E626AA"/>
    <w:rsid w:val="11E65A2D"/>
    <w:rsid w:val="11E67008"/>
    <w:rsid w:val="11E701D0"/>
    <w:rsid w:val="11E72F2E"/>
    <w:rsid w:val="11E730DB"/>
    <w:rsid w:val="11E74798"/>
    <w:rsid w:val="11E75881"/>
    <w:rsid w:val="11E76422"/>
    <w:rsid w:val="11E84674"/>
    <w:rsid w:val="11E85CAC"/>
    <w:rsid w:val="11E868FC"/>
    <w:rsid w:val="11E903EC"/>
    <w:rsid w:val="11E9219A"/>
    <w:rsid w:val="11E93E2D"/>
    <w:rsid w:val="11EB1910"/>
    <w:rsid w:val="11EB231B"/>
    <w:rsid w:val="11EB4164"/>
    <w:rsid w:val="11EB5F12"/>
    <w:rsid w:val="11EC351D"/>
    <w:rsid w:val="11EC3A38"/>
    <w:rsid w:val="11EC7CCD"/>
    <w:rsid w:val="11ED1C8A"/>
    <w:rsid w:val="11ED5E83"/>
    <w:rsid w:val="11ED6A5F"/>
    <w:rsid w:val="11ED6D26"/>
    <w:rsid w:val="11EE2FAE"/>
    <w:rsid w:val="11EE3F11"/>
    <w:rsid w:val="11EE5A02"/>
    <w:rsid w:val="11EE77B0"/>
    <w:rsid w:val="11EF0A24"/>
    <w:rsid w:val="11EF443E"/>
    <w:rsid w:val="11EF6908"/>
    <w:rsid w:val="11EF79F9"/>
    <w:rsid w:val="11F03528"/>
    <w:rsid w:val="11F052D6"/>
    <w:rsid w:val="11F1104F"/>
    <w:rsid w:val="11F1131D"/>
    <w:rsid w:val="11F12DFD"/>
    <w:rsid w:val="11F15FED"/>
    <w:rsid w:val="11F254F3"/>
    <w:rsid w:val="11F2677F"/>
    <w:rsid w:val="11F26A4D"/>
    <w:rsid w:val="11F272A1"/>
    <w:rsid w:val="11F31084"/>
    <w:rsid w:val="11F31F18"/>
    <w:rsid w:val="11F32DBF"/>
    <w:rsid w:val="11F34B6C"/>
    <w:rsid w:val="11F34DC7"/>
    <w:rsid w:val="11F35990"/>
    <w:rsid w:val="11F40986"/>
    <w:rsid w:val="11F502B0"/>
    <w:rsid w:val="11F50B3F"/>
    <w:rsid w:val="11F528ED"/>
    <w:rsid w:val="11F56D91"/>
    <w:rsid w:val="11F62163"/>
    <w:rsid w:val="11F63621"/>
    <w:rsid w:val="11F72B09"/>
    <w:rsid w:val="11F74311"/>
    <w:rsid w:val="11F748B7"/>
    <w:rsid w:val="11F76665"/>
    <w:rsid w:val="11F8062F"/>
    <w:rsid w:val="11F823DD"/>
    <w:rsid w:val="11F85DC9"/>
    <w:rsid w:val="11F86710"/>
    <w:rsid w:val="11F9111A"/>
    <w:rsid w:val="11FA1551"/>
    <w:rsid w:val="11FA5347"/>
    <w:rsid w:val="11FA5653"/>
    <w:rsid w:val="11FA6155"/>
    <w:rsid w:val="11FA7A2F"/>
    <w:rsid w:val="11FA7F03"/>
    <w:rsid w:val="11FB2FCF"/>
    <w:rsid w:val="11FB5ED5"/>
    <w:rsid w:val="11FC0C39"/>
    <w:rsid w:val="11FC3C7B"/>
    <w:rsid w:val="11FC3D83"/>
    <w:rsid w:val="11FC3E71"/>
    <w:rsid w:val="11FC4660"/>
    <w:rsid w:val="11FD1613"/>
    <w:rsid w:val="11FD5C45"/>
    <w:rsid w:val="11FE3E97"/>
    <w:rsid w:val="11FF1362"/>
    <w:rsid w:val="11FF19BD"/>
    <w:rsid w:val="11FF376C"/>
    <w:rsid w:val="11FF4DD1"/>
    <w:rsid w:val="11FF5090"/>
    <w:rsid w:val="11FF551A"/>
    <w:rsid w:val="12001DE2"/>
    <w:rsid w:val="12004523"/>
    <w:rsid w:val="120078B8"/>
    <w:rsid w:val="12011292"/>
    <w:rsid w:val="12015736"/>
    <w:rsid w:val="120174E4"/>
    <w:rsid w:val="12021424"/>
    <w:rsid w:val="12022EDB"/>
    <w:rsid w:val="1202325C"/>
    <w:rsid w:val="1202500A"/>
    <w:rsid w:val="12030063"/>
    <w:rsid w:val="12031173"/>
    <w:rsid w:val="120314AE"/>
    <w:rsid w:val="12031CE0"/>
    <w:rsid w:val="12042B30"/>
    <w:rsid w:val="12045226"/>
    <w:rsid w:val="12046FD4"/>
    <w:rsid w:val="12056664"/>
    <w:rsid w:val="12060ECB"/>
    <w:rsid w:val="12061235"/>
    <w:rsid w:val="12062BEE"/>
    <w:rsid w:val="12063AE9"/>
    <w:rsid w:val="12064AFA"/>
    <w:rsid w:val="12067C41"/>
    <w:rsid w:val="12070E9F"/>
    <w:rsid w:val="12072620"/>
    <w:rsid w:val="12080872"/>
    <w:rsid w:val="1208381B"/>
    <w:rsid w:val="12083B55"/>
    <w:rsid w:val="120857FE"/>
    <w:rsid w:val="1208669F"/>
    <w:rsid w:val="12086AC4"/>
    <w:rsid w:val="1209283C"/>
    <w:rsid w:val="120945EA"/>
    <w:rsid w:val="120950D8"/>
    <w:rsid w:val="120A1046"/>
    <w:rsid w:val="120A1364"/>
    <w:rsid w:val="120A31E6"/>
    <w:rsid w:val="120B3C17"/>
    <w:rsid w:val="120C25A4"/>
    <w:rsid w:val="120C624E"/>
    <w:rsid w:val="120D40DA"/>
    <w:rsid w:val="120D4DF6"/>
    <w:rsid w:val="120D5E88"/>
    <w:rsid w:val="120D5F36"/>
    <w:rsid w:val="120E39AF"/>
    <w:rsid w:val="120E5D7F"/>
    <w:rsid w:val="120E7E53"/>
    <w:rsid w:val="120F13AE"/>
    <w:rsid w:val="120F14ED"/>
    <w:rsid w:val="120F2470"/>
    <w:rsid w:val="120F5BA7"/>
    <w:rsid w:val="120F5E91"/>
    <w:rsid w:val="1210057E"/>
    <w:rsid w:val="12102CFC"/>
    <w:rsid w:val="12103BCB"/>
    <w:rsid w:val="12105979"/>
    <w:rsid w:val="12107727"/>
    <w:rsid w:val="1210778C"/>
    <w:rsid w:val="1211524D"/>
    <w:rsid w:val="12116348"/>
    <w:rsid w:val="121216F1"/>
    <w:rsid w:val="12121CF5"/>
    <w:rsid w:val="12124046"/>
    <w:rsid w:val="121277D8"/>
    <w:rsid w:val="12130FC5"/>
    <w:rsid w:val="12131ED0"/>
    <w:rsid w:val="12134BB3"/>
    <w:rsid w:val="12135469"/>
    <w:rsid w:val="12137217"/>
    <w:rsid w:val="12143DBC"/>
    <w:rsid w:val="1214422A"/>
    <w:rsid w:val="12144C98"/>
    <w:rsid w:val="12144CC9"/>
    <w:rsid w:val="12144E5B"/>
    <w:rsid w:val="12151156"/>
    <w:rsid w:val="121511E1"/>
    <w:rsid w:val="12152F8F"/>
    <w:rsid w:val="121530C2"/>
    <w:rsid w:val="12156159"/>
    <w:rsid w:val="12165DB6"/>
    <w:rsid w:val="12166ABE"/>
    <w:rsid w:val="121675E9"/>
    <w:rsid w:val="12170AB5"/>
    <w:rsid w:val="1218482D"/>
    <w:rsid w:val="1218513D"/>
    <w:rsid w:val="121875B7"/>
    <w:rsid w:val="12192426"/>
    <w:rsid w:val="12192A7F"/>
    <w:rsid w:val="1219376D"/>
    <w:rsid w:val="121947A2"/>
    <w:rsid w:val="121970EB"/>
    <w:rsid w:val="121A05A5"/>
    <w:rsid w:val="121A67F7"/>
    <w:rsid w:val="121A6B5D"/>
    <w:rsid w:val="121A6EC9"/>
    <w:rsid w:val="121B0746"/>
    <w:rsid w:val="121B0B5B"/>
    <w:rsid w:val="121B1FCB"/>
    <w:rsid w:val="121C431D"/>
    <w:rsid w:val="121D3BF2"/>
    <w:rsid w:val="121D4F17"/>
    <w:rsid w:val="121D74BC"/>
    <w:rsid w:val="121E1F41"/>
    <w:rsid w:val="121E4F15"/>
    <w:rsid w:val="121E62E8"/>
    <w:rsid w:val="121F1DDC"/>
    <w:rsid w:val="121F796A"/>
    <w:rsid w:val="12202107"/>
    <w:rsid w:val="12203087"/>
    <w:rsid w:val="1220343A"/>
    <w:rsid w:val="12205FC9"/>
    <w:rsid w:val="12207C12"/>
    <w:rsid w:val="12211934"/>
    <w:rsid w:val="122146FC"/>
    <w:rsid w:val="12215E3D"/>
    <w:rsid w:val="12217B86"/>
    <w:rsid w:val="12230448"/>
    <w:rsid w:val="1223332E"/>
    <w:rsid w:val="122338FE"/>
    <w:rsid w:val="1223395C"/>
    <w:rsid w:val="12233DA4"/>
    <w:rsid w:val="122356AC"/>
    <w:rsid w:val="12241424"/>
    <w:rsid w:val="122431D2"/>
    <w:rsid w:val="12244FC1"/>
    <w:rsid w:val="12255C4E"/>
    <w:rsid w:val="12260CF8"/>
    <w:rsid w:val="12265125"/>
    <w:rsid w:val="1226519C"/>
    <w:rsid w:val="122670DE"/>
    <w:rsid w:val="12271CAF"/>
    <w:rsid w:val="12274A70"/>
    <w:rsid w:val="12280F14"/>
    <w:rsid w:val="12282CC2"/>
    <w:rsid w:val="12286540"/>
    <w:rsid w:val="122907E8"/>
    <w:rsid w:val="12290F3C"/>
    <w:rsid w:val="12293956"/>
    <w:rsid w:val="12295A5F"/>
    <w:rsid w:val="122A2E84"/>
    <w:rsid w:val="122A494A"/>
    <w:rsid w:val="122B1AC0"/>
    <w:rsid w:val="122B4561"/>
    <w:rsid w:val="122B630F"/>
    <w:rsid w:val="122C24B3"/>
    <w:rsid w:val="122C2F50"/>
    <w:rsid w:val="122D02D9"/>
    <w:rsid w:val="122D04F1"/>
    <w:rsid w:val="122D43E0"/>
    <w:rsid w:val="122D652B"/>
    <w:rsid w:val="122D6FB1"/>
    <w:rsid w:val="122E20B3"/>
    <w:rsid w:val="122E3041"/>
    <w:rsid w:val="122E5870"/>
    <w:rsid w:val="122F22A3"/>
    <w:rsid w:val="1230127F"/>
    <w:rsid w:val="12303925"/>
    <w:rsid w:val="1230601B"/>
    <w:rsid w:val="12307DC9"/>
    <w:rsid w:val="1231308E"/>
    <w:rsid w:val="123141F1"/>
    <w:rsid w:val="12315932"/>
    <w:rsid w:val="12320320"/>
    <w:rsid w:val="12321F08"/>
    <w:rsid w:val="12326B54"/>
    <w:rsid w:val="1232769D"/>
    <w:rsid w:val="12331667"/>
    <w:rsid w:val="12332A59"/>
    <w:rsid w:val="12333415"/>
    <w:rsid w:val="12341AD6"/>
    <w:rsid w:val="1234281C"/>
    <w:rsid w:val="123478B9"/>
    <w:rsid w:val="123548C2"/>
    <w:rsid w:val="123553DF"/>
    <w:rsid w:val="1235643F"/>
    <w:rsid w:val="1235718D"/>
    <w:rsid w:val="12360B6E"/>
    <w:rsid w:val="123627D1"/>
    <w:rsid w:val="12366BD3"/>
    <w:rsid w:val="12370063"/>
    <w:rsid w:val="1237079B"/>
    <w:rsid w:val="12371157"/>
    <w:rsid w:val="123715CF"/>
    <w:rsid w:val="12372F05"/>
    <w:rsid w:val="12373BDF"/>
    <w:rsid w:val="123762E8"/>
    <w:rsid w:val="12380A2C"/>
    <w:rsid w:val="123814F3"/>
    <w:rsid w:val="12382C34"/>
    <w:rsid w:val="12392983"/>
    <w:rsid w:val="123954C0"/>
    <w:rsid w:val="12395946"/>
    <w:rsid w:val="123961CE"/>
    <w:rsid w:val="123A0C48"/>
    <w:rsid w:val="123A3338"/>
    <w:rsid w:val="123A462D"/>
    <w:rsid w:val="123A67A6"/>
    <w:rsid w:val="123A6C55"/>
    <w:rsid w:val="123A765A"/>
    <w:rsid w:val="123B15B5"/>
    <w:rsid w:val="123B45F5"/>
    <w:rsid w:val="123B6231"/>
    <w:rsid w:val="123B7AF5"/>
    <w:rsid w:val="123C051C"/>
    <w:rsid w:val="123C49C0"/>
    <w:rsid w:val="123C504F"/>
    <w:rsid w:val="123C626A"/>
    <w:rsid w:val="123C7757"/>
    <w:rsid w:val="123E3133"/>
    <w:rsid w:val="123E4294"/>
    <w:rsid w:val="123E55CD"/>
    <w:rsid w:val="123F003D"/>
    <w:rsid w:val="123F1DBA"/>
    <w:rsid w:val="123F3922"/>
    <w:rsid w:val="123F4F73"/>
    <w:rsid w:val="123F625E"/>
    <w:rsid w:val="123F7110"/>
    <w:rsid w:val="1241001D"/>
    <w:rsid w:val="12411FD6"/>
    <w:rsid w:val="12413CE6"/>
    <w:rsid w:val="12413D84"/>
    <w:rsid w:val="12415B32"/>
    <w:rsid w:val="12415C00"/>
    <w:rsid w:val="12425176"/>
    <w:rsid w:val="124258C9"/>
    <w:rsid w:val="12425B0D"/>
    <w:rsid w:val="12426690"/>
    <w:rsid w:val="124268B7"/>
    <w:rsid w:val="12430920"/>
    <w:rsid w:val="12432574"/>
    <w:rsid w:val="1243301E"/>
    <w:rsid w:val="12435BAF"/>
    <w:rsid w:val="12435D4E"/>
    <w:rsid w:val="12436606"/>
    <w:rsid w:val="12436F57"/>
    <w:rsid w:val="1243767B"/>
    <w:rsid w:val="12437CE8"/>
    <w:rsid w:val="12442667"/>
    <w:rsid w:val="12443874"/>
    <w:rsid w:val="124452CB"/>
    <w:rsid w:val="124473D0"/>
    <w:rsid w:val="1245587F"/>
    <w:rsid w:val="1246139A"/>
    <w:rsid w:val="1246201D"/>
    <w:rsid w:val="12463148"/>
    <w:rsid w:val="124675EC"/>
    <w:rsid w:val="1247471F"/>
    <w:rsid w:val="12477B58"/>
    <w:rsid w:val="12480FE8"/>
    <w:rsid w:val="12482D3A"/>
    <w:rsid w:val="12483364"/>
    <w:rsid w:val="12485112"/>
    <w:rsid w:val="1248658A"/>
    <w:rsid w:val="12486EC1"/>
    <w:rsid w:val="12490E8B"/>
    <w:rsid w:val="12492C39"/>
    <w:rsid w:val="1249687D"/>
    <w:rsid w:val="124A3908"/>
    <w:rsid w:val="124A7050"/>
    <w:rsid w:val="124A70DD"/>
    <w:rsid w:val="124B075F"/>
    <w:rsid w:val="124B07A4"/>
    <w:rsid w:val="124B399C"/>
    <w:rsid w:val="124B43D8"/>
    <w:rsid w:val="124B510A"/>
    <w:rsid w:val="124B69B1"/>
    <w:rsid w:val="124C2311"/>
    <w:rsid w:val="124C253A"/>
    <w:rsid w:val="124C4C9E"/>
    <w:rsid w:val="124C4DAF"/>
    <w:rsid w:val="124D2729"/>
    <w:rsid w:val="124D44D7"/>
    <w:rsid w:val="124D5E09"/>
    <w:rsid w:val="124D6A70"/>
    <w:rsid w:val="124E024F"/>
    <w:rsid w:val="124E561A"/>
    <w:rsid w:val="124F1E56"/>
    <w:rsid w:val="124F2908"/>
    <w:rsid w:val="124F439E"/>
    <w:rsid w:val="124F46F3"/>
    <w:rsid w:val="124F62EA"/>
    <w:rsid w:val="12502219"/>
    <w:rsid w:val="12505D75"/>
    <w:rsid w:val="12506F17"/>
    <w:rsid w:val="12512FC6"/>
    <w:rsid w:val="125202F4"/>
    <w:rsid w:val="12524B91"/>
    <w:rsid w:val="1252783C"/>
    <w:rsid w:val="12530A8A"/>
    <w:rsid w:val="12535865"/>
    <w:rsid w:val="12541D09"/>
    <w:rsid w:val="12543085"/>
    <w:rsid w:val="125435C7"/>
    <w:rsid w:val="12543AB7"/>
    <w:rsid w:val="12545229"/>
    <w:rsid w:val="125515DD"/>
    <w:rsid w:val="12555A81"/>
    <w:rsid w:val="12560440"/>
    <w:rsid w:val="1256384E"/>
    <w:rsid w:val="1256481E"/>
    <w:rsid w:val="12575356"/>
    <w:rsid w:val="12575F0C"/>
    <w:rsid w:val="12577104"/>
    <w:rsid w:val="1257764D"/>
    <w:rsid w:val="12577F1C"/>
    <w:rsid w:val="12582425"/>
    <w:rsid w:val="12582E7C"/>
    <w:rsid w:val="12585427"/>
    <w:rsid w:val="12586996"/>
    <w:rsid w:val="1259033D"/>
    <w:rsid w:val="125910CE"/>
    <w:rsid w:val="12596E3B"/>
    <w:rsid w:val="12597428"/>
    <w:rsid w:val="125A3098"/>
    <w:rsid w:val="125A6BF4"/>
    <w:rsid w:val="125B0EB4"/>
    <w:rsid w:val="125B1351"/>
    <w:rsid w:val="125B4B15"/>
    <w:rsid w:val="125B745E"/>
    <w:rsid w:val="125C471A"/>
    <w:rsid w:val="125C5801"/>
    <w:rsid w:val="125C6499"/>
    <w:rsid w:val="125D0492"/>
    <w:rsid w:val="125D1D7E"/>
    <w:rsid w:val="125D4F01"/>
    <w:rsid w:val="125D687D"/>
    <w:rsid w:val="125D727D"/>
    <w:rsid w:val="125E2C10"/>
    <w:rsid w:val="125E320E"/>
    <w:rsid w:val="125E4936"/>
    <w:rsid w:val="125E784D"/>
    <w:rsid w:val="125F04F1"/>
    <w:rsid w:val="125F420A"/>
    <w:rsid w:val="126006AE"/>
    <w:rsid w:val="126006FF"/>
    <w:rsid w:val="12601E40"/>
    <w:rsid w:val="12603115"/>
    <w:rsid w:val="12604A48"/>
    <w:rsid w:val="12613F46"/>
    <w:rsid w:val="12614426"/>
    <w:rsid w:val="126161D4"/>
    <w:rsid w:val="1261643E"/>
    <w:rsid w:val="12617F82"/>
    <w:rsid w:val="12622D86"/>
    <w:rsid w:val="12631F4C"/>
    <w:rsid w:val="12633CFA"/>
    <w:rsid w:val="12635AA8"/>
    <w:rsid w:val="12636C39"/>
    <w:rsid w:val="1263749A"/>
    <w:rsid w:val="12641821"/>
    <w:rsid w:val="12647A72"/>
    <w:rsid w:val="12647C70"/>
    <w:rsid w:val="12650E2D"/>
    <w:rsid w:val="12653265"/>
    <w:rsid w:val="126562F8"/>
    <w:rsid w:val="12661A3D"/>
    <w:rsid w:val="126637EB"/>
    <w:rsid w:val="12664571"/>
    <w:rsid w:val="12665599"/>
    <w:rsid w:val="12676CEA"/>
    <w:rsid w:val="12677142"/>
    <w:rsid w:val="12686E91"/>
    <w:rsid w:val="12690DA6"/>
    <w:rsid w:val="12692CDC"/>
    <w:rsid w:val="12692EF2"/>
    <w:rsid w:val="1269692C"/>
    <w:rsid w:val="12696E37"/>
    <w:rsid w:val="126A0813"/>
    <w:rsid w:val="126A098A"/>
    <w:rsid w:val="126A32DB"/>
    <w:rsid w:val="126A3F7C"/>
    <w:rsid w:val="126A42EB"/>
    <w:rsid w:val="126A69AB"/>
    <w:rsid w:val="126A7A8C"/>
    <w:rsid w:val="126B0E01"/>
    <w:rsid w:val="126B1ECE"/>
    <w:rsid w:val="126B268A"/>
    <w:rsid w:val="126B2BAF"/>
    <w:rsid w:val="126B3D39"/>
    <w:rsid w:val="126B3E0D"/>
    <w:rsid w:val="126B6286"/>
    <w:rsid w:val="126B6F53"/>
    <w:rsid w:val="126B7053"/>
    <w:rsid w:val="126B7B11"/>
    <w:rsid w:val="126C2700"/>
    <w:rsid w:val="126D0C03"/>
    <w:rsid w:val="126D2DCB"/>
    <w:rsid w:val="126D35ED"/>
    <w:rsid w:val="126D4B79"/>
    <w:rsid w:val="126D6927"/>
    <w:rsid w:val="126D7A79"/>
    <w:rsid w:val="126E269F"/>
    <w:rsid w:val="126E76BE"/>
    <w:rsid w:val="126E7E07"/>
    <w:rsid w:val="126F08F1"/>
    <w:rsid w:val="126F2B23"/>
    <w:rsid w:val="126F465A"/>
    <w:rsid w:val="126F6B43"/>
    <w:rsid w:val="126F6D64"/>
    <w:rsid w:val="12710C5A"/>
    <w:rsid w:val="12713B08"/>
    <w:rsid w:val="127203E1"/>
    <w:rsid w:val="127203F6"/>
    <w:rsid w:val="1272218F"/>
    <w:rsid w:val="12723E74"/>
    <w:rsid w:val="12723F3D"/>
    <w:rsid w:val="12730A61"/>
    <w:rsid w:val="127313E5"/>
    <w:rsid w:val="12731ABA"/>
    <w:rsid w:val="127347F2"/>
    <w:rsid w:val="127356E5"/>
    <w:rsid w:val="12735E55"/>
    <w:rsid w:val="12741746"/>
    <w:rsid w:val="12742683"/>
    <w:rsid w:val="12746B75"/>
    <w:rsid w:val="12747CB6"/>
    <w:rsid w:val="12750005"/>
    <w:rsid w:val="12751C80"/>
    <w:rsid w:val="12753A2E"/>
    <w:rsid w:val="127557DC"/>
    <w:rsid w:val="12764066"/>
    <w:rsid w:val="12765B34"/>
    <w:rsid w:val="12767ED2"/>
    <w:rsid w:val="12770D63"/>
    <w:rsid w:val="12770E26"/>
    <w:rsid w:val="12771554"/>
    <w:rsid w:val="12773934"/>
    <w:rsid w:val="127754F6"/>
    <w:rsid w:val="127777A6"/>
    <w:rsid w:val="1278671A"/>
    <w:rsid w:val="12791770"/>
    <w:rsid w:val="127917DD"/>
    <w:rsid w:val="127948E3"/>
    <w:rsid w:val="127952CC"/>
    <w:rsid w:val="12795DE7"/>
    <w:rsid w:val="12796494"/>
    <w:rsid w:val="127A1044"/>
    <w:rsid w:val="127A5083"/>
    <w:rsid w:val="127A7296"/>
    <w:rsid w:val="127B54E8"/>
    <w:rsid w:val="127B6A48"/>
    <w:rsid w:val="127C300E"/>
    <w:rsid w:val="127C6797"/>
    <w:rsid w:val="127C6F02"/>
    <w:rsid w:val="127C7827"/>
    <w:rsid w:val="127C7ED8"/>
    <w:rsid w:val="127D762D"/>
    <w:rsid w:val="127E0301"/>
    <w:rsid w:val="127E1902"/>
    <w:rsid w:val="127E28E2"/>
    <w:rsid w:val="127E3214"/>
    <w:rsid w:val="127E48ED"/>
    <w:rsid w:val="127E6754"/>
    <w:rsid w:val="127E6D86"/>
    <w:rsid w:val="127F16A8"/>
    <w:rsid w:val="127F2CC5"/>
    <w:rsid w:val="127F3C88"/>
    <w:rsid w:val="127F48AC"/>
    <w:rsid w:val="127F5DA5"/>
    <w:rsid w:val="127F665A"/>
    <w:rsid w:val="12800C00"/>
    <w:rsid w:val="128017F6"/>
    <w:rsid w:val="12802AFE"/>
    <w:rsid w:val="12810624"/>
    <w:rsid w:val="12816DD3"/>
    <w:rsid w:val="12822609"/>
    <w:rsid w:val="12823D4A"/>
    <w:rsid w:val="12825CC4"/>
    <w:rsid w:val="1283439D"/>
    <w:rsid w:val="12837EF9"/>
    <w:rsid w:val="12843005"/>
    <w:rsid w:val="1284517E"/>
    <w:rsid w:val="12852902"/>
    <w:rsid w:val="12857FB6"/>
    <w:rsid w:val="12861E21"/>
    <w:rsid w:val="12863E8D"/>
    <w:rsid w:val="12864730"/>
    <w:rsid w:val="12865C3B"/>
    <w:rsid w:val="12866648"/>
    <w:rsid w:val="128738AA"/>
    <w:rsid w:val="12874609"/>
    <w:rsid w:val="12883761"/>
    <w:rsid w:val="1289247D"/>
    <w:rsid w:val="128924FC"/>
    <w:rsid w:val="1289790B"/>
    <w:rsid w:val="128A2A6B"/>
    <w:rsid w:val="128A6082"/>
    <w:rsid w:val="128B14A3"/>
    <w:rsid w:val="128B4DFC"/>
    <w:rsid w:val="128C0964"/>
    <w:rsid w:val="128C387E"/>
    <w:rsid w:val="128C5971"/>
    <w:rsid w:val="128D0D77"/>
    <w:rsid w:val="128D32E9"/>
    <w:rsid w:val="128D521B"/>
    <w:rsid w:val="128D6271"/>
    <w:rsid w:val="128D6FC9"/>
    <w:rsid w:val="128E0BAC"/>
    <w:rsid w:val="128E22ED"/>
    <w:rsid w:val="128E7E83"/>
    <w:rsid w:val="128F04D5"/>
    <w:rsid w:val="128F069C"/>
    <w:rsid w:val="128F377D"/>
    <w:rsid w:val="128F47F4"/>
    <w:rsid w:val="128F4AEF"/>
    <w:rsid w:val="128F52CB"/>
    <w:rsid w:val="128F6342"/>
    <w:rsid w:val="12900868"/>
    <w:rsid w:val="12903B38"/>
    <w:rsid w:val="12906AB9"/>
    <w:rsid w:val="1291265A"/>
    <w:rsid w:val="129245E0"/>
    <w:rsid w:val="12933059"/>
    <w:rsid w:val="12934CCE"/>
    <w:rsid w:val="12940358"/>
    <w:rsid w:val="12941CAC"/>
    <w:rsid w:val="12942106"/>
    <w:rsid w:val="1294457F"/>
    <w:rsid w:val="12944A1D"/>
    <w:rsid w:val="129465AA"/>
    <w:rsid w:val="129475EE"/>
    <w:rsid w:val="12950A7E"/>
    <w:rsid w:val="1295443F"/>
    <w:rsid w:val="12955E7E"/>
    <w:rsid w:val="12955EAD"/>
    <w:rsid w:val="12957C2C"/>
    <w:rsid w:val="12961F0E"/>
    <w:rsid w:val="129701A2"/>
    <w:rsid w:val="12972692"/>
    <w:rsid w:val="1297339E"/>
    <w:rsid w:val="12977E48"/>
    <w:rsid w:val="12980212"/>
    <w:rsid w:val="12980F35"/>
    <w:rsid w:val="1298264D"/>
    <w:rsid w:val="12985F6F"/>
    <w:rsid w:val="129866B0"/>
    <w:rsid w:val="12990F25"/>
    <w:rsid w:val="1299324F"/>
    <w:rsid w:val="12993BC0"/>
    <w:rsid w:val="1299596E"/>
    <w:rsid w:val="1299771C"/>
    <w:rsid w:val="12997E43"/>
    <w:rsid w:val="129A15E0"/>
    <w:rsid w:val="129A3460"/>
    <w:rsid w:val="129A6B01"/>
    <w:rsid w:val="129B16E6"/>
    <w:rsid w:val="129B1F4D"/>
    <w:rsid w:val="129B31AF"/>
    <w:rsid w:val="129B48F0"/>
    <w:rsid w:val="129C34BC"/>
    <w:rsid w:val="129C5D80"/>
    <w:rsid w:val="129C720C"/>
    <w:rsid w:val="129D4085"/>
    <w:rsid w:val="129D5742"/>
    <w:rsid w:val="129D5F84"/>
    <w:rsid w:val="129D78DE"/>
    <w:rsid w:val="129E11D6"/>
    <w:rsid w:val="129E12A4"/>
    <w:rsid w:val="129E1DE1"/>
    <w:rsid w:val="129E2F84"/>
    <w:rsid w:val="129E4D32"/>
    <w:rsid w:val="129F2254"/>
    <w:rsid w:val="129F429B"/>
    <w:rsid w:val="129F4701"/>
    <w:rsid w:val="12A00EE5"/>
    <w:rsid w:val="12A04F4F"/>
    <w:rsid w:val="12A063FC"/>
    <w:rsid w:val="12A06CFD"/>
    <w:rsid w:val="12A10762"/>
    <w:rsid w:val="12A10CC7"/>
    <w:rsid w:val="12A12A75"/>
    <w:rsid w:val="12A137B3"/>
    <w:rsid w:val="12A14823"/>
    <w:rsid w:val="12A165D1"/>
    <w:rsid w:val="12A16C4D"/>
    <w:rsid w:val="12A204B1"/>
    <w:rsid w:val="12A226CF"/>
    <w:rsid w:val="12A27C3B"/>
    <w:rsid w:val="12A3059B"/>
    <w:rsid w:val="12A32DE9"/>
    <w:rsid w:val="12A35E22"/>
    <w:rsid w:val="12A365A3"/>
    <w:rsid w:val="12A367ED"/>
    <w:rsid w:val="12A418DB"/>
    <w:rsid w:val="12A41AE6"/>
    <w:rsid w:val="12A43584"/>
    <w:rsid w:val="12A44411"/>
    <w:rsid w:val="12A541CC"/>
    <w:rsid w:val="12A54313"/>
    <w:rsid w:val="12A559A2"/>
    <w:rsid w:val="12A6008B"/>
    <w:rsid w:val="12A606A8"/>
    <w:rsid w:val="12A63CA4"/>
    <w:rsid w:val="12A72CD1"/>
    <w:rsid w:val="12A731F1"/>
    <w:rsid w:val="12A73420"/>
    <w:rsid w:val="12A76BCC"/>
    <w:rsid w:val="12A85A64"/>
    <w:rsid w:val="12A8795F"/>
    <w:rsid w:val="12A947CF"/>
    <w:rsid w:val="12A94A2D"/>
    <w:rsid w:val="12AA012C"/>
    <w:rsid w:val="12AA1929"/>
    <w:rsid w:val="12AA247E"/>
    <w:rsid w:val="12AA36D7"/>
    <w:rsid w:val="12AA3CD8"/>
    <w:rsid w:val="12AB0654"/>
    <w:rsid w:val="12AB744F"/>
    <w:rsid w:val="12AC25E5"/>
    <w:rsid w:val="12AC38F3"/>
    <w:rsid w:val="12AC4134"/>
    <w:rsid w:val="12AC5CE6"/>
    <w:rsid w:val="12AD1419"/>
    <w:rsid w:val="12AD2BBD"/>
    <w:rsid w:val="12AD31C8"/>
    <w:rsid w:val="12AD5889"/>
    <w:rsid w:val="12AD766B"/>
    <w:rsid w:val="12AE2EB4"/>
    <w:rsid w:val="12AF0CEE"/>
    <w:rsid w:val="12AF1625"/>
    <w:rsid w:val="12AF6F40"/>
    <w:rsid w:val="12B02AB5"/>
    <w:rsid w:val="12B02CB8"/>
    <w:rsid w:val="12B05686"/>
    <w:rsid w:val="12B16154"/>
    <w:rsid w:val="12B16B16"/>
    <w:rsid w:val="12B1776A"/>
    <w:rsid w:val="12B207DE"/>
    <w:rsid w:val="12B211FB"/>
    <w:rsid w:val="12B218BD"/>
    <w:rsid w:val="12B31436"/>
    <w:rsid w:val="12B3496F"/>
    <w:rsid w:val="12B36795"/>
    <w:rsid w:val="12B44770"/>
    <w:rsid w:val="12B46304"/>
    <w:rsid w:val="12B47A6C"/>
    <w:rsid w:val="12B502CE"/>
    <w:rsid w:val="12B5207C"/>
    <w:rsid w:val="12B63249"/>
    <w:rsid w:val="12B66146"/>
    <w:rsid w:val="12B66520"/>
    <w:rsid w:val="12B66927"/>
    <w:rsid w:val="12B7114A"/>
    <w:rsid w:val="12B72988"/>
    <w:rsid w:val="12B72FCD"/>
    <w:rsid w:val="12B74046"/>
    <w:rsid w:val="12B75243"/>
    <w:rsid w:val="12B80A70"/>
    <w:rsid w:val="12B82CC5"/>
    <w:rsid w:val="12B87C4A"/>
    <w:rsid w:val="12B904AD"/>
    <w:rsid w:val="12B941B2"/>
    <w:rsid w:val="12B94A9C"/>
    <w:rsid w:val="12B94B43"/>
    <w:rsid w:val="12B96CD7"/>
    <w:rsid w:val="12B97D8D"/>
    <w:rsid w:val="12BA7DA1"/>
    <w:rsid w:val="12BA7F95"/>
    <w:rsid w:val="12BB0907"/>
    <w:rsid w:val="12BB3B36"/>
    <w:rsid w:val="12BB3CD0"/>
    <w:rsid w:val="12BC165D"/>
    <w:rsid w:val="12BC182A"/>
    <w:rsid w:val="12BC78AF"/>
    <w:rsid w:val="12BD67FA"/>
    <w:rsid w:val="12BD6E34"/>
    <w:rsid w:val="12BD6E6A"/>
    <w:rsid w:val="12BE3627"/>
    <w:rsid w:val="12BE586F"/>
    <w:rsid w:val="12BE7183"/>
    <w:rsid w:val="12BF0270"/>
    <w:rsid w:val="12BF111A"/>
    <w:rsid w:val="12BF58DE"/>
    <w:rsid w:val="12C01240"/>
    <w:rsid w:val="12C01301"/>
    <w:rsid w:val="12C02EFB"/>
    <w:rsid w:val="12C0517B"/>
    <w:rsid w:val="12C0739F"/>
    <w:rsid w:val="12C07B00"/>
    <w:rsid w:val="12C10A21"/>
    <w:rsid w:val="12C13A3A"/>
    <w:rsid w:val="12C16C73"/>
    <w:rsid w:val="12C21013"/>
    <w:rsid w:val="12C236EA"/>
    <w:rsid w:val="12C24D37"/>
    <w:rsid w:val="12C250B8"/>
    <w:rsid w:val="12C257D3"/>
    <w:rsid w:val="12C26A43"/>
    <w:rsid w:val="12C30F2B"/>
    <w:rsid w:val="12C33FA4"/>
    <w:rsid w:val="12C341BB"/>
    <w:rsid w:val="12C34799"/>
    <w:rsid w:val="12C3582F"/>
    <w:rsid w:val="12C40892"/>
    <w:rsid w:val="12C423BB"/>
    <w:rsid w:val="12C43AFC"/>
    <w:rsid w:val="12C51592"/>
    <w:rsid w:val="12C56CED"/>
    <w:rsid w:val="12C60255"/>
    <w:rsid w:val="12C624DB"/>
    <w:rsid w:val="12C66037"/>
    <w:rsid w:val="12C66FB3"/>
    <w:rsid w:val="12C70A4C"/>
    <w:rsid w:val="12C9662F"/>
    <w:rsid w:val="12CA0BDF"/>
    <w:rsid w:val="12CA0DFE"/>
    <w:rsid w:val="12CA1996"/>
    <w:rsid w:val="12CA1FCB"/>
    <w:rsid w:val="12CA2425"/>
    <w:rsid w:val="12CA3D79"/>
    <w:rsid w:val="12CA43B4"/>
    <w:rsid w:val="12CA5A3C"/>
    <w:rsid w:val="12CA6915"/>
    <w:rsid w:val="12CB228E"/>
    <w:rsid w:val="12CB4F15"/>
    <w:rsid w:val="12CC384C"/>
    <w:rsid w:val="12CC53E9"/>
    <w:rsid w:val="12CC6693"/>
    <w:rsid w:val="12CC676E"/>
    <w:rsid w:val="12CC7AF2"/>
    <w:rsid w:val="12CD1ABC"/>
    <w:rsid w:val="12CD1F71"/>
    <w:rsid w:val="12CD2B93"/>
    <w:rsid w:val="12CD5618"/>
    <w:rsid w:val="12CF1390"/>
    <w:rsid w:val="12CF313E"/>
    <w:rsid w:val="12D025B2"/>
    <w:rsid w:val="12D0352F"/>
    <w:rsid w:val="12D03BE7"/>
    <w:rsid w:val="12D04C70"/>
    <w:rsid w:val="12D06EB6"/>
    <w:rsid w:val="12D1388E"/>
    <w:rsid w:val="12D138EB"/>
    <w:rsid w:val="12D15108"/>
    <w:rsid w:val="12D16100"/>
    <w:rsid w:val="12D16F48"/>
    <w:rsid w:val="12D20E80"/>
    <w:rsid w:val="12D270D2"/>
    <w:rsid w:val="12D316BB"/>
    <w:rsid w:val="12D335F1"/>
    <w:rsid w:val="12D40754"/>
    <w:rsid w:val="12D41EB0"/>
    <w:rsid w:val="12D469A6"/>
    <w:rsid w:val="12D517AD"/>
    <w:rsid w:val="12D53340"/>
    <w:rsid w:val="12D544CC"/>
    <w:rsid w:val="12D61506"/>
    <w:rsid w:val="12D6271E"/>
    <w:rsid w:val="12D71F24"/>
    <w:rsid w:val="12D77777"/>
    <w:rsid w:val="12D81CC1"/>
    <w:rsid w:val="12D90460"/>
    <w:rsid w:val="12D9220E"/>
    <w:rsid w:val="12D93FBD"/>
    <w:rsid w:val="12D94892"/>
    <w:rsid w:val="12DA031E"/>
    <w:rsid w:val="12DA1AE3"/>
    <w:rsid w:val="12DA27D7"/>
    <w:rsid w:val="12DA28E4"/>
    <w:rsid w:val="12DB2590"/>
    <w:rsid w:val="12DB30F2"/>
    <w:rsid w:val="12DB5F87"/>
    <w:rsid w:val="12DC1005"/>
    <w:rsid w:val="12DC3AAD"/>
    <w:rsid w:val="12DC585B"/>
    <w:rsid w:val="12DD1CFF"/>
    <w:rsid w:val="12DD5483"/>
    <w:rsid w:val="12DE5B33"/>
    <w:rsid w:val="12DE7825"/>
    <w:rsid w:val="12DF05F2"/>
    <w:rsid w:val="12DF0DFB"/>
    <w:rsid w:val="12DF1B94"/>
    <w:rsid w:val="12DF2DED"/>
    <w:rsid w:val="12DF64AC"/>
    <w:rsid w:val="12DF6FC3"/>
    <w:rsid w:val="12E017EF"/>
    <w:rsid w:val="12E04D91"/>
    <w:rsid w:val="12E070F9"/>
    <w:rsid w:val="12E07B83"/>
    <w:rsid w:val="12E110C3"/>
    <w:rsid w:val="12E144B4"/>
    <w:rsid w:val="12E167FC"/>
    <w:rsid w:val="12E25944"/>
    <w:rsid w:val="12E26418"/>
    <w:rsid w:val="12E27085"/>
    <w:rsid w:val="12E30515"/>
    <w:rsid w:val="12E34E3B"/>
    <w:rsid w:val="12E35130"/>
    <w:rsid w:val="12E36BE9"/>
    <w:rsid w:val="12E41FAB"/>
    <w:rsid w:val="12E42558"/>
    <w:rsid w:val="12E42676"/>
    <w:rsid w:val="12E431C9"/>
    <w:rsid w:val="12E44576"/>
    <w:rsid w:val="12E461B6"/>
    <w:rsid w:val="12E50BB3"/>
    <w:rsid w:val="12E514DE"/>
    <w:rsid w:val="12E52961"/>
    <w:rsid w:val="12E5311E"/>
    <w:rsid w:val="12E54A8E"/>
    <w:rsid w:val="12E55145"/>
    <w:rsid w:val="12E56CA6"/>
    <w:rsid w:val="12E60488"/>
    <w:rsid w:val="12E666D9"/>
    <w:rsid w:val="12E70326"/>
    <w:rsid w:val="12E71948"/>
    <w:rsid w:val="12E73581"/>
    <w:rsid w:val="12E7492B"/>
    <w:rsid w:val="12E806A4"/>
    <w:rsid w:val="12E80AB0"/>
    <w:rsid w:val="12E82452"/>
    <w:rsid w:val="12E84200"/>
    <w:rsid w:val="12E85A59"/>
    <w:rsid w:val="12E936BC"/>
    <w:rsid w:val="12E94030"/>
    <w:rsid w:val="12E94387"/>
    <w:rsid w:val="12E94832"/>
    <w:rsid w:val="12EA11ED"/>
    <w:rsid w:val="12EA13BD"/>
    <w:rsid w:val="12EA3259"/>
    <w:rsid w:val="12EA441C"/>
    <w:rsid w:val="12EA4DBC"/>
    <w:rsid w:val="12EB3CF0"/>
    <w:rsid w:val="12EC1F42"/>
    <w:rsid w:val="12EC23AB"/>
    <w:rsid w:val="12ED1179"/>
    <w:rsid w:val="12ED4198"/>
    <w:rsid w:val="12ED50A3"/>
    <w:rsid w:val="12ED5CBA"/>
    <w:rsid w:val="12ED6F35"/>
    <w:rsid w:val="12ED7A68"/>
    <w:rsid w:val="12EE3481"/>
    <w:rsid w:val="12EF15FF"/>
    <w:rsid w:val="12EF37E0"/>
    <w:rsid w:val="12EF68D0"/>
    <w:rsid w:val="12F051CD"/>
    <w:rsid w:val="12F11306"/>
    <w:rsid w:val="12F157AA"/>
    <w:rsid w:val="12F17558"/>
    <w:rsid w:val="12F232D0"/>
    <w:rsid w:val="12F26E2C"/>
    <w:rsid w:val="12F31522"/>
    <w:rsid w:val="12F33B67"/>
    <w:rsid w:val="12F36460"/>
    <w:rsid w:val="12F40919"/>
    <w:rsid w:val="12F40DF6"/>
    <w:rsid w:val="12F41600"/>
    <w:rsid w:val="12F42BA4"/>
    <w:rsid w:val="12F42CF5"/>
    <w:rsid w:val="12F43019"/>
    <w:rsid w:val="12F43B42"/>
    <w:rsid w:val="12F45F23"/>
    <w:rsid w:val="12F5292A"/>
    <w:rsid w:val="12F554FB"/>
    <w:rsid w:val="12F56B01"/>
    <w:rsid w:val="12F62DC0"/>
    <w:rsid w:val="12F64B6E"/>
    <w:rsid w:val="12F708E7"/>
    <w:rsid w:val="12F72695"/>
    <w:rsid w:val="12F74AC1"/>
    <w:rsid w:val="12F75E83"/>
    <w:rsid w:val="12F76B7E"/>
    <w:rsid w:val="12F76C1F"/>
    <w:rsid w:val="12F77E1B"/>
    <w:rsid w:val="12F801BD"/>
    <w:rsid w:val="12F84115"/>
    <w:rsid w:val="12F843ED"/>
    <w:rsid w:val="12F86B39"/>
    <w:rsid w:val="12F901BB"/>
    <w:rsid w:val="12F9273B"/>
    <w:rsid w:val="12F928B1"/>
    <w:rsid w:val="12F94AA1"/>
    <w:rsid w:val="12F9640D"/>
    <w:rsid w:val="12F969A7"/>
    <w:rsid w:val="12F97F16"/>
    <w:rsid w:val="12FA21F8"/>
    <w:rsid w:val="12FA679C"/>
    <w:rsid w:val="12FB03D7"/>
    <w:rsid w:val="12FB6C31"/>
    <w:rsid w:val="12FC5EFD"/>
    <w:rsid w:val="12FC7CAB"/>
    <w:rsid w:val="12FD1D06"/>
    <w:rsid w:val="12FD3C8D"/>
    <w:rsid w:val="12FD414F"/>
    <w:rsid w:val="12FD5363"/>
    <w:rsid w:val="12FD69C6"/>
    <w:rsid w:val="12FD78C2"/>
    <w:rsid w:val="12FE7EC7"/>
    <w:rsid w:val="12FF2F6F"/>
    <w:rsid w:val="12FF3A5D"/>
    <w:rsid w:val="12FF4052"/>
    <w:rsid w:val="12FF62D7"/>
    <w:rsid w:val="1300056D"/>
    <w:rsid w:val="130005D1"/>
    <w:rsid w:val="13001549"/>
    <w:rsid w:val="1300260E"/>
    <w:rsid w:val="130059ED"/>
    <w:rsid w:val="13005DF2"/>
    <w:rsid w:val="13006E2E"/>
    <w:rsid w:val="1300779B"/>
    <w:rsid w:val="130152C1"/>
    <w:rsid w:val="13016352"/>
    <w:rsid w:val="13021765"/>
    <w:rsid w:val="13022C26"/>
    <w:rsid w:val="13022EF3"/>
    <w:rsid w:val="13022F49"/>
    <w:rsid w:val="13023513"/>
    <w:rsid w:val="1302499A"/>
    <w:rsid w:val="13024F2E"/>
    <w:rsid w:val="13031039"/>
    <w:rsid w:val="130372E9"/>
    <w:rsid w:val="13037AFF"/>
    <w:rsid w:val="130407A3"/>
    <w:rsid w:val="13051255"/>
    <w:rsid w:val="1305241F"/>
    <w:rsid w:val="13053004"/>
    <w:rsid w:val="13054DB2"/>
    <w:rsid w:val="13060E96"/>
    <w:rsid w:val="130628D8"/>
    <w:rsid w:val="130630AD"/>
    <w:rsid w:val="13066480"/>
    <w:rsid w:val="13070899"/>
    <w:rsid w:val="13070B2A"/>
    <w:rsid w:val="13076D7C"/>
    <w:rsid w:val="13082AF4"/>
    <w:rsid w:val="130848A2"/>
    <w:rsid w:val="13086650"/>
    <w:rsid w:val="13092D75"/>
    <w:rsid w:val="13095D8F"/>
    <w:rsid w:val="13096D6A"/>
    <w:rsid w:val="130A061A"/>
    <w:rsid w:val="130A07A3"/>
    <w:rsid w:val="130A23C8"/>
    <w:rsid w:val="130A36C0"/>
    <w:rsid w:val="130A4FFE"/>
    <w:rsid w:val="130B0CF1"/>
    <w:rsid w:val="130B7EEE"/>
    <w:rsid w:val="130C25E4"/>
    <w:rsid w:val="130C2748"/>
    <w:rsid w:val="130C6140"/>
    <w:rsid w:val="130C7ED8"/>
    <w:rsid w:val="130D010A"/>
    <w:rsid w:val="130D0E75"/>
    <w:rsid w:val="130D10CE"/>
    <w:rsid w:val="130D3782"/>
    <w:rsid w:val="130D3C66"/>
    <w:rsid w:val="130D67BC"/>
    <w:rsid w:val="130F2D87"/>
    <w:rsid w:val="130F32F3"/>
    <w:rsid w:val="130F3E82"/>
    <w:rsid w:val="130F4961"/>
    <w:rsid w:val="130F5C30"/>
    <w:rsid w:val="130F6E68"/>
    <w:rsid w:val="130F79DE"/>
    <w:rsid w:val="13106B72"/>
    <w:rsid w:val="131109C2"/>
    <w:rsid w:val="131119A8"/>
    <w:rsid w:val="13113C1D"/>
    <w:rsid w:val="13115667"/>
    <w:rsid w:val="1311684B"/>
    <w:rsid w:val="13117BFA"/>
    <w:rsid w:val="1312127D"/>
    <w:rsid w:val="13123EC6"/>
    <w:rsid w:val="131274CE"/>
    <w:rsid w:val="13135720"/>
    <w:rsid w:val="131359A0"/>
    <w:rsid w:val="1314034F"/>
    <w:rsid w:val="13140A84"/>
    <w:rsid w:val="13140AA3"/>
    <w:rsid w:val="13143247"/>
    <w:rsid w:val="13143C57"/>
    <w:rsid w:val="131479A7"/>
    <w:rsid w:val="131500C1"/>
    <w:rsid w:val="13151E20"/>
    <w:rsid w:val="13154299"/>
    <w:rsid w:val="13157F9E"/>
    <w:rsid w:val="13160D6D"/>
    <w:rsid w:val="13161C63"/>
    <w:rsid w:val="13180F89"/>
    <w:rsid w:val="13181D71"/>
    <w:rsid w:val="13182D37"/>
    <w:rsid w:val="13182E8E"/>
    <w:rsid w:val="13183288"/>
    <w:rsid w:val="131905E4"/>
    <w:rsid w:val="1319085D"/>
    <w:rsid w:val="1319644A"/>
    <w:rsid w:val="13196AAF"/>
    <w:rsid w:val="1319710D"/>
    <w:rsid w:val="131B131B"/>
    <w:rsid w:val="131B193F"/>
    <w:rsid w:val="131B45D5"/>
    <w:rsid w:val="131B53CF"/>
    <w:rsid w:val="131B7216"/>
    <w:rsid w:val="131C03E5"/>
    <w:rsid w:val="131C06A6"/>
    <w:rsid w:val="131C14D3"/>
    <w:rsid w:val="131C1653"/>
    <w:rsid w:val="131C20FB"/>
    <w:rsid w:val="131C5AD5"/>
    <w:rsid w:val="131C6F65"/>
    <w:rsid w:val="131D03D4"/>
    <w:rsid w:val="131D16FD"/>
    <w:rsid w:val="131D2971"/>
    <w:rsid w:val="131D3C21"/>
    <w:rsid w:val="131D659F"/>
    <w:rsid w:val="131E2317"/>
    <w:rsid w:val="131E25FC"/>
    <w:rsid w:val="131E30A9"/>
    <w:rsid w:val="131E40C5"/>
    <w:rsid w:val="131E5E73"/>
    <w:rsid w:val="131E7C21"/>
    <w:rsid w:val="131F00EB"/>
    <w:rsid w:val="131F0C31"/>
    <w:rsid w:val="131F3B43"/>
    <w:rsid w:val="131F78CA"/>
    <w:rsid w:val="131F7EDE"/>
    <w:rsid w:val="132004B7"/>
    <w:rsid w:val="132018B4"/>
    <w:rsid w:val="13201BEB"/>
    <w:rsid w:val="13203999"/>
    <w:rsid w:val="13207E3D"/>
    <w:rsid w:val="13211BE9"/>
    <w:rsid w:val="13215ECA"/>
    <w:rsid w:val="13217712"/>
    <w:rsid w:val="13217AAF"/>
    <w:rsid w:val="13223BB5"/>
    <w:rsid w:val="132267A1"/>
    <w:rsid w:val="132316DC"/>
    <w:rsid w:val="1323595E"/>
    <w:rsid w:val="13245A29"/>
    <w:rsid w:val="1324792E"/>
    <w:rsid w:val="13247ACA"/>
    <w:rsid w:val="13250FB0"/>
    <w:rsid w:val="13252D99"/>
    <w:rsid w:val="132536A6"/>
    <w:rsid w:val="13262398"/>
    <w:rsid w:val="13262CC4"/>
    <w:rsid w:val="13262F33"/>
    <w:rsid w:val="13271066"/>
    <w:rsid w:val="132711CC"/>
    <w:rsid w:val="13272F7A"/>
    <w:rsid w:val="13274D28"/>
    <w:rsid w:val="132769B4"/>
    <w:rsid w:val="13276B99"/>
    <w:rsid w:val="132803CF"/>
    <w:rsid w:val="13280AA0"/>
    <w:rsid w:val="13280D6A"/>
    <w:rsid w:val="13281AC0"/>
    <w:rsid w:val="13283492"/>
    <w:rsid w:val="132845CF"/>
    <w:rsid w:val="13286CF2"/>
    <w:rsid w:val="13287FD1"/>
    <w:rsid w:val="132900D9"/>
    <w:rsid w:val="1329181A"/>
    <w:rsid w:val="13292778"/>
    <w:rsid w:val="13294F44"/>
    <w:rsid w:val="132A0CBC"/>
    <w:rsid w:val="132A1CFF"/>
    <w:rsid w:val="132A2A6A"/>
    <w:rsid w:val="132A2CAA"/>
    <w:rsid w:val="132A4818"/>
    <w:rsid w:val="132A7323"/>
    <w:rsid w:val="132B5BD5"/>
    <w:rsid w:val="132C019B"/>
    <w:rsid w:val="132C0590"/>
    <w:rsid w:val="132C233E"/>
    <w:rsid w:val="132C3004"/>
    <w:rsid w:val="132C3D33"/>
    <w:rsid w:val="132C67E2"/>
    <w:rsid w:val="132D01C2"/>
    <w:rsid w:val="132D06E9"/>
    <w:rsid w:val="132D162B"/>
    <w:rsid w:val="132D1F23"/>
    <w:rsid w:val="132D3624"/>
    <w:rsid w:val="132D60B6"/>
    <w:rsid w:val="132D73CF"/>
    <w:rsid w:val="132E00A6"/>
    <w:rsid w:val="132E255A"/>
    <w:rsid w:val="132E62C7"/>
    <w:rsid w:val="132F1E2E"/>
    <w:rsid w:val="132F62D2"/>
    <w:rsid w:val="13303C8A"/>
    <w:rsid w:val="133074A0"/>
    <w:rsid w:val="1331204B"/>
    <w:rsid w:val="13313DF9"/>
    <w:rsid w:val="1331686B"/>
    <w:rsid w:val="1332191F"/>
    <w:rsid w:val="133228CC"/>
    <w:rsid w:val="1332431E"/>
    <w:rsid w:val="133267BC"/>
    <w:rsid w:val="1333585B"/>
    <w:rsid w:val="13337B71"/>
    <w:rsid w:val="133438E9"/>
    <w:rsid w:val="13345697"/>
    <w:rsid w:val="1334692D"/>
    <w:rsid w:val="13353326"/>
    <w:rsid w:val="13353B1B"/>
    <w:rsid w:val="13355E97"/>
    <w:rsid w:val="13357DBD"/>
    <w:rsid w:val="1336140F"/>
    <w:rsid w:val="13362521"/>
    <w:rsid w:val="13367661"/>
    <w:rsid w:val="13367945"/>
    <w:rsid w:val="13370CE3"/>
    <w:rsid w:val="133723E4"/>
    <w:rsid w:val="133726DD"/>
    <w:rsid w:val="13373B6D"/>
    <w:rsid w:val="13373B73"/>
    <w:rsid w:val="1337491C"/>
    <w:rsid w:val="13386F35"/>
    <w:rsid w:val="13390EFF"/>
    <w:rsid w:val="13392CAD"/>
    <w:rsid w:val="13394A5B"/>
    <w:rsid w:val="133A279F"/>
    <w:rsid w:val="133A407E"/>
    <w:rsid w:val="133A6689"/>
    <w:rsid w:val="133A7BEF"/>
    <w:rsid w:val="133B07D3"/>
    <w:rsid w:val="133B2528"/>
    <w:rsid w:val="133B4C77"/>
    <w:rsid w:val="133B6A25"/>
    <w:rsid w:val="133C322F"/>
    <w:rsid w:val="133D09EF"/>
    <w:rsid w:val="133D2F1E"/>
    <w:rsid w:val="133D3E1D"/>
    <w:rsid w:val="133D533A"/>
    <w:rsid w:val="133D7B22"/>
    <w:rsid w:val="133E2072"/>
    <w:rsid w:val="133E3124"/>
    <w:rsid w:val="133E4E1D"/>
    <w:rsid w:val="133E6103"/>
    <w:rsid w:val="133E773D"/>
    <w:rsid w:val="133E7B9C"/>
    <w:rsid w:val="133E7C41"/>
    <w:rsid w:val="133F302C"/>
    <w:rsid w:val="133F7388"/>
    <w:rsid w:val="1340228E"/>
    <w:rsid w:val="13404ACF"/>
    <w:rsid w:val="134055F9"/>
    <w:rsid w:val="13407AA1"/>
    <w:rsid w:val="13407C4D"/>
    <w:rsid w:val="134104D7"/>
    <w:rsid w:val="13417E62"/>
    <w:rsid w:val="13421B62"/>
    <w:rsid w:val="134272D3"/>
    <w:rsid w:val="134277F0"/>
    <w:rsid w:val="134321CD"/>
    <w:rsid w:val="13433B2C"/>
    <w:rsid w:val="134358DA"/>
    <w:rsid w:val="13440B1A"/>
    <w:rsid w:val="1344197C"/>
    <w:rsid w:val="13441D7E"/>
    <w:rsid w:val="13450BFA"/>
    <w:rsid w:val="134515AF"/>
    <w:rsid w:val="13451652"/>
    <w:rsid w:val="13453400"/>
    <w:rsid w:val="13454EE2"/>
    <w:rsid w:val="1345577E"/>
    <w:rsid w:val="13456171"/>
    <w:rsid w:val="13456431"/>
    <w:rsid w:val="134578A4"/>
    <w:rsid w:val="134618D8"/>
    <w:rsid w:val="134621D2"/>
    <w:rsid w:val="13463279"/>
    <w:rsid w:val="134639A2"/>
    <w:rsid w:val="13465EEB"/>
    <w:rsid w:val="1347361C"/>
    <w:rsid w:val="13473662"/>
    <w:rsid w:val="134745B0"/>
    <w:rsid w:val="13474B48"/>
    <w:rsid w:val="134753CA"/>
    <w:rsid w:val="134769A9"/>
    <w:rsid w:val="13476BD5"/>
    <w:rsid w:val="1348001E"/>
    <w:rsid w:val="13480553"/>
    <w:rsid w:val="13482EF0"/>
    <w:rsid w:val="134873D5"/>
    <w:rsid w:val="1349092A"/>
    <w:rsid w:val="13491142"/>
    <w:rsid w:val="134A251E"/>
    <w:rsid w:val="134B05C2"/>
    <w:rsid w:val="134B1FE3"/>
    <w:rsid w:val="134C0C32"/>
    <w:rsid w:val="134C29E0"/>
    <w:rsid w:val="134C478E"/>
    <w:rsid w:val="134D0507"/>
    <w:rsid w:val="134D446E"/>
    <w:rsid w:val="134D71BB"/>
    <w:rsid w:val="134D757D"/>
    <w:rsid w:val="134E0964"/>
    <w:rsid w:val="134E17F9"/>
    <w:rsid w:val="134E49AB"/>
    <w:rsid w:val="134E6759"/>
    <w:rsid w:val="134F1839"/>
    <w:rsid w:val="134F24D1"/>
    <w:rsid w:val="135003C6"/>
    <w:rsid w:val="13501728"/>
    <w:rsid w:val="135049C5"/>
    <w:rsid w:val="13511304"/>
    <w:rsid w:val="13511DA5"/>
    <w:rsid w:val="13512658"/>
    <w:rsid w:val="13513586"/>
    <w:rsid w:val="13516249"/>
    <w:rsid w:val="135172E5"/>
    <w:rsid w:val="135218A6"/>
    <w:rsid w:val="13521DA1"/>
    <w:rsid w:val="13521EB6"/>
    <w:rsid w:val="135238AC"/>
    <w:rsid w:val="13523EDF"/>
    <w:rsid w:val="13532CF7"/>
    <w:rsid w:val="13533D6F"/>
    <w:rsid w:val="135400EC"/>
    <w:rsid w:val="1354060D"/>
    <w:rsid w:val="13541895"/>
    <w:rsid w:val="135438B8"/>
    <w:rsid w:val="13547AE7"/>
    <w:rsid w:val="13550837"/>
    <w:rsid w:val="135532EC"/>
    <w:rsid w:val="1355376B"/>
    <w:rsid w:val="13553BD1"/>
    <w:rsid w:val="13554641"/>
    <w:rsid w:val="13555C66"/>
    <w:rsid w:val="13561AB1"/>
    <w:rsid w:val="13567763"/>
    <w:rsid w:val="13573133"/>
    <w:rsid w:val="13573157"/>
    <w:rsid w:val="135809E0"/>
    <w:rsid w:val="13581385"/>
    <w:rsid w:val="13581F1A"/>
    <w:rsid w:val="13584AE6"/>
    <w:rsid w:val="135875D7"/>
    <w:rsid w:val="1359284E"/>
    <w:rsid w:val="135950FD"/>
    <w:rsid w:val="13595A77"/>
    <w:rsid w:val="13596C9E"/>
    <w:rsid w:val="135A334F"/>
    <w:rsid w:val="135A3C50"/>
    <w:rsid w:val="135A638B"/>
    <w:rsid w:val="135A7434"/>
    <w:rsid w:val="135B2C24"/>
    <w:rsid w:val="135B6ECE"/>
    <w:rsid w:val="135B70C7"/>
    <w:rsid w:val="135C36DE"/>
    <w:rsid w:val="135C425F"/>
    <w:rsid w:val="135C7F55"/>
    <w:rsid w:val="135D4802"/>
    <w:rsid w:val="135D4BEE"/>
    <w:rsid w:val="135D4DFE"/>
    <w:rsid w:val="135D699C"/>
    <w:rsid w:val="135E10E2"/>
    <w:rsid w:val="135E2714"/>
    <w:rsid w:val="135E3EA3"/>
    <w:rsid w:val="135E44C2"/>
    <w:rsid w:val="135F6DF6"/>
    <w:rsid w:val="1360023A"/>
    <w:rsid w:val="13602DD3"/>
    <w:rsid w:val="136041E5"/>
    <w:rsid w:val="136046DE"/>
    <w:rsid w:val="1360648C"/>
    <w:rsid w:val="13611764"/>
    <w:rsid w:val="136202D6"/>
    <w:rsid w:val="13620456"/>
    <w:rsid w:val="13622204"/>
    <w:rsid w:val="13623FB2"/>
    <w:rsid w:val="136316FA"/>
    <w:rsid w:val="1363286A"/>
    <w:rsid w:val="13634743"/>
    <w:rsid w:val="13637D2A"/>
    <w:rsid w:val="13650C7A"/>
    <w:rsid w:val="13651D95"/>
    <w:rsid w:val="136539A1"/>
    <w:rsid w:val="1365575B"/>
    <w:rsid w:val="1367007B"/>
    <w:rsid w:val="136703AB"/>
    <w:rsid w:val="1367095E"/>
    <w:rsid w:val="136715C8"/>
    <w:rsid w:val="1367270D"/>
    <w:rsid w:val="13673837"/>
    <w:rsid w:val="13675A6C"/>
    <w:rsid w:val="1367781A"/>
    <w:rsid w:val="13682790"/>
    <w:rsid w:val="13684041"/>
    <w:rsid w:val="13685EC1"/>
    <w:rsid w:val="13693592"/>
    <w:rsid w:val="1369556C"/>
    <w:rsid w:val="13696CAD"/>
    <w:rsid w:val="13696FD3"/>
    <w:rsid w:val="136A265D"/>
    <w:rsid w:val="136A3EE9"/>
    <w:rsid w:val="136A730B"/>
    <w:rsid w:val="136C14FB"/>
    <w:rsid w:val="136C196B"/>
    <w:rsid w:val="136C3083"/>
    <w:rsid w:val="136C4E31"/>
    <w:rsid w:val="136C5B79"/>
    <w:rsid w:val="136D128D"/>
    <w:rsid w:val="136D6ABE"/>
    <w:rsid w:val="136D6B64"/>
    <w:rsid w:val="136E072C"/>
    <w:rsid w:val="136E12C6"/>
    <w:rsid w:val="136E2133"/>
    <w:rsid w:val="136E2957"/>
    <w:rsid w:val="136E2BA5"/>
    <w:rsid w:val="136E6DFB"/>
    <w:rsid w:val="136F13DE"/>
    <w:rsid w:val="136F3FAF"/>
    <w:rsid w:val="136F4921"/>
    <w:rsid w:val="136F4C00"/>
    <w:rsid w:val="136F501E"/>
    <w:rsid w:val="136F5E6A"/>
    <w:rsid w:val="136F66CF"/>
    <w:rsid w:val="136F6C40"/>
    <w:rsid w:val="13710699"/>
    <w:rsid w:val="137141F5"/>
    <w:rsid w:val="137159AC"/>
    <w:rsid w:val="13725900"/>
    <w:rsid w:val="13734411"/>
    <w:rsid w:val="137361BF"/>
    <w:rsid w:val="13736B12"/>
    <w:rsid w:val="137372A4"/>
    <w:rsid w:val="13737F6D"/>
    <w:rsid w:val="137419FD"/>
    <w:rsid w:val="13743CE5"/>
    <w:rsid w:val="13746AFE"/>
    <w:rsid w:val="1376335E"/>
    <w:rsid w:val="13767A5D"/>
    <w:rsid w:val="13773B63"/>
    <w:rsid w:val="137805B7"/>
    <w:rsid w:val="13781A27"/>
    <w:rsid w:val="13781A8A"/>
    <w:rsid w:val="13785584"/>
    <w:rsid w:val="137912FC"/>
    <w:rsid w:val="13792950"/>
    <w:rsid w:val="13795061"/>
    <w:rsid w:val="1379754E"/>
    <w:rsid w:val="137B1518"/>
    <w:rsid w:val="137C0A6C"/>
    <w:rsid w:val="137C2297"/>
    <w:rsid w:val="137C2A62"/>
    <w:rsid w:val="137C3E0F"/>
    <w:rsid w:val="137D1A6C"/>
    <w:rsid w:val="137D70FE"/>
    <w:rsid w:val="137E1C38"/>
    <w:rsid w:val="137E6302"/>
    <w:rsid w:val="137E67C2"/>
    <w:rsid w:val="137E6912"/>
    <w:rsid w:val="137F0ED3"/>
    <w:rsid w:val="137F4B64"/>
    <w:rsid w:val="137F5F6B"/>
    <w:rsid w:val="138008DC"/>
    <w:rsid w:val="1380268A"/>
    <w:rsid w:val="13805EA2"/>
    <w:rsid w:val="13806B2E"/>
    <w:rsid w:val="13812877"/>
    <w:rsid w:val="138228A6"/>
    <w:rsid w:val="1383313B"/>
    <w:rsid w:val="138336FD"/>
    <w:rsid w:val="13833F28"/>
    <w:rsid w:val="138403CC"/>
    <w:rsid w:val="13845810"/>
    <w:rsid w:val="138470C4"/>
    <w:rsid w:val="13853604"/>
    <w:rsid w:val="13854144"/>
    <w:rsid w:val="13854F5E"/>
    <w:rsid w:val="13855000"/>
    <w:rsid w:val="13855EF2"/>
    <w:rsid w:val="13857810"/>
    <w:rsid w:val="13863B32"/>
    <w:rsid w:val="138670A0"/>
    <w:rsid w:val="13870C3B"/>
    <w:rsid w:val="13873A19"/>
    <w:rsid w:val="138744AC"/>
    <w:rsid w:val="13876C5F"/>
    <w:rsid w:val="138776A1"/>
    <w:rsid w:val="138804BE"/>
    <w:rsid w:val="13881F85"/>
    <w:rsid w:val="138862CF"/>
    <w:rsid w:val="13892310"/>
    <w:rsid w:val="13893C35"/>
    <w:rsid w:val="13894516"/>
    <w:rsid w:val="138959E3"/>
    <w:rsid w:val="13897791"/>
    <w:rsid w:val="138A0BB7"/>
    <w:rsid w:val="138A175B"/>
    <w:rsid w:val="138A1F63"/>
    <w:rsid w:val="138A3509"/>
    <w:rsid w:val="138A52B7"/>
    <w:rsid w:val="138B1E16"/>
    <w:rsid w:val="138B2047"/>
    <w:rsid w:val="138B4678"/>
    <w:rsid w:val="138C102F"/>
    <w:rsid w:val="138C54D3"/>
    <w:rsid w:val="138C5A6D"/>
    <w:rsid w:val="138C7281"/>
    <w:rsid w:val="138D1D96"/>
    <w:rsid w:val="138D522F"/>
    <w:rsid w:val="138E06DF"/>
    <w:rsid w:val="138E23B0"/>
    <w:rsid w:val="138E3B97"/>
    <w:rsid w:val="138E5DAE"/>
    <w:rsid w:val="138F0B1F"/>
    <w:rsid w:val="138F0F48"/>
    <w:rsid w:val="138F22EA"/>
    <w:rsid w:val="138F28CD"/>
    <w:rsid w:val="138F2FCA"/>
    <w:rsid w:val="13900717"/>
    <w:rsid w:val="13902B20"/>
    <w:rsid w:val="13904FC3"/>
    <w:rsid w:val="13906D71"/>
    <w:rsid w:val="13907A08"/>
    <w:rsid w:val="13912AE9"/>
    <w:rsid w:val="13916645"/>
    <w:rsid w:val="13917771"/>
    <w:rsid w:val="13927349"/>
    <w:rsid w:val="139307D9"/>
    <w:rsid w:val="13936861"/>
    <w:rsid w:val="13941600"/>
    <w:rsid w:val="13946135"/>
    <w:rsid w:val="139470CB"/>
    <w:rsid w:val="13947F27"/>
    <w:rsid w:val="1395128E"/>
    <w:rsid w:val="13951726"/>
    <w:rsid w:val="139525D9"/>
    <w:rsid w:val="13954387"/>
    <w:rsid w:val="139620D0"/>
    <w:rsid w:val="1396301C"/>
    <w:rsid w:val="13963C5C"/>
    <w:rsid w:val="13967F39"/>
    <w:rsid w:val="13975A19"/>
    <w:rsid w:val="13981A7A"/>
    <w:rsid w:val="139879D4"/>
    <w:rsid w:val="13991A8C"/>
    <w:rsid w:val="1399374C"/>
    <w:rsid w:val="139A69EF"/>
    <w:rsid w:val="139A7BF0"/>
    <w:rsid w:val="139B3968"/>
    <w:rsid w:val="139B4972"/>
    <w:rsid w:val="139B6F6B"/>
    <w:rsid w:val="139B70F8"/>
    <w:rsid w:val="139C03FB"/>
    <w:rsid w:val="139C56E1"/>
    <w:rsid w:val="139D148E"/>
    <w:rsid w:val="139D188B"/>
    <w:rsid w:val="139D323C"/>
    <w:rsid w:val="139D390C"/>
    <w:rsid w:val="139D7DA3"/>
    <w:rsid w:val="139E0D62"/>
    <w:rsid w:val="139E41CE"/>
    <w:rsid w:val="139F3B6A"/>
    <w:rsid w:val="13A02D2C"/>
    <w:rsid w:val="13A04ADA"/>
    <w:rsid w:val="13A06036"/>
    <w:rsid w:val="13A10F7E"/>
    <w:rsid w:val="13A12B15"/>
    <w:rsid w:val="13A1426D"/>
    <w:rsid w:val="13A23AEB"/>
    <w:rsid w:val="13A24CF6"/>
    <w:rsid w:val="13A256FD"/>
    <w:rsid w:val="13A26AA4"/>
    <w:rsid w:val="13A26E3E"/>
    <w:rsid w:val="13A31AB3"/>
    <w:rsid w:val="13A4175E"/>
    <w:rsid w:val="13A4281C"/>
    <w:rsid w:val="13A4624C"/>
    <w:rsid w:val="13A46379"/>
    <w:rsid w:val="13A50343"/>
    <w:rsid w:val="13A51B3A"/>
    <w:rsid w:val="13A52BEE"/>
    <w:rsid w:val="13A578AE"/>
    <w:rsid w:val="13A57BF5"/>
    <w:rsid w:val="13A61772"/>
    <w:rsid w:val="13A627E2"/>
    <w:rsid w:val="13A62E2B"/>
    <w:rsid w:val="13A65E7C"/>
    <w:rsid w:val="13A66595"/>
    <w:rsid w:val="13A7230D"/>
    <w:rsid w:val="13A73D6F"/>
    <w:rsid w:val="13A740BB"/>
    <w:rsid w:val="13A8316E"/>
    <w:rsid w:val="13A837D0"/>
    <w:rsid w:val="13A866AB"/>
    <w:rsid w:val="13A86A0A"/>
    <w:rsid w:val="13A91302"/>
    <w:rsid w:val="13A919DF"/>
    <w:rsid w:val="13A91BE1"/>
    <w:rsid w:val="13A92583"/>
    <w:rsid w:val="13A9398F"/>
    <w:rsid w:val="13A97E33"/>
    <w:rsid w:val="13AA0B6D"/>
    <w:rsid w:val="13AA367F"/>
    <w:rsid w:val="13AA3D12"/>
    <w:rsid w:val="13AA7707"/>
    <w:rsid w:val="13AA7A6C"/>
    <w:rsid w:val="13AB3BAB"/>
    <w:rsid w:val="13AB44CA"/>
    <w:rsid w:val="13AC16D1"/>
    <w:rsid w:val="13AC198C"/>
    <w:rsid w:val="13AC7923"/>
    <w:rsid w:val="13AC7CF5"/>
    <w:rsid w:val="13AD0DD4"/>
    <w:rsid w:val="13AE369B"/>
    <w:rsid w:val="13AE3A83"/>
    <w:rsid w:val="13AE5449"/>
    <w:rsid w:val="13AE71F7"/>
    <w:rsid w:val="13AF3D2C"/>
    <w:rsid w:val="13AF4D1D"/>
    <w:rsid w:val="13B011C1"/>
    <w:rsid w:val="13B02B30"/>
    <w:rsid w:val="13B10A95"/>
    <w:rsid w:val="13B14F39"/>
    <w:rsid w:val="13B1668C"/>
    <w:rsid w:val="13B1756C"/>
    <w:rsid w:val="13B22254"/>
    <w:rsid w:val="13B22621"/>
    <w:rsid w:val="13B26024"/>
    <w:rsid w:val="13B27D10"/>
    <w:rsid w:val="13B30CB1"/>
    <w:rsid w:val="13B3138E"/>
    <w:rsid w:val="13B31B3C"/>
    <w:rsid w:val="13B32A60"/>
    <w:rsid w:val="13B34F3F"/>
    <w:rsid w:val="13B36682"/>
    <w:rsid w:val="13B418E5"/>
    <w:rsid w:val="13B41E07"/>
    <w:rsid w:val="13B450C2"/>
    <w:rsid w:val="13B47B12"/>
    <w:rsid w:val="13B50586"/>
    <w:rsid w:val="13B54A2A"/>
    <w:rsid w:val="13B553A7"/>
    <w:rsid w:val="13B55464"/>
    <w:rsid w:val="13B55673"/>
    <w:rsid w:val="13B567D8"/>
    <w:rsid w:val="13B614C4"/>
    <w:rsid w:val="13B62550"/>
    <w:rsid w:val="13B642FE"/>
    <w:rsid w:val="13B65221"/>
    <w:rsid w:val="13B67A5B"/>
    <w:rsid w:val="13B742B2"/>
    <w:rsid w:val="13B75003"/>
    <w:rsid w:val="13B80076"/>
    <w:rsid w:val="13B8143D"/>
    <w:rsid w:val="13B81E24"/>
    <w:rsid w:val="13B840DB"/>
    <w:rsid w:val="13B8551D"/>
    <w:rsid w:val="13B862C8"/>
    <w:rsid w:val="13B911D2"/>
    <w:rsid w:val="13B964E0"/>
    <w:rsid w:val="13BA2040"/>
    <w:rsid w:val="13BA331B"/>
    <w:rsid w:val="13BA3984"/>
    <w:rsid w:val="13BA3D5A"/>
    <w:rsid w:val="13BA3DEE"/>
    <w:rsid w:val="13BA5B9C"/>
    <w:rsid w:val="13BB36C2"/>
    <w:rsid w:val="13BB4E14"/>
    <w:rsid w:val="13BB79E5"/>
    <w:rsid w:val="13BB7AE9"/>
    <w:rsid w:val="13BB7B66"/>
    <w:rsid w:val="13BC5DB8"/>
    <w:rsid w:val="13BC62A4"/>
    <w:rsid w:val="13BC6909"/>
    <w:rsid w:val="13BC732C"/>
    <w:rsid w:val="13BD13B2"/>
    <w:rsid w:val="13BD2868"/>
    <w:rsid w:val="13BD2CF6"/>
    <w:rsid w:val="13BD3541"/>
    <w:rsid w:val="13BD53C3"/>
    <w:rsid w:val="13BD568C"/>
    <w:rsid w:val="13BD7245"/>
    <w:rsid w:val="13BD743A"/>
    <w:rsid w:val="13BF1ABA"/>
    <w:rsid w:val="13C0085F"/>
    <w:rsid w:val="13C00A21"/>
    <w:rsid w:val="13C02576"/>
    <w:rsid w:val="13C13857"/>
    <w:rsid w:val="13C14925"/>
    <w:rsid w:val="13C20672"/>
    <w:rsid w:val="13C20EF5"/>
    <w:rsid w:val="13C219EA"/>
    <w:rsid w:val="13C22CA3"/>
    <w:rsid w:val="13C25F02"/>
    <w:rsid w:val="13C26D8D"/>
    <w:rsid w:val="13C30972"/>
    <w:rsid w:val="13C34677"/>
    <w:rsid w:val="13C3471C"/>
    <w:rsid w:val="13C34C6E"/>
    <w:rsid w:val="13C3540D"/>
    <w:rsid w:val="13C36177"/>
    <w:rsid w:val="13C40C8F"/>
    <w:rsid w:val="13C46A1B"/>
    <w:rsid w:val="13C609E5"/>
    <w:rsid w:val="13C652E7"/>
    <w:rsid w:val="13C72E82"/>
    <w:rsid w:val="13C7597A"/>
    <w:rsid w:val="13C76CFC"/>
    <w:rsid w:val="13C80904"/>
    <w:rsid w:val="13C838FE"/>
    <w:rsid w:val="13C87418"/>
    <w:rsid w:val="13C90009"/>
    <w:rsid w:val="13C91AA8"/>
    <w:rsid w:val="13C94B5C"/>
    <w:rsid w:val="13C95DDF"/>
    <w:rsid w:val="13C9639B"/>
    <w:rsid w:val="13CA3479"/>
    <w:rsid w:val="13CA4FBE"/>
    <w:rsid w:val="13CA5218"/>
    <w:rsid w:val="13CB4909"/>
    <w:rsid w:val="13CB5445"/>
    <w:rsid w:val="13CB5FFB"/>
    <w:rsid w:val="13CB74DA"/>
    <w:rsid w:val="13CB7DA9"/>
    <w:rsid w:val="13CC096A"/>
    <w:rsid w:val="13CC1D73"/>
    <w:rsid w:val="13CC2482"/>
    <w:rsid w:val="13CC3779"/>
    <w:rsid w:val="13CC3B21"/>
    <w:rsid w:val="13CC4A66"/>
    <w:rsid w:val="13CC58CF"/>
    <w:rsid w:val="13CC5D99"/>
    <w:rsid w:val="13CC77E7"/>
    <w:rsid w:val="13CD7229"/>
    <w:rsid w:val="13CE1647"/>
    <w:rsid w:val="13CE5AEB"/>
    <w:rsid w:val="13CE6CCE"/>
    <w:rsid w:val="13CE7899"/>
    <w:rsid w:val="13CF28B2"/>
    <w:rsid w:val="13CF716E"/>
    <w:rsid w:val="13D1077B"/>
    <w:rsid w:val="13D11138"/>
    <w:rsid w:val="13D13C8B"/>
    <w:rsid w:val="13D14677"/>
    <w:rsid w:val="13D16EFE"/>
    <w:rsid w:val="13D172F2"/>
    <w:rsid w:val="13D1738A"/>
    <w:rsid w:val="13D17DCB"/>
    <w:rsid w:val="13D34EB0"/>
    <w:rsid w:val="13D35C6C"/>
    <w:rsid w:val="13D36C5E"/>
    <w:rsid w:val="13D44784"/>
    <w:rsid w:val="13D46892"/>
    <w:rsid w:val="13D47C11"/>
    <w:rsid w:val="13D50C28"/>
    <w:rsid w:val="13D52401"/>
    <w:rsid w:val="13D529D6"/>
    <w:rsid w:val="13D53D9C"/>
    <w:rsid w:val="13D5599D"/>
    <w:rsid w:val="13D61ABD"/>
    <w:rsid w:val="13D6674E"/>
    <w:rsid w:val="13D70146"/>
    <w:rsid w:val="13D749A0"/>
    <w:rsid w:val="13D824C6"/>
    <w:rsid w:val="13D84274"/>
    <w:rsid w:val="13D8616E"/>
    <w:rsid w:val="13DA2F6E"/>
    <w:rsid w:val="13DA4490"/>
    <w:rsid w:val="13DA5F8A"/>
    <w:rsid w:val="13DA623E"/>
    <w:rsid w:val="13DA7FEC"/>
    <w:rsid w:val="13DB3D64"/>
    <w:rsid w:val="13DC2058"/>
    <w:rsid w:val="13DC26A2"/>
    <w:rsid w:val="13DD5D2E"/>
    <w:rsid w:val="13DD7ADC"/>
    <w:rsid w:val="13DE3762"/>
    <w:rsid w:val="13DE78C2"/>
    <w:rsid w:val="13DF1337"/>
    <w:rsid w:val="13DF182E"/>
    <w:rsid w:val="13DF1AA7"/>
    <w:rsid w:val="13DF516A"/>
    <w:rsid w:val="13DF5603"/>
    <w:rsid w:val="13E0137B"/>
    <w:rsid w:val="13E0534B"/>
    <w:rsid w:val="13E0569F"/>
    <w:rsid w:val="13E10270"/>
    <w:rsid w:val="13E11700"/>
    <w:rsid w:val="13E11E0B"/>
    <w:rsid w:val="13E1581F"/>
    <w:rsid w:val="13E16B2F"/>
    <w:rsid w:val="13E175CD"/>
    <w:rsid w:val="13E203CB"/>
    <w:rsid w:val="13E23345"/>
    <w:rsid w:val="13E239A9"/>
    <w:rsid w:val="13E250F3"/>
    <w:rsid w:val="13E26EA1"/>
    <w:rsid w:val="13E35761"/>
    <w:rsid w:val="13E35E18"/>
    <w:rsid w:val="13E3686D"/>
    <w:rsid w:val="13E40E6B"/>
    <w:rsid w:val="13E41912"/>
    <w:rsid w:val="13E45C91"/>
    <w:rsid w:val="13E46BF1"/>
    <w:rsid w:val="13E470BD"/>
    <w:rsid w:val="13E50081"/>
    <w:rsid w:val="13E501E2"/>
    <w:rsid w:val="13E50398"/>
    <w:rsid w:val="13E51902"/>
    <w:rsid w:val="13E6056F"/>
    <w:rsid w:val="13E61511"/>
    <w:rsid w:val="13E62580"/>
    <w:rsid w:val="13E65B82"/>
    <w:rsid w:val="13E7095B"/>
    <w:rsid w:val="13E7153A"/>
    <w:rsid w:val="13E744B7"/>
    <w:rsid w:val="13E86336"/>
    <w:rsid w:val="13E94504"/>
    <w:rsid w:val="13EA1571"/>
    <w:rsid w:val="13EA1C45"/>
    <w:rsid w:val="13EA20F7"/>
    <w:rsid w:val="13EA360C"/>
    <w:rsid w:val="13EB044B"/>
    <w:rsid w:val="13EB092F"/>
    <w:rsid w:val="13EB2378"/>
    <w:rsid w:val="13EB33F1"/>
    <w:rsid w:val="13EB3FA7"/>
    <w:rsid w:val="13EC0700"/>
    <w:rsid w:val="13EC114B"/>
    <w:rsid w:val="13EC5F71"/>
    <w:rsid w:val="13EC7D20"/>
    <w:rsid w:val="13ED10E4"/>
    <w:rsid w:val="13ED41C3"/>
    <w:rsid w:val="13ED53DF"/>
    <w:rsid w:val="13ED7262"/>
    <w:rsid w:val="13EE07C7"/>
    <w:rsid w:val="13EE1133"/>
    <w:rsid w:val="13EE1CEA"/>
    <w:rsid w:val="13EE25FB"/>
    <w:rsid w:val="13EE3A98"/>
    <w:rsid w:val="13EE4001"/>
    <w:rsid w:val="13EE414B"/>
    <w:rsid w:val="13EE5846"/>
    <w:rsid w:val="13EF515E"/>
    <w:rsid w:val="13F00F84"/>
    <w:rsid w:val="13F015BE"/>
    <w:rsid w:val="13F05A62"/>
    <w:rsid w:val="13F06E13"/>
    <w:rsid w:val="13F07810"/>
    <w:rsid w:val="13F07D65"/>
    <w:rsid w:val="13F111F5"/>
    <w:rsid w:val="13F113B8"/>
    <w:rsid w:val="13F11979"/>
    <w:rsid w:val="13F11C23"/>
    <w:rsid w:val="13F131DC"/>
    <w:rsid w:val="13F136A0"/>
    <w:rsid w:val="13F13AA5"/>
    <w:rsid w:val="13F164E6"/>
    <w:rsid w:val="13F16624"/>
    <w:rsid w:val="13F16830"/>
    <w:rsid w:val="13F177A9"/>
    <w:rsid w:val="13F217DA"/>
    <w:rsid w:val="13F2232B"/>
    <w:rsid w:val="13F27AB4"/>
    <w:rsid w:val="13F310AE"/>
    <w:rsid w:val="13F3280A"/>
    <w:rsid w:val="13F3518A"/>
    <w:rsid w:val="13F35552"/>
    <w:rsid w:val="13F5153C"/>
    <w:rsid w:val="13F54158"/>
    <w:rsid w:val="13F54E26"/>
    <w:rsid w:val="13F55C00"/>
    <w:rsid w:val="13F57B76"/>
    <w:rsid w:val="13F6026F"/>
    <w:rsid w:val="13F602E8"/>
    <w:rsid w:val="13F60B9E"/>
    <w:rsid w:val="13F725F5"/>
    <w:rsid w:val="13F76DF0"/>
    <w:rsid w:val="13F8285F"/>
    <w:rsid w:val="13F82B68"/>
    <w:rsid w:val="13F84916"/>
    <w:rsid w:val="13F866C4"/>
    <w:rsid w:val="13F94213"/>
    <w:rsid w:val="13FA065E"/>
    <w:rsid w:val="13FA068E"/>
    <w:rsid w:val="13FA243C"/>
    <w:rsid w:val="13FA41EA"/>
    <w:rsid w:val="13FA68E0"/>
    <w:rsid w:val="13FB28F5"/>
    <w:rsid w:val="13FB5728"/>
    <w:rsid w:val="13FB7F63"/>
    <w:rsid w:val="13FC17C7"/>
    <w:rsid w:val="13FC1DE2"/>
    <w:rsid w:val="13FC4407"/>
    <w:rsid w:val="13FC4E78"/>
    <w:rsid w:val="13FD1F2D"/>
    <w:rsid w:val="13FD3F4C"/>
    <w:rsid w:val="13FE0542"/>
    <w:rsid w:val="13FE2ADA"/>
    <w:rsid w:val="13FF20B8"/>
    <w:rsid w:val="13FF3EF7"/>
    <w:rsid w:val="13FF7A53"/>
    <w:rsid w:val="140007CA"/>
    <w:rsid w:val="14004C89"/>
    <w:rsid w:val="14005579"/>
    <w:rsid w:val="140101E5"/>
    <w:rsid w:val="14010CEA"/>
    <w:rsid w:val="14011A1D"/>
    <w:rsid w:val="140142DC"/>
    <w:rsid w:val="140212F1"/>
    <w:rsid w:val="14027267"/>
    <w:rsid w:val="14027543"/>
    <w:rsid w:val="14027BD1"/>
    <w:rsid w:val="14030A39"/>
    <w:rsid w:val="1404150D"/>
    <w:rsid w:val="14042896"/>
    <w:rsid w:val="140432BB"/>
    <w:rsid w:val="14045165"/>
    <w:rsid w:val="14050A90"/>
    <w:rsid w:val="14055F2A"/>
    <w:rsid w:val="14060DE1"/>
    <w:rsid w:val="14064F0C"/>
    <w:rsid w:val="14067033"/>
    <w:rsid w:val="14072DAB"/>
    <w:rsid w:val="14074B59"/>
    <w:rsid w:val="14085946"/>
    <w:rsid w:val="14085FEC"/>
    <w:rsid w:val="14086385"/>
    <w:rsid w:val="14090752"/>
    <w:rsid w:val="140908D1"/>
    <w:rsid w:val="14095D3A"/>
    <w:rsid w:val="140A4949"/>
    <w:rsid w:val="140A5201"/>
    <w:rsid w:val="140B289C"/>
    <w:rsid w:val="140B63F8"/>
    <w:rsid w:val="140C3903"/>
    <w:rsid w:val="140C5F5F"/>
    <w:rsid w:val="140D022C"/>
    <w:rsid w:val="140D728C"/>
    <w:rsid w:val="140E03B2"/>
    <w:rsid w:val="140E269B"/>
    <w:rsid w:val="140E460E"/>
    <w:rsid w:val="140E5EE8"/>
    <w:rsid w:val="140E7C96"/>
    <w:rsid w:val="14101C60"/>
    <w:rsid w:val="14103A0E"/>
    <w:rsid w:val="14107EB2"/>
    <w:rsid w:val="141136D7"/>
    <w:rsid w:val="14116045"/>
    <w:rsid w:val="14117786"/>
    <w:rsid w:val="14120B35"/>
    <w:rsid w:val="141231C7"/>
    <w:rsid w:val="14123C2A"/>
    <w:rsid w:val="14125495"/>
    <w:rsid w:val="1413052D"/>
    <w:rsid w:val="14131750"/>
    <w:rsid w:val="141319BD"/>
    <w:rsid w:val="14131C05"/>
    <w:rsid w:val="14132975"/>
    <w:rsid w:val="141352AC"/>
    <w:rsid w:val="14136C94"/>
    <w:rsid w:val="141379A2"/>
    <w:rsid w:val="14140C27"/>
    <w:rsid w:val="14142E4D"/>
    <w:rsid w:val="141523B3"/>
    <w:rsid w:val="141554C8"/>
    <w:rsid w:val="141605EF"/>
    <w:rsid w:val="14161AF0"/>
    <w:rsid w:val="14167974"/>
    <w:rsid w:val="14171240"/>
    <w:rsid w:val="14171CA3"/>
    <w:rsid w:val="14172FEE"/>
    <w:rsid w:val="14180B15"/>
    <w:rsid w:val="14181D9D"/>
    <w:rsid w:val="14197876"/>
    <w:rsid w:val="141A3C20"/>
    <w:rsid w:val="141A6CBF"/>
    <w:rsid w:val="141A78FC"/>
    <w:rsid w:val="141C0605"/>
    <w:rsid w:val="141C2D20"/>
    <w:rsid w:val="141C4E05"/>
    <w:rsid w:val="141C6857"/>
    <w:rsid w:val="141C6C87"/>
    <w:rsid w:val="141D25CF"/>
    <w:rsid w:val="141D3A6C"/>
    <w:rsid w:val="141D437D"/>
    <w:rsid w:val="141D53FC"/>
    <w:rsid w:val="141D5E0F"/>
    <w:rsid w:val="141D612B"/>
    <w:rsid w:val="141E1EF0"/>
    <w:rsid w:val="141E5A17"/>
    <w:rsid w:val="141F00F5"/>
    <w:rsid w:val="141F1EA3"/>
    <w:rsid w:val="141F46D8"/>
    <w:rsid w:val="14201F81"/>
    <w:rsid w:val="1420443E"/>
    <w:rsid w:val="1420576D"/>
    <w:rsid w:val="14207959"/>
    <w:rsid w:val="14215702"/>
    <w:rsid w:val="14215C1B"/>
    <w:rsid w:val="1421783D"/>
    <w:rsid w:val="142179C9"/>
    <w:rsid w:val="14221993"/>
    <w:rsid w:val="14221AD5"/>
    <w:rsid w:val="14222D50"/>
    <w:rsid w:val="14223210"/>
    <w:rsid w:val="14223741"/>
    <w:rsid w:val="142247D6"/>
    <w:rsid w:val="142314B2"/>
    <w:rsid w:val="14231C9D"/>
    <w:rsid w:val="14232BF3"/>
    <w:rsid w:val="14237BE5"/>
    <w:rsid w:val="14240A78"/>
    <w:rsid w:val="14244923"/>
    <w:rsid w:val="1424570B"/>
    <w:rsid w:val="142474B9"/>
    <w:rsid w:val="14252936"/>
    <w:rsid w:val="142536B4"/>
    <w:rsid w:val="1426088F"/>
    <w:rsid w:val="14261483"/>
    <w:rsid w:val="14263231"/>
    <w:rsid w:val="142633DF"/>
    <w:rsid w:val="142676D5"/>
    <w:rsid w:val="14270100"/>
    <w:rsid w:val="14270D58"/>
    <w:rsid w:val="14274B19"/>
    <w:rsid w:val="14276FAA"/>
    <w:rsid w:val="14277B85"/>
    <w:rsid w:val="14277E33"/>
    <w:rsid w:val="14287976"/>
    <w:rsid w:val="14291F60"/>
    <w:rsid w:val="14292D22"/>
    <w:rsid w:val="14294AD0"/>
    <w:rsid w:val="142A0E69"/>
    <w:rsid w:val="142A175F"/>
    <w:rsid w:val="142B0848"/>
    <w:rsid w:val="142B4CEC"/>
    <w:rsid w:val="142B5B3A"/>
    <w:rsid w:val="142B6550"/>
    <w:rsid w:val="142B6A9A"/>
    <w:rsid w:val="142B7C44"/>
    <w:rsid w:val="142C2815"/>
    <w:rsid w:val="142C38E1"/>
    <w:rsid w:val="142C45C0"/>
    <w:rsid w:val="142C636E"/>
    <w:rsid w:val="142D1DF4"/>
    <w:rsid w:val="142D3CA5"/>
    <w:rsid w:val="142D3F8C"/>
    <w:rsid w:val="142D4C8E"/>
    <w:rsid w:val="142E0338"/>
    <w:rsid w:val="142E34B0"/>
    <w:rsid w:val="142E353F"/>
    <w:rsid w:val="142E7D06"/>
    <w:rsid w:val="142F2FE9"/>
    <w:rsid w:val="142F70A5"/>
    <w:rsid w:val="142F7384"/>
    <w:rsid w:val="14301436"/>
    <w:rsid w:val="143017A1"/>
    <w:rsid w:val="14302302"/>
    <w:rsid w:val="14302E1C"/>
    <w:rsid w:val="143040B0"/>
    <w:rsid w:val="14305686"/>
    <w:rsid w:val="14305E5E"/>
    <w:rsid w:val="14316687"/>
    <w:rsid w:val="1431787E"/>
    <w:rsid w:val="14321BD6"/>
    <w:rsid w:val="1432607A"/>
    <w:rsid w:val="14327E28"/>
    <w:rsid w:val="14330FA7"/>
    <w:rsid w:val="1433338D"/>
    <w:rsid w:val="14333BA0"/>
    <w:rsid w:val="14334BC8"/>
    <w:rsid w:val="1433594E"/>
    <w:rsid w:val="143405E1"/>
    <w:rsid w:val="14340993"/>
    <w:rsid w:val="1434515B"/>
    <w:rsid w:val="14345380"/>
    <w:rsid w:val="143516C6"/>
    <w:rsid w:val="14356FCB"/>
    <w:rsid w:val="14357171"/>
    <w:rsid w:val="143607D6"/>
    <w:rsid w:val="14364D57"/>
    <w:rsid w:val="14364E4A"/>
    <w:rsid w:val="14364E4F"/>
    <w:rsid w:val="143724BF"/>
    <w:rsid w:val="1437353C"/>
    <w:rsid w:val="14373691"/>
    <w:rsid w:val="1437543F"/>
    <w:rsid w:val="143811B7"/>
    <w:rsid w:val="1438599E"/>
    <w:rsid w:val="1439089B"/>
    <w:rsid w:val="14396509"/>
    <w:rsid w:val="14396FFB"/>
    <w:rsid w:val="143A0A8B"/>
    <w:rsid w:val="143A4C97"/>
    <w:rsid w:val="143A4F2F"/>
    <w:rsid w:val="143A606B"/>
    <w:rsid w:val="143A6CDD"/>
    <w:rsid w:val="143B3D8C"/>
    <w:rsid w:val="143C0BC9"/>
    <w:rsid w:val="143C0CA7"/>
    <w:rsid w:val="143C2A55"/>
    <w:rsid w:val="143C4803"/>
    <w:rsid w:val="143C7C84"/>
    <w:rsid w:val="143D4E91"/>
    <w:rsid w:val="143D67CD"/>
    <w:rsid w:val="143E08C0"/>
    <w:rsid w:val="143E4A1F"/>
    <w:rsid w:val="143E7539"/>
    <w:rsid w:val="143F0797"/>
    <w:rsid w:val="143F1FA6"/>
    <w:rsid w:val="143F2545"/>
    <w:rsid w:val="143F310F"/>
    <w:rsid w:val="143F42F3"/>
    <w:rsid w:val="143F60A1"/>
    <w:rsid w:val="143F6109"/>
    <w:rsid w:val="143F7359"/>
    <w:rsid w:val="143F754A"/>
    <w:rsid w:val="1440073C"/>
    <w:rsid w:val="14404CC0"/>
    <w:rsid w:val="144068BA"/>
    <w:rsid w:val="14411AB2"/>
    <w:rsid w:val="14415842"/>
    <w:rsid w:val="14417C2B"/>
    <w:rsid w:val="14417F5A"/>
    <w:rsid w:val="14422DC2"/>
    <w:rsid w:val="14423DE3"/>
    <w:rsid w:val="1442411B"/>
    <w:rsid w:val="14425611"/>
    <w:rsid w:val="1442760C"/>
    <w:rsid w:val="14430A9C"/>
    <w:rsid w:val="14431548"/>
    <w:rsid w:val="14432035"/>
    <w:rsid w:val="14437B33"/>
    <w:rsid w:val="14440597"/>
    <w:rsid w:val="14442847"/>
    <w:rsid w:val="14443AE8"/>
    <w:rsid w:val="14443FFA"/>
    <w:rsid w:val="14445DAD"/>
    <w:rsid w:val="1445127B"/>
    <w:rsid w:val="14451546"/>
    <w:rsid w:val="144515F7"/>
    <w:rsid w:val="144622CA"/>
    <w:rsid w:val="144638D4"/>
    <w:rsid w:val="14465682"/>
    <w:rsid w:val="14465B6D"/>
    <w:rsid w:val="14466C11"/>
    <w:rsid w:val="14480914"/>
    <w:rsid w:val="144825C9"/>
    <w:rsid w:val="144826AD"/>
    <w:rsid w:val="1448289C"/>
    <w:rsid w:val="144848D9"/>
    <w:rsid w:val="14486842"/>
    <w:rsid w:val="1448764C"/>
    <w:rsid w:val="14487A29"/>
    <w:rsid w:val="14490C3B"/>
    <w:rsid w:val="1449490E"/>
    <w:rsid w:val="144953B6"/>
    <w:rsid w:val="144968D3"/>
    <w:rsid w:val="14496F20"/>
    <w:rsid w:val="144A4233"/>
    <w:rsid w:val="144A43FD"/>
    <w:rsid w:val="144A7242"/>
    <w:rsid w:val="144B0EEA"/>
    <w:rsid w:val="144B2C98"/>
    <w:rsid w:val="144B2D35"/>
    <w:rsid w:val="144B5C33"/>
    <w:rsid w:val="144C328F"/>
    <w:rsid w:val="144D31B9"/>
    <w:rsid w:val="144D4C62"/>
    <w:rsid w:val="144D65A6"/>
    <w:rsid w:val="144D6A10"/>
    <w:rsid w:val="144E2788"/>
    <w:rsid w:val="144E4BC4"/>
    <w:rsid w:val="144E5BAF"/>
    <w:rsid w:val="144E65DE"/>
    <w:rsid w:val="144F21BD"/>
    <w:rsid w:val="144F664E"/>
    <w:rsid w:val="145004CF"/>
    <w:rsid w:val="14504752"/>
    <w:rsid w:val="14504E34"/>
    <w:rsid w:val="14506500"/>
    <w:rsid w:val="14517E09"/>
    <w:rsid w:val="14522278"/>
    <w:rsid w:val="14524026"/>
    <w:rsid w:val="14525350"/>
    <w:rsid w:val="14530591"/>
    <w:rsid w:val="14530723"/>
    <w:rsid w:val="14531B4D"/>
    <w:rsid w:val="1453207E"/>
    <w:rsid w:val="14535FF1"/>
    <w:rsid w:val="14537D9F"/>
    <w:rsid w:val="14540665"/>
    <w:rsid w:val="14541A21"/>
    <w:rsid w:val="14542E4B"/>
    <w:rsid w:val="14542EB1"/>
    <w:rsid w:val="1454350F"/>
    <w:rsid w:val="14547DF4"/>
    <w:rsid w:val="14551D51"/>
    <w:rsid w:val="14551D69"/>
    <w:rsid w:val="14553B17"/>
    <w:rsid w:val="145558C5"/>
    <w:rsid w:val="145573D0"/>
    <w:rsid w:val="1456135A"/>
    <w:rsid w:val="14570C09"/>
    <w:rsid w:val="14571089"/>
    <w:rsid w:val="1457163D"/>
    <w:rsid w:val="145727CF"/>
    <w:rsid w:val="1457570B"/>
    <w:rsid w:val="1457788F"/>
    <w:rsid w:val="14583DFD"/>
    <w:rsid w:val="14584758"/>
    <w:rsid w:val="145853B5"/>
    <w:rsid w:val="14585FB4"/>
    <w:rsid w:val="14586719"/>
    <w:rsid w:val="14587163"/>
    <w:rsid w:val="14591394"/>
    <w:rsid w:val="14594666"/>
    <w:rsid w:val="14594849"/>
    <w:rsid w:val="145A2EDB"/>
    <w:rsid w:val="145A5893"/>
    <w:rsid w:val="145B6770"/>
    <w:rsid w:val="145B6D23"/>
    <w:rsid w:val="145C11AF"/>
    <w:rsid w:val="145C1379"/>
    <w:rsid w:val="145C30F7"/>
    <w:rsid w:val="145C4EA5"/>
    <w:rsid w:val="145C6C53"/>
    <w:rsid w:val="145D05CD"/>
    <w:rsid w:val="145D1643"/>
    <w:rsid w:val="145D2C72"/>
    <w:rsid w:val="145D4F68"/>
    <w:rsid w:val="145D7B7F"/>
    <w:rsid w:val="145E0C1D"/>
    <w:rsid w:val="145E1926"/>
    <w:rsid w:val="145E6E6F"/>
    <w:rsid w:val="145F6743"/>
    <w:rsid w:val="1460258D"/>
    <w:rsid w:val="14603640"/>
    <w:rsid w:val="14607FC4"/>
    <w:rsid w:val="1461070D"/>
    <w:rsid w:val="14611454"/>
    <w:rsid w:val="14612004"/>
    <w:rsid w:val="14612B95"/>
    <w:rsid w:val="1461426A"/>
    <w:rsid w:val="14617E5E"/>
    <w:rsid w:val="14622977"/>
    <w:rsid w:val="14624025"/>
    <w:rsid w:val="14624D7D"/>
    <w:rsid w:val="14626751"/>
    <w:rsid w:val="14626F2F"/>
    <w:rsid w:val="14633D69"/>
    <w:rsid w:val="14634486"/>
    <w:rsid w:val="14635D18"/>
    <w:rsid w:val="14636234"/>
    <w:rsid w:val="14636444"/>
    <w:rsid w:val="146401FE"/>
    <w:rsid w:val="14641516"/>
    <w:rsid w:val="14641FAC"/>
    <w:rsid w:val="14642702"/>
    <w:rsid w:val="14643D5A"/>
    <w:rsid w:val="14650B18"/>
    <w:rsid w:val="14650F36"/>
    <w:rsid w:val="146616B7"/>
    <w:rsid w:val="14661880"/>
    <w:rsid w:val="14665826"/>
    <w:rsid w:val="146672AF"/>
    <w:rsid w:val="14670B43"/>
    <w:rsid w:val="1468384A"/>
    <w:rsid w:val="1468507E"/>
    <w:rsid w:val="14693246"/>
    <w:rsid w:val="14693C36"/>
    <w:rsid w:val="14695228"/>
    <w:rsid w:val="146975C2"/>
    <w:rsid w:val="14697BE6"/>
    <w:rsid w:val="146A0DCD"/>
    <w:rsid w:val="146A1067"/>
    <w:rsid w:val="146A3C47"/>
    <w:rsid w:val="146A3D40"/>
    <w:rsid w:val="146B158C"/>
    <w:rsid w:val="146B469A"/>
    <w:rsid w:val="146B55CD"/>
    <w:rsid w:val="146B56AA"/>
    <w:rsid w:val="146B6818"/>
    <w:rsid w:val="146B6E96"/>
    <w:rsid w:val="146B788D"/>
    <w:rsid w:val="146C43F8"/>
    <w:rsid w:val="146C57C9"/>
    <w:rsid w:val="146C725C"/>
    <w:rsid w:val="146D00E6"/>
    <w:rsid w:val="146D0E60"/>
    <w:rsid w:val="146D2C0E"/>
    <w:rsid w:val="146D4AE0"/>
    <w:rsid w:val="146E25C8"/>
    <w:rsid w:val="146E387D"/>
    <w:rsid w:val="146E3A58"/>
    <w:rsid w:val="146E4BD8"/>
    <w:rsid w:val="146E5199"/>
    <w:rsid w:val="146E6986"/>
    <w:rsid w:val="146F1265"/>
    <w:rsid w:val="146F19ED"/>
    <w:rsid w:val="146F75AD"/>
    <w:rsid w:val="14700951"/>
    <w:rsid w:val="147026FF"/>
    <w:rsid w:val="14706BA3"/>
    <w:rsid w:val="14713B1A"/>
    <w:rsid w:val="14720225"/>
    <w:rsid w:val="1472287A"/>
    <w:rsid w:val="147233B6"/>
    <w:rsid w:val="147267B6"/>
    <w:rsid w:val="147306A9"/>
    <w:rsid w:val="147321EF"/>
    <w:rsid w:val="1473340B"/>
    <w:rsid w:val="14733F9D"/>
    <w:rsid w:val="14746827"/>
    <w:rsid w:val="1475188E"/>
    <w:rsid w:val="147541B9"/>
    <w:rsid w:val="14755F67"/>
    <w:rsid w:val="1475773C"/>
    <w:rsid w:val="14761E85"/>
    <w:rsid w:val="1476406D"/>
    <w:rsid w:val="1476585D"/>
    <w:rsid w:val="14773A8D"/>
    <w:rsid w:val="147748F5"/>
    <w:rsid w:val="14776E6D"/>
    <w:rsid w:val="1478017C"/>
    <w:rsid w:val="147815B3"/>
    <w:rsid w:val="14787805"/>
    <w:rsid w:val="1479369A"/>
    <w:rsid w:val="14794FB3"/>
    <w:rsid w:val="14795A57"/>
    <w:rsid w:val="14797193"/>
    <w:rsid w:val="147A02EE"/>
    <w:rsid w:val="147A17CF"/>
    <w:rsid w:val="147A357D"/>
    <w:rsid w:val="147B3996"/>
    <w:rsid w:val="147B4B67"/>
    <w:rsid w:val="147C67B9"/>
    <w:rsid w:val="147C72F5"/>
    <w:rsid w:val="147C779D"/>
    <w:rsid w:val="147D0C2D"/>
    <w:rsid w:val="147D7AB1"/>
    <w:rsid w:val="147E12BF"/>
    <w:rsid w:val="147E18EF"/>
    <w:rsid w:val="147E306D"/>
    <w:rsid w:val="147E4E1C"/>
    <w:rsid w:val="147E51D2"/>
    <w:rsid w:val="147F0184"/>
    <w:rsid w:val="147F0772"/>
    <w:rsid w:val="147F0B94"/>
    <w:rsid w:val="147F1737"/>
    <w:rsid w:val="147F6DE6"/>
    <w:rsid w:val="1480500E"/>
    <w:rsid w:val="148075AE"/>
    <w:rsid w:val="148122B0"/>
    <w:rsid w:val="148127CB"/>
    <w:rsid w:val="14812B5E"/>
    <w:rsid w:val="148166BA"/>
    <w:rsid w:val="148237C4"/>
    <w:rsid w:val="14823879"/>
    <w:rsid w:val="14823B11"/>
    <w:rsid w:val="148263DD"/>
    <w:rsid w:val="14830684"/>
    <w:rsid w:val="14832432"/>
    <w:rsid w:val="1483335E"/>
    <w:rsid w:val="148368D6"/>
    <w:rsid w:val="148420E0"/>
    <w:rsid w:val="148423D6"/>
    <w:rsid w:val="148443FC"/>
    <w:rsid w:val="148461AA"/>
    <w:rsid w:val="14847F58"/>
    <w:rsid w:val="14851B53"/>
    <w:rsid w:val="14852E5C"/>
    <w:rsid w:val="1485385B"/>
    <w:rsid w:val="14863CD0"/>
    <w:rsid w:val="148641BA"/>
    <w:rsid w:val="14864B21"/>
    <w:rsid w:val="14870489"/>
    <w:rsid w:val="14872963"/>
    <w:rsid w:val="14876B7F"/>
    <w:rsid w:val="1487745C"/>
    <w:rsid w:val="14881F69"/>
    <w:rsid w:val="14882D7C"/>
    <w:rsid w:val="14883EEC"/>
    <w:rsid w:val="14887A48"/>
    <w:rsid w:val="14887D75"/>
    <w:rsid w:val="14891A12"/>
    <w:rsid w:val="14891CB0"/>
    <w:rsid w:val="148937C0"/>
    <w:rsid w:val="148A1AF0"/>
    <w:rsid w:val="148A3231"/>
    <w:rsid w:val="148A7BBD"/>
    <w:rsid w:val="148B12E6"/>
    <w:rsid w:val="148B1CC8"/>
    <w:rsid w:val="148C0722"/>
    <w:rsid w:val="148C5B51"/>
    <w:rsid w:val="148D138A"/>
    <w:rsid w:val="148D1503"/>
    <w:rsid w:val="148D2A0E"/>
    <w:rsid w:val="148D5005"/>
    <w:rsid w:val="148D505F"/>
    <w:rsid w:val="148E1064"/>
    <w:rsid w:val="148E21BE"/>
    <w:rsid w:val="14902DA1"/>
    <w:rsid w:val="14904B4F"/>
    <w:rsid w:val="149068D0"/>
    <w:rsid w:val="149070A3"/>
    <w:rsid w:val="1491368F"/>
    <w:rsid w:val="14916C00"/>
    <w:rsid w:val="149208C7"/>
    <w:rsid w:val="14921A7A"/>
    <w:rsid w:val="14924491"/>
    <w:rsid w:val="14926B19"/>
    <w:rsid w:val="149363ED"/>
    <w:rsid w:val="14942891"/>
    <w:rsid w:val="1494358B"/>
    <w:rsid w:val="1494463F"/>
    <w:rsid w:val="14945EEC"/>
    <w:rsid w:val="14946D7D"/>
    <w:rsid w:val="14947E5E"/>
    <w:rsid w:val="149503B7"/>
    <w:rsid w:val="1495246B"/>
    <w:rsid w:val="14954907"/>
    <w:rsid w:val="14955C15"/>
    <w:rsid w:val="14956609"/>
    <w:rsid w:val="14956A87"/>
    <w:rsid w:val="14961286"/>
    <w:rsid w:val="14963F1C"/>
    <w:rsid w:val="14972381"/>
    <w:rsid w:val="14972C64"/>
    <w:rsid w:val="1497412F"/>
    <w:rsid w:val="14974BAD"/>
    <w:rsid w:val="14975EDD"/>
    <w:rsid w:val="14977C8B"/>
    <w:rsid w:val="1498392C"/>
    <w:rsid w:val="14983A03"/>
    <w:rsid w:val="149840F4"/>
    <w:rsid w:val="1498543C"/>
    <w:rsid w:val="14986CC5"/>
    <w:rsid w:val="1499098C"/>
    <w:rsid w:val="14991C55"/>
    <w:rsid w:val="14997EA7"/>
    <w:rsid w:val="149A3C1F"/>
    <w:rsid w:val="149A51C6"/>
    <w:rsid w:val="149A528C"/>
    <w:rsid w:val="149A777C"/>
    <w:rsid w:val="149B20AF"/>
    <w:rsid w:val="149B2FE6"/>
    <w:rsid w:val="149C108E"/>
    <w:rsid w:val="149C1746"/>
    <w:rsid w:val="149C1DA0"/>
    <w:rsid w:val="149C4F83"/>
    <w:rsid w:val="149C5646"/>
    <w:rsid w:val="149C69A2"/>
    <w:rsid w:val="149C7998"/>
    <w:rsid w:val="149D101A"/>
    <w:rsid w:val="149D16A7"/>
    <w:rsid w:val="149D1D5B"/>
    <w:rsid w:val="149D6F04"/>
    <w:rsid w:val="149E0D73"/>
    <w:rsid w:val="149E27D4"/>
    <w:rsid w:val="149E54BE"/>
    <w:rsid w:val="149E692A"/>
    <w:rsid w:val="149E71BF"/>
    <w:rsid w:val="149F3FC7"/>
    <w:rsid w:val="149F4725"/>
    <w:rsid w:val="149F4D92"/>
    <w:rsid w:val="149F56C4"/>
    <w:rsid w:val="149F5D04"/>
    <w:rsid w:val="14A00775"/>
    <w:rsid w:val="14A0243C"/>
    <w:rsid w:val="14A11363"/>
    <w:rsid w:val="14A1142A"/>
    <w:rsid w:val="14A16D5C"/>
    <w:rsid w:val="14A16EE9"/>
    <w:rsid w:val="14A25CC2"/>
    <w:rsid w:val="14A26966"/>
    <w:rsid w:val="14A2737A"/>
    <w:rsid w:val="14A27D77"/>
    <w:rsid w:val="14A34882"/>
    <w:rsid w:val="14A423A8"/>
    <w:rsid w:val="14A52C6D"/>
    <w:rsid w:val="14A538BB"/>
    <w:rsid w:val="14A55F35"/>
    <w:rsid w:val="14A566F8"/>
    <w:rsid w:val="14A57E39"/>
    <w:rsid w:val="14A6273C"/>
    <w:rsid w:val="14A66120"/>
    <w:rsid w:val="14A67B88"/>
    <w:rsid w:val="14A70543"/>
    <w:rsid w:val="14A72472"/>
    <w:rsid w:val="14A77233"/>
    <w:rsid w:val="14A77EDA"/>
    <w:rsid w:val="14A800EA"/>
    <w:rsid w:val="14A81E98"/>
    <w:rsid w:val="14A847A8"/>
    <w:rsid w:val="14A9034B"/>
    <w:rsid w:val="14A95079"/>
    <w:rsid w:val="14A95C11"/>
    <w:rsid w:val="14A979BF"/>
    <w:rsid w:val="14AA3E63"/>
    <w:rsid w:val="14AA6509"/>
    <w:rsid w:val="14AB256A"/>
    <w:rsid w:val="14AB3737"/>
    <w:rsid w:val="14AB3CAB"/>
    <w:rsid w:val="14AC39FA"/>
    <w:rsid w:val="14AC5F39"/>
    <w:rsid w:val="14AC667F"/>
    <w:rsid w:val="14AD1E7B"/>
    <w:rsid w:val="14AD3953"/>
    <w:rsid w:val="14AD45A8"/>
    <w:rsid w:val="14AD74AF"/>
    <w:rsid w:val="14AD791F"/>
    <w:rsid w:val="14AE03D2"/>
    <w:rsid w:val="14AE0E8D"/>
    <w:rsid w:val="14AE1E69"/>
    <w:rsid w:val="14AE371B"/>
    <w:rsid w:val="14AF0EEB"/>
    <w:rsid w:val="14AF1479"/>
    <w:rsid w:val="14AF3ABC"/>
    <w:rsid w:val="14AF76CB"/>
    <w:rsid w:val="14B0380B"/>
    <w:rsid w:val="14B06F9F"/>
    <w:rsid w:val="14B14907"/>
    <w:rsid w:val="14B20F69"/>
    <w:rsid w:val="14B228B3"/>
    <w:rsid w:val="14B22D17"/>
    <w:rsid w:val="14B2460F"/>
    <w:rsid w:val="14B24AC5"/>
    <w:rsid w:val="14B2509F"/>
    <w:rsid w:val="14B252E6"/>
    <w:rsid w:val="14B26ECB"/>
    <w:rsid w:val="14B2786C"/>
    <w:rsid w:val="14B31B7C"/>
    <w:rsid w:val="14B338CD"/>
    <w:rsid w:val="14B4083D"/>
    <w:rsid w:val="14B4218C"/>
    <w:rsid w:val="14B435FB"/>
    <w:rsid w:val="14B44CE1"/>
    <w:rsid w:val="14B44D5D"/>
    <w:rsid w:val="14B46A8F"/>
    <w:rsid w:val="14B47DDB"/>
    <w:rsid w:val="14B52807"/>
    <w:rsid w:val="14B545B5"/>
    <w:rsid w:val="14B54D05"/>
    <w:rsid w:val="14B54D9B"/>
    <w:rsid w:val="14B561ED"/>
    <w:rsid w:val="14B606A6"/>
    <w:rsid w:val="14B60A59"/>
    <w:rsid w:val="14B6220A"/>
    <w:rsid w:val="14B6767D"/>
    <w:rsid w:val="14B7032D"/>
    <w:rsid w:val="14B71FF4"/>
    <w:rsid w:val="14B720DC"/>
    <w:rsid w:val="14B7657F"/>
    <w:rsid w:val="14B76E70"/>
    <w:rsid w:val="14B865A8"/>
    <w:rsid w:val="14B87F64"/>
    <w:rsid w:val="14B922F8"/>
    <w:rsid w:val="14B92843"/>
    <w:rsid w:val="14B940A6"/>
    <w:rsid w:val="14B95E54"/>
    <w:rsid w:val="14BA0BCF"/>
    <w:rsid w:val="14BA146A"/>
    <w:rsid w:val="14BA38D0"/>
    <w:rsid w:val="14BA676F"/>
    <w:rsid w:val="14BA6D41"/>
    <w:rsid w:val="14BC1DE8"/>
    <w:rsid w:val="14BC5944"/>
    <w:rsid w:val="14BD1E65"/>
    <w:rsid w:val="14BE12CE"/>
    <w:rsid w:val="14BE23A9"/>
    <w:rsid w:val="14BE346A"/>
    <w:rsid w:val="14BE35AD"/>
    <w:rsid w:val="14BE5E0F"/>
    <w:rsid w:val="14BE70C2"/>
    <w:rsid w:val="14BF1CA7"/>
    <w:rsid w:val="14BF5A4D"/>
    <w:rsid w:val="14BF5D26"/>
    <w:rsid w:val="14BF71E2"/>
    <w:rsid w:val="14C019BC"/>
    <w:rsid w:val="14C0309A"/>
    <w:rsid w:val="14C07545"/>
    <w:rsid w:val="14C12F5A"/>
    <w:rsid w:val="14C173FE"/>
    <w:rsid w:val="14C20792"/>
    <w:rsid w:val="14C2291B"/>
    <w:rsid w:val="14C33176"/>
    <w:rsid w:val="14C33AB5"/>
    <w:rsid w:val="14C34F24"/>
    <w:rsid w:val="14C409C2"/>
    <w:rsid w:val="14C4222A"/>
    <w:rsid w:val="14C447F8"/>
    <w:rsid w:val="14C45E15"/>
    <w:rsid w:val="14C46283"/>
    <w:rsid w:val="14C538C2"/>
    <w:rsid w:val="14C55CE2"/>
    <w:rsid w:val="14C60571"/>
    <w:rsid w:val="14C61455"/>
    <w:rsid w:val="14C636D7"/>
    <w:rsid w:val="14C64A14"/>
    <w:rsid w:val="14C66257"/>
    <w:rsid w:val="14C667C2"/>
    <w:rsid w:val="14C70AE5"/>
    <w:rsid w:val="14C71D43"/>
    <w:rsid w:val="14C77C88"/>
    <w:rsid w:val="14C8078D"/>
    <w:rsid w:val="14C81A92"/>
    <w:rsid w:val="14C8253B"/>
    <w:rsid w:val="14C91E0F"/>
    <w:rsid w:val="14C94DA1"/>
    <w:rsid w:val="14CA1E4D"/>
    <w:rsid w:val="14CA3360"/>
    <w:rsid w:val="14CB11C3"/>
    <w:rsid w:val="14CB5B87"/>
    <w:rsid w:val="14CB7DCB"/>
    <w:rsid w:val="14CC0840"/>
    <w:rsid w:val="14CC3DEB"/>
    <w:rsid w:val="14CC45CF"/>
    <w:rsid w:val="14CC6EAC"/>
    <w:rsid w:val="14CD5DA3"/>
    <w:rsid w:val="14CD7045"/>
    <w:rsid w:val="14CE07B2"/>
    <w:rsid w:val="14CE38A7"/>
    <w:rsid w:val="14CE4BA7"/>
    <w:rsid w:val="14CF176B"/>
    <w:rsid w:val="14CF38C9"/>
    <w:rsid w:val="14CF3B54"/>
    <w:rsid w:val="14D06481"/>
    <w:rsid w:val="14D07641"/>
    <w:rsid w:val="14D110EA"/>
    <w:rsid w:val="14D12C03"/>
    <w:rsid w:val="14D154C3"/>
    <w:rsid w:val="14D1681B"/>
    <w:rsid w:val="14D25167"/>
    <w:rsid w:val="14D25715"/>
    <w:rsid w:val="14D26F15"/>
    <w:rsid w:val="14D30D88"/>
    <w:rsid w:val="14D32865"/>
    <w:rsid w:val="14D32A28"/>
    <w:rsid w:val="14D32B00"/>
    <w:rsid w:val="14D408A1"/>
    <w:rsid w:val="14D40EDF"/>
    <w:rsid w:val="14D432C5"/>
    <w:rsid w:val="14D4354D"/>
    <w:rsid w:val="14D43C4E"/>
    <w:rsid w:val="14D4729B"/>
    <w:rsid w:val="14D507B4"/>
    <w:rsid w:val="14D50998"/>
    <w:rsid w:val="14D52C06"/>
    <w:rsid w:val="14D56A06"/>
    <w:rsid w:val="14D57537"/>
    <w:rsid w:val="14D57906"/>
    <w:rsid w:val="14D64C58"/>
    <w:rsid w:val="14D655F8"/>
    <w:rsid w:val="14D665DC"/>
    <w:rsid w:val="14D66B64"/>
    <w:rsid w:val="14D700F7"/>
    <w:rsid w:val="14D73DB7"/>
    <w:rsid w:val="14D7452C"/>
    <w:rsid w:val="14D903B7"/>
    <w:rsid w:val="14D92D34"/>
    <w:rsid w:val="14D94748"/>
    <w:rsid w:val="14D95718"/>
    <w:rsid w:val="14D964F6"/>
    <w:rsid w:val="14DA04D1"/>
    <w:rsid w:val="14DB04C0"/>
    <w:rsid w:val="14DB1649"/>
    <w:rsid w:val="14DB226E"/>
    <w:rsid w:val="14DB6811"/>
    <w:rsid w:val="14DC1B42"/>
    <w:rsid w:val="14DC2AD9"/>
    <w:rsid w:val="14DC4208"/>
    <w:rsid w:val="14DC5FE6"/>
    <w:rsid w:val="14DD0D3E"/>
    <w:rsid w:val="14DD2C3C"/>
    <w:rsid w:val="14DD70EC"/>
    <w:rsid w:val="14DD7390"/>
    <w:rsid w:val="14DE14F7"/>
    <w:rsid w:val="14DE1D5E"/>
    <w:rsid w:val="14DE621D"/>
    <w:rsid w:val="14DE64E6"/>
    <w:rsid w:val="14DF1632"/>
    <w:rsid w:val="14DF34C0"/>
    <w:rsid w:val="14DF54B4"/>
    <w:rsid w:val="14E028EA"/>
    <w:rsid w:val="14E05931"/>
    <w:rsid w:val="14E05A45"/>
    <w:rsid w:val="14E05AD6"/>
    <w:rsid w:val="14E07884"/>
    <w:rsid w:val="14E135FC"/>
    <w:rsid w:val="14E153AA"/>
    <w:rsid w:val="14E16E52"/>
    <w:rsid w:val="14E23E67"/>
    <w:rsid w:val="14E2694B"/>
    <w:rsid w:val="14E31122"/>
    <w:rsid w:val="14E37374"/>
    <w:rsid w:val="14E37DDB"/>
    <w:rsid w:val="14E41B6B"/>
    <w:rsid w:val="14E426FB"/>
    <w:rsid w:val="14E433E0"/>
    <w:rsid w:val="14E4459F"/>
    <w:rsid w:val="14E46C49"/>
    <w:rsid w:val="14E530ED"/>
    <w:rsid w:val="14E53B8B"/>
    <w:rsid w:val="14E54E9B"/>
    <w:rsid w:val="14E55C73"/>
    <w:rsid w:val="14E60C13"/>
    <w:rsid w:val="14E72A41"/>
    <w:rsid w:val="14E776AA"/>
    <w:rsid w:val="14E77BEC"/>
    <w:rsid w:val="14E804E7"/>
    <w:rsid w:val="14E8052F"/>
    <w:rsid w:val="14E8107C"/>
    <w:rsid w:val="14E82BDD"/>
    <w:rsid w:val="14E86739"/>
    <w:rsid w:val="14E9250C"/>
    <w:rsid w:val="14E94939"/>
    <w:rsid w:val="14E969EF"/>
    <w:rsid w:val="14EA0E2A"/>
    <w:rsid w:val="14EA24B1"/>
    <w:rsid w:val="14EA425F"/>
    <w:rsid w:val="14EA4812"/>
    <w:rsid w:val="14EA4920"/>
    <w:rsid w:val="14EA656D"/>
    <w:rsid w:val="14EB1960"/>
    <w:rsid w:val="14EB1F91"/>
    <w:rsid w:val="14EB541D"/>
    <w:rsid w:val="14EB703C"/>
    <w:rsid w:val="14EB7FD7"/>
    <w:rsid w:val="14EC331F"/>
    <w:rsid w:val="14EC4D94"/>
    <w:rsid w:val="14ED01F3"/>
    <w:rsid w:val="14ED0AB8"/>
    <w:rsid w:val="14ED1A12"/>
    <w:rsid w:val="14ED3B01"/>
    <w:rsid w:val="14ED3D4F"/>
    <w:rsid w:val="14ED5CFE"/>
    <w:rsid w:val="14ED7DDB"/>
    <w:rsid w:val="14EE3E80"/>
    <w:rsid w:val="14EE5724"/>
    <w:rsid w:val="14EF0F4F"/>
    <w:rsid w:val="14EF1875"/>
    <w:rsid w:val="14EF7AC7"/>
    <w:rsid w:val="14F01CFE"/>
    <w:rsid w:val="14F03B81"/>
    <w:rsid w:val="14F055ED"/>
    <w:rsid w:val="14F21366"/>
    <w:rsid w:val="14F238F6"/>
    <w:rsid w:val="14F2535D"/>
    <w:rsid w:val="14F25EDF"/>
    <w:rsid w:val="14F271DF"/>
    <w:rsid w:val="14F275B8"/>
    <w:rsid w:val="14F31658"/>
    <w:rsid w:val="14F322BB"/>
    <w:rsid w:val="14F378D0"/>
    <w:rsid w:val="14F37F37"/>
    <w:rsid w:val="14F426C3"/>
    <w:rsid w:val="14F50CC4"/>
    <w:rsid w:val="14F50E56"/>
    <w:rsid w:val="14F52C3E"/>
    <w:rsid w:val="14F555C3"/>
    <w:rsid w:val="14F612E8"/>
    <w:rsid w:val="14F64B10"/>
    <w:rsid w:val="14F66251"/>
    <w:rsid w:val="14F670A8"/>
    <w:rsid w:val="14F74624"/>
    <w:rsid w:val="14F74D43"/>
    <w:rsid w:val="14F757A9"/>
    <w:rsid w:val="14F80B71"/>
    <w:rsid w:val="14F86A89"/>
    <w:rsid w:val="14F87211"/>
    <w:rsid w:val="14F92001"/>
    <w:rsid w:val="14F95DD5"/>
    <w:rsid w:val="14F96B98"/>
    <w:rsid w:val="14FA14F9"/>
    <w:rsid w:val="14FA29CF"/>
    <w:rsid w:val="14FB46BE"/>
    <w:rsid w:val="14FB5DEC"/>
    <w:rsid w:val="14FB646C"/>
    <w:rsid w:val="14FB6BED"/>
    <w:rsid w:val="14FB74F2"/>
    <w:rsid w:val="14FB796C"/>
    <w:rsid w:val="14FC0436"/>
    <w:rsid w:val="14FC3F92"/>
    <w:rsid w:val="14FD70A0"/>
    <w:rsid w:val="14FE041F"/>
    <w:rsid w:val="14FE07EA"/>
    <w:rsid w:val="14FE2897"/>
    <w:rsid w:val="14FE41AE"/>
    <w:rsid w:val="14FE5F5C"/>
    <w:rsid w:val="14FE7294"/>
    <w:rsid w:val="14FE762F"/>
    <w:rsid w:val="14FF2934"/>
    <w:rsid w:val="15003A82"/>
    <w:rsid w:val="15006E0A"/>
    <w:rsid w:val="15007F26"/>
    <w:rsid w:val="150115A9"/>
    <w:rsid w:val="1501708E"/>
    <w:rsid w:val="15023C9F"/>
    <w:rsid w:val="150247F4"/>
    <w:rsid w:val="1502777C"/>
    <w:rsid w:val="150317C5"/>
    <w:rsid w:val="15033573"/>
    <w:rsid w:val="15033DA0"/>
    <w:rsid w:val="15035D17"/>
    <w:rsid w:val="150426E8"/>
    <w:rsid w:val="15045D14"/>
    <w:rsid w:val="15047114"/>
    <w:rsid w:val="150505A4"/>
    <w:rsid w:val="15051C9D"/>
    <w:rsid w:val="15053E8F"/>
    <w:rsid w:val="15054A5F"/>
    <w:rsid w:val="1505553D"/>
    <w:rsid w:val="150557E2"/>
    <w:rsid w:val="150572EB"/>
    <w:rsid w:val="15061529"/>
    <w:rsid w:val="15063063"/>
    <w:rsid w:val="15064558"/>
    <w:rsid w:val="150667B0"/>
    <w:rsid w:val="150712B5"/>
    <w:rsid w:val="15071480"/>
    <w:rsid w:val="15074CE8"/>
    <w:rsid w:val="1507713B"/>
    <w:rsid w:val="15080B89"/>
    <w:rsid w:val="15081348"/>
    <w:rsid w:val="15081769"/>
    <w:rsid w:val="15086F25"/>
    <w:rsid w:val="15090F10"/>
    <w:rsid w:val="1509266C"/>
    <w:rsid w:val="15095C93"/>
    <w:rsid w:val="150972DE"/>
    <w:rsid w:val="15097D38"/>
    <w:rsid w:val="150A1227"/>
    <w:rsid w:val="150A2B53"/>
    <w:rsid w:val="150A4416"/>
    <w:rsid w:val="150A4901"/>
    <w:rsid w:val="150A49B0"/>
    <w:rsid w:val="150B3E83"/>
    <w:rsid w:val="150C01AB"/>
    <w:rsid w:val="150D2743"/>
    <w:rsid w:val="150D43F1"/>
    <w:rsid w:val="150D44D8"/>
    <w:rsid w:val="150D619F"/>
    <w:rsid w:val="150E226A"/>
    <w:rsid w:val="150E4723"/>
    <w:rsid w:val="150F0169"/>
    <w:rsid w:val="150F4227"/>
    <w:rsid w:val="150F6DF8"/>
    <w:rsid w:val="15103477"/>
    <w:rsid w:val="15104C87"/>
    <w:rsid w:val="1510629B"/>
    <w:rsid w:val="15107A3E"/>
    <w:rsid w:val="15113EE2"/>
    <w:rsid w:val="15115C90"/>
    <w:rsid w:val="151212E8"/>
    <w:rsid w:val="15121A08"/>
    <w:rsid w:val="15121A66"/>
    <w:rsid w:val="15122B33"/>
    <w:rsid w:val="1512338B"/>
    <w:rsid w:val="151237B6"/>
    <w:rsid w:val="151242E9"/>
    <w:rsid w:val="15127C5A"/>
    <w:rsid w:val="15140C5F"/>
    <w:rsid w:val="151417DA"/>
    <w:rsid w:val="15141FD9"/>
    <w:rsid w:val="15142399"/>
    <w:rsid w:val="151439D2"/>
    <w:rsid w:val="15145780"/>
    <w:rsid w:val="1514752E"/>
    <w:rsid w:val="151535F4"/>
    <w:rsid w:val="15155054"/>
    <w:rsid w:val="151614F8"/>
    <w:rsid w:val="15170DCC"/>
    <w:rsid w:val="151724F4"/>
    <w:rsid w:val="151729C8"/>
    <w:rsid w:val="15174DEE"/>
    <w:rsid w:val="15175270"/>
    <w:rsid w:val="151872A2"/>
    <w:rsid w:val="15190FE8"/>
    <w:rsid w:val="15192D96"/>
    <w:rsid w:val="15194B44"/>
    <w:rsid w:val="15194C23"/>
    <w:rsid w:val="151A1BA8"/>
    <w:rsid w:val="151A3F0B"/>
    <w:rsid w:val="151A401E"/>
    <w:rsid w:val="151A4300"/>
    <w:rsid w:val="151A5B9C"/>
    <w:rsid w:val="151B08BC"/>
    <w:rsid w:val="151B4D60"/>
    <w:rsid w:val="151B6B0E"/>
    <w:rsid w:val="151C17D3"/>
    <w:rsid w:val="151C212F"/>
    <w:rsid w:val="151C5ACE"/>
    <w:rsid w:val="151C7F6C"/>
    <w:rsid w:val="151D053F"/>
    <w:rsid w:val="151D2886"/>
    <w:rsid w:val="151D29B8"/>
    <w:rsid w:val="151D606D"/>
    <w:rsid w:val="151E03AD"/>
    <w:rsid w:val="151E4C1A"/>
    <w:rsid w:val="151E72AA"/>
    <w:rsid w:val="151F3D1C"/>
    <w:rsid w:val="151F5428"/>
    <w:rsid w:val="151F68ED"/>
    <w:rsid w:val="15204125"/>
    <w:rsid w:val="15205ED3"/>
    <w:rsid w:val="15211C4B"/>
    <w:rsid w:val="15223661"/>
    <w:rsid w:val="152359C3"/>
    <w:rsid w:val="15237771"/>
    <w:rsid w:val="152471FF"/>
    <w:rsid w:val="15250FCE"/>
    <w:rsid w:val="1525173B"/>
    <w:rsid w:val="1525577A"/>
    <w:rsid w:val="1526096D"/>
    <w:rsid w:val="15260C77"/>
    <w:rsid w:val="152624AE"/>
    <w:rsid w:val="15263BEF"/>
    <w:rsid w:val="15273705"/>
    <w:rsid w:val="152754B3"/>
    <w:rsid w:val="152810E0"/>
    <w:rsid w:val="152814C3"/>
    <w:rsid w:val="15282FD9"/>
    <w:rsid w:val="152858C6"/>
    <w:rsid w:val="1528650F"/>
    <w:rsid w:val="15287D4A"/>
    <w:rsid w:val="15292570"/>
    <w:rsid w:val="152961E7"/>
    <w:rsid w:val="1529799F"/>
    <w:rsid w:val="152A0AFF"/>
    <w:rsid w:val="152A0E2F"/>
    <w:rsid w:val="152A55D4"/>
    <w:rsid w:val="152B4878"/>
    <w:rsid w:val="152B4E90"/>
    <w:rsid w:val="152C25E6"/>
    <w:rsid w:val="152C2AC9"/>
    <w:rsid w:val="152C7A61"/>
    <w:rsid w:val="152D05F0"/>
    <w:rsid w:val="152D0EF1"/>
    <w:rsid w:val="152D239E"/>
    <w:rsid w:val="152D31DB"/>
    <w:rsid w:val="152D4A9D"/>
    <w:rsid w:val="152E5B55"/>
    <w:rsid w:val="152F04B3"/>
    <w:rsid w:val="152F318A"/>
    <w:rsid w:val="152F399C"/>
    <w:rsid w:val="152F4368"/>
    <w:rsid w:val="152F6116"/>
    <w:rsid w:val="153054E8"/>
    <w:rsid w:val="15307976"/>
    <w:rsid w:val="153105A1"/>
    <w:rsid w:val="15310612"/>
    <w:rsid w:val="15311F9D"/>
    <w:rsid w:val="15316332"/>
    <w:rsid w:val="153175C1"/>
    <w:rsid w:val="15320570"/>
    <w:rsid w:val="15322E67"/>
    <w:rsid w:val="15323E58"/>
    <w:rsid w:val="15324815"/>
    <w:rsid w:val="15325271"/>
    <w:rsid w:val="15325BC7"/>
    <w:rsid w:val="15325E62"/>
    <w:rsid w:val="15330900"/>
    <w:rsid w:val="15332941"/>
    <w:rsid w:val="15334D63"/>
    <w:rsid w:val="153361F3"/>
    <w:rsid w:val="15337535"/>
    <w:rsid w:val="1534372C"/>
    <w:rsid w:val="153455CA"/>
    <w:rsid w:val="15347683"/>
    <w:rsid w:val="15347BD0"/>
    <w:rsid w:val="15350B13"/>
    <w:rsid w:val="15353059"/>
    <w:rsid w:val="15354A2F"/>
    <w:rsid w:val="15361E55"/>
    <w:rsid w:val="15361FA3"/>
    <w:rsid w:val="15363948"/>
    <w:rsid w:val="15364885"/>
    <w:rsid w:val="153656F6"/>
    <w:rsid w:val="15370E21"/>
    <w:rsid w:val="15371D36"/>
    <w:rsid w:val="1537321C"/>
    <w:rsid w:val="153810B2"/>
    <w:rsid w:val="15384792"/>
    <w:rsid w:val="153848C3"/>
    <w:rsid w:val="1539003A"/>
    <w:rsid w:val="15393438"/>
    <w:rsid w:val="153951E6"/>
    <w:rsid w:val="153A0924"/>
    <w:rsid w:val="153A5722"/>
    <w:rsid w:val="153B0F5F"/>
    <w:rsid w:val="153B3244"/>
    <w:rsid w:val="153B4ABB"/>
    <w:rsid w:val="153C04D4"/>
    <w:rsid w:val="153C0833"/>
    <w:rsid w:val="153C4EC9"/>
    <w:rsid w:val="153C6A85"/>
    <w:rsid w:val="153D4CD7"/>
    <w:rsid w:val="153E1E76"/>
    <w:rsid w:val="153F1F3C"/>
    <w:rsid w:val="153F7762"/>
    <w:rsid w:val="15400043"/>
    <w:rsid w:val="15400323"/>
    <w:rsid w:val="1540083C"/>
    <w:rsid w:val="154020D1"/>
    <w:rsid w:val="15406575"/>
    <w:rsid w:val="154102DA"/>
    <w:rsid w:val="15415E49"/>
    <w:rsid w:val="15421EA4"/>
    <w:rsid w:val="1542409B"/>
    <w:rsid w:val="15430492"/>
    <w:rsid w:val="15431D0D"/>
    <w:rsid w:val="15436065"/>
    <w:rsid w:val="15437E13"/>
    <w:rsid w:val="154410F5"/>
    <w:rsid w:val="15450608"/>
    <w:rsid w:val="154515D5"/>
    <w:rsid w:val="15455939"/>
    <w:rsid w:val="154565C7"/>
    <w:rsid w:val="15460CB0"/>
    <w:rsid w:val="154716B1"/>
    <w:rsid w:val="1547311C"/>
    <w:rsid w:val="1547312A"/>
    <w:rsid w:val="15475B55"/>
    <w:rsid w:val="15476A47"/>
    <w:rsid w:val="15477903"/>
    <w:rsid w:val="15480FC4"/>
    <w:rsid w:val="1548189E"/>
    <w:rsid w:val="1548367B"/>
    <w:rsid w:val="15483D18"/>
    <w:rsid w:val="15483EE4"/>
    <w:rsid w:val="15495FC7"/>
    <w:rsid w:val="15496650"/>
    <w:rsid w:val="154A11A2"/>
    <w:rsid w:val="154A1C7B"/>
    <w:rsid w:val="154A22DE"/>
    <w:rsid w:val="154A3440"/>
    <w:rsid w:val="154A7039"/>
    <w:rsid w:val="154A73F4"/>
    <w:rsid w:val="154B3FD2"/>
    <w:rsid w:val="154B51FC"/>
    <w:rsid w:val="154B5AC0"/>
    <w:rsid w:val="154B796D"/>
    <w:rsid w:val="154C1A4F"/>
    <w:rsid w:val="154C316C"/>
    <w:rsid w:val="154C4BC1"/>
    <w:rsid w:val="154C5095"/>
    <w:rsid w:val="154C60E2"/>
    <w:rsid w:val="154D055B"/>
    <w:rsid w:val="154D0C92"/>
    <w:rsid w:val="154D2A40"/>
    <w:rsid w:val="154D47EE"/>
    <w:rsid w:val="154D6B91"/>
    <w:rsid w:val="154D6D9A"/>
    <w:rsid w:val="154D79B0"/>
    <w:rsid w:val="154E022A"/>
    <w:rsid w:val="154E1C63"/>
    <w:rsid w:val="154E527A"/>
    <w:rsid w:val="154E7182"/>
    <w:rsid w:val="154F0566"/>
    <w:rsid w:val="154F16BA"/>
    <w:rsid w:val="154F1D37"/>
    <w:rsid w:val="154F31F2"/>
    <w:rsid w:val="154F67B8"/>
    <w:rsid w:val="1550175D"/>
    <w:rsid w:val="155041B0"/>
    <w:rsid w:val="15507EB4"/>
    <w:rsid w:val="155142DE"/>
    <w:rsid w:val="15514D9E"/>
    <w:rsid w:val="15515133"/>
    <w:rsid w:val="15515829"/>
    <w:rsid w:val="1552003B"/>
    <w:rsid w:val="15520056"/>
    <w:rsid w:val="15532C0C"/>
    <w:rsid w:val="155362A8"/>
    <w:rsid w:val="15542A14"/>
    <w:rsid w:val="15543DCE"/>
    <w:rsid w:val="15544682"/>
    <w:rsid w:val="155449C0"/>
    <w:rsid w:val="15545754"/>
    <w:rsid w:val="15545B7C"/>
    <w:rsid w:val="15547382"/>
    <w:rsid w:val="155618F4"/>
    <w:rsid w:val="15561D05"/>
    <w:rsid w:val="15566E11"/>
    <w:rsid w:val="15566F73"/>
    <w:rsid w:val="15567B46"/>
    <w:rsid w:val="1557566D"/>
    <w:rsid w:val="15581B10"/>
    <w:rsid w:val="155838BF"/>
    <w:rsid w:val="15583EAD"/>
    <w:rsid w:val="15584567"/>
    <w:rsid w:val="15586557"/>
    <w:rsid w:val="155906D5"/>
    <w:rsid w:val="155913E5"/>
    <w:rsid w:val="15593ECA"/>
    <w:rsid w:val="15597637"/>
    <w:rsid w:val="15597F0E"/>
    <w:rsid w:val="155A32F7"/>
    <w:rsid w:val="155A6846"/>
    <w:rsid w:val="155B1894"/>
    <w:rsid w:val="155B33AF"/>
    <w:rsid w:val="155B515D"/>
    <w:rsid w:val="155B60F5"/>
    <w:rsid w:val="155C3CBE"/>
    <w:rsid w:val="155D0ED5"/>
    <w:rsid w:val="155E2E9F"/>
    <w:rsid w:val="155E4C4D"/>
    <w:rsid w:val="155F3DBC"/>
    <w:rsid w:val="155F3FC3"/>
    <w:rsid w:val="156009C5"/>
    <w:rsid w:val="156033BE"/>
    <w:rsid w:val="15604521"/>
    <w:rsid w:val="1560700C"/>
    <w:rsid w:val="15610299"/>
    <w:rsid w:val="156155D8"/>
    <w:rsid w:val="15622FB1"/>
    <w:rsid w:val="1562473D"/>
    <w:rsid w:val="156264EB"/>
    <w:rsid w:val="15627740"/>
    <w:rsid w:val="15632701"/>
    <w:rsid w:val="156404B5"/>
    <w:rsid w:val="15642450"/>
    <w:rsid w:val="15655021"/>
    <w:rsid w:val="15655FDB"/>
    <w:rsid w:val="15661082"/>
    <w:rsid w:val="1566362C"/>
    <w:rsid w:val="15664501"/>
    <w:rsid w:val="156673C2"/>
    <w:rsid w:val="15667941"/>
    <w:rsid w:val="15670D38"/>
    <w:rsid w:val="15673B02"/>
    <w:rsid w:val="156758B0"/>
    <w:rsid w:val="15677BE0"/>
    <w:rsid w:val="15681628"/>
    <w:rsid w:val="156839A2"/>
    <w:rsid w:val="15685A05"/>
    <w:rsid w:val="1568753D"/>
    <w:rsid w:val="1569307B"/>
    <w:rsid w:val="15693FF0"/>
    <w:rsid w:val="15695ACC"/>
    <w:rsid w:val="156A1844"/>
    <w:rsid w:val="156A32D0"/>
    <w:rsid w:val="156A35F2"/>
    <w:rsid w:val="156A44DF"/>
    <w:rsid w:val="156A53A0"/>
    <w:rsid w:val="156A62C2"/>
    <w:rsid w:val="156B1016"/>
    <w:rsid w:val="156C04DD"/>
    <w:rsid w:val="156C1118"/>
    <w:rsid w:val="156C1534"/>
    <w:rsid w:val="156C2EC6"/>
    <w:rsid w:val="156C55BC"/>
    <w:rsid w:val="156C5FB9"/>
    <w:rsid w:val="156C736A"/>
    <w:rsid w:val="156D6C3E"/>
    <w:rsid w:val="156D7E93"/>
    <w:rsid w:val="156E03C8"/>
    <w:rsid w:val="156E1527"/>
    <w:rsid w:val="156E7876"/>
    <w:rsid w:val="156F0CA4"/>
    <w:rsid w:val="156F1840"/>
    <w:rsid w:val="15710B88"/>
    <w:rsid w:val="15714980"/>
    <w:rsid w:val="1571672E"/>
    <w:rsid w:val="157219B4"/>
    <w:rsid w:val="1572327E"/>
    <w:rsid w:val="15724A80"/>
    <w:rsid w:val="15727625"/>
    <w:rsid w:val="157306F8"/>
    <w:rsid w:val="157307CC"/>
    <w:rsid w:val="15730AB5"/>
    <w:rsid w:val="15732BFE"/>
    <w:rsid w:val="1573694A"/>
    <w:rsid w:val="15740153"/>
    <w:rsid w:val="15744470"/>
    <w:rsid w:val="1574566E"/>
    <w:rsid w:val="1574621E"/>
    <w:rsid w:val="15747FCD"/>
    <w:rsid w:val="15751305"/>
    <w:rsid w:val="15754D23"/>
    <w:rsid w:val="15757437"/>
    <w:rsid w:val="157601E9"/>
    <w:rsid w:val="157604AF"/>
    <w:rsid w:val="15765F9B"/>
    <w:rsid w:val="15771E22"/>
    <w:rsid w:val="1578002F"/>
    <w:rsid w:val="15785D0F"/>
    <w:rsid w:val="15787ABD"/>
    <w:rsid w:val="15791A87"/>
    <w:rsid w:val="157955E3"/>
    <w:rsid w:val="15796B4E"/>
    <w:rsid w:val="157A0988"/>
    <w:rsid w:val="157A5DB7"/>
    <w:rsid w:val="157A6D9B"/>
    <w:rsid w:val="157B135B"/>
    <w:rsid w:val="157B1E18"/>
    <w:rsid w:val="157B55CB"/>
    <w:rsid w:val="157B57FF"/>
    <w:rsid w:val="157B59B3"/>
    <w:rsid w:val="157C6AD7"/>
    <w:rsid w:val="157C7AC6"/>
    <w:rsid w:val="157C7F80"/>
    <w:rsid w:val="157D0B6E"/>
    <w:rsid w:val="157D1577"/>
    <w:rsid w:val="157D16A8"/>
    <w:rsid w:val="157D50D3"/>
    <w:rsid w:val="157E0E4B"/>
    <w:rsid w:val="157E2794"/>
    <w:rsid w:val="157E5FF3"/>
    <w:rsid w:val="157E709D"/>
    <w:rsid w:val="157F07B7"/>
    <w:rsid w:val="157F198C"/>
    <w:rsid w:val="157F2EB9"/>
    <w:rsid w:val="157F52EF"/>
    <w:rsid w:val="157F6DDF"/>
    <w:rsid w:val="1580001E"/>
    <w:rsid w:val="15804BC3"/>
    <w:rsid w:val="1580680F"/>
    <w:rsid w:val="158069A6"/>
    <w:rsid w:val="1582093B"/>
    <w:rsid w:val="15820C4A"/>
    <w:rsid w:val="158242FE"/>
    <w:rsid w:val="1582506F"/>
    <w:rsid w:val="15826B8D"/>
    <w:rsid w:val="1582711A"/>
    <w:rsid w:val="158275DE"/>
    <w:rsid w:val="15827EC7"/>
    <w:rsid w:val="158305E2"/>
    <w:rsid w:val="15831029"/>
    <w:rsid w:val="15831F34"/>
    <w:rsid w:val="15832F7D"/>
    <w:rsid w:val="158346B4"/>
    <w:rsid w:val="15843BA7"/>
    <w:rsid w:val="15851D1F"/>
    <w:rsid w:val="15851EFE"/>
    <w:rsid w:val="158521DA"/>
    <w:rsid w:val="15853F88"/>
    <w:rsid w:val="15856620"/>
    <w:rsid w:val="1585667E"/>
    <w:rsid w:val="15862336"/>
    <w:rsid w:val="158653ED"/>
    <w:rsid w:val="15866F2A"/>
    <w:rsid w:val="158703BA"/>
    <w:rsid w:val="1587456B"/>
    <w:rsid w:val="15875F52"/>
    <w:rsid w:val="158765DA"/>
    <w:rsid w:val="15877D00"/>
    <w:rsid w:val="1588184A"/>
    <w:rsid w:val="15883A78"/>
    <w:rsid w:val="15891CCA"/>
    <w:rsid w:val="15892CDA"/>
    <w:rsid w:val="15893ADE"/>
    <w:rsid w:val="15894CE1"/>
    <w:rsid w:val="15895A18"/>
    <w:rsid w:val="15897F1C"/>
    <w:rsid w:val="158A21C3"/>
    <w:rsid w:val="158A56F8"/>
    <w:rsid w:val="158A5A42"/>
    <w:rsid w:val="158A6DA9"/>
    <w:rsid w:val="158A72E3"/>
    <w:rsid w:val="158A77F0"/>
    <w:rsid w:val="158B6D3B"/>
    <w:rsid w:val="158B7E6A"/>
    <w:rsid w:val="158C14CB"/>
    <w:rsid w:val="158C2944"/>
    <w:rsid w:val="158C3568"/>
    <w:rsid w:val="158C4026"/>
    <w:rsid w:val="158C5316"/>
    <w:rsid w:val="158C7224"/>
    <w:rsid w:val="158D108E"/>
    <w:rsid w:val="158D4072"/>
    <w:rsid w:val="158D7B02"/>
    <w:rsid w:val="158E5532"/>
    <w:rsid w:val="158E56BC"/>
    <w:rsid w:val="158E72E0"/>
    <w:rsid w:val="158F3058"/>
    <w:rsid w:val="158F33F0"/>
    <w:rsid w:val="158F4E06"/>
    <w:rsid w:val="15904921"/>
    <w:rsid w:val="15910511"/>
    <w:rsid w:val="15910B7E"/>
    <w:rsid w:val="15912056"/>
    <w:rsid w:val="15912809"/>
    <w:rsid w:val="15915EF9"/>
    <w:rsid w:val="15916DD0"/>
    <w:rsid w:val="1591776D"/>
    <w:rsid w:val="15923966"/>
    <w:rsid w:val="159254CD"/>
    <w:rsid w:val="159266A5"/>
    <w:rsid w:val="15926C0E"/>
    <w:rsid w:val="159309F1"/>
    <w:rsid w:val="15932B49"/>
    <w:rsid w:val="15934291"/>
    <w:rsid w:val="159348F7"/>
    <w:rsid w:val="159349A5"/>
    <w:rsid w:val="15935BAD"/>
    <w:rsid w:val="159468C1"/>
    <w:rsid w:val="15950F4D"/>
    <w:rsid w:val="159529BE"/>
    <w:rsid w:val="1595558F"/>
    <w:rsid w:val="15956FA7"/>
    <w:rsid w:val="15962639"/>
    <w:rsid w:val="159643E7"/>
    <w:rsid w:val="15973CBB"/>
    <w:rsid w:val="15977DC9"/>
    <w:rsid w:val="15977EAF"/>
    <w:rsid w:val="15981F0D"/>
    <w:rsid w:val="15983066"/>
    <w:rsid w:val="159863B1"/>
    <w:rsid w:val="159867DD"/>
    <w:rsid w:val="15987057"/>
    <w:rsid w:val="15987A04"/>
    <w:rsid w:val="15997A33"/>
    <w:rsid w:val="159A2A62"/>
    <w:rsid w:val="159A3ED7"/>
    <w:rsid w:val="159A6830"/>
    <w:rsid w:val="159A7426"/>
    <w:rsid w:val="159B07F0"/>
    <w:rsid w:val="159B3840"/>
    <w:rsid w:val="159B4F97"/>
    <w:rsid w:val="159B74FB"/>
    <w:rsid w:val="159B7C4F"/>
    <w:rsid w:val="159C1150"/>
    <w:rsid w:val="159D01CD"/>
    <w:rsid w:val="159D39C7"/>
    <w:rsid w:val="159D3D21"/>
    <w:rsid w:val="159D3F5E"/>
    <w:rsid w:val="159D5775"/>
    <w:rsid w:val="159D650D"/>
    <w:rsid w:val="159E329B"/>
    <w:rsid w:val="159E5049"/>
    <w:rsid w:val="159E51B1"/>
    <w:rsid w:val="159F0F23"/>
    <w:rsid w:val="159F1212"/>
    <w:rsid w:val="159F14ED"/>
    <w:rsid w:val="159F3197"/>
    <w:rsid w:val="159F3CD9"/>
    <w:rsid w:val="159F4C86"/>
    <w:rsid w:val="159F69CE"/>
    <w:rsid w:val="15A003A5"/>
    <w:rsid w:val="15A01A35"/>
    <w:rsid w:val="15A05265"/>
    <w:rsid w:val="15A07014"/>
    <w:rsid w:val="15A0752D"/>
    <w:rsid w:val="15A10F61"/>
    <w:rsid w:val="15A12432"/>
    <w:rsid w:val="15A12DA4"/>
    <w:rsid w:val="15A20FDE"/>
    <w:rsid w:val="15A22D8C"/>
    <w:rsid w:val="15A24B3A"/>
    <w:rsid w:val="15A2691F"/>
    <w:rsid w:val="15A26C83"/>
    <w:rsid w:val="15A308B2"/>
    <w:rsid w:val="15A32594"/>
    <w:rsid w:val="15A364AC"/>
    <w:rsid w:val="15A36F16"/>
    <w:rsid w:val="15A37B93"/>
    <w:rsid w:val="15A43808"/>
    <w:rsid w:val="15A46B04"/>
    <w:rsid w:val="15A46B2C"/>
    <w:rsid w:val="15A5233F"/>
    <w:rsid w:val="15A524FF"/>
    <w:rsid w:val="15A5287C"/>
    <w:rsid w:val="15A53943"/>
    <w:rsid w:val="15A5462A"/>
    <w:rsid w:val="15A563D8"/>
    <w:rsid w:val="15A57F42"/>
    <w:rsid w:val="15A664A4"/>
    <w:rsid w:val="15A66514"/>
    <w:rsid w:val="15A703A2"/>
    <w:rsid w:val="15A76263"/>
    <w:rsid w:val="15A765F4"/>
    <w:rsid w:val="15A77A54"/>
    <w:rsid w:val="15A8156E"/>
    <w:rsid w:val="15A85EC8"/>
    <w:rsid w:val="15A86B72"/>
    <w:rsid w:val="15A90057"/>
    <w:rsid w:val="15A9236C"/>
    <w:rsid w:val="15A9411A"/>
    <w:rsid w:val="15A94E95"/>
    <w:rsid w:val="15A969F7"/>
    <w:rsid w:val="15AA1C40"/>
    <w:rsid w:val="15AA3754"/>
    <w:rsid w:val="15AA6325"/>
    <w:rsid w:val="15AA7E92"/>
    <w:rsid w:val="15AB4BE4"/>
    <w:rsid w:val="15AB60E4"/>
    <w:rsid w:val="15AC0C45"/>
    <w:rsid w:val="15AC300C"/>
    <w:rsid w:val="15AC6074"/>
    <w:rsid w:val="15AC7766"/>
    <w:rsid w:val="15AC781F"/>
    <w:rsid w:val="15AD20D5"/>
    <w:rsid w:val="15AD59C7"/>
    <w:rsid w:val="15AD759B"/>
    <w:rsid w:val="15AE0920"/>
    <w:rsid w:val="15AE40EF"/>
    <w:rsid w:val="15AE4CA6"/>
    <w:rsid w:val="15AE69E9"/>
    <w:rsid w:val="15AF134C"/>
    <w:rsid w:val="15AF2E02"/>
    <w:rsid w:val="15AF54A9"/>
    <w:rsid w:val="15AF582F"/>
    <w:rsid w:val="15B036FB"/>
    <w:rsid w:val="15B11221"/>
    <w:rsid w:val="15B11EE6"/>
    <w:rsid w:val="15B12FCF"/>
    <w:rsid w:val="15B13627"/>
    <w:rsid w:val="15B22F8C"/>
    <w:rsid w:val="15B23FA1"/>
    <w:rsid w:val="15B24AB7"/>
    <w:rsid w:val="15B33C27"/>
    <w:rsid w:val="15B35346"/>
    <w:rsid w:val="15B4130B"/>
    <w:rsid w:val="15B42ABF"/>
    <w:rsid w:val="15B442A4"/>
    <w:rsid w:val="15B4486D"/>
    <w:rsid w:val="15B50D11"/>
    <w:rsid w:val="15B53438"/>
    <w:rsid w:val="15B569C1"/>
    <w:rsid w:val="15B605E5"/>
    <w:rsid w:val="15B61CF7"/>
    <w:rsid w:val="15B61F10"/>
    <w:rsid w:val="15B67531"/>
    <w:rsid w:val="15B7153F"/>
    <w:rsid w:val="15B7232D"/>
    <w:rsid w:val="15B76850"/>
    <w:rsid w:val="15B77155"/>
    <w:rsid w:val="15B8321D"/>
    <w:rsid w:val="15B8435D"/>
    <w:rsid w:val="15B8610B"/>
    <w:rsid w:val="15B900D5"/>
    <w:rsid w:val="15B905DD"/>
    <w:rsid w:val="15B910B3"/>
    <w:rsid w:val="15B91E83"/>
    <w:rsid w:val="15B934CA"/>
    <w:rsid w:val="15B935FE"/>
    <w:rsid w:val="15BA32A5"/>
    <w:rsid w:val="15BA3A1E"/>
    <w:rsid w:val="15BA3FE9"/>
    <w:rsid w:val="15BA6327"/>
    <w:rsid w:val="15BB209F"/>
    <w:rsid w:val="15BB3E4D"/>
    <w:rsid w:val="15BB5BFB"/>
    <w:rsid w:val="15BB72AA"/>
    <w:rsid w:val="15BC2038"/>
    <w:rsid w:val="15BC304B"/>
    <w:rsid w:val="15BD209B"/>
    <w:rsid w:val="15BD2407"/>
    <w:rsid w:val="15BD5E17"/>
    <w:rsid w:val="15BE1058"/>
    <w:rsid w:val="15BE479B"/>
    <w:rsid w:val="15BE749A"/>
    <w:rsid w:val="15BF393E"/>
    <w:rsid w:val="15BF44EA"/>
    <w:rsid w:val="15BF56EC"/>
    <w:rsid w:val="15C01464"/>
    <w:rsid w:val="15C02950"/>
    <w:rsid w:val="15C0597A"/>
    <w:rsid w:val="15C076B6"/>
    <w:rsid w:val="15C11E76"/>
    <w:rsid w:val="15C2342E"/>
    <w:rsid w:val="15C26F8A"/>
    <w:rsid w:val="15C27E7F"/>
    <w:rsid w:val="15C342FB"/>
    <w:rsid w:val="15C34330"/>
    <w:rsid w:val="15C34AB0"/>
    <w:rsid w:val="15C40F54"/>
    <w:rsid w:val="15C41DE9"/>
    <w:rsid w:val="15C42933"/>
    <w:rsid w:val="15C42D02"/>
    <w:rsid w:val="15C43148"/>
    <w:rsid w:val="15C44D18"/>
    <w:rsid w:val="15C46ECC"/>
    <w:rsid w:val="15C46F63"/>
    <w:rsid w:val="15C50828"/>
    <w:rsid w:val="15C51D27"/>
    <w:rsid w:val="15C52CC8"/>
    <w:rsid w:val="15C52F2D"/>
    <w:rsid w:val="15C54B42"/>
    <w:rsid w:val="15C54CCC"/>
    <w:rsid w:val="15C56A7A"/>
    <w:rsid w:val="15C62AAD"/>
    <w:rsid w:val="15C64C74"/>
    <w:rsid w:val="15C71C00"/>
    <w:rsid w:val="15C727F2"/>
    <w:rsid w:val="15C72C7C"/>
    <w:rsid w:val="15C72F70"/>
    <w:rsid w:val="15C745A0"/>
    <w:rsid w:val="15C76172"/>
    <w:rsid w:val="15C76E5F"/>
    <w:rsid w:val="15C80049"/>
    <w:rsid w:val="15C90318"/>
    <w:rsid w:val="15C90FCA"/>
    <w:rsid w:val="15C947BC"/>
    <w:rsid w:val="15C9585D"/>
    <w:rsid w:val="15C95EAC"/>
    <w:rsid w:val="15C9656A"/>
    <w:rsid w:val="15C97D2E"/>
    <w:rsid w:val="15C97ED9"/>
    <w:rsid w:val="15CA0325"/>
    <w:rsid w:val="15CA15FD"/>
    <w:rsid w:val="15CA22E2"/>
    <w:rsid w:val="15CA3C8D"/>
    <w:rsid w:val="15CA4090"/>
    <w:rsid w:val="15CA558E"/>
    <w:rsid w:val="15CA5994"/>
    <w:rsid w:val="15CA5E3E"/>
    <w:rsid w:val="15CB15BD"/>
    <w:rsid w:val="15CB1982"/>
    <w:rsid w:val="15CB3473"/>
    <w:rsid w:val="15CB5748"/>
    <w:rsid w:val="15CC0C89"/>
    <w:rsid w:val="15CC1496"/>
    <w:rsid w:val="15CC1BB7"/>
    <w:rsid w:val="15CC5F69"/>
    <w:rsid w:val="15CC605B"/>
    <w:rsid w:val="15CC7E09"/>
    <w:rsid w:val="15CD16BF"/>
    <w:rsid w:val="15CD42B1"/>
    <w:rsid w:val="15CD6B5C"/>
    <w:rsid w:val="15CD7C7F"/>
    <w:rsid w:val="15CD7F7E"/>
    <w:rsid w:val="15CE086D"/>
    <w:rsid w:val="15CE1DD3"/>
    <w:rsid w:val="15CE26EF"/>
    <w:rsid w:val="15CE45A4"/>
    <w:rsid w:val="15CF16A7"/>
    <w:rsid w:val="15CF2C6D"/>
    <w:rsid w:val="15CF3D61"/>
    <w:rsid w:val="15CF4171"/>
    <w:rsid w:val="15CF6BB0"/>
    <w:rsid w:val="15CF70FB"/>
    <w:rsid w:val="15D00040"/>
    <w:rsid w:val="15D02A5F"/>
    <w:rsid w:val="15D05D4D"/>
    <w:rsid w:val="15D078F9"/>
    <w:rsid w:val="15D106EE"/>
    <w:rsid w:val="15D13671"/>
    <w:rsid w:val="15D144C2"/>
    <w:rsid w:val="15D168FF"/>
    <w:rsid w:val="15D2693B"/>
    <w:rsid w:val="15D31197"/>
    <w:rsid w:val="15D32F45"/>
    <w:rsid w:val="15D373E9"/>
    <w:rsid w:val="15D418DD"/>
    <w:rsid w:val="15D43E1B"/>
    <w:rsid w:val="15D45280"/>
    <w:rsid w:val="15D4540B"/>
    <w:rsid w:val="15D46CBD"/>
    <w:rsid w:val="15D51DB2"/>
    <w:rsid w:val="15D60C87"/>
    <w:rsid w:val="15D612E1"/>
    <w:rsid w:val="15D614F0"/>
    <w:rsid w:val="15D62974"/>
    <w:rsid w:val="15D656ED"/>
    <w:rsid w:val="15D66ED9"/>
    <w:rsid w:val="15D72771"/>
    <w:rsid w:val="15D73C01"/>
    <w:rsid w:val="15D73C41"/>
    <w:rsid w:val="15D8055B"/>
    <w:rsid w:val="15D80D35"/>
    <w:rsid w:val="15D83FFD"/>
    <w:rsid w:val="15D849FF"/>
    <w:rsid w:val="15D867AD"/>
    <w:rsid w:val="15D92F1E"/>
    <w:rsid w:val="15D942D4"/>
    <w:rsid w:val="15DA0308"/>
    <w:rsid w:val="15DA10F2"/>
    <w:rsid w:val="15DA15E8"/>
    <w:rsid w:val="15DA2525"/>
    <w:rsid w:val="15DA2833"/>
    <w:rsid w:val="15DA3CC3"/>
    <w:rsid w:val="15DA4B24"/>
    <w:rsid w:val="15DB004C"/>
    <w:rsid w:val="15DB043C"/>
    <w:rsid w:val="15DB44F0"/>
    <w:rsid w:val="15DB5153"/>
    <w:rsid w:val="15DB629E"/>
    <w:rsid w:val="15DB6EBA"/>
    <w:rsid w:val="15DC0269"/>
    <w:rsid w:val="15DC6341"/>
    <w:rsid w:val="15DD0268"/>
    <w:rsid w:val="15DD2016"/>
    <w:rsid w:val="15DD5089"/>
    <w:rsid w:val="15DD5B72"/>
    <w:rsid w:val="15DD61BC"/>
    <w:rsid w:val="15DD6FF3"/>
    <w:rsid w:val="15DE0D30"/>
    <w:rsid w:val="15DE18EA"/>
    <w:rsid w:val="15DE2644"/>
    <w:rsid w:val="15DF2024"/>
    <w:rsid w:val="15DF3AD4"/>
    <w:rsid w:val="15DF3C42"/>
    <w:rsid w:val="15DF6105"/>
    <w:rsid w:val="15DF6A98"/>
    <w:rsid w:val="15DF7233"/>
    <w:rsid w:val="15E00058"/>
    <w:rsid w:val="15E020A6"/>
    <w:rsid w:val="15E038B4"/>
    <w:rsid w:val="15E11B06"/>
    <w:rsid w:val="15E213DA"/>
    <w:rsid w:val="15E2587E"/>
    <w:rsid w:val="15E2762C"/>
    <w:rsid w:val="15E338E5"/>
    <w:rsid w:val="15E40B7D"/>
    <w:rsid w:val="15E41CD9"/>
    <w:rsid w:val="15E43504"/>
    <w:rsid w:val="15E44416"/>
    <w:rsid w:val="15E44D75"/>
    <w:rsid w:val="15E45152"/>
    <w:rsid w:val="15E46581"/>
    <w:rsid w:val="15E46F00"/>
    <w:rsid w:val="15E51DC4"/>
    <w:rsid w:val="15E5291F"/>
    <w:rsid w:val="15E54B87"/>
    <w:rsid w:val="15E578DB"/>
    <w:rsid w:val="15E6077D"/>
    <w:rsid w:val="15E60DD6"/>
    <w:rsid w:val="15E617D2"/>
    <w:rsid w:val="15E62C91"/>
    <w:rsid w:val="15E66222"/>
    <w:rsid w:val="15E6711C"/>
    <w:rsid w:val="15E71C8C"/>
    <w:rsid w:val="15E74187"/>
    <w:rsid w:val="15E74C42"/>
    <w:rsid w:val="15E769F0"/>
    <w:rsid w:val="15E77C5F"/>
    <w:rsid w:val="15E84B86"/>
    <w:rsid w:val="15E909BB"/>
    <w:rsid w:val="15E90F06"/>
    <w:rsid w:val="15E94B74"/>
    <w:rsid w:val="15EA028F"/>
    <w:rsid w:val="15EA37D5"/>
    <w:rsid w:val="15EA64E1"/>
    <w:rsid w:val="15EC2259"/>
    <w:rsid w:val="15EC3507"/>
    <w:rsid w:val="15EC4007"/>
    <w:rsid w:val="15ED4D6D"/>
    <w:rsid w:val="15ED78FA"/>
    <w:rsid w:val="15EE1CF8"/>
    <w:rsid w:val="15EE5FD1"/>
    <w:rsid w:val="15EE7D7F"/>
    <w:rsid w:val="15EF1E88"/>
    <w:rsid w:val="15EF1FC7"/>
    <w:rsid w:val="15EF7F09"/>
    <w:rsid w:val="15F01D49"/>
    <w:rsid w:val="15F02636"/>
    <w:rsid w:val="15F028DD"/>
    <w:rsid w:val="15F07F9B"/>
    <w:rsid w:val="15F1161D"/>
    <w:rsid w:val="15F132FE"/>
    <w:rsid w:val="15F13975"/>
    <w:rsid w:val="15F1786F"/>
    <w:rsid w:val="15F20809"/>
    <w:rsid w:val="15F26BD7"/>
    <w:rsid w:val="15F27379"/>
    <w:rsid w:val="15F27925"/>
    <w:rsid w:val="15F27A8B"/>
    <w:rsid w:val="15F31839"/>
    <w:rsid w:val="15F35395"/>
    <w:rsid w:val="15F40EBD"/>
    <w:rsid w:val="15F42B67"/>
    <w:rsid w:val="15F47D78"/>
    <w:rsid w:val="15F555B1"/>
    <w:rsid w:val="15F62273"/>
    <w:rsid w:val="15F630D7"/>
    <w:rsid w:val="15F64E85"/>
    <w:rsid w:val="15F66C34"/>
    <w:rsid w:val="15F74CE3"/>
    <w:rsid w:val="15F76B65"/>
    <w:rsid w:val="15F8268C"/>
    <w:rsid w:val="15F829AC"/>
    <w:rsid w:val="15F8467B"/>
    <w:rsid w:val="15F86E50"/>
    <w:rsid w:val="15F93D80"/>
    <w:rsid w:val="15F95B0B"/>
    <w:rsid w:val="15F9724C"/>
    <w:rsid w:val="15FA1F29"/>
    <w:rsid w:val="15FA21C3"/>
    <w:rsid w:val="15FA4976"/>
    <w:rsid w:val="15FB249C"/>
    <w:rsid w:val="15FB34E6"/>
    <w:rsid w:val="15FB648E"/>
    <w:rsid w:val="15FB6AB6"/>
    <w:rsid w:val="15FB6F59"/>
    <w:rsid w:val="15FC5BCD"/>
    <w:rsid w:val="15FC7ED7"/>
    <w:rsid w:val="15FD0F81"/>
    <w:rsid w:val="15FD12F7"/>
    <w:rsid w:val="15FD4466"/>
    <w:rsid w:val="15FD448C"/>
    <w:rsid w:val="15FD6214"/>
    <w:rsid w:val="15FE2D06"/>
    <w:rsid w:val="15FE6594"/>
    <w:rsid w:val="15FF01DE"/>
    <w:rsid w:val="15FF197D"/>
    <w:rsid w:val="15FF1F8C"/>
    <w:rsid w:val="15FF3D3A"/>
    <w:rsid w:val="15FF517B"/>
    <w:rsid w:val="15FF6A49"/>
    <w:rsid w:val="15FF75F4"/>
    <w:rsid w:val="16005D04"/>
    <w:rsid w:val="16005D69"/>
    <w:rsid w:val="16006CAA"/>
    <w:rsid w:val="16010489"/>
    <w:rsid w:val="16013F56"/>
    <w:rsid w:val="160159DE"/>
    <w:rsid w:val="16021642"/>
    <w:rsid w:val="1602382A"/>
    <w:rsid w:val="16023A9F"/>
    <w:rsid w:val="160278E7"/>
    <w:rsid w:val="16027CCE"/>
    <w:rsid w:val="1603178E"/>
    <w:rsid w:val="16032ECF"/>
    <w:rsid w:val="16035A40"/>
    <w:rsid w:val="16041350"/>
    <w:rsid w:val="1604435F"/>
    <w:rsid w:val="16044E29"/>
    <w:rsid w:val="16046824"/>
    <w:rsid w:val="16047A19"/>
    <w:rsid w:val="160519BD"/>
    <w:rsid w:val="16061850"/>
    <w:rsid w:val="16070E41"/>
    <w:rsid w:val="16073300"/>
    <w:rsid w:val="160752E5"/>
    <w:rsid w:val="160768B3"/>
    <w:rsid w:val="16077093"/>
    <w:rsid w:val="16085AC8"/>
    <w:rsid w:val="16085F34"/>
    <w:rsid w:val="16087E1D"/>
    <w:rsid w:val="1609105D"/>
    <w:rsid w:val="16093C4C"/>
    <w:rsid w:val="16093EBA"/>
    <w:rsid w:val="16094BB9"/>
    <w:rsid w:val="16096967"/>
    <w:rsid w:val="160A5A9E"/>
    <w:rsid w:val="160B0931"/>
    <w:rsid w:val="160B0D07"/>
    <w:rsid w:val="160B6B83"/>
    <w:rsid w:val="160C01E7"/>
    <w:rsid w:val="160C28FB"/>
    <w:rsid w:val="160C3F81"/>
    <w:rsid w:val="160C46A9"/>
    <w:rsid w:val="160C6457"/>
    <w:rsid w:val="160E0421"/>
    <w:rsid w:val="160E074A"/>
    <w:rsid w:val="160E1497"/>
    <w:rsid w:val="160E186A"/>
    <w:rsid w:val="160E21CF"/>
    <w:rsid w:val="160E6673"/>
    <w:rsid w:val="160F4043"/>
    <w:rsid w:val="1610386C"/>
    <w:rsid w:val="16104199"/>
    <w:rsid w:val="161054D3"/>
    <w:rsid w:val="16105F47"/>
    <w:rsid w:val="161070B4"/>
    <w:rsid w:val="16111CBF"/>
    <w:rsid w:val="16112265"/>
    <w:rsid w:val="16113A6D"/>
    <w:rsid w:val="16115622"/>
    <w:rsid w:val="16131DA3"/>
    <w:rsid w:val="16132E73"/>
    <w:rsid w:val="16134493"/>
    <w:rsid w:val="161378F5"/>
    <w:rsid w:val="16140C0B"/>
    <w:rsid w:val="16145BEC"/>
    <w:rsid w:val="16151699"/>
    <w:rsid w:val="161517B0"/>
    <w:rsid w:val="1615266D"/>
    <w:rsid w:val="161552E4"/>
    <w:rsid w:val="16157A01"/>
    <w:rsid w:val="16157D73"/>
    <w:rsid w:val="16161084"/>
    <w:rsid w:val="16163175"/>
    <w:rsid w:val="16163EE7"/>
    <w:rsid w:val="16166EBD"/>
    <w:rsid w:val="161673E2"/>
    <w:rsid w:val="161727D5"/>
    <w:rsid w:val="16175528"/>
    <w:rsid w:val="161759C1"/>
    <w:rsid w:val="161769EB"/>
    <w:rsid w:val="16181094"/>
    <w:rsid w:val="161810CD"/>
    <w:rsid w:val="161812A0"/>
    <w:rsid w:val="16184DFC"/>
    <w:rsid w:val="16191A21"/>
    <w:rsid w:val="16195129"/>
    <w:rsid w:val="161971DC"/>
    <w:rsid w:val="161A0B74"/>
    <w:rsid w:val="161A0E55"/>
    <w:rsid w:val="161A4DF9"/>
    <w:rsid w:val="161A61B6"/>
    <w:rsid w:val="161B4ED9"/>
    <w:rsid w:val="161B669A"/>
    <w:rsid w:val="161B6918"/>
    <w:rsid w:val="161C0D90"/>
    <w:rsid w:val="161C4127"/>
    <w:rsid w:val="161C7E98"/>
    <w:rsid w:val="161D0664"/>
    <w:rsid w:val="161D1A97"/>
    <w:rsid w:val="161D20DA"/>
    <w:rsid w:val="161D2412"/>
    <w:rsid w:val="161D68B6"/>
    <w:rsid w:val="161E7AD7"/>
    <w:rsid w:val="161E7F96"/>
    <w:rsid w:val="161F0F67"/>
    <w:rsid w:val="161F262E"/>
    <w:rsid w:val="161F2BA0"/>
    <w:rsid w:val="16201C0D"/>
    <w:rsid w:val="16202DD5"/>
    <w:rsid w:val="16207BE8"/>
    <w:rsid w:val="16210154"/>
    <w:rsid w:val="16215FE2"/>
    <w:rsid w:val="16216458"/>
    <w:rsid w:val="16216B4F"/>
    <w:rsid w:val="16223ECC"/>
    <w:rsid w:val="16225C7A"/>
    <w:rsid w:val="16226043"/>
    <w:rsid w:val="162271C2"/>
    <w:rsid w:val="16227EC5"/>
    <w:rsid w:val="16231D89"/>
    <w:rsid w:val="16232545"/>
    <w:rsid w:val="16233B1D"/>
    <w:rsid w:val="16233B7E"/>
    <w:rsid w:val="16236789"/>
    <w:rsid w:val="16237A85"/>
    <w:rsid w:val="16237CEE"/>
    <w:rsid w:val="162419F3"/>
    <w:rsid w:val="162438D6"/>
    <w:rsid w:val="16243949"/>
    <w:rsid w:val="162453A5"/>
    <w:rsid w:val="16247C45"/>
    <w:rsid w:val="16250A31"/>
    <w:rsid w:val="162513A1"/>
    <w:rsid w:val="16251C81"/>
    <w:rsid w:val="16253698"/>
    <w:rsid w:val="16255ECF"/>
    <w:rsid w:val="16257519"/>
    <w:rsid w:val="1625781F"/>
    <w:rsid w:val="162639BD"/>
    <w:rsid w:val="1626576B"/>
    <w:rsid w:val="162714E3"/>
    <w:rsid w:val="162722CA"/>
    <w:rsid w:val="1627247B"/>
    <w:rsid w:val="162753BB"/>
    <w:rsid w:val="16277EAC"/>
    <w:rsid w:val="16282A55"/>
    <w:rsid w:val="16282F80"/>
    <w:rsid w:val="16290DB7"/>
    <w:rsid w:val="16291BE9"/>
    <w:rsid w:val="162921DF"/>
    <w:rsid w:val="1629525B"/>
    <w:rsid w:val="16297009"/>
    <w:rsid w:val="162A0743"/>
    <w:rsid w:val="162A0C4B"/>
    <w:rsid w:val="162A3258"/>
    <w:rsid w:val="162A3F93"/>
    <w:rsid w:val="162B20DB"/>
    <w:rsid w:val="162B2D81"/>
    <w:rsid w:val="162B4B2F"/>
    <w:rsid w:val="162B750A"/>
    <w:rsid w:val="162C103A"/>
    <w:rsid w:val="162C481B"/>
    <w:rsid w:val="162D3FB2"/>
    <w:rsid w:val="162D54BD"/>
    <w:rsid w:val="162E0AC3"/>
    <w:rsid w:val="162E0D26"/>
    <w:rsid w:val="162E461F"/>
    <w:rsid w:val="162E6623"/>
    <w:rsid w:val="162F73A6"/>
    <w:rsid w:val="162F77EC"/>
    <w:rsid w:val="16300397"/>
    <w:rsid w:val="1630114D"/>
    <w:rsid w:val="16302145"/>
    <w:rsid w:val="1630624C"/>
    <w:rsid w:val="163065E9"/>
    <w:rsid w:val="1631337C"/>
    <w:rsid w:val="16313542"/>
    <w:rsid w:val="16321ADC"/>
    <w:rsid w:val="16325C9C"/>
    <w:rsid w:val="163321D8"/>
    <w:rsid w:val="163360DA"/>
    <w:rsid w:val="16337E88"/>
    <w:rsid w:val="16351E52"/>
    <w:rsid w:val="1635318D"/>
    <w:rsid w:val="16353C00"/>
    <w:rsid w:val="163559AE"/>
    <w:rsid w:val="1635775C"/>
    <w:rsid w:val="16361726"/>
    <w:rsid w:val="163634D4"/>
    <w:rsid w:val="16367DFF"/>
    <w:rsid w:val="163754EA"/>
    <w:rsid w:val="16375AAD"/>
    <w:rsid w:val="16377978"/>
    <w:rsid w:val="16381B0E"/>
    <w:rsid w:val="1638549E"/>
    <w:rsid w:val="16394F8A"/>
    <w:rsid w:val="163A1216"/>
    <w:rsid w:val="163A197D"/>
    <w:rsid w:val="163A7468"/>
    <w:rsid w:val="163B0AEA"/>
    <w:rsid w:val="163B3A1D"/>
    <w:rsid w:val="163B40E9"/>
    <w:rsid w:val="163C048F"/>
    <w:rsid w:val="163C2449"/>
    <w:rsid w:val="163C256E"/>
    <w:rsid w:val="163C4F8E"/>
    <w:rsid w:val="163C6BE1"/>
    <w:rsid w:val="163D0D06"/>
    <w:rsid w:val="163D2AB4"/>
    <w:rsid w:val="163D44F0"/>
    <w:rsid w:val="163D5160"/>
    <w:rsid w:val="163D6B2B"/>
    <w:rsid w:val="163E0D83"/>
    <w:rsid w:val="163E7EDD"/>
    <w:rsid w:val="163F05DA"/>
    <w:rsid w:val="163F4A7E"/>
    <w:rsid w:val="163F682C"/>
    <w:rsid w:val="163F6E10"/>
    <w:rsid w:val="163F7266"/>
    <w:rsid w:val="164002A0"/>
    <w:rsid w:val="164017CB"/>
    <w:rsid w:val="164019E1"/>
    <w:rsid w:val="16411730"/>
    <w:rsid w:val="164125A5"/>
    <w:rsid w:val="16414301"/>
    <w:rsid w:val="16414353"/>
    <w:rsid w:val="1641719C"/>
    <w:rsid w:val="16421E79"/>
    <w:rsid w:val="16423C7C"/>
    <w:rsid w:val="1642631D"/>
    <w:rsid w:val="16426EAD"/>
    <w:rsid w:val="16431188"/>
    <w:rsid w:val="16431EEB"/>
    <w:rsid w:val="164400B1"/>
    <w:rsid w:val="16442095"/>
    <w:rsid w:val="16443216"/>
    <w:rsid w:val="16443E43"/>
    <w:rsid w:val="16445BF1"/>
    <w:rsid w:val="16446E8C"/>
    <w:rsid w:val="164478A7"/>
    <w:rsid w:val="16453B74"/>
    <w:rsid w:val="164547A8"/>
    <w:rsid w:val="16461969"/>
    <w:rsid w:val="16462202"/>
    <w:rsid w:val="164641E5"/>
    <w:rsid w:val="16465E0D"/>
    <w:rsid w:val="16467BBB"/>
    <w:rsid w:val="16470173"/>
    <w:rsid w:val="16473933"/>
    <w:rsid w:val="16474076"/>
    <w:rsid w:val="164751B2"/>
    <w:rsid w:val="164756E1"/>
    <w:rsid w:val="16481603"/>
    <w:rsid w:val="16481B85"/>
    <w:rsid w:val="16486A55"/>
    <w:rsid w:val="16490368"/>
    <w:rsid w:val="16491459"/>
    <w:rsid w:val="16493207"/>
    <w:rsid w:val="164A32EA"/>
    <w:rsid w:val="164A3D82"/>
    <w:rsid w:val="164A3F23"/>
    <w:rsid w:val="164A7C92"/>
    <w:rsid w:val="164B2D72"/>
    <w:rsid w:val="164B4D9F"/>
    <w:rsid w:val="164B53B3"/>
    <w:rsid w:val="164B6F7F"/>
    <w:rsid w:val="164C2CF7"/>
    <w:rsid w:val="164C4586"/>
    <w:rsid w:val="164D3E94"/>
    <w:rsid w:val="164D3FE5"/>
    <w:rsid w:val="164D5593"/>
    <w:rsid w:val="164D67B5"/>
    <w:rsid w:val="164D719B"/>
    <w:rsid w:val="164E081E"/>
    <w:rsid w:val="164E4CC1"/>
    <w:rsid w:val="164E5A5F"/>
    <w:rsid w:val="164F2F7F"/>
    <w:rsid w:val="16500A3A"/>
    <w:rsid w:val="165016BE"/>
    <w:rsid w:val="165027E8"/>
    <w:rsid w:val="16507496"/>
    <w:rsid w:val="16507D95"/>
    <w:rsid w:val="16511225"/>
    <w:rsid w:val="16514288"/>
    <w:rsid w:val="165145F4"/>
    <w:rsid w:val="165174FC"/>
    <w:rsid w:val="165179EB"/>
    <w:rsid w:val="16517CC2"/>
    <w:rsid w:val="165226B5"/>
    <w:rsid w:val="1652472A"/>
    <w:rsid w:val="165247B2"/>
    <w:rsid w:val="16526560"/>
    <w:rsid w:val="1653052A"/>
    <w:rsid w:val="16530ACF"/>
    <w:rsid w:val="165322D8"/>
    <w:rsid w:val="16534086"/>
    <w:rsid w:val="165346F7"/>
    <w:rsid w:val="16536E9D"/>
    <w:rsid w:val="165416BD"/>
    <w:rsid w:val="165538C4"/>
    <w:rsid w:val="16553E5F"/>
    <w:rsid w:val="165549C2"/>
    <w:rsid w:val="16556050"/>
    <w:rsid w:val="16557DFE"/>
    <w:rsid w:val="16560557"/>
    <w:rsid w:val="165622AB"/>
    <w:rsid w:val="16562358"/>
    <w:rsid w:val="16563D5B"/>
    <w:rsid w:val="16565924"/>
    <w:rsid w:val="16573066"/>
    <w:rsid w:val="16573B76"/>
    <w:rsid w:val="16575097"/>
    <w:rsid w:val="16575312"/>
    <w:rsid w:val="16583A87"/>
    <w:rsid w:val="16585B40"/>
    <w:rsid w:val="165878EE"/>
    <w:rsid w:val="16592588"/>
    <w:rsid w:val="16594EC1"/>
    <w:rsid w:val="16597D82"/>
    <w:rsid w:val="165A0DC0"/>
    <w:rsid w:val="165A3666"/>
    <w:rsid w:val="165A3A18"/>
    <w:rsid w:val="165B1830"/>
    <w:rsid w:val="165B2F3A"/>
    <w:rsid w:val="165B65E9"/>
    <w:rsid w:val="165C0F09"/>
    <w:rsid w:val="165C118C"/>
    <w:rsid w:val="165C2036"/>
    <w:rsid w:val="165D17A9"/>
    <w:rsid w:val="165D1A46"/>
    <w:rsid w:val="165D1C2C"/>
    <w:rsid w:val="165D3148"/>
    <w:rsid w:val="165D4835"/>
    <w:rsid w:val="165D4F05"/>
    <w:rsid w:val="165D5225"/>
    <w:rsid w:val="165D6CB3"/>
    <w:rsid w:val="165D7FC8"/>
    <w:rsid w:val="165E1842"/>
    <w:rsid w:val="165E3157"/>
    <w:rsid w:val="165E4F6A"/>
    <w:rsid w:val="165E5AB4"/>
    <w:rsid w:val="165F0AD3"/>
    <w:rsid w:val="165F0B46"/>
    <w:rsid w:val="165F10D3"/>
    <w:rsid w:val="165F2A2B"/>
    <w:rsid w:val="165F6DEB"/>
    <w:rsid w:val="165F6ECF"/>
    <w:rsid w:val="165F77E1"/>
    <w:rsid w:val="16601997"/>
    <w:rsid w:val="16605E4A"/>
    <w:rsid w:val="16610551"/>
    <w:rsid w:val="16610D1A"/>
    <w:rsid w:val="16612C47"/>
    <w:rsid w:val="166149F5"/>
    <w:rsid w:val="16614DBC"/>
    <w:rsid w:val="166167A3"/>
    <w:rsid w:val="16617C92"/>
    <w:rsid w:val="1662251B"/>
    <w:rsid w:val="166242C9"/>
    <w:rsid w:val="16624D7B"/>
    <w:rsid w:val="1663076D"/>
    <w:rsid w:val="16636121"/>
    <w:rsid w:val="166444E5"/>
    <w:rsid w:val="1664465A"/>
    <w:rsid w:val="16645174"/>
    <w:rsid w:val="16646293"/>
    <w:rsid w:val="166554EE"/>
    <w:rsid w:val="1666025D"/>
    <w:rsid w:val="16660FCB"/>
    <w:rsid w:val="1666200B"/>
    <w:rsid w:val="16663DB9"/>
    <w:rsid w:val="16664E01"/>
    <w:rsid w:val="16665322"/>
    <w:rsid w:val="166718DF"/>
    <w:rsid w:val="16677B31"/>
    <w:rsid w:val="16681976"/>
    <w:rsid w:val="166821ED"/>
    <w:rsid w:val="16682F08"/>
    <w:rsid w:val="1668352E"/>
    <w:rsid w:val="166874AC"/>
    <w:rsid w:val="16687527"/>
    <w:rsid w:val="16691C3F"/>
    <w:rsid w:val="16691EF3"/>
    <w:rsid w:val="1669207D"/>
    <w:rsid w:val="166A320D"/>
    <w:rsid w:val="166A57D5"/>
    <w:rsid w:val="166B13D0"/>
    <w:rsid w:val="166B2DA1"/>
    <w:rsid w:val="166B5873"/>
    <w:rsid w:val="166B7621"/>
    <w:rsid w:val="166C0A09"/>
    <w:rsid w:val="166C5148"/>
    <w:rsid w:val="166C6737"/>
    <w:rsid w:val="166D2E53"/>
    <w:rsid w:val="166D339A"/>
    <w:rsid w:val="166D4BC5"/>
    <w:rsid w:val="166D4CFC"/>
    <w:rsid w:val="166D72BD"/>
    <w:rsid w:val="16701EDB"/>
    <w:rsid w:val="16702E8A"/>
    <w:rsid w:val="16704C38"/>
    <w:rsid w:val="167052BE"/>
    <w:rsid w:val="16705C3E"/>
    <w:rsid w:val="1670737F"/>
    <w:rsid w:val="16713A50"/>
    <w:rsid w:val="1671458A"/>
    <w:rsid w:val="16714784"/>
    <w:rsid w:val="167163B7"/>
    <w:rsid w:val="167209B0"/>
    <w:rsid w:val="1672275E"/>
    <w:rsid w:val="16724870"/>
    <w:rsid w:val="16726C02"/>
    <w:rsid w:val="16730284"/>
    <w:rsid w:val="1673141F"/>
    <w:rsid w:val="16735EC0"/>
    <w:rsid w:val="167364D6"/>
    <w:rsid w:val="167401D6"/>
    <w:rsid w:val="167401E9"/>
    <w:rsid w:val="16747190"/>
    <w:rsid w:val="167504A0"/>
    <w:rsid w:val="16750620"/>
    <w:rsid w:val="167539E5"/>
    <w:rsid w:val="16753FFC"/>
    <w:rsid w:val="16756754"/>
    <w:rsid w:val="167571FB"/>
    <w:rsid w:val="16761AB0"/>
    <w:rsid w:val="16762E98"/>
    <w:rsid w:val="167631F1"/>
    <w:rsid w:val="16764975"/>
    <w:rsid w:val="16766D85"/>
    <w:rsid w:val="16772E31"/>
    <w:rsid w:val="16774218"/>
    <w:rsid w:val="16775B11"/>
    <w:rsid w:val="16775FC6"/>
    <w:rsid w:val="16777D74"/>
    <w:rsid w:val="16781D3E"/>
    <w:rsid w:val="16783AEC"/>
    <w:rsid w:val="16784DFF"/>
    <w:rsid w:val="16786FA1"/>
    <w:rsid w:val="16791B72"/>
    <w:rsid w:val="16795BEF"/>
    <w:rsid w:val="167967B9"/>
    <w:rsid w:val="16797F90"/>
    <w:rsid w:val="167A7865"/>
    <w:rsid w:val="167B2B46"/>
    <w:rsid w:val="167B3B97"/>
    <w:rsid w:val="167B494E"/>
    <w:rsid w:val="167C04F3"/>
    <w:rsid w:val="167C182F"/>
    <w:rsid w:val="167C538B"/>
    <w:rsid w:val="167C5411"/>
    <w:rsid w:val="167D1103"/>
    <w:rsid w:val="167D1838"/>
    <w:rsid w:val="167D50DB"/>
    <w:rsid w:val="167D6DB2"/>
    <w:rsid w:val="167D7355"/>
    <w:rsid w:val="167D79B6"/>
    <w:rsid w:val="167E08D3"/>
    <w:rsid w:val="167E19E8"/>
    <w:rsid w:val="167E20F6"/>
    <w:rsid w:val="167E2662"/>
    <w:rsid w:val="167E42A8"/>
    <w:rsid w:val="167E55A7"/>
    <w:rsid w:val="167E6551"/>
    <w:rsid w:val="167E748B"/>
    <w:rsid w:val="167F2A1D"/>
    <w:rsid w:val="167F30CD"/>
    <w:rsid w:val="167F4179"/>
    <w:rsid w:val="167F5293"/>
    <w:rsid w:val="167F6B76"/>
    <w:rsid w:val="16806469"/>
    <w:rsid w:val="16806F83"/>
    <w:rsid w:val="16807582"/>
    <w:rsid w:val="16811788"/>
    <w:rsid w:val="168119AD"/>
    <w:rsid w:val="168129A1"/>
    <w:rsid w:val="16813C02"/>
    <w:rsid w:val="16816E45"/>
    <w:rsid w:val="16821794"/>
    <w:rsid w:val="16822C24"/>
    <w:rsid w:val="16823089"/>
    <w:rsid w:val="16823C3A"/>
    <w:rsid w:val="1682607B"/>
    <w:rsid w:val="16826629"/>
    <w:rsid w:val="16826719"/>
    <w:rsid w:val="16832BBD"/>
    <w:rsid w:val="168406E3"/>
    <w:rsid w:val="16843163"/>
    <w:rsid w:val="168443A1"/>
    <w:rsid w:val="16846935"/>
    <w:rsid w:val="16846C85"/>
    <w:rsid w:val="16847857"/>
    <w:rsid w:val="16847CBA"/>
    <w:rsid w:val="1685478E"/>
    <w:rsid w:val="16856425"/>
    <w:rsid w:val="168615A5"/>
    <w:rsid w:val="168637CB"/>
    <w:rsid w:val="168638F0"/>
    <w:rsid w:val="16873D30"/>
    <w:rsid w:val="16875606"/>
    <w:rsid w:val="168801D3"/>
    <w:rsid w:val="16881F81"/>
    <w:rsid w:val="16886987"/>
    <w:rsid w:val="168872CA"/>
    <w:rsid w:val="168919CC"/>
    <w:rsid w:val="168924CC"/>
    <w:rsid w:val="16893F4C"/>
    <w:rsid w:val="16895CFA"/>
    <w:rsid w:val="16897AA8"/>
    <w:rsid w:val="168B1A72"/>
    <w:rsid w:val="168B3452"/>
    <w:rsid w:val="168B3F87"/>
    <w:rsid w:val="168B4E1F"/>
    <w:rsid w:val="168B4F54"/>
    <w:rsid w:val="168B52D9"/>
    <w:rsid w:val="168B7CC4"/>
    <w:rsid w:val="168C1346"/>
    <w:rsid w:val="168D3A3C"/>
    <w:rsid w:val="168D511C"/>
    <w:rsid w:val="168D57EA"/>
    <w:rsid w:val="168D7598"/>
    <w:rsid w:val="168E2908"/>
    <w:rsid w:val="168E3310"/>
    <w:rsid w:val="168F2A73"/>
    <w:rsid w:val="16900E36"/>
    <w:rsid w:val="169023DA"/>
    <w:rsid w:val="169052DA"/>
    <w:rsid w:val="16907088"/>
    <w:rsid w:val="169070D5"/>
    <w:rsid w:val="16907FD6"/>
    <w:rsid w:val="16911289"/>
    <w:rsid w:val="16911661"/>
    <w:rsid w:val="16914696"/>
    <w:rsid w:val="16915345"/>
    <w:rsid w:val="16917DF9"/>
    <w:rsid w:val="16921052"/>
    <w:rsid w:val="16921666"/>
    <w:rsid w:val="16921AD5"/>
    <w:rsid w:val="16922719"/>
    <w:rsid w:val="16922E00"/>
    <w:rsid w:val="16922F95"/>
    <w:rsid w:val="169262E6"/>
    <w:rsid w:val="16926DB9"/>
    <w:rsid w:val="16930926"/>
    <w:rsid w:val="16931E45"/>
    <w:rsid w:val="169326D4"/>
    <w:rsid w:val="16947165"/>
    <w:rsid w:val="169528F0"/>
    <w:rsid w:val="1695469E"/>
    <w:rsid w:val="1695644C"/>
    <w:rsid w:val="1695713F"/>
    <w:rsid w:val="16962F96"/>
    <w:rsid w:val="169674BB"/>
    <w:rsid w:val="169721C5"/>
    <w:rsid w:val="16974D12"/>
    <w:rsid w:val="16976668"/>
    <w:rsid w:val="1697668E"/>
    <w:rsid w:val="16985E4F"/>
    <w:rsid w:val="16985F3D"/>
    <w:rsid w:val="16992920"/>
    <w:rsid w:val="1699418F"/>
    <w:rsid w:val="16997A1B"/>
    <w:rsid w:val="169A1CB5"/>
    <w:rsid w:val="169A3A63"/>
    <w:rsid w:val="169A7F07"/>
    <w:rsid w:val="169A7F44"/>
    <w:rsid w:val="169B3A7C"/>
    <w:rsid w:val="169B7A59"/>
    <w:rsid w:val="169C251E"/>
    <w:rsid w:val="169C26E7"/>
    <w:rsid w:val="169C3C7F"/>
    <w:rsid w:val="169C514E"/>
    <w:rsid w:val="169C5A2D"/>
    <w:rsid w:val="169C7FC3"/>
    <w:rsid w:val="169D36E8"/>
    <w:rsid w:val="169E08C8"/>
    <w:rsid w:val="169E0CBC"/>
    <w:rsid w:val="169E17A5"/>
    <w:rsid w:val="169E262B"/>
    <w:rsid w:val="169F1079"/>
    <w:rsid w:val="169F2BA0"/>
    <w:rsid w:val="169F5898"/>
    <w:rsid w:val="16A0088D"/>
    <w:rsid w:val="16A036C0"/>
    <w:rsid w:val="16A04D1D"/>
    <w:rsid w:val="16A051AF"/>
    <w:rsid w:val="16A10F12"/>
    <w:rsid w:val="16A11295"/>
    <w:rsid w:val="16A15F88"/>
    <w:rsid w:val="16A16E0D"/>
    <w:rsid w:val="16A20B69"/>
    <w:rsid w:val="16A2220E"/>
    <w:rsid w:val="16A275ED"/>
    <w:rsid w:val="16A30197"/>
    <w:rsid w:val="16A3369E"/>
    <w:rsid w:val="16A3624D"/>
    <w:rsid w:val="16A36802"/>
    <w:rsid w:val="16A36DBB"/>
    <w:rsid w:val="16A3728B"/>
    <w:rsid w:val="16A42650"/>
    <w:rsid w:val="16A43A1B"/>
    <w:rsid w:val="16A444D5"/>
    <w:rsid w:val="16A44B2E"/>
    <w:rsid w:val="16A54404"/>
    <w:rsid w:val="16A54633"/>
    <w:rsid w:val="16A576BF"/>
    <w:rsid w:val="16A62408"/>
    <w:rsid w:val="16A656B7"/>
    <w:rsid w:val="16A668AC"/>
    <w:rsid w:val="16A70127"/>
    <w:rsid w:val="16A725A1"/>
    <w:rsid w:val="16A765DC"/>
    <w:rsid w:val="16A7711B"/>
    <w:rsid w:val="16A77CB0"/>
    <w:rsid w:val="16A805D8"/>
    <w:rsid w:val="16A82624"/>
    <w:rsid w:val="16A82B98"/>
    <w:rsid w:val="16A8300B"/>
    <w:rsid w:val="16A83181"/>
    <w:rsid w:val="16A83314"/>
    <w:rsid w:val="16A843D2"/>
    <w:rsid w:val="16A86080"/>
    <w:rsid w:val="16A868D8"/>
    <w:rsid w:val="16A91EF8"/>
    <w:rsid w:val="16A92C64"/>
    <w:rsid w:val="16A93347"/>
    <w:rsid w:val="16A95DCF"/>
    <w:rsid w:val="16A9697F"/>
    <w:rsid w:val="16A97F1A"/>
    <w:rsid w:val="16AA0748"/>
    <w:rsid w:val="16AA09A0"/>
    <w:rsid w:val="16AA4EB8"/>
    <w:rsid w:val="16AA5707"/>
    <w:rsid w:val="16AA61F6"/>
    <w:rsid w:val="16AB0E21"/>
    <w:rsid w:val="16AB2AE8"/>
    <w:rsid w:val="16AB3EC2"/>
    <w:rsid w:val="16AB4A01"/>
    <w:rsid w:val="16AB5C70"/>
    <w:rsid w:val="16AB67ED"/>
    <w:rsid w:val="16AB7652"/>
    <w:rsid w:val="16AC4F61"/>
    <w:rsid w:val="16AC5485"/>
    <w:rsid w:val="16AD19E8"/>
    <w:rsid w:val="16AD1E4B"/>
    <w:rsid w:val="16AD4750"/>
    <w:rsid w:val="16AD4BD0"/>
    <w:rsid w:val="16AD73A6"/>
    <w:rsid w:val="16AE257F"/>
    <w:rsid w:val="16AE5760"/>
    <w:rsid w:val="16AE750E"/>
    <w:rsid w:val="16AF2A39"/>
    <w:rsid w:val="16B014D8"/>
    <w:rsid w:val="16B030D1"/>
    <w:rsid w:val="16B03286"/>
    <w:rsid w:val="16B03627"/>
    <w:rsid w:val="16B054A9"/>
    <w:rsid w:val="16B0772A"/>
    <w:rsid w:val="16B12218"/>
    <w:rsid w:val="16B12BA0"/>
    <w:rsid w:val="16B20DAC"/>
    <w:rsid w:val="16B2163F"/>
    <w:rsid w:val="16B23EE8"/>
    <w:rsid w:val="16B25250"/>
    <w:rsid w:val="16B26FFE"/>
    <w:rsid w:val="16B31A52"/>
    <w:rsid w:val="16B33193"/>
    <w:rsid w:val="16B33784"/>
    <w:rsid w:val="16B34B25"/>
    <w:rsid w:val="16B34D13"/>
    <w:rsid w:val="16B40FC8"/>
    <w:rsid w:val="16B4452E"/>
    <w:rsid w:val="16B51E90"/>
    <w:rsid w:val="16B52116"/>
    <w:rsid w:val="16B54D41"/>
    <w:rsid w:val="16B55AB3"/>
    <w:rsid w:val="16B6711B"/>
    <w:rsid w:val="16B70AB9"/>
    <w:rsid w:val="16B72867"/>
    <w:rsid w:val="16B72FA4"/>
    <w:rsid w:val="16B737EA"/>
    <w:rsid w:val="16B81864"/>
    <w:rsid w:val="16B8213B"/>
    <w:rsid w:val="16B83B8B"/>
    <w:rsid w:val="16B9038D"/>
    <w:rsid w:val="16B94831"/>
    <w:rsid w:val="16B9510C"/>
    <w:rsid w:val="16B958C4"/>
    <w:rsid w:val="16B959CD"/>
    <w:rsid w:val="16B965DF"/>
    <w:rsid w:val="16BA1CAB"/>
    <w:rsid w:val="16BA4F4F"/>
    <w:rsid w:val="16BA5EB3"/>
    <w:rsid w:val="16BA6D54"/>
    <w:rsid w:val="16BB1925"/>
    <w:rsid w:val="16BB5671"/>
    <w:rsid w:val="16BC365D"/>
    <w:rsid w:val="16BC6035"/>
    <w:rsid w:val="16BC60CF"/>
    <w:rsid w:val="16BC6CA7"/>
    <w:rsid w:val="16BD49D7"/>
    <w:rsid w:val="16BE02A6"/>
    <w:rsid w:val="16BE3BF5"/>
    <w:rsid w:val="16BE50DE"/>
    <w:rsid w:val="16BE59A3"/>
    <w:rsid w:val="16BF2BFA"/>
    <w:rsid w:val="16BF34C9"/>
    <w:rsid w:val="16BF48B5"/>
    <w:rsid w:val="16BF796D"/>
    <w:rsid w:val="16C10514"/>
    <w:rsid w:val="16C14056"/>
    <w:rsid w:val="16C15493"/>
    <w:rsid w:val="16C15CF6"/>
    <w:rsid w:val="16C24BF5"/>
    <w:rsid w:val="16C276D6"/>
    <w:rsid w:val="16C3120C"/>
    <w:rsid w:val="16C3745D"/>
    <w:rsid w:val="16C44118"/>
    <w:rsid w:val="16C531D6"/>
    <w:rsid w:val="16C5620B"/>
    <w:rsid w:val="16C60CFC"/>
    <w:rsid w:val="16C62640"/>
    <w:rsid w:val="16C62AAA"/>
    <w:rsid w:val="16C6430F"/>
    <w:rsid w:val="16C64523"/>
    <w:rsid w:val="16C65A83"/>
    <w:rsid w:val="16C70D00"/>
    <w:rsid w:val="16C7156D"/>
    <w:rsid w:val="16C72A99"/>
    <w:rsid w:val="16C73497"/>
    <w:rsid w:val="16C75AA6"/>
    <w:rsid w:val="16C76EDA"/>
    <w:rsid w:val="16C86822"/>
    <w:rsid w:val="16C927E8"/>
    <w:rsid w:val="16C9404B"/>
    <w:rsid w:val="16C94348"/>
    <w:rsid w:val="16C947EA"/>
    <w:rsid w:val="16CA07EC"/>
    <w:rsid w:val="16CA259A"/>
    <w:rsid w:val="16CA5949"/>
    <w:rsid w:val="16CA7F8A"/>
    <w:rsid w:val="16CB00C0"/>
    <w:rsid w:val="16CB1E6E"/>
    <w:rsid w:val="16CB4564"/>
    <w:rsid w:val="16CB45DD"/>
    <w:rsid w:val="16CB7CD9"/>
    <w:rsid w:val="16CC0BA3"/>
    <w:rsid w:val="16CC28AA"/>
    <w:rsid w:val="16CC585D"/>
    <w:rsid w:val="16CC6DC0"/>
    <w:rsid w:val="16CD3E38"/>
    <w:rsid w:val="16CD5BE6"/>
    <w:rsid w:val="16CE0D48"/>
    <w:rsid w:val="16CE195E"/>
    <w:rsid w:val="16CE51CA"/>
    <w:rsid w:val="16CE665A"/>
    <w:rsid w:val="16CE6F3C"/>
    <w:rsid w:val="16CF122B"/>
    <w:rsid w:val="16CF40B0"/>
    <w:rsid w:val="16CF4C05"/>
    <w:rsid w:val="16CF5B22"/>
    <w:rsid w:val="16CF5F7B"/>
    <w:rsid w:val="16CF6227"/>
    <w:rsid w:val="16CF7AEA"/>
    <w:rsid w:val="16D03928"/>
    <w:rsid w:val="16D056D6"/>
    <w:rsid w:val="16D07F50"/>
    <w:rsid w:val="16D1014C"/>
    <w:rsid w:val="16D12A09"/>
    <w:rsid w:val="16D2144F"/>
    <w:rsid w:val="16D231FD"/>
    <w:rsid w:val="16D23900"/>
    <w:rsid w:val="16D276A1"/>
    <w:rsid w:val="16D27EEF"/>
    <w:rsid w:val="16D30431"/>
    <w:rsid w:val="16D32875"/>
    <w:rsid w:val="16D36371"/>
    <w:rsid w:val="16D36F75"/>
    <w:rsid w:val="16D43419"/>
    <w:rsid w:val="16D472FE"/>
    <w:rsid w:val="16D517D7"/>
    <w:rsid w:val="16D52CED"/>
    <w:rsid w:val="16D5395C"/>
    <w:rsid w:val="16D54D55"/>
    <w:rsid w:val="16D61FC6"/>
    <w:rsid w:val="16D62785"/>
    <w:rsid w:val="16D6361F"/>
    <w:rsid w:val="16D63AE8"/>
    <w:rsid w:val="16D64DEC"/>
    <w:rsid w:val="16D72F09"/>
    <w:rsid w:val="16D73437"/>
    <w:rsid w:val="16D7443F"/>
    <w:rsid w:val="16D74CB7"/>
    <w:rsid w:val="16D779BD"/>
    <w:rsid w:val="16D80E4D"/>
    <w:rsid w:val="16D81BDC"/>
    <w:rsid w:val="16D82A55"/>
    <w:rsid w:val="16D83079"/>
    <w:rsid w:val="16D83A1E"/>
    <w:rsid w:val="16D83F7A"/>
    <w:rsid w:val="16D8458B"/>
    <w:rsid w:val="16D871B4"/>
    <w:rsid w:val="16D904AD"/>
    <w:rsid w:val="16D95DFB"/>
    <w:rsid w:val="16D9778D"/>
    <w:rsid w:val="16DA44F4"/>
    <w:rsid w:val="16DA4EE2"/>
    <w:rsid w:val="16DA633E"/>
    <w:rsid w:val="16DB068B"/>
    <w:rsid w:val="16DB286B"/>
    <w:rsid w:val="16DB3747"/>
    <w:rsid w:val="16DB6C0C"/>
    <w:rsid w:val="16DB77CE"/>
    <w:rsid w:val="16DB7B82"/>
    <w:rsid w:val="16DC051F"/>
    <w:rsid w:val="16DC407B"/>
    <w:rsid w:val="16DC674F"/>
    <w:rsid w:val="16DD2110"/>
    <w:rsid w:val="16DD2C80"/>
    <w:rsid w:val="16DD6A2B"/>
    <w:rsid w:val="16DE1179"/>
    <w:rsid w:val="16DE1BA1"/>
    <w:rsid w:val="16DE6045"/>
    <w:rsid w:val="16DE7DF3"/>
    <w:rsid w:val="16DF0C12"/>
    <w:rsid w:val="16DF0D20"/>
    <w:rsid w:val="16DF3883"/>
    <w:rsid w:val="16DF3B6C"/>
    <w:rsid w:val="16DF591A"/>
    <w:rsid w:val="16DF775D"/>
    <w:rsid w:val="16E00A6F"/>
    <w:rsid w:val="16E01DBD"/>
    <w:rsid w:val="16E021B0"/>
    <w:rsid w:val="16E11692"/>
    <w:rsid w:val="16E1319C"/>
    <w:rsid w:val="16E143B6"/>
    <w:rsid w:val="16E14913"/>
    <w:rsid w:val="16E15B36"/>
    <w:rsid w:val="16E1638B"/>
    <w:rsid w:val="16E167EF"/>
    <w:rsid w:val="16E178E4"/>
    <w:rsid w:val="16E2350D"/>
    <w:rsid w:val="16E24AD0"/>
    <w:rsid w:val="16E305F3"/>
    <w:rsid w:val="16E318AE"/>
    <w:rsid w:val="16E31F33"/>
    <w:rsid w:val="16E3273B"/>
    <w:rsid w:val="16E3365C"/>
    <w:rsid w:val="16E41182"/>
    <w:rsid w:val="16E41FC1"/>
    <w:rsid w:val="16E42F30"/>
    <w:rsid w:val="16E44AE6"/>
    <w:rsid w:val="16E44C4A"/>
    <w:rsid w:val="16E507BE"/>
    <w:rsid w:val="16E511B1"/>
    <w:rsid w:val="16E51390"/>
    <w:rsid w:val="16E53CCF"/>
    <w:rsid w:val="16E55626"/>
    <w:rsid w:val="16E57383"/>
    <w:rsid w:val="16E573D4"/>
    <w:rsid w:val="16E577C2"/>
    <w:rsid w:val="16E57F6D"/>
    <w:rsid w:val="16E64975"/>
    <w:rsid w:val="16E64EFA"/>
    <w:rsid w:val="16E66CA8"/>
    <w:rsid w:val="16E77900"/>
    <w:rsid w:val="16E80C72"/>
    <w:rsid w:val="16E81DD2"/>
    <w:rsid w:val="16E82A20"/>
    <w:rsid w:val="16E82ACE"/>
    <w:rsid w:val="16E86EC4"/>
    <w:rsid w:val="16E92988"/>
    <w:rsid w:val="16E949A3"/>
    <w:rsid w:val="16E96798"/>
    <w:rsid w:val="16EA166A"/>
    <w:rsid w:val="16EA2314"/>
    <w:rsid w:val="16EA2C3C"/>
    <w:rsid w:val="16EA3E0B"/>
    <w:rsid w:val="16EA49EA"/>
    <w:rsid w:val="16EB0E31"/>
    <w:rsid w:val="16EB25B6"/>
    <w:rsid w:val="16EB42BE"/>
    <w:rsid w:val="16EC1269"/>
    <w:rsid w:val="16EC37B8"/>
    <w:rsid w:val="16EC6900"/>
    <w:rsid w:val="16ED1BE3"/>
    <w:rsid w:val="16ED6288"/>
    <w:rsid w:val="16ED74A8"/>
    <w:rsid w:val="16EE08B7"/>
    <w:rsid w:val="16EE25B0"/>
    <w:rsid w:val="16EE5F57"/>
    <w:rsid w:val="16EE6D27"/>
    <w:rsid w:val="16EF3DAF"/>
    <w:rsid w:val="16EF70D4"/>
    <w:rsid w:val="16F07B27"/>
    <w:rsid w:val="16F11148"/>
    <w:rsid w:val="16F119F4"/>
    <w:rsid w:val="16F13FCB"/>
    <w:rsid w:val="16F14633"/>
    <w:rsid w:val="16F2389F"/>
    <w:rsid w:val="16F25ECA"/>
    <w:rsid w:val="16F33FFF"/>
    <w:rsid w:val="16F40375"/>
    <w:rsid w:val="16F41155"/>
    <w:rsid w:val="16F413C5"/>
    <w:rsid w:val="16F41D35"/>
    <w:rsid w:val="16F459BF"/>
    <w:rsid w:val="16F471EA"/>
    <w:rsid w:val="16F5338F"/>
    <w:rsid w:val="16F5513D"/>
    <w:rsid w:val="16F56020"/>
    <w:rsid w:val="16F57E68"/>
    <w:rsid w:val="16F605F8"/>
    <w:rsid w:val="16F615E1"/>
    <w:rsid w:val="16F63F87"/>
    <w:rsid w:val="16F6423D"/>
    <w:rsid w:val="16F66D7B"/>
    <w:rsid w:val="16F70EB5"/>
    <w:rsid w:val="16F71843"/>
    <w:rsid w:val="16F72C63"/>
    <w:rsid w:val="16F733EF"/>
    <w:rsid w:val="16F75574"/>
    <w:rsid w:val="16F75866"/>
    <w:rsid w:val="16F76FA7"/>
    <w:rsid w:val="16F77107"/>
    <w:rsid w:val="16F83F95"/>
    <w:rsid w:val="16F841BE"/>
    <w:rsid w:val="16F92E7F"/>
    <w:rsid w:val="16F93AC7"/>
    <w:rsid w:val="16F94C2D"/>
    <w:rsid w:val="16F94D19"/>
    <w:rsid w:val="16F969DB"/>
    <w:rsid w:val="16F9783A"/>
    <w:rsid w:val="16FA09A5"/>
    <w:rsid w:val="16FA0DAA"/>
    <w:rsid w:val="16FA2753"/>
    <w:rsid w:val="16FA4C81"/>
    <w:rsid w:val="16FA75F3"/>
    <w:rsid w:val="16FC0247"/>
    <w:rsid w:val="16FC1965"/>
    <w:rsid w:val="16FC296F"/>
    <w:rsid w:val="16FC471D"/>
    <w:rsid w:val="16FD0020"/>
    <w:rsid w:val="16FD42A8"/>
    <w:rsid w:val="16FD6039"/>
    <w:rsid w:val="16FD6C24"/>
    <w:rsid w:val="16FE1105"/>
    <w:rsid w:val="16FE2244"/>
    <w:rsid w:val="16FE2E79"/>
    <w:rsid w:val="16FE33D5"/>
    <w:rsid w:val="16FE3FF2"/>
    <w:rsid w:val="16FF3FF7"/>
    <w:rsid w:val="170008B5"/>
    <w:rsid w:val="17001B84"/>
    <w:rsid w:val="1700420E"/>
    <w:rsid w:val="170065A6"/>
    <w:rsid w:val="17007A40"/>
    <w:rsid w:val="17011D34"/>
    <w:rsid w:val="17013AE2"/>
    <w:rsid w:val="170151A8"/>
    <w:rsid w:val="17017F86"/>
    <w:rsid w:val="17020BE9"/>
    <w:rsid w:val="1702247C"/>
    <w:rsid w:val="1702272B"/>
    <w:rsid w:val="170228F8"/>
    <w:rsid w:val="1702478C"/>
    <w:rsid w:val="170253F0"/>
    <w:rsid w:val="17035549"/>
    <w:rsid w:val="170369D9"/>
    <w:rsid w:val="17036EB0"/>
    <w:rsid w:val="17045380"/>
    <w:rsid w:val="170511A4"/>
    <w:rsid w:val="17052001"/>
    <w:rsid w:val="170535D2"/>
    <w:rsid w:val="170576D4"/>
    <w:rsid w:val="17061FE2"/>
    <w:rsid w:val="1706308B"/>
    <w:rsid w:val="17067826"/>
    <w:rsid w:val="17072E15"/>
    <w:rsid w:val="17074A52"/>
    <w:rsid w:val="17075AC8"/>
    <w:rsid w:val="17075B7B"/>
    <w:rsid w:val="17076710"/>
    <w:rsid w:val="17081314"/>
    <w:rsid w:val="17084E70"/>
    <w:rsid w:val="17090456"/>
    <w:rsid w:val="17092996"/>
    <w:rsid w:val="170A00E9"/>
    <w:rsid w:val="170A0BE8"/>
    <w:rsid w:val="170A28A0"/>
    <w:rsid w:val="170A508C"/>
    <w:rsid w:val="170A6E3A"/>
    <w:rsid w:val="170A7566"/>
    <w:rsid w:val="170B2BB3"/>
    <w:rsid w:val="170B670F"/>
    <w:rsid w:val="170C1FCB"/>
    <w:rsid w:val="170C321C"/>
    <w:rsid w:val="170C3EE6"/>
    <w:rsid w:val="170C6666"/>
    <w:rsid w:val="170C7D3C"/>
    <w:rsid w:val="170D2487"/>
    <w:rsid w:val="170D36D3"/>
    <w:rsid w:val="170D5337"/>
    <w:rsid w:val="170D692B"/>
    <w:rsid w:val="170D7784"/>
    <w:rsid w:val="170E0516"/>
    <w:rsid w:val="170E265C"/>
    <w:rsid w:val="170E2CC7"/>
    <w:rsid w:val="170E2E8E"/>
    <w:rsid w:val="170E3922"/>
    <w:rsid w:val="170F3598"/>
    <w:rsid w:val="170F4451"/>
    <w:rsid w:val="170F44C1"/>
    <w:rsid w:val="171005AA"/>
    <w:rsid w:val="17103D25"/>
    <w:rsid w:val="17110FDD"/>
    <w:rsid w:val="171171F2"/>
    <w:rsid w:val="17123F41"/>
    <w:rsid w:val="17124A88"/>
    <w:rsid w:val="17127A9D"/>
    <w:rsid w:val="171308DB"/>
    <w:rsid w:val="171338FD"/>
    <w:rsid w:val="171364BC"/>
    <w:rsid w:val="17141A67"/>
    <w:rsid w:val="17143815"/>
    <w:rsid w:val="17147CB9"/>
    <w:rsid w:val="171510CA"/>
    <w:rsid w:val="17155133"/>
    <w:rsid w:val="1715758D"/>
    <w:rsid w:val="17162855"/>
    <w:rsid w:val="171661B7"/>
    <w:rsid w:val="1716696A"/>
    <w:rsid w:val="17167DB6"/>
    <w:rsid w:val="1717080E"/>
    <w:rsid w:val="171730D7"/>
    <w:rsid w:val="17173305"/>
    <w:rsid w:val="171760A6"/>
    <w:rsid w:val="171903EA"/>
    <w:rsid w:val="17190E2C"/>
    <w:rsid w:val="171971D9"/>
    <w:rsid w:val="171A2AB6"/>
    <w:rsid w:val="171A4BA4"/>
    <w:rsid w:val="171B1048"/>
    <w:rsid w:val="171B2CD5"/>
    <w:rsid w:val="171B2DF6"/>
    <w:rsid w:val="171B63AE"/>
    <w:rsid w:val="171C4DC0"/>
    <w:rsid w:val="171C60F0"/>
    <w:rsid w:val="171C6B6E"/>
    <w:rsid w:val="171D090F"/>
    <w:rsid w:val="171D2151"/>
    <w:rsid w:val="171D5AFD"/>
    <w:rsid w:val="171D637C"/>
    <w:rsid w:val="171E28E6"/>
    <w:rsid w:val="171F21BA"/>
    <w:rsid w:val="171F3E7E"/>
    <w:rsid w:val="1720040C"/>
    <w:rsid w:val="172008B9"/>
    <w:rsid w:val="172032D1"/>
    <w:rsid w:val="17204051"/>
    <w:rsid w:val="17205453"/>
    <w:rsid w:val="1720665E"/>
    <w:rsid w:val="17207642"/>
    <w:rsid w:val="172123D6"/>
    <w:rsid w:val="17214184"/>
    <w:rsid w:val="17214CC9"/>
    <w:rsid w:val="17214EDB"/>
    <w:rsid w:val="17215F32"/>
    <w:rsid w:val="172271DD"/>
    <w:rsid w:val="17227CBD"/>
    <w:rsid w:val="17231CAA"/>
    <w:rsid w:val="17233A58"/>
    <w:rsid w:val="172364D9"/>
    <w:rsid w:val="17236AF4"/>
    <w:rsid w:val="17237EFC"/>
    <w:rsid w:val="1724264B"/>
    <w:rsid w:val="17250842"/>
    <w:rsid w:val="172508E3"/>
    <w:rsid w:val="17255A22"/>
    <w:rsid w:val="1726179A"/>
    <w:rsid w:val="17264599"/>
    <w:rsid w:val="172662DB"/>
    <w:rsid w:val="17271411"/>
    <w:rsid w:val="17273821"/>
    <w:rsid w:val="172779EC"/>
    <w:rsid w:val="17281B9E"/>
    <w:rsid w:val="17283764"/>
    <w:rsid w:val="17283774"/>
    <w:rsid w:val="17284467"/>
    <w:rsid w:val="17285513"/>
    <w:rsid w:val="17285DD4"/>
    <w:rsid w:val="172872C1"/>
    <w:rsid w:val="17287EA8"/>
    <w:rsid w:val="17294D2C"/>
    <w:rsid w:val="17294E2D"/>
    <w:rsid w:val="17297264"/>
    <w:rsid w:val="17297B96"/>
    <w:rsid w:val="172A128B"/>
    <w:rsid w:val="172A1B84"/>
    <w:rsid w:val="172A294C"/>
    <w:rsid w:val="172A4DE7"/>
    <w:rsid w:val="172B0B5F"/>
    <w:rsid w:val="172B157D"/>
    <w:rsid w:val="172B1C15"/>
    <w:rsid w:val="172B3B82"/>
    <w:rsid w:val="172B5E0C"/>
    <w:rsid w:val="172B5F11"/>
    <w:rsid w:val="172B6DB1"/>
    <w:rsid w:val="172B745A"/>
    <w:rsid w:val="172B7628"/>
    <w:rsid w:val="172C5003"/>
    <w:rsid w:val="172D0D7B"/>
    <w:rsid w:val="172D2B29"/>
    <w:rsid w:val="172D54A8"/>
    <w:rsid w:val="172D70F6"/>
    <w:rsid w:val="172D7E5C"/>
    <w:rsid w:val="172E029F"/>
    <w:rsid w:val="172E1B66"/>
    <w:rsid w:val="172E7EC2"/>
    <w:rsid w:val="172F064F"/>
    <w:rsid w:val="172F68A1"/>
    <w:rsid w:val="173043C7"/>
    <w:rsid w:val="17306175"/>
    <w:rsid w:val="17314406"/>
    <w:rsid w:val="17316FFB"/>
    <w:rsid w:val="1732013F"/>
    <w:rsid w:val="17321EED"/>
    <w:rsid w:val="17325DB2"/>
    <w:rsid w:val="17326391"/>
    <w:rsid w:val="1733209D"/>
    <w:rsid w:val="173363A9"/>
    <w:rsid w:val="17340E19"/>
    <w:rsid w:val="17342109"/>
    <w:rsid w:val="17343219"/>
    <w:rsid w:val="17343EB7"/>
    <w:rsid w:val="17346F48"/>
    <w:rsid w:val="17353482"/>
    <w:rsid w:val="173619DD"/>
    <w:rsid w:val="17364B64"/>
    <w:rsid w:val="17367C2F"/>
    <w:rsid w:val="173726FA"/>
    <w:rsid w:val="17377504"/>
    <w:rsid w:val="173777F4"/>
    <w:rsid w:val="17384188"/>
    <w:rsid w:val="17384FC3"/>
    <w:rsid w:val="17386125"/>
    <w:rsid w:val="17386D59"/>
    <w:rsid w:val="173914CE"/>
    <w:rsid w:val="17392CA2"/>
    <w:rsid w:val="1739327C"/>
    <w:rsid w:val="17395B07"/>
    <w:rsid w:val="17397720"/>
    <w:rsid w:val="173A3527"/>
    <w:rsid w:val="173B2312"/>
    <w:rsid w:val="173B5246"/>
    <w:rsid w:val="173C0838"/>
    <w:rsid w:val="173C0FBE"/>
    <w:rsid w:val="173C2D6C"/>
    <w:rsid w:val="173C4B1A"/>
    <w:rsid w:val="173D2349"/>
    <w:rsid w:val="173D297C"/>
    <w:rsid w:val="173D6011"/>
    <w:rsid w:val="173D60A6"/>
    <w:rsid w:val="173D6340"/>
    <w:rsid w:val="173D6B44"/>
    <w:rsid w:val="173E0CD4"/>
    <w:rsid w:val="173E116F"/>
    <w:rsid w:val="173E4D36"/>
    <w:rsid w:val="173E6AE4"/>
    <w:rsid w:val="173F2A93"/>
    <w:rsid w:val="173F2EF8"/>
    <w:rsid w:val="17400AAE"/>
    <w:rsid w:val="174030BA"/>
    <w:rsid w:val="1740460A"/>
    <w:rsid w:val="174100BC"/>
    <w:rsid w:val="17412CAA"/>
    <w:rsid w:val="174165D4"/>
    <w:rsid w:val="174204F9"/>
    <w:rsid w:val="1742154C"/>
    <w:rsid w:val="174260F1"/>
    <w:rsid w:val="17427E0B"/>
    <w:rsid w:val="1743234C"/>
    <w:rsid w:val="174329DC"/>
    <w:rsid w:val="17441CCB"/>
    <w:rsid w:val="174451A9"/>
    <w:rsid w:val="17445BDB"/>
    <w:rsid w:val="17450DCD"/>
    <w:rsid w:val="17451C21"/>
    <w:rsid w:val="17451ECC"/>
    <w:rsid w:val="174560C4"/>
    <w:rsid w:val="174576E9"/>
    <w:rsid w:val="17457E73"/>
    <w:rsid w:val="17464B06"/>
    <w:rsid w:val="17465999"/>
    <w:rsid w:val="17473065"/>
    <w:rsid w:val="1747497F"/>
    <w:rsid w:val="17481711"/>
    <w:rsid w:val="17483C7D"/>
    <w:rsid w:val="17485BB5"/>
    <w:rsid w:val="17487963"/>
    <w:rsid w:val="1749510D"/>
    <w:rsid w:val="174973F8"/>
    <w:rsid w:val="174A04D5"/>
    <w:rsid w:val="174A36DB"/>
    <w:rsid w:val="174A5489"/>
    <w:rsid w:val="174A5FA3"/>
    <w:rsid w:val="174A65BC"/>
    <w:rsid w:val="174A7237"/>
    <w:rsid w:val="174A754F"/>
    <w:rsid w:val="174B0689"/>
    <w:rsid w:val="174C4B08"/>
    <w:rsid w:val="174C7453"/>
    <w:rsid w:val="174D25E4"/>
    <w:rsid w:val="174D4F79"/>
    <w:rsid w:val="174D6D27"/>
    <w:rsid w:val="174E00A5"/>
    <w:rsid w:val="174F0CF1"/>
    <w:rsid w:val="174F2638"/>
    <w:rsid w:val="174F3B50"/>
    <w:rsid w:val="174F484D"/>
    <w:rsid w:val="174F508E"/>
    <w:rsid w:val="174F6F43"/>
    <w:rsid w:val="175005C5"/>
    <w:rsid w:val="17505825"/>
    <w:rsid w:val="1750629D"/>
    <w:rsid w:val="175119BF"/>
    <w:rsid w:val="175145D2"/>
    <w:rsid w:val="17516470"/>
    <w:rsid w:val="17516817"/>
    <w:rsid w:val="17521041"/>
    <w:rsid w:val="1752258F"/>
    <w:rsid w:val="17526BF7"/>
    <w:rsid w:val="17527900"/>
    <w:rsid w:val="17533961"/>
    <w:rsid w:val="17535A94"/>
    <w:rsid w:val="17540505"/>
    <w:rsid w:val="17542682"/>
    <w:rsid w:val="175429EC"/>
    <w:rsid w:val="17544351"/>
    <w:rsid w:val="1754608B"/>
    <w:rsid w:val="17552BB9"/>
    <w:rsid w:val="17553C2D"/>
    <w:rsid w:val="17556281"/>
    <w:rsid w:val="175633F2"/>
    <w:rsid w:val="1756356C"/>
    <w:rsid w:val="17563628"/>
    <w:rsid w:val="17563E2E"/>
    <w:rsid w:val="175668D5"/>
    <w:rsid w:val="17567867"/>
    <w:rsid w:val="17570F7A"/>
    <w:rsid w:val="17571954"/>
    <w:rsid w:val="17571D62"/>
    <w:rsid w:val="17573012"/>
    <w:rsid w:val="17575DF8"/>
    <w:rsid w:val="17577A43"/>
    <w:rsid w:val="17577BA6"/>
    <w:rsid w:val="175842DA"/>
    <w:rsid w:val="17592699"/>
    <w:rsid w:val="17592D5E"/>
    <w:rsid w:val="17592EC6"/>
    <w:rsid w:val="1759391E"/>
    <w:rsid w:val="175956CC"/>
    <w:rsid w:val="175977D3"/>
    <w:rsid w:val="175A3E17"/>
    <w:rsid w:val="175A6092"/>
    <w:rsid w:val="175B0C2B"/>
    <w:rsid w:val="175B1444"/>
    <w:rsid w:val="175B58E8"/>
    <w:rsid w:val="175B5F2D"/>
    <w:rsid w:val="175C04E3"/>
    <w:rsid w:val="175C099D"/>
    <w:rsid w:val="175C0E06"/>
    <w:rsid w:val="175C273E"/>
    <w:rsid w:val="175C2B21"/>
    <w:rsid w:val="175C3583"/>
    <w:rsid w:val="175C3EA0"/>
    <w:rsid w:val="175C51BC"/>
    <w:rsid w:val="175C5B53"/>
    <w:rsid w:val="175C6F6A"/>
    <w:rsid w:val="175D4391"/>
    <w:rsid w:val="175D7C2B"/>
    <w:rsid w:val="175E0A74"/>
    <w:rsid w:val="175E0F34"/>
    <w:rsid w:val="175E2CE2"/>
    <w:rsid w:val="175E7186"/>
    <w:rsid w:val="175F1F04"/>
    <w:rsid w:val="175F5AE9"/>
    <w:rsid w:val="17602EFE"/>
    <w:rsid w:val="17604AD5"/>
    <w:rsid w:val="17606A5A"/>
    <w:rsid w:val="176127D3"/>
    <w:rsid w:val="17614824"/>
    <w:rsid w:val="17616FCF"/>
    <w:rsid w:val="17620A24"/>
    <w:rsid w:val="176302F9"/>
    <w:rsid w:val="17631EA2"/>
    <w:rsid w:val="176335E0"/>
    <w:rsid w:val="1763479D"/>
    <w:rsid w:val="1763562D"/>
    <w:rsid w:val="1763654B"/>
    <w:rsid w:val="1763740F"/>
    <w:rsid w:val="176448E6"/>
    <w:rsid w:val="17647D58"/>
    <w:rsid w:val="176500D0"/>
    <w:rsid w:val="17650515"/>
    <w:rsid w:val="176522C3"/>
    <w:rsid w:val="17654071"/>
    <w:rsid w:val="176607A5"/>
    <w:rsid w:val="17670696"/>
    <w:rsid w:val="1767264A"/>
    <w:rsid w:val="1767603B"/>
    <w:rsid w:val="17680005"/>
    <w:rsid w:val="17680EFE"/>
    <w:rsid w:val="17683B61"/>
    <w:rsid w:val="176952B1"/>
    <w:rsid w:val="17695FB7"/>
    <w:rsid w:val="176A1687"/>
    <w:rsid w:val="176A7017"/>
    <w:rsid w:val="176A78D9"/>
    <w:rsid w:val="176B3494"/>
    <w:rsid w:val="176B35B8"/>
    <w:rsid w:val="176B57FE"/>
    <w:rsid w:val="176C18A3"/>
    <w:rsid w:val="176C7710"/>
    <w:rsid w:val="176D5FB9"/>
    <w:rsid w:val="176D6419"/>
    <w:rsid w:val="176D73C9"/>
    <w:rsid w:val="176E0569"/>
    <w:rsid w:val="176E3311"/>
    <w:rsid w:val="176F4EEF"/>
    <w:rsid w:val="176F6C9D"/>
    <w:rsid w:val="177017A1"/>
    <w:rsid w:val="17701D14"/>
    <w:rsid w:val="17702576"/>
    <w:rsid w:val="17704CBF"/>
    <w:rsid w:val="17705AC2"/>
    <w:rsid w:val="17710C68"/>
    <w:rsid w:val="17710FCB"/>
    <w:rsid w:val="17712A16"/>
    <w:rsid w:val="17714319"/>
    <w:rsid w:val="1771641F"/>
    <w:rsid w:val="17716EB9"/>
    <w:rsid w:val="1771774B"/>
    <w:rsid w:val="177249E0"/>
    <w:rsid w:val="1772678E"/>
    <w:rsid w:val="17726EEA"/>
    <w:rsid w:val="17732F8D"/>
    <w:rsid w:val="17735226"/>
    <w:rsid w:val="17740758"/>
    <w:rsid w:val="1774130F"/>
    <w:rsid w:val="17741943"/>
    <w:rsid w:val="17742506"/>
    <w:rsid w:val="177469AA"/>
    <w:rsid w:val="17750C2C"/>
    <w:rsid w:val="17750E5A"/>
    <w:rsid w:val="17754337"/>
    <w:rsid w:val="177625A5"/>
    <w:rsid w:val="17763A34"/>
    <w:rsid w:val="17765BE8"/>
    <w:rsid w:val="17766159"/>
    <w:rsid w:val="17771FF6"/>
    <w:rsid w:val="17773DA4"/>
    <w:rsid w:val="1778161B"/>
    <w:rsid w:val="1778273A"/>
    <w:rsid w:val="177834A0"/>
    <w:rsid w:val="17792AAB"/>
    <w:rsid w:val="17793FC0"/>
    <w:rsid w:val="17795D6E"/>
    <w:rsid w:val="17796EB8"/>
    <w:rsid w:val="177B16DD"/>
    <w:rsid w:val="177B24D5"/>
    <w:rsid w:val="177B3894"/>
    <w:rsid w:val="177B5642"/>
    <w:rsid w:val="177B7D38"/>
    <w:rsid w:val="177C760C"/>
    <w:rsid w:val="177C7D54"/>
    <w:rsid w:val="177D04EB"/>
    <w:rsid w:val="177D1261"/>
    <w:rsid w:val="177D585E"/>
    <w:rsid w:val="177E2F9C"/>
    <w:rsid w:val="177E3384"/>
    <w:rsid w:val="177E42C2"/>
    <w:rsid w:val="177E5132"/>
    <w:rsid w:val="177F008E"/>
    <w:rsid w:val="17800EAB"/>
    <w:rsid w:val="17803CDE"/>
    <w:rsid w:val="17807FD9"/>
    <w:rsid w:val="17812A7A"/>
    <w:rsid w:val="1781674E"/>
    <w:rsid w:val="178169D1"/>
    <w:rsid w:val="178269DF"/>
    <w:rsid w:val="1783099B"/>
    <w:rsid w:val="17832749"/>
    <w:rsid w:val="17835AB1"/>
    <w:rsid w:val="17836BED"/>
    <w:rsid w:val="178406D2"/>
    <w:rsid w:val="17840ED9"/>
    <w:rsid w:val="178412FF"/>
    <w:rsid w:val="17850E01"/>
    <w:rsid w:val="178523D7"/>
    <w:rsid w:val="17854713"/>
    <w:rsid w:val="17855360"/>
    <w:rsid w:val="17865A01"/>
    <w:rsid w:val="1787048B"/>
    <w:rsid w:val="178716A9"/>
    <w:rsid w:val="17873DE0"/>
    <w:rsid w:val="17873DE5"/>
    <w:rsid w:val="178766DD"/>
    <w:rsid w:val="17877E7A"/>
    <w:rsid w:val="17880A68"/>
    <w:rsid w:val="17881110"/>
    <w:rsid w:val="17882D86"/>
    <w:rsid w:val="17884203"/>
    <w:rsid w:val="17885FB1"/>
    <w:rsid w:val="17886401"/>
    <w:rsid w:val="17887D5F"/>
    <w:rsid w:val="17890919"/>
    <w:rsid w:val="178932DE"/>
    <w:rsid w:val="178939FF"/>
    <w:rsid w:val="17894A12"/>
    <w:rsid w:val="17895171"/>
    <w:rsid w:val="178971DD"/>
    <w:rsid w:val="178A190A"/>
    <w:rsid w:val="178A1D29"/>
    <w:rsid w:val="178A3AD0"/>
    <w:rsid w:val="178A48C6"/>
    <w:rsid w:val="178A4CBF"/>
    <w:rsid w:val="178B38D2"/>
    <w:rsid w:val="178C14E5"/>
    <w:rsid w:val="178C3CF3"/>
    <w:rsid w:val="178C5AA1"/>
    <w:rsid w:val="178C784F"/>
    <w:rsid w:val="178C7E66"/>
    <w:rsid w:val="178D23B1"/>
    <w:rsid w:val="178D36E3"/>
    <w:rsid w:val="178D3AF2"/>
    <w:rsid w:val="178D5001"/>
    <w:rsid w:val="178D5376"/>
    <w:rsid w:val="178E125F"/>
    <w:rsid w:val="178E4F82"/>
    <w:rsid w:val="178E7A6B"/>
    <w:rsid w:val="178F58F0"/>
    <w:rsid w:val="178F7340"/>
    <w:rsid w:val="17900D32"/>
    <w:rsid w:val="17905FBE"/>
    <w:rsid w:val="179130B8"/>
    <w:rsid w:val="17913903"/>
    <w:rsid w:val="17917419"/>
    <w:rsid w:val="17920BDE"/>
    <w:rsid w:val="17930754"/>
    <w:rsid w:val="17930F2A"/>
    <w:rsid w:val="179336CD"/>
    <w:rsid w:val="17936D72"/>
    <w:rsid w:val="17936E30"/>
    <w:rsid w:val="17942BA8"/>
    <w:rsid w:val="17944956"/>
    <w:rsid w:val="17946704"/>
    <w:rsid w:val="17953714"/>
    <w:rsid w:val="17957C6D"/>
    <w:rsid w:val="1796247C"/>
    <w:rsid w:val="17963A87"/>
    <w:rsid w:val="1796523D"/>
    <w:rsid w:val="17966920"/>
    <w:rsid w:val="179720A3"/>
    <w:rsid w:val="179761F4"/>
    <w:rsid w:val="17980C05"/>
    <w:rsid w:val="17982698"/>
    <w:rsid w:val="17991A43"/>
    <w:rsid w:val="17991F6C"/>
    <w:rsid w:val="179928AA"/>
    <w:rsid w:val="17994C66"/>
    <w:rsid w:val="17996410"/>
    <w:rsid w:val="179A3525"/>
    <w:rsid w:val="179A367E"/>
    <w:rsid w:val="179B0D27"/>
    <w:rsid w:val="179B1408"/>
    <w:rsid w:val="179B337D"/>
    <w:rsid w:val="179B3A20"/>
    <w:rsid w:val="179B3B6B"/>
    <w:rsid w:val="179B5CE4"/>
    <w:rsid w:val="179B5E06"/>
    <w:rsid w:val="179B7A92"/>
    <w:rsid w:val="179C18C4"/>
    <w:rsid w:val="179C1A62"/>
    <w:rsid w:val="179C380B"/>
    <w:rsid w:val="179C471A"/>
    <w:rsid w:val="179D054D"/>
    <w:rsid w:val="179E1A05"/>
    <w:rsid w:val="179E3336"/>
    <w:rsid w:val="179E3A27"/>
    <w:rsid w:val="179E40F1"/>
    <w:rsid w:val="179E7583"/>
    <w:rsid w:val="179F0E07"/>
    <w:rsid w:val="179F2333"/>
    <w:rsid w:val="179F2B60"/>
    <w:rsid w:val="179F59F7"/>
    <w:rsid w:val="17A00827"/>
    <w:rsid w:val="17A032FB"/>
    <w:rsid w:val="17A0513C"/>
    <w:rsid w:val="17A0746F"/>
    <w:rsid w:val="17A0779F"/>
    <w:rsid w:val="17A10196"/>
    <w:rsid w:val="17A10E21"/>
    <w:rsid w:val="17A17C1F"/>
    <w:rsid w:val="17A308E9"/>
    <w:rsid w:val="17A32BF3"/>
    <w:rsid w:val="17A32DEB"/>
    <w:rsid w:val="17A34B99"/>
    <w:rsid w:val="17A4103D"/>
    <w:rsid w:val="17A45B86"/>
    <w:rsid w:val="17A503C1"/>
    <w:rsid w:val="17A54DB5"/>
    <w:rsid w:val="17A555DA"/>
    <w:rsid w:val="17A6096F"/>
    <w:rsid w:val="17A70B2D"/>
    <w:rsid w:val="17A728DB"/>
    <w:rsid w:val="17A74476"/>
    <w:rsid w:val="17A74E1F"/>
    <w:rsid w:val="17A76437"/>
    <w:rsid w:val="17A80401"/>
    <w:rsid w:val="17A821AF"/>
    <w:rsid w:val="17A8226F"/>
    <w:rsid w:val="17A96653"/>
    <w:rsid w:val="17AA211F"/>
    <w:rsid w:val="17AA23CB"/>
    <w:rsid w:val="17AA2BC4"/>
    <w:rsid w:val="17AA301A"/>
    <w:rsid w:val="17AA3930"/>
    <w:rsid w:val="17AA4B17"/>
    <w:rsid w:val="17AB593A"/>
    <w:rsid w:val="17AC08B4"/>
    <w:rsid w:val="17AC6144"/>
    <w:rsid w:val="17AC6BE0"/>
    <w:rsid w:val="17AD0655"/>
    <w:rsid w:val="17AD2B15"/>
    <w:rsid w:val="17AD49E8"/>
    <w:rsid w:val="17AD77C6"/>
    <w:rsid w:val="17AE128A"/>
    <w:rsid w:val="17AE27A6"/>
    <w:rsid w:val="17AE59FC"/>
    <w:rsid w:val="17AE7721"/>
    <w:rsid w:val="17AF0B55"/>
    <w:rsid w:val="17AF4B65"/>
    <w:rsid w:val="17AF6E8C"/>
    <w:rsid w:val="17AF71A4"/>
    <w:rsid w:val="17AF79E2"/>
    <w:rsid w:val="17B02286"/>
    <w:rsid w:val="17B10BE3"/>
    <w:rsid w:val="17B117AC"/>
    <w:rsid w:val="17B1375A"/>
    <w:rsid w:val="17B14EDF"/>
    <w:rsid w:val="17B15508"/>
    <w:rsid w:val="17B211DA"/>
    <w:rsid w:val="17B22C3C"/>
    <w:rsid w:val="17B23538"/>
    <w:rsid w:val="17B24D9C"/>
    <w:rsid w:val="17B257DE"/>
    <w:rsid w:val="17B3096F"/>
    <w:rsid w:val="17B31280"/>
    <w:rsid w:val="17B31FB9"/>
    <w:rsid w:val="17B33BE2"/>
    <w:rsid w:val="17B374D2"/>
    <w:rsid w:val="17B37F46"/>
    <w:rsid w:val="17B40B54"/>
    <w:rsid w:val="17B40D82"/>
    <w:rsid w:val="17B434B7"/>
    <w:rsid w:val="17B4366D"/>
    <w:rsid w:val="17B4366F"/>
    <w:rsid w:val="17B46C9D"/>
    <w:rsid w:val="17B5064C"/>
    <w:rsid w:val="17B55426"/>
    <w:rsid w:val="17B60D70"/>
    <w:rsid w:val="17B61082"/>
    <w:rsid w:val="17B61287"/>
    <w:rsid w:val="17B61722"/>
    <w:rsid w:val="17B62B1E"/>
    <w:rsid w:val="17B640FC"/>
    <w:rsid w:val="17B6418E"/>
    <w:rsid w:val="17B648CC"/>
    <w:rsid w:val="17B65676"/>
    <w:rsid w:val="17B6615A"/>
    <w:rsid w:val="17B67245"/>
    <w:rsid w:val="17B67EA8"/>
    <w:rsid w:val="17B80644"/>
    <w:rsid w:val="17B829D8"/>
    <w:rsid w:val="17B84AE8"/>
    <w:rsid w:val="17B86896"/>
    <w:rsid w:val="17B86AAE"/>
    <w:rsid w:val="17B9167F"/>
    <w:rsid w:val="17B9260F"/>
    <w:rsid w:val="17B943BD"/>
    <w:rsid w:val="17B9570B"/>
    <w:rsid w:val="17B9616B"/>
    <w:rsid w:val="17B97F3E"/>
    <w:rsid w:val="17BA15CD"/>
    <w:rsid w:val="17BA19BD"/>
    <w:rsid w:val="17BA4E9E"/>
    <w:rsid w:val="17BA5999"/>
    <w:rsid w:val="17BB0135"/>
    <w:rsid w:val="17BB1EE3"/>
    <w:rsid w:val="17BB2EC8"/>
    <w:rsid w:val="17BB542F"/>
    <w:rsid w:val="17BB6B70"/>
    <w:rsid w:val="17BB6D25"/>
    <w:rsid w:val="17BC0000"/>
    <w:rsid w:val="17BC5193"/>
    <w:rsid w:val="17BC71D1"/>
    <w:rsid w:val="17BC7F8F"/>
    <w:rsid w:val="17BD20FF"/>
    <w:rsid w:val="17BD7C2F"/>
    <w:rsid w:val="17BE3FBA"/>
    <w:rsid w:val="17BE4C81"/>
    <w:rsid w:val="17BE79E5"/>
    <w:rsid w:val="17BE7C25"/>
    <w:rsid w:val="17BF076E"/>
    <w:rsid w:val="17BF3DB0"/>
    <w:rsid w:val="17BF4EB7"/>
    <w:rsid w:val="17BF5581"/>
    <w:rsid w:val="17BF5E77"/>
    <w:rsid w:val="17C0085B"/>
    <w:rsid w:val="17C0133A"/>
    <w:rsid w:val="17C01B82"/>
    <w:rsid w:val="17C0399D"/>
    <w:rsid w:val="17C0574B"/>
    <w:rsid w:val="17C074F9"/>
    <w:rsid w:val="17C112A1"/>
    <w:rsid w:val="17C13539"/>
    <w:rsid w:val="17C20428"/>
    <w:rsid w:val="17C21324"/>
    <w:rsid w:val="17C214C3"/>
    <w:rsid w:val="17C24EBC"/>
    <w:rsid w:val="17C27106"/>
    <w:rsid w:val="17C27715"/>
    <w:rsid w:val="17C33BC1"/>
    <w:rsid w:val="17C3523B"/>
    <w:rsid w:val="17C35302"/>
    <w:rsid w:val="17C36DF2"/>
    <w:rsid w:val="17C374A7"/>
    <w:rsid w:val="17C42121"/>
    <w:rsid w:val="17C444C1"/>
    <w:rsid w:val="17C454A4"/>
    <w:rsid w:val="17C474EA"/>
    <w:rsid w:val="17C50FB3"/>
    <w:rsid w:val="17C53F8C"/>
    <w:rsid w:val="17C57205"/>
    <w:rsid w:val="17C62C67"/>
    <w:rsid w:val="17C63C83"/>
    <w:rsid w:val="17C739D2"/>
    <w:rsid w:val="17C76AD9"/>
    <w:rsid w:val="17C77CFD"/>
    <w:rsid w:val="17C84600"/>
    <w:rsid w:val="17C85410"/>
    <w:rsid w:val="17C865A3"/>
    <w:rsid w:val="17C87E9B"/>
    <w:rsid w:val="17C918B5"/>
    <w:rsid w:val="17C92852"/>
    <w:rsid w:val="17CA0EC3"/>
    <w:rsid w:val="17CA481C"/>
    <w:rsid w:val="17CA6515"/>
    <w:rsid w:val="17CB6BE3"/>
    <w:rsid w:val="17CC0594"/>
    <w:rsid w:val="17CC2342"/>
    <w:rsid w:val="17CC40F0"/>
    <w:rsid w:val="17CC6A67"/>
    <w:rsid w:val="17CC7AF5"/>
    <w:rsid w:val="17CD0F85"/>
    <w:rsid w:val="17CD1C16"/>
    <w:rsid w:val="17CD4492"/>
    <w:rsid w:val="17CF1E32"/>
    <w:rsid w:val="17CF293E"/>
    <w:rsid w:val="17CF598E"/>
    <w:rsid w:val="17CF5C8A"/>
    <w:rsid w:val="17D04D35"/>
    <w:rsid w:val="17D061C5"/>
    <w:rsid w:val="17D11706"/>
    <w:rsid w:val="17D11723"/>
    <w:rsid w:val="17D11A04"/>
    <w:rsid w:val="17D14752"/>
    <w:rsid w:val="17D1503E"/>
    <w:rsid w:val="17D15BAA"/>
    <w:rsid w:val="17D16B75"/>
    <w:rsid w:val="17D172BB"/>
    <w:rsid w:val="17D226D6"/>
    <w:rsid w:val="17D2271F"/>
    <w:rsid w:val="17D248BB"/>
    <w:rsid w:val="17D265B8"/>
    <w:rsid w:val="17D31922"/>
    <w:rsid w:val="17D336D0"/>
    <w:rsid w:val="17D411F6"/>
    <w:rsid w:val="17D42FA4"/>
    <w:rsid w:val="17D43399"/>
    <w:rsid w:val="17D47448"/>
    <w:rsid w:val="17D55132"/>
    <w:rsid w:val="17D613B4"/>
    <w:rsid w:val="17D61A3D"/>
    <w:rsid w:val="17D631C0"/>
    <w:rsid w:val="17D64B12"/>
    <w:rsid w:val="17D65C63"/>
    <w:rsid w:val="17D66994"/>
    <w:rsid w:val="17D66D1D"/>
    <w:rsid w:val="17D6716D"/>
    <w:rsid w:val="17D72300"/>
    <w:rsid w:val="17D734C7"/>
    <w:rsid w:val="17D74C08"/>
    <w:rsid w:val="17D754AF"/>
    <w:rsid w:val="17D759BC"/>
    <w:rsid w:val="17D80CE7"/>
    <w:rsid w:val="17D82A95"/>
    <w:rsid w:val="17D86F39"/>
    <w:rsid w:val="17D905BB"/>
    <w:rsid w:val="17D920F9"/>
    <w:rsid w:val="17D9680D"/>
    <w:rsid w:val="17D9783E"/>
    <w:rsid w:val="17DA3589"/>
    <w:rsid w:val="17DA4A5F"/>
    <w:rsid w:val="17DA4A73"/>
    <w:rsid w:val="17DA6F0B"/>
    <w:rsid w:val="17DA74F0"/>
    <w:rsid w:val="17DB07D7"/>
    <w:rsid w:val="17DB194C"/>
    <w:rsid w:val="17DB2585"/>
    <w:rsid w:val="17DB33B5"/>
    <w:rsid w:val="17DC32D8"/>
    <w:rsid w:val="17DC7D23"/>
    <w:rsid w:val="17DD0A7A"/>
    <w:rsid w:val="17DD0CAF"/>
    <w:rsid w:val="17DD1E75"/>
    <w:rsid w:val="17DD454F"/>
    <w:rsid w:val="17DD49B3"/>
    <w:rsid w:val="17DD52E9"/>
    <w:rsid w:val="17DD62FD"/>
    <w:rsid w:val="17DD7339"/>
    <w:rsid w:val="17DE3E23"/>
    <w:rsid w:val="17DF2075"/>
    <w:rsid w:val="17DF689D"/>
    <w:rsid w:val="17DF69FB"/>
    <w:rsid w:val="17E01BA6"/>
    <w:rsid w:val="17E03EAC"/>
    <w:rsid w:val="17E04C00"/>
    <w:rsid w:val="17E05DED"/>
    <w:rsid w:val="17E0618F"/>
    <w:rsid w:val="17E07B9B"/>
    <w:rsid w:val="17E10F3F"/>
    <w:rsid w:val="17E114F1"/>
    <w:rsid w:val="17E13F3C"/>
    <w:rsid w:val="17E14679"/>
    <w:rsid w:val="17E1714A"/>
    <w:rsid w:val="17E205DA"/>
    <w:rsid w:val="17E217ED"/>
    <w:rsid w:val="17E21B65"/>
    <w:rsid w:val="17E26EB7"/>
    <w:rsid w:val="17E2796B"/>
    <w:rsid w:val="17E30878"/>
    <w:rsid w:val="17E331AB"/>
    <w:rsid w:val="17E34892"/>
    <w:rsid w:val="17E400D2"/>
    <w:rsid w:val="17E4768B"/>
    <w:rsid w:val="17E52D7B"/>
    <w:rsid w:val="17E53404"/>
    <w:rsid w:val="17E551B2"/>
    <w:rsid w:val="17E5581B"/>
    <w:rsid w:val="17E56F60"/>
    <w:rsid w:val="17E57B3C"/>
    <w:rsid w:val="17E614DA"/>
    <w:rsid w:val="17E66F5B"/>
    <w:rsid w:val="17E70F2A"/>
    <w:rsid w:val="17E775B0"/>
    <w:rsid w:val="17E92EF4"/>
    <w:rsid w:val="17E96131"/>
    <w:rsid w:val="17E97834"/>
    <w:rsid w:val="17EA04AD"/>
    <w:rsid w:val="17EA0D30"/>
    <w:rsid w:val="17EA27C8"/>
    <w:rsid w:val="17EA49E5"/>
    <w:rsid w:val="17EB030A"/>
    <w:rsid w:val="17EB12D7"/>
    <w:rsid w:val="17EB5FA5"/>
    <w:rsid w:val="17EB6307"/>
    <w:rsid w:val="17EB6C6C"/>
    <w:rsid w:val="17EC02EE"/>
    <w:rsid w:val="17EC0DE7"/>
    <w:rsid w:val="17EC425D"/>
    <w:rsid w:val="17EC4792"/>
    <w:rsid w:val="17EC6540"/>
    <w:rsid w:val="17ED0C0C"/>
    <w:rsid w:val="17ED473A"/>
    <w:rsid w:val="17ED699D"/>
    <w:rsid w:val="17EE02BE"/>
    <w:rsid w:val="17EE050A"/>
    <w:rsid w:val="17EE2E8F"/>
    <w:rsid w:val="17EE37CB"/>
    <w:rsid w:val="17EE4314"/>
    <w:rsid w:val="17EE4D55"/>
    <w:rsid w:val="17EF174E"/>
    <w:rsid w:val="17EF1998"/>
    <w:rsid w:val="17EF431F"/>
    <w:rsid w:val="17EF6030"/>
    <w:rsid w:val="17F02BDE"/>
    <w:rsid w:val="17F02ED1"/>
    <w:rsid w:val="17F06B5A"/>
    <w:rsid w:val="17F16C3F"/>
    <w:rsid w:val="17F17594"/>
    <w:rsid w:val="17F21810"/>
    <w:rsid w:val="17F22727"/>
    <w:rsid w:val="17F23070"/>
    <w:rsid w:val="17F26500"/>
    <w:rsid w:val="17F30F66"/>
    <w:rsid w:val="17F31328"/>
    <w:rsid w:val="17F3155F"/>
    <w:rsid w:val="17F35B20"/>
    <w:rsid w:val="17F36D55"/>
    <w:rsid w:val="17F451EC"/>
    <w:rsid w:val="17F453F5"/>
    <w:rsid w:val="17F50191"/>
    <w:rsid w:val="17F5162F"/>
    <w:rsid w:val="17F559D0"/>
    <w:rsid w:val="17F55BC7"/>
    <w:rsid w:val="17F6116D"/>
    <w:rsid w:val="17F628BC"/>
    <w:rsid w:val="17F70E60"/>
    <w:rsid w:val="17F76BC6"/>
    <w:rsid w:val="17F81389"/>
    <w:rsid w:val="17F83F41"/>
    <w:rsid w:val="17F875CE"/>
    <w:rsid w:val="17F914AE"/>
    <w:rsid w:val="17F97E31"/>
    <w:rsid w:val="17FA4F19"/>
    <w:rsid w:val="17FA5F7E"/>
    <w:rsid w:val="17FA6B9B"/>
    <w:rsid w:val="17FA6EAF"/>
    <w:rsid w:val="17FB1924"/>
    <w:rsid w:val="17FB28C2"/>
    <w:rsid w:val="17FB2C27"/>
    <w:rsid w:val="17FB49D5"/>
    <w:rsid w:val="17FC425C"/>
    <w:rsid w:val="17FD51E2"/>
    <w:rsid w:val="17FD5F3A"/>
    <w:rsid w:val="17FD6923"/>
    <w:rsid w:val="17FE052C"/>
    <w:rsid w:val="17FE7DB3"/>
    <w:rsid w:val="17FF1243"/>
    <w:rsid w:val="17FF44C5"/>
    <w:rsid w:val="17FF5CE4"/>
    <w:rsid w:val="17FF6273"/>
    <w:rsid w:val="17FF70E2"/>
    <w:rsid w:val="18001F45"/>
    <w:rsid w:val="18004B6B"/>
    <w:rsid w:val="180052A4"/>
    <w:rsid w:val="18017B76"/>
    <w:rsid w:val="18022BD4"/>
    <w:rsid w:val="180245E6"/>
    <w:rsid w:val="18024BDD"/>
    <w:rsid w:val="18025D64"/>
    <w:rsid w:val="18027B12"/>
    <w:rsid w:val="18027DD3"/>
    <w:rsid w:val="18031054"/>
    <w:rsid w:val="180314D0"/>
    <w:rsid w:val="18034982"/>
    <w:rsid w:val="180359CC"/>
    <w:rsid w:val="1803764E"/>
    <w:rsid w:val="18041ADC"/>
    <w:rsid w:val="180424E4"/>
    <w:rsid w:val="18045F94"/>
    <w:rsid w:val="18051D3C"/>
    <w:rsid w:val="18054537"/>
    <w:rsid w:val="180550B5"/>
    <w:rsid w:val="18056910"/>
    <w:rsid w:val="18056C31"/>
    <w:rsid w:val="180607D9"/>
    <w:rsid w:val="18061B86"/>
    <w:rsid w:val="18064908"/>
    <w:rsid w:val="18065016"/>
    <w:rsid w:val="180715CC"/>
    <w:rsid w:val="180725A6"/>
    <w:rsid w:val="180728B7"/>
    <w:rsid w:val="18083A36"/>
    <w:rsid w:val="18083E91"/>
    <w:rsid w:val="180903C7"/>
    <w:rsid w:val="18090EA0"/>
    <w:rsid w:val="18091BD0"/>
    <w:rsid w:val="18094EC6"/>
    <w:rsid w:val="18094F0A"/>
    <w:rsid w:val="18095344"/>
    <w:rsid w:val="180970F2"/>
    <w:rsid w:val="18097A97"/>
    <w:rsid w:val="180A0F27"/>
    <w:rsid w:val="180A2E6A"/>
    <w:rsid w:val="180A74EF"/>
    <w:rsid w:val="180B10BC"/>
    <w:rsid w:val="180B1CEE"/>
    <w:rsid w:val="180B23B7"/>
    <w:rsid w:val="180B3AAE"/>
    <w:rsid w:val="180B77E6"/>
    <w:rsid w:val="180C0990"/>
    <w:rsid w:val="180C273E"/>
    <w:rsid w:val="180C6BE2"/>
    <w:rsid w:val="180D6852"/>
    <w:rsid w:val="180E582C"/>
    <w:rsid w:val="180F1EA1"/>
    <w:rsid w:val="180F5184"/>
    <w:rsid w:val="181066D2"/>
    <w:rsid w:val="1811244B"/>
    <w:rsid w:val="18113A03"/>
    <w:rsid w:val="181141F9"/>
    <w:rsid w:val="18115FA7"/>
    <w:rsid w:val="18117D55"/>
    <w:rsid w:val="1812314D"/>
    <w:rsid w:val="18131D1F"/>
    <w:rsid w:val="18133700"/>
    <w:rsid w:val="18133ACD"/>
    <w:rsid w:val="18141649"/>
    <w:rsid w:val="18141FD9"/>
    <w:rsid w:val="18144BAA"/>
    <w:rsid w:val="18147845"/>
    <w:rsid w:val="18153CE9"/>
    <w:rsid w:val="18155A97"/>
    <w:rsid w:val="1815603A"/>
    <w:rsid w:val="1816180F"/>
    <w:rsid w:val="18162DE7"/>
    <w:rsid w:val="181635BD"/>
    <w:rsid w:val="1816603C"/>
    <w:rsid w:val="18166A0A"/>
    <w:rsid w:val="18167A61"/>
    <w:rsid w:val="1817209B"/>
    <w:rsid w:val="18180161"/>
    <w:rsid w:val="181810E3"/>
    <w:rsid w:val="18181DEA"/>
    <w:rsid w:val="18184D2A"/>
    <w:rsid w:val="18185587"/>
    <w:rsid w:val="181874C4"/>
    <w:rsid w:val="181906D1"/>
    <w:rsid w:val="181916B9"/>
    <w:rsid w:val="18193E43"/>
    <w:rsid w:val="18194090"/>
    <w:rsid w:val="181A12FF"/>
    <w:rsid w:val="181A1675"/>
    <w:rsid w:val="181A2586"/>
    <w:rsid w:val="181A26E5"/>
    <w:rsid w:val="181A30AD"/>
    <w:rsid w:val="181A5E4B"/>
    <w:rsid w:val="181A7D48"/>
    <w:rsid w:val="181A7E71"/>
    <w:rsid w:val="181B0739"/>
    <w:rsid w:val="181B0BD3"/>
    <w:rsid w:val="181B1EAC"/>
    <w:rsid w:val="181B28AB"/>
    <w:rsid w:val="181B5077"/>
    <w:rsid w:val="181B6E25"/>
    <w:rsid w:val="181C6B43"/>
    <w:rsid w:val="181D0DEF"/>
    <w:rsid w:val="181D2723"/>
    <w:rsid w:val="181D3A0A"/>
    <w:rsid w:val="181D494B"/>
    <w:rsid w:val="181E2472"/>
    <w:rsid w:val="181E52EC"/>
    <w:rsid w:val="181E57E2"/>
    <w:rsid w:val="181F09F4"/>
    <w:rsid w:val="181F31B6"/>
    <w:rsid w:val="181F6915"/>
    <w:rsid w:val="1820314D"/>
    <w:rsid w:val="1820443C"/>
    <w:rsid w:val="182061EA"/>
    <w:rsid w:val="18215CD3"/>
    <w:rsid w:val="182208D1"/>
    <w:rsid w:val="18221F62"/>
    <w:rsid w:val="18223933"/>
    <w:rsid w:val="18226406"/>
    <w:rsid w:val="18226971"/>
    <w:rsid w:val="182302C9"/>
    <w:rsid w:val="1824217E"/>
    <w:rsid w:val="182452DC"/>
    <w:rsid w:val="18245CDA"/>
    <w:rsid w:val="18247658"/>
    <w:rsid w:val="18252FB3"/>
    <w:rsid w:val="18253800"/>
    <w:rsid w:val="1825759A"/>
    <w:rsid w:val="18273A1C"/>
    <w:rsid w:val="18277578"/>
    <w:rsid w:val="182818DF"/>
    <w:rsid w:val="182874A2"/>
    <w:rsid w:val="18291542"/>
    <w:rsid w:val="182932F0"/>
    <w:rsid w:val="18295214"/>
    <w:rsid w:val="182A7068"/>
    <w:rsid w:val="182B0260"/>
    <w:rsid w:val="182B19A1"/>
    <w:rsid w:val="182B52BA"/>
    <w:rsid w:val="182B6DD0"/>
    <w:rsid w:val="182B7976"/>
    <w:rsid w:val="182C1032"/>
    <w:rsid w:val="182D42C1"/>
    <w:rsid w:val="182D53CA"/>
    <w:rsid w:val="182D7DBF"/>
    <w:rsid w:val="182E15D8"/>
    <w:rsid w:val="182E41DB"/>
    <w:rsid w:val="182E62CB"/>
    <w:rsid w:val="182E6B59"/>
    <w:rsid w:val="182F0FA4"/>
    <w:rsid w:val="182F1355"/>
    <w:rsid w:val="182F13A1"/>
    <w:rsid w:val="182F467F"/>
    <w:rsid w:val="18300B23"/>
    <w:rsid w:val="18301222"/>
    <w:rsid w:val="183028D1"/>
    <w:rsid w:val="18302C42"/>
    <w:rsid w:val="18303023"/>
    <w:rsid w:val="183103F7"/>
    <w:rsid w:val="18311EA3"/>
    <w:rsid w:val="183121A5"/>
    <w:rsid w:val="18312669"/>
    <w:rsid w:val="183140D2"/>
    <w:rsid w:val="18316649"/>
    <w:rsid w:val="18322520"/>
    <w:rsid w:val="18323544"/>
    <w:rsid w:val="18326CA3"/>
    <w:rsid w:val="18330D36"/>
    <w:rsid w:val="18331C1F"/>
    <w:rsid w:val="18333A1E"/>
    <w:rsid w:val="1833416F"/>
    <w:rsid w:val="18335F1D"/>
    <w:rsid w:val="183415C3"/>
    <w:rsid w:val="18341C27"/>
    <w:rsid w:val="18343965"/>
    <w:rsid w:val="18351C95"/>
    <w:rsid w:val="183526D1"/>
    <w:rsid w:val="18355624"/>
    <w:rsid w:val="183577C0"/>
    <w:rsid w:val="18357EE7"/>
    <w:rsid w:val="18363C5F"/>
    <w:rsid w:val="18363EE3"/>
    <w:rsid w:val="18365A0D"/>
    <w:rsid w:val="18366AB4"/>
    <w:rsid w:val="183716CD"/>
    <w:rsid w:val="18371EB1"/>
    <w:rsid w:val="18372B89"/>
    <w:rsid w:val="18375D2F"/>
    <w:rsid w:val="183768D2"/>
    <w:rsid w:val="18381785"/>
    <w:rsid w:val="1838681C"/>
    <w:rsid w:val="18387277"/>
    <w:rsid w:val="183879D7"/>
    <w:rsid w:val="18390D96"/>
    <w:rsid w:val="18392864"/>
    <w:rsid w:val="183A374F"/>
    <w:rsid w:val="183A5435"/>
    <w:rsid w:val="183A54FD"/>
    <w:rsid w:val="183A68C5"/>
    <w:rsid w:val="183A72AB"/>
    <w:rsid w:val="183B3351"/>
    <w:rsid w:val="183C74C7"/>
    <w:rsid w:val="183D0B4A"/>
    <w:rsid w:val="183D1830"/>
    <w:rsid w:val="183D3240"/>
    <w:rsid w:val="183D6D9C"/>
    <w:rsid w:val="183D75D9"/>
    <w:rsid w:val="183D7AE9"/>
    <w:rsid w:val="183E1537"/>
    <w:rsid w:val="183E3DD2"/>
    <w:rsid w:val="183E5BC7"/>
    <w:rsid w:val="183F0D66"/>
    <w:rsid w:val="183F210C"/>
    <w:rsid w:val="183F4732"/>
    <w:rsid w:val="183F5BC2"/>
    <w:rsid w:val="183F66D6"/>
    <w:rsid w:val="184100B4"/>
    <w:rsid w:val="18411293"/>
    <w:rsid w:val="184113B2"/>
    <w:rsid w:val="18413DC1"/>
    <w:rsid w:val="18420856"/>
    <w:rsid w:val="18423938"/>
    <w:rsid w:val="184243B2"/>
    <w:rsid w:val="1844012A"/>
    <w:rsid w:val="184410B8"/>
    <w:rsid w:val="18441ED8"/>
    <w:rsid w:val="1844304E"/>
    <w:rsid w:val="184455BA"/>
    <w:rsid w:val="18446B32"/>
    <w:rsid w:val="18447977"/>
    <w:rsid w:val="184620F4"/>
    <w:rsid w:val="184639D8"/>
    <w:rsid w:val="18463EA2"/>
    <w:rsid w:val="184719C8"/>
    <w:rsid w:val="18472255"/>
    <w:rsid w:val="18472E5D"/>
    <w:rsid w:val="18475E6C"/>
    <w:rsid w:val="184762F8"/>
    <w:rsid w:val="18482B9D"/>
    <w:rsid w:val="18484DE1"/>
    <w:rsid w:val="18487794"/>
    <w:rsid w:val="18490A5D"/>
    <w:rsid w:val="18491BE4"/>
    <w:rsid w:val="18493992"/>
    <w:rsid w:val="184951C2"/>
    <w:rsid w:val="18495740"/>
    <w:rsid w:val="184A2CBD"/>
    <w:rsid w:val="184A37E9"/>
    <w:rsid w:val="184A63BA"/>
    <w:rsid w:val="184B14B9"/>
    <w:rsid w:val="184B3D94"/>
    <w:rsid w:val="184B4C79"/>
    <w:rsid w:val="184B784A"/>
    <w:rsid w:val="184C0317"/>
    <w:rsid w:val="184C3483"/>
    <w:rsid w:val="184C4E1D"/>
    <w:rsid w:val="184D216A"/>
    <w:rsid w:val="184D38AB"/>
    <w:rsid w:val="184D72C9"/>
    <w:rsid w:val="184E0FA9"/>
    <w:rsid w:val="184E196A"/>
    <w:rsid w:val="184E2EA9"/>
    <w:rsid w:val="184E35FA"/>
    <w:rsid w:val="184E6F70"/>
    <w:rsid w:val="184F5808"/>
    <w:rsid w:val="1850222C"/>
    <w:rsid w:val="18504760"/>
    <w:rsid w:val="18510A99"/>
    <w:rsid w:val="1851250D"/>
    <w:rsid w:val="185127E1"/>
    <w:rsid w:val="18512847"/>
    <w:rsid w:val="185136BC"/>
    <w:rsid w:val="185145F5"/>
    <w:rsid w:val="185168C6"/>
    <w:rsid w:val="18517A73"/>
    <w:rsid w:val="18517DBF"/>
    <w:rsid w:val="185214D4"/>
    <w:rsid w:val="185220A2"/>
    <w:rsid w:val="185248A4"/>
    <w:rsid w:val="1853117B"/>
    <w:rsid w:val="18534811"/>
    <w:rsid w:val="185356B4"/>
    <w:rsid w:val="185409A2"/>
    <w:rsid w:val="185426A5"/>
    <w:rsid w:val="18550589"/>
    <w:rsid w:val="185508FC"/>
    <w:rsid w:val="185540E5"/>
    <w:rsid w:val="185605B5"/>
    <w:rsid w:val="18560743"/>
    <w:rsid w:val="18561C0B"/>
    <w:rsid w:val="185630B9"/>
    <w:rsid w:val="18581E27"/>
    <w:rsid w:val="18583BD5"/>
    <w:rsid w:val="18585984"/>
    <w:rsid w:val="185A50EC"/>
    <w:rsid w:val="185A5BA0"/>
    <w:rsid w:val="185B5474"/>
    <w:rsid w:val="185C1918"/>
    <w:rsid w:val="185C1CEE"/>
    <w:rsid w:val="185C36C6"/>
    <w:rsid w:val="185C39A9"/>
    <w:rsid w:val="185C58A7"/>
    <w:rsid w:val="185C63F4"/>
    <w:rsid w:val="185C6545"/>
    <w:rsid w:val="185D11EC"/>
    <w:rsid w:val="185D1C5F"/>
    <w:rsid w:val="185D3821"/>
    <w:rsid w:val="185D708E"/>
    <w:rsid w:val="185D743E"/>
    <w:rsid w:val="185E032D"/>
    <w:rsid w:val="185E4830"/>
    <w:rsid w:val="185E6EB6"/>
    <w:rsid w:val="185E7EF7"/>
    <w:rsid w:val="185F048C"/>
    <w:rsid w:val="185F30CB"/>
    <w:rsid w:val="185F31B6"/>
    <w:rsid w:val="185F6D12"/>
    <w:rsid w:val="18605EAA"/>
    <w:rsid w:val="18610CDC"/>
    <w:rsid w:val="18611A70"/>
    <w:rsid w:val="186131B1"/>
    <w:rsid w:val="186164A1"/>
    <w:rsid w:val="18616F2E"/>
    <w:rsid w:val="18617D0D"/>
    <w:rsid w:val="18622CA6"/>
    <w:rsid w:val="18626802"/>
    <w:rsid w:val="18627299"/>
    <w:rsid w:val="18630328"/>
    <w:rsid w:val="186373DD"/>
    <w:rsid w:val="186407CC"/>
    <w:rsid w:val="18646F61"/>
    <w:rsid w:val="186500A0"/>
    <w:rsid w:val="186503F1"/>
    <w:rsid w:val="18661881"/>
    <w:rsid w:val="18662FC4"/>
    <w:rsid w:val="18664372"/>
    <w:rsid w:val="18664452"/>
    <w:rsid w:val="1866533A"/>
    <w:rsid w:val="18672D11"/>
    <w:rsid w:val="18673B8C"/>
    <w:rsid w:val="1867479D"/>
    <w:rsid w:val="186802BC"/>
    <w:rsid w:val="18686D72"/>
    <w:rsid w:val="1869193F"/>
    <w:rsid w:val="18691943"/>
    <w:rsid w:val="186926D0"/>
    <w:rsid w:val="1869488E"/>
    <w:rsid w:val="186A1F63"/>
    <w:rsid w:val="186A2DD3"/>
    <w:rsid w:val="186B1B5B"/>
    <w:rsid w:val="186B56B7"/>
    <w:rsid w:val="186B574C"/>
    <w:rsid w:val="186C1C57"/>
    <w:rsid w:val="186C6B83"/>
    <w:rsid w:val="186D087B"/>
    <w:rsid w:val="186D6D64"/>
    <w:rsid w:val="186E158B"/>
    <w:rsid w:val="186E164B"/>
    <w:rsid w:val="186E33F9"/>
    <w:rsid w:val="186E51A7"/>
    <w:rsid w:val="186E6F98"/>
    <w:rsid w:val="186F07CA"/>
    <w:rsid w:val="186F0EA3"/>
    <w:rsid w:val="186F61D1"/>
    <w:rsid w:val="186F7922"/>
    <w:rsid w:val="18700369"/>
    <w:rsid w:val="18702CCD"/>
    <w:rsid w:val="18706DAC"/>
    <w:rsid w:val="1871061F"/>
    <w:rsid w:val="18714330"/>
    <w:rsid w:val="18714C97"/>
    <w:rsid w:val="18715799"/>
    <w:rsid w:val="18716994"/>
    <w:rsid w:val="187209AD"/>
    <w:rsid w:val="187229F5"/>
    <w:rsid w:val="18722EE9"/>
    <w:rsid w:val="18726B84"/>
    <w:rsid w:val="18733E84"/>
    <w:rsid w:val="18736C61"/>
    <w:rsid w:val="1875158C"/>
    <w:rsid w:val="187529D9"/>
    <w:rsid w:val="18753216"/>
    <w:rsid w:val="18756535"/>
    <w:rsid w:val="18757EE5"/>
    <w:rsid w:val="187622AE"/>
    <w:rsid w:val="1876405C"/>
    <w:rsid w:val="18764293"/>
    <w:rsid w:val="1876610B"/>
    <w:rsid w:val="18770500"/>
    <w:rsid w:val="1877066F"/>
    <w:rsid w:val="18771873"/>
    <w:rsid w:val="187720F7"/>
    <w:rsid w:val="187743E7"/>
    <w:rsid w:val="18775797"/>
    <w:rsid w:val="187831B6"/>
    <w:rsid w:val="18784350"/>
    <w:rsid w:val="18785BEF"/>
    <w:rsid w:val="18786026"/>
    <w:rsid w:val="187870D9"/>
    <w:rsid w:val="18787DD4"/>
    <w:rsid w:val="18792F1B"/>
    <w:rsid w:val="18794569"/>
    <w:rsid w:val="18797CF6"/>
    <w:rsid w:val="187A1D9E"/>
    <w:rsid w:val="187A28C7"/>
    <w:rsid w:val="187A3B4C"/>
    <w:rsid w:val="187A732E"/>
    <w:rsid w:val="187B2371"/>
    <w:rsid w:val="187B2616"/>
    <w:rsid w:val="187B2D75"/>
    <w:rsid w:val="187B2F6F"/>
    <w:rsid w:val="187B51E7"/>
    <w:rsid w:val="187C3D68"/>
    <w:rsid w:val="187C6165"/>
    <w:rsid w:val="187C6677"/>
    <w:rsid w:val="187C78C4"/>
    <w:rsid w:val="187D188E"/>
    <w:rsid w:val="187D363C"/>
    <w:rsid w:val="187D53EA"/>
    <w:rsid w:val="187E0A4E"/>
    <w:rsid w:val="187E1393"/>
    <w:rsid w:val="187E1568"/>
    <w:rsid w:val="187E2D48"/>
    <w:rsid w:val="187E4816"/>
    <w:rsid w:val="187F1162"/>
    <w:rsid w:val="187F30A3"/>
    <w:rsid w:val="187F5606"/>
    <w:rsid w:val="18804FF8"/>
    <w:rsid w:val="18807BC9"/>
    <w:rsid w:val="1881137E"/>
    <w:rsid w:val="1881312C"/>
    <w:rsid w:val="18816044"/>
    <w:rsid w:val="18816488"/>
    <w:rsid w:val="18816B6E"/>
    <w:rsid w:val="18820C52"/>
    <w:rsid w:val="18826EA4"/>
    <w:rsid w:val="18832486"/>
    <w:rsid w:val="1883299C"/>
    <w:rsid w:val="188350F6"/>
    <w:rsid w:val="18835F56"/>
    <w:rsid w:val="18842C1C"/>
    <w:rsid w:val="18843664"/>
    <w:rsid w:val="188438A5"/>
    <w:rsid w:val="18845EA4"/>
    <w:rsid w:val="18845FB1"/>
    <w:rsid w:val="188517E2"/>
    <w:rsid w:val="18853937"/>
    <w:rsid w:val="1885413C"/>
    <w:rsid w:val="18856299"/>
    <w:rsid w:val="18860743"/>
    <w:rsid w:val="188624F1"/>
    <w:rsid w:val="18862819"/>
    <w:rsid w:val="188632B3"/>
    <w:rsid w:val="188660D4"/>
    <w:rsid w:val="18866BFC"/>
    <w:rsid w:val="1887113B"/>
    <w:rsid w:val="188726CB"/>
    <w:rsid w:val="188745DB"/>
    <w:rsid w:val="18874ECB"/>
    <w:rsid w:val="18876D6F"/>
    <w:rsid w:val="18877806"/>
    <w:rsid w:val="18884C1A"/>
    <w:rsid w:val="18887276"/>
    <w:rsid w:val="18890233"/>
    <w:rsid w:val="18893D8F"/>
    <w:rsid w:val="188A6578"/>
    <w:rsid w:val="188B1E10"/>
    <w:rsid w:val="188B2F0E"/>
    <w:rsid w:val="188B3FAB"/>
    <w:rsid w:val="188B5D59"/>
    <w:rsid w:val="188B6107"/>
    <w:rsid w:val="188B6ED2"/>
    <w:rsid w:val="188B7B07"/>
    <w:rsid w:val="188C1683"/>
    <w:rsid w:val="188C359B"/>
    <w:rsid w:val="188C387F"/>
    <w:rsid w:val="188C4D77"/>
    <w:rsid w:val="188D03EF"/>
    <w:rsid w:val="188D0D10"/>
    <w:rsid w:val="188D1AD1"/>
    <w:rsid w:val="188D75FC"/>
    <w:rsid w:val="188E3A9B"/>
    <w:rsid w:val="188F3456"/>
    <w:rsid w:val="188F43BF"/>
    <w:rsid w:val="188F4753"/>
    <w:rsid w:val="188F4EA9"/>
    <w:rsid w:val="1890085C"/>
    <w:rsid w:val="189015C1"/>
    <w:rsid w:val="1890185D"/>
    <w:rsid w:val="18902C8D"/>
    <w:rsid w:val="1890336F"/>
    <w:rsid w:val="1890511D"/>
    <w:rsid w:val="1891033F"/>
    <w:rsid w:val="18910E95"/>
    <w:rsid w:val="18911306"/>
    <w:rsid w:val="18911E8C"/>
    <w:rsid w:val="18915F7D"/>
    <w:rsid w:val="18920416"/>
    <w:rsid w:val="1892089D"/>
    <w:rsid w:val="18921BB6"/>
    <w:rsid w:val="18921FDE"/>
    <w:rsid w:val="18922FF6"/>
    <w:rsid w:val="189239B0"/>
    <w:rsid w:val="18926908"/>
    <w:rsid w:val="18932E60"/>
    <w:rsid w:val="18934153"/>
    <w:rsid w:val="18934C0E"/>
    <w:rsid w:val="18934C96"/>
    <w:rsid w:val="18936755"/>
    <w:rsid w:val="18944412"/>
    <w:rsid w:val="18950986"/>
    <w:rsid w:val="18952734"/>
    <w:rsid w:val="18954E2A"/>
    <w:rsid w:val="189574CF"/>
    <w:rsid w:val="189637E0"/>
    <w:rsid w:val="18965180"/>
    <w:rsid w:val="18967E22"/>
    <w:rsid w:val="18972950"/>
    <w:rsid w:val="189736CA"/>
    <w:rsid w:val="18973E04"/>
    <w:rsid w:val="189746FE"/>
    <w:rsid w:val="18975246"/>
    <w:rsid w:val="18980476"/>
    <w:rsid w:val="1898193F"/>
    <w:rsid w:val="189834D1"/>
    <w:rsid w:val="189866C8"/>
    <w:rsid w:val="18996497"/>
    <w:rsid w:val="189967BF"/>
    <w:rsid w:val="189967D5"/>
    <w:rsid w:val="189A0770"/>
    <w:rsid w:val="189A205E"/>
    <w:rsid w:val="189A2440"/>
    <w:rsid w:val="189A41EE"/>
    <w:rsid w:val="189A6D45"/>
    <w:rsid w:val="189B0DBC"/>
    <w:rsid w:val="189B21BD"/>
    <w:rsid w:val="189B3AC2"/>
    <w:rsid w:val="189B74D4"/>
    <w:rsid w:val="189C111D"/>
    <w:rsid w:val="189C1D14"/>
    <w:rsid w:val="189C6E39"/>
    <w:rsid w:val="189D12B1"/>
    <w:rsid w:val="189D5A8C"/>
    <w:rsid w:val="189D7825"/>
    <w:rsid w:val="189D783A"/>
    <w:rsid w:val="189E3CDE"/>
    <w:rsid w:val="189E6867"/>
    <w:rsid w:val="189F0346"/>
    <w:rsid w:val="189F1804"/>
    <w:rsid w:val="189F35B2"/>
    <w:rsid w:val="189F624C"/>
    <w:rsid w:val="189F7A56"/>
    <w:rsid w:val="18A045E2"/>
    <w:rsid w:val="18A04F4F"/>
    <w:rsid w:val="18A11A07"/>
    <w:rsid w:val="18A12789"/>
    <w:rsid w:val="18A1557C"/>
    <w:rsid w:val="18A1732B"/>
    <w:rsid w:val="18A215FB"/>
    <w:rsid w:val="18A230A3"/>
    <w:rsid w:val="18A24C0F"/>
    <w:rsid w:val="18A24E51"/>
    <w:rsid w:val="18A254E0"/>
    <w:rsid w:val="18A312F5"/>
    <w:rsid w:val="18A443F3"/>
    <w:rsid w:val="18A4506D"/>
    <w:rsid w:val="18A4516D"/>
    <w:rsid w:val="18A45A76"/>
    <w:rsid w:val="18A46EA0"/>
    <w:rsid w:val="18A52747"/>
    <w:rsid w:val="18A5444C"/>
    <w:rsid w:val="18A54EAF"/>
    <w:rsid w:val="18A569F6"/>
    <w:rsid w:val="18A60DE5"/>
    <w:rsid w:val="18A623BB"/>
    <w:rsid w:val="18A62B93"/>
    <w:rsid w:val="18A64941"/>
    <w:rsid w:val="18A66D13"/>
    <w:rsid w:val="18A701A3"/>
    <w:rsid w:val="18A73A15"/>
    <w:rsid w:val="18A907FB"/>
    <w:rsid w:val="18A92F62"/>
    <w:rsid w:val="18A95694"/>
    <w:rsid w:val="18A96DD5"/>
    <w:rsid w:val="18AA2E23"/>
    <w:rsid w:val="18AA3F72"/>
    <w:rsid w:val="18AB0FDA"/>
    <w:rsid w:val="18AB1F57"/>
    <w:rsid w:val="18AB63FB"/>
    <w:rsid w:val="18AC14B5"/>
    <w:rsid w:val="18AC5756"/>
    <w:rsid w:val="18AC5B89"/>
    <w:rsid w:val="18AC5CCF"/>
    <w:rsid w:val="18AD2173"/>
    <w:rsid w:val="18AD3F21"/>
    <w:rsid w:val="18AD6841"/>
    <w:rsid w:val="18AE1092"/>
    <w:rsid w:val="18AE37F5"/>
    <w:rsid w:val="18AE4370"/>
    <w:rsid w:val="18AE5D72"/>
    <w:rsid w:val="18AE6318"/>
    <w:rsid w:val="18AE6D77"/>
    <w:rsid w:val="18AE7C99"/>
    <w:rsid w:val="18AE7FF4"/>
    <w:rsid w:val="18AF5EEB"/>
    <w:rsid w:val="18B012B6"/>
    <w:rsid w:val="18B05567"/>
    <w:rsid w:val="18B0786E"/>
    <w:rsid w:val="18B118AD"/>
    <w:rsid w:val="18B1543D"/>
    <w:rsid w:val="18B1793B"/>
    <w:rsid w:val="18B21538"/>
    <w:rsid w:val="18B232E6"/>
    <w:rsid w:val="18B25370"/>
    <w:rsid w:val="18B261A0"/>
    <w:rsid w:val="18B2778A"/>
    <w:rsid w:val="18B316B0"/>
    <w:rsid w:val="18B33A9F"/>
    <w:rsid w:val="18B35178"/>
    <w:rsid w:val="18B3705E"/>
    <w:rsid w:val="18B427A7"/>
    <w:rsid w:val="18B46E37"/>
    <w:rsid w:val="18B505CE"/>
    <w:rsid w:val="18B537BD"/>
    <w:rsid w:val="18B54B84"/>
    <w:rsid w:val="18B55378"/>
    <w:rsid w:val="18B57567"/>
    <w:rsid w:val="18B61461"/>
    <w:rsid w:val="18B62FB1"/>
    <w:rsid w:val="18B63AD9"/>
    <w:rsid w:val="18B6426E"/>
    <w:rsid w:val="18B66474"/>
    <w:rsid w:val="18B666E7"/>
    <w:rsid w:val="18B70546"/>
    <w:rsid w:val="18B70B60"/>
    <w:rsid w:val="18B71157"/>
    <w:rsid w:val="18B72869"/>
    <w:rsid w:val="18B73242"/>
    <w:rsid w:val="18B74E99"/>
    <w:rsid w:val="18B766ED"/>
    <w:rsid w:val="18B81D45"/>
    <w:rsid w:val="18B828C6"/>
    <w:rsid w:val="18B857A3"/>
    <w:rsid w:val="18B8791A"/>
    <w:rsid w:val="18B90B18"/>
    <w:rsid w:val="18B9226D"/>
    <w:rsid w:val="18B94660"/>
    <w:rsid w:val="18B95189"/>
    <w:rsid w:val="18B95C95"/>
    <w:rsid w:val="18B96041"/>
    <w:rsid w:val="18BA03EC"/>
    <w:rsid w:val="18BA4890"/>
    <w:rsid w:val="18BA4EFB"/>
    <w:rsid w:val="18BB10A8"/>
    <w:rsid w:val="18BB267A"/>
    <w:rsid w:val="18BB53A4"/>
    <w:rsid w:val="18BC4164"/>
    <w:rsid w:val="18BC66A7"/>
    <w:rsid w:val="18BD1C8B"/>
    <w:rsid w:val="18BD27C6"/>
    <w:rsid w:val="18BD4AD1"/>
    <w:rsid w:val="18BD7EDC"/>
    <w:rsid w:val="18BE612E"/>
    <w:rsid w:val="18BE635D"/>
    <w:rsid w:val="18BE7B6B"/>
    <w:rsid w:val="18BF1EA7"/>
    <w:rsid w:val="18BF3C55"/>
    <w:rsid w:val="18BF4679"/>
    <w:rsid w:val="18C00FA3"/>
    <w:rsid w:val="18C0586E"/>
    <w:rsid w:val="18C06AD9"/>
    <w:rsid w:val="18C1177B"/>
    <w:rsid w:val="18C11CD8"/>
    <w:rsid w:val="18C13529"/>
    <w:rsid w:val="18C2797C"/>
    <w:rsid w:val="18C27C08"/>
    <w:rsid w:val="18C27DA5"/>
    <w:rsid w:val="18C30E0C"/>
    <w:rsid w:val="18C33745"/>
    <w:rsid w:val="18C35823"/>
    <w:rsid w:val="18C43019"/>
    <w:rsid w:val="18C43B6B"/>
    <w:rsid w:val="18C474BD"/>
    <w:rsid w:val="18C53092"/>
    <w:rsid w:val="18C54E6D"/>
    <w:rsid w:val="18C54EA7"/>
    <w:rsid w:val="18C568B2"/>
    <w:rsid w:val="18C64FE3"/>
    <w:rsid w:val="18C662FD"/>
    <w:rsid w:val="18C66D91"/>
    <w:rsid w:val="18C66E3C"/>
    <w:rsid w:val="18C70C1D"/>
    <w:rsid w:val="18C7128B"/>
    <w:rsid w:val="18C71707"/>
    <w:rsid w:val="18C74C4E"/>
    <w:rsid w:val="18C77BE2"/>
    <w:rsid w:val="18C80D5B"/>
    <w:rsid w:val="18C846D0"/>
    <w:rsid w:val="18C871E5"/>
    <w:rsid w:val="18C9062F"/>
    <w:rsid w:val="18C94C7E"/>
    <w:rsid w:val="18C974F0"/>
    <w:rsid w:val="18CA193F"/>
    <w:rsid w:val="18CA3317"/>
    <w:rsid w:val="18CA4118"/>
    <w:rsid w:val="18CB216F"/>
    <w:rsid w:val="18CB25F9"/>
    <w:rsid w:val="18CB3086"/>
    <w:rsid w:val="18CB43A7"/>
    <w:rsid w:val="18CD002B"/>
    <w:rsid w:val="18CD0120"/>
    <w:rsid w:val="18CD45C3"/>
    <w:rsid w:val="18CD5678"/>
    <w:rsid w:val="18CD6371"/>
    <w:rsid w:val="18CD66CB"/>
    <w:rsid w:val="18CE0FC1"/>
    <w:rsid w:val="18CE20EA"/>
    <w:rsid w:val="18CE3E98"/>
    <w:rsid w:val="18CE5689"/>
    <w:rsid w:val="18CE5C46"/>
    <w:rsid w:val="18CF2AD2"/>
    <w:rsid w:val="18CF4021"/>
    <w:rsid w:val="18CF73AF"/>
    <w:rsid w:val="18CF7498"/>
    <w:rsid w:val="18D019BE"/>
    <w:rsid w:val="18D04BF7"/>
    <w:rsid w:val="18D128E3"/>
    <w:rsid w:val="18D22DD2"/>
    <w:rsid w:val="18D248A0"/>
    <w:rsid w:val="18D27CC9"/>
    <w:rsid w:val="18D30F86"/>
    <w:rsid w:val="18D314AE"/>
    <w:rsid w:val="18D315B4"/>
    <w:rsid w:val="18D47700"/>
    <w:rsid w:val="18D47C79"/>
    <w:rsid w:val="18D50D8E"/>
    <w:rsid w:val="18D51F31"/>
    <w:rsid w:val="18D52320"/>
    <w:rsid w:val="18D53478"/>
    <w:rsid w:val="18D54962"/>
    <w:rsid w:val="18D55226"/>
    <w:rsid w:val="18D60035"/>
    <w:rsid w:val="18D61409"/>
    <w:rsid w:val="18D65DF2"/>
    <w:rsid w:val="18D70F9E"/>
    <w:rsid w:val="18D72D4C"/>
    <w:rsid w:val="18D73EF4"/>
    <w:rsid w:val="18D74585"/>
    <w:rsid w:val="18D81BA2"/>
    <w:rsid w:val="18D81F5E"/>
    <w:rsid w:val="18D824FE"/>
    <w:rsid w:val="18D8417A"/>
    <w:rsid w:val="18D85FF0"/>
    <w:rsid w:val="18D93032"/>
    <w:rsid w:val="18D94773"/>
    <w:rsid w:val="18D94D16"/>
    <w:rsid w:val="18DA0472"/>
    <w:rsid w:val="18DA0B57"/>
    <w:rsid w:val="18DA3276"/>
    <w:rsid w:val="18DA45EA"/>
    <w:rsid w:val="18DA586E"/>
    <w:rsid w:val="18DA6CE0"/>
    <w:rsid w:val="18DA7D2D"/>
    <w:rsid w:val="18DB1C64"/>
    <w:rsid w:val="18DC2865"/>
    <w:rsid w:val="18DC4807"/>
    <w:rsid w:val="18DC53F4"/>
    <w:rsid w:val="18DD126C"/>
    <w:rsid w:val="18DD19B3"/>
    <w:rsid w:val="18DD40DB"/>
    <w:rsid w:val="18DE057F"/>
    <w:rsid w:val="18DE232D"/>
    <w:rsid w:val="18DE2E43"/>
    <w:rsid w:val="18DE323B"/>
    <w:rsid w:val="18DE53D5"/>
    <w:rsid w:val="18DE745D"/>
    <w:rsid w:val="18DF05E5"/>
    <w:rsid w:val="18DF0B3E"/>
    <w:rsid w:val="18DF0CDB"/>
    <w:rsid w:val="18DF419B"/>
    <w:rsid w:val="18DF60A5"/>
    <w:rsid w:val="18DF7E53"/>
    <w:rsid w:val="18E03155"/>
    <w:rsid w:val="18E05436"/>
    <w:rsid w:val="18E07450"/>
    <w:rsid w:val="18E12F05"/>
    <w:rsid w:val="18E13BCB"/>
    <w:rsid w:val="18E13D43"/>
    <w:rsid w:val="18E15979"/>
    <w:rsid w:val="18E250C6"/>
    <w:rsid w:val="18E2612F"/>
    <w:rsid w:val="18E26F66"/>
    <w:rsid w:val="18E31223"/>
    <w:rsid w:val="18E32930"/>
    <w:rsid w:val="18E36CB5"/>
    <w:rsid w:val="18E371A6"/>
    <w:rsid w:val="18E37943"/>
    <w:rsid w:val="18E4169E"/>
    <w:rsid w:val="18E436BB"/>
    <w:rsid w:val="18E45469"/>
    <w:rsid w:val="18E5190D"/>
    <w:rsid w:val="18E611E1"/>
    <w:rsid w:val="18E62627"/>
    <w:rsid w:val="18E641A6"/>
    <w:rsid w:val="18E64975"/>
    <w:rsid w:val="18E67433"/>
    <w:rsid w:val="18E70207"/>
    <w:rsid w:val="18E70B6C"/>
    <w:rsid w:val="18E827ED"/>
    <w:rsid w:val="18E831AB"/>
    <w:rsid w:val="18E855D7"/>
    <w:rsid w:val="18E86D07"/>
    <w:rsid w:val="18E90CD1"/>
    <w:rsid w:val="18E92A80"/>
    <w:rsid w:val="18E92B27"/>
    <w:rsid w:val="18E95AF3"/>
    <w:rsid w:val="18E977B9"/>
    <w:rsid w:val="18EA3ECD"/>
    <w:rsid w:val="18EA6F23"/>
    <w:rsid w:val="18EB2C9C"/>
    <w:rsid w:val="18EB50DF"/>
    <w:rsid w:val="18EB67F8"/>
    <w:rsid w:val="18EC1BB1"/>
    <w:rsid w:val="18EC4086"/>
    <w:rsid w:val="18ED14A8"/>
    <w:rsid w:val="18ED2570"/>
    <w:rsid w:val="18ED3876"/>
    <w:rsid w:val="18ED431E"/>
    <w:rsid w:val="18ED5B3E"/>
    <w:rsid w:val="18EE0096"/>
    <w:rsid w:val="18EE316B"/>
    <w:rsid w:val="18EE4ED2"/>
    <w:rsid w:val="18EF453A"/>
    <w:rsid w:val="18F0453E"/>
    <w:rsid w:val="18F112B9"/>
    <w:rsid w:val="18F11D87"/>
    <w:rsid w:val="18F23C19"/>
    <w:rsid w:val="18F23EAD"/>
    <w:rsid w:val="18F2402A"/>
    <w:rsid w:val="18F2531A"/>
    <w:rsid w:val="18F25DD8"/>
    <w:rsid w:val="18F267C3"/>
    <w:rsid w:val="18F32A38"/>
    <w:rsid w:val="18F356AC"/>
    <w:rsid w:val="18F41011"/>
    <w:rsid w:val="18F41B50"/>
    <w:rsid w:val="18F51424"/>
    <w:rsid w:val="18F52481"/>
    <w:rsid w:val="18F539BB"/>
    <w:rsid w:val="18F6109B"/>
    <w:rsid w:val="18F62D49"/>
    <w:rsid w:val="18F71640"/>
    <w:rsid w:val="18F733EE"/>
    <w:rsid w:val="18F7512B"/>
    <w:rsid w:val="18F7519C"/>
    <w:rsid w:val="18F809C5"/>
    <w:rsid w:val="18F8118C"/>
    <w:rsid w:val="18F81745"/>
    <w:rsid w:val="18F83D2E"/>
    <w:rsid w:val="18F942CE"/>
    <w:rsid w:val="18F953B8"/>
    <w:rsid w:val="18F97167"/>
    <w:rsid w:val="18F97A4B"/>
    <w:rsid w:val="18FA3AAC"/>
    <w:rsid w:val="18FA4C8D"/>
    <w:rsid w:val="18FA6A3B"/>
    <w:rsid w:val="18FC0A05"/>
    <w:rsid w:val="18FC1E99"/>
    <w:rsid w:val="18FC63CC"/>
    <w:rsid w:val="18FD14B0"/>
    <w:rsid w:val="18FD340F"/>
    <w:rsid w:val="18FD6700"/>
    <w:rsid w:val="18FE0E90"/>
    <w:rsid w:val="18FE29CF"/>
    <w:rsid w:val="18FE2B77"/>
    <w:rsid w:val="18FE652B"/>
    <w:rsid w:val="18FE6F25"/>
    <w:rsid w:val="18FF04F5"/>
    <w:rsid w:val="18FF1CAF"/>
    <w:rsid w:val="18FF22A3"/>
    <w:rsid w:val="18FF4051"/>
    <w:rsid w:val="18FF456A"/>
    <w:rsid w:val="18FF4D4D"/>
    <w:rsid w:val="19000B10"/>
    <w:rsid w:val="190037EE"/>
    <w:rsid w:val="19003B7E"/>
    <w:rsid w:val="19006747"/>
    <w:rsid w:val="1900791E"/>
    <w:rsid w:val="1901426D"/>
    <w:rsid w:val="1901601B"/>
    <w:rsid w:val="19017DC9"/>
    <w:rsid w:val="19024E0F"/>
    <w:rsid w:val="1902611F"/>
    <w:rsid w:val="19030013"/>
    <w:rsid w:val="19031D93"/>
    <w:rsid w:val="190336CE"/>
    <w:rsid w:val="1903629F"/>
    <w:rsid w:val="19037A4A"/>
    <w:rsid w:val="19037FE5"/>
    <w:rsid w:val="19041CF9"/>
    <w:rsid w:val="19043BA7"/>
    <w:rsid w:val="19044F98"/>
    <w:rsid w:val="19045B0B"/>
    <w:rsid w:val="190478B9"/>
    <w:rsid w:val="1905076C"/>
    <w:rsid w:val="19050838"/>
    <w:rsid w:val="19052300"/>
    <w:rsid w:val="190537BB"/>
    <w:rsid w:val="19053D5D"/>
    <w:rsid w:val="19061883"/>
    <w:rsid w:val="1906204F"/>
    <w:rsid w:val="190653E0"/>
    <w:rsid w:val="19066D08"/>
    <w:rsid w:val="19067AD5"/>
    <w:rsid w:val="1907085F"/>
    <w:rsid w:val="19072AFA"/>
    <w:rsid w:val="19081158"/>
    <w:rsid w:val="1908290E"/>
    <w:rsid w:val="190855FC"/>
    <w:rsid w:val="190873AA"/>
    <w:rsid w:val="19087540"/>
    <w:rsid w:val="190909D0"/>
    <w:rsid w:val="19094ED0"/>
    <w:rsid w:val="190A1044"/>
    <w:rsid w:val="190A1374"/>
    <w:rsid w:val="190A5796"/>
    <w:rsid w:val="190B4403"/>
    <w:rsid w:val="190B4AAB"/>
    <w:rsid w:val="190B50EC"/>
    <w:rsid w:val="190B65F7"/>
    <w:rsid w:val="190B6E9A"/>
    <w:rsid w:val="190D2C12"/>
    <w:rsid w:val="190D49C0"/>
    <w:rsid w:val="190D581C"/>
    <w:rsid w:val="190D676E"/>
    <w:rsid w:val="190D7351"/>
    <w:rsid w:val="190E1495"/>
    <w:rsid w:val="190E4A3F"/>
    <w:rsid w:val="190F0738"/>
    <w:rsid w:val="190F698A"/>
    <w:rsid w:val="19100498"/>
    <w:rsid w:val="191018E5"/>
    <w:rsid w:val="19102702"/>
    <w:rsid w:val="191044B0"/>
    <w:rsid w:val="19113F8C"/>
    <w:rsid w:val="19116265"/>
    <w:rsid w:val="1911682C"/>
    <w:rsid w:val="19117A63"/>
    <w:rsid w:val="19120228"/>
    <w:rsid w:val="1912195F"/>
    <w:rsid w:val="19121FD6"/>
    <w:rsid w:val="19124904"/>
    <w:rsid w:val="191252F7"/>
    <w:rsid w:val="1912647A"/>
    <w:rsid w:val="19137AFC"/>
    <w:rsid w:val="19140A77"/>
    <w:rsid w:val="19140DC8"/>
    <w:rsid w:val="19144C80"/>
    <w:rsid w:val="19145D4E"/>
    <w:rsid w:val="19147224"/>
    <w:rsid w:val="19151AC7"/>
    <w:rsid w:val="19153875"/>
    <w:rsid w:val="191600EC"/>
    <w:rsid w:val="19164715"/>
    <w:rsid w:val="19170336"/>
    <w:rsid w:val="19175BA5"/>
    <w:rsid w:val="191763A2"/>
    <w:rsid w:val="1917711C"/>
    <w:rsid w:val="19193365"/>
    <w:rsid w:val="191A0BE6"/>
    <w:rsid w:val="191A0E8B"/>
    <w:rsid w:val="191A1FCA"/>
    <w:rsid w:val="191A5CD6"/>
    <w:rsid w:val="191A7680"/>
    <w:rsid w:val="191B0FB9"/>
    <w:rsid w:val="191B3625"/>
    <w:rsid w:val="191B532F"/>
    <w:rsid w:val="191C4C03"/>
    <w:rsid w:val="191D0AA3"/>
    <w:rsid w:val="191D1D6A"/>
    <w:rsid w:val="191D4896"/>
    <w:rsid w:val="191E4E1F"/>
    <w:rsid w:val="191E5B42"/>
    <w:rsid w:val="191E6248"/>
    <w:rsid w:val="191E6BCD"/>
    <w:rsid w:val="191F46F3"/>
    <w:rsid w:val="191F64A1"/>
    <w:rsid w:val="19202945"/>
    <w:rsid w:val="1920440C"/>
    <w:rsid w:val="19210184"/>
    <w:rsid w:val="19212219"/>
    <w:rsid w:val="19213FBB"/>
    <w:rsid w:val="19215B13"/>
    <w:rsid w:val="192166BD"/>
    <w:rsid w:val="19216C57"/>
    <w:rsid w:val="19222CB8"/>
    <w:rsid w:val="192235B3"/>
    <w:rsid w:val="19223FD4"/>
    <w:rsid w:val="19232435"/>
    <w:rsid w:val="19233A4C"/>
    <w:rsid w:val="19235F91"/>
    <w:rsid w:val="192548D2"/>
    <w:rsid w:val="192566F4"/>
    <w:rsid w:val="192576BB"/>
    <w:rsid w:val="192636EB"/>
    <w:rsid w:val="1926420A"/>
    <w:rsid w:val="19267830"/>
    <w:rsid w:val="19274689"/>
    <w:rsid w:val="192817FA"/>
    <w:rsid w:val="19282605"/>
    <w:rsid w:val="19282810"/>
    <w:rsid w:val="19297320"/>
    <w:rsid w:val="192A2B8B"/>
    <w:rsid w:val="192A330C"/>
    <w:rsid w:val="192A37C4"/>
    <w:rsid w:val="192A3D9C"/>
    <w:rsid w:val="192A5572"/>
    <w:rsid w:val="192A697E"/>
    <w:rsid w:val="192A7204"/>
    <w:rsid w:val="192B12EA"/>
    <w:rsid w:val="192B3098"/>
    <w:rsid w:val="192B4E46"/>
    <w:rsid w:val="192C06DE"/>
    <w:rsid w:val="192C2F95"/>
    <w:rsid w:val="192C3F9E"/>
    <w:rsid w:val="192C54AB"/>
    <w:rsid w:val="192C753C"/>
    <w:rsid w:val="192D1FBE"/>
    <w:rsid w:val="192D492D"/>
    <w:rsid w:val="192D647D"/>
    <w:rsid w:val="192E125B"/>
    <w:rsid w:val="192E1843"/>
    <w:rsid w:val="192F0DDA"/>
    <w:rsid w:val="192F2B88"/>
    <w:rsid w:val="192F3E2C"/>
    <w:rsid w:val="192F4936"/>
    <w:rsid w:val="192F7D76"/>
    <w:rsid w:val="193052BC"/>
    <w:rsid w:val="1931131D"/>
    <w:rsid w:val="193122C9"/>
    <w:rsid w:val="19313AC0"/>
    <w:rsid w:val="1931674C"/>
    <w:rsid w:val="19317E8D"/>
    <w:rsid w:val="193208CA"/>
    <w:rsid w:val="193227AD"/>
    <w:rsid w:val="193261D5"/>
    <w:rsid w:val="19327BDC"/>
    <w:rsid w:val="193308A4"/>
    <w:rsid w:val="193427AD"/>
    <w:rsid w:val="193442F8"/>
    <w:rsid w:val="193450CD"/>
    <w:rsid w:val="193463F1"/>
    <w:rsid w:val="19353F17"/>
    <w:rsid w:val="19355CC5"/>
    <w:rsid w:val="1935655D"/>
    <w:rsid w:val="19357C9E"/>
    <w:rsid w:val="19362169"/>
    <w:rsid w:val="19375EE1"/>
    <w:rsid w:val="19376894"/>
    <w:rsid w:val="19377C8F"/>
    <w:rsid w:val="19383A4E"/>
    <w:rsid w:val="19387D9F"/>
    <w:rsid w:val="19394EDE"/>
    <w:rsid w:val="19397AAF"/>
    <w:rsid w:val="193A152D"/>
    <w:rsid w:val="193A5701"/>
    <w:rsid w:val="193A5D5C"/>
    <w:rsid w:val="193A6246"/>
    <w:rsid w:val="193B07CC"/>
    <w:rsid w:val="193B23CF"/>
    <w:rsid w:val="193B3B10"/>
    <w:rsid w:val="193B4AC7"/>
    <w:rsid w:val="193C34F7"/>
    <w:rsid w:val="193C7053"/>
    <w:rsid w:val="193D247E"/>
    <w:rsid w:val="193D2C8B"/>
    <w:rsid w:val="193D63F7"/>
    <w:rsid w:val="193D662C"/>
    <w:rsid w:val="193D78C0"/>
    <w:rsid w:val="193E0E70"/>
    <w:rsid w:val="193E101D"/>
    <w:rsid w:val="193E2DCB"/>
    <w:rsid w:val="193E4421"/>
    <w:rsid w:val="193E726F"/>
    <w:rsid w:val="193F08F1"/>
    <w:rsid w:val="193F2B96"/>
    <w:rsid w:val="193F3921"/>
    <w:rsid w:val="194014CF"/>
    <w:rsid w:val="19404D95"/>
    <w:rsid w:val="19405606"/>
    <w:rsid w:val="19406B43"/>
    <w:rsid w:val="19410B0E"/>
    <w:rsid w:val="194113A8"/>
    <w:rsid w:val="194128BC"/>
    <w:rsid w:val="194235E6"/>
    <w:rsid w:val="19424BBB"/>
    <w:rsid w:val="194303E2"/>
    <w:rsid w:val="19430B61"/>
    <w:rsid w:val="19435E6A"/>
    <w:rsid w:val="194453EB"/>
    <w:rsid w:val="1945415A"/>
    <w:rsid w:val="19456052"/>
    <w:rsid w:val="1946357A"/>
    <w:rsid w:val="19466124"/>
    <w:rsid w:val="19466D10"/>
    <w:rsid w:val="19467ED2"/>
    <w:rsid w:val="194739EB"/>
    <w:rsid w:val="19481E9C"/>
    <w:rsid w:val="19485580"/>
    <w:rsid w:val="1949654C"/>
    <w:rsid w:val="194975A4"/>
    <w:rsid w:val="19497888"/>
    <w:rsid w:val="194A117D"/>
    <w:rsid w:val="194A5C14"/>
    <w:rsid w:val="194A76E4"/>
    <w:rsid w:val="194A782E"/>
    <w:rsid w:val="194A79C2"/>
    <w:rsid w:val="194B1AC6"/>
    <w:rsid w:val="194B373A"/>
    <w:rsid w:val="194B408E"/>
    <w:rsid w:val="194B4A95"/>
    <w:rsid w:val="194B54E8"/>
    <w:rsid w:val="194C05D0"/>
    <w:rsid w:val="194C3354"/>
    <w:rsid w:val="194C66FC"/>
    <w:rsid w:val="194D0CA7"/>
    <w:rsid w:val="194D1260"/>
    <w:rsid w:val="194D1D56"/>
    <w:rsid w:val="194D2160"/>
    <w:rsid w:val="194D21DF"/>
    <w:rsid w:val="194D259F"/>
    <w:rsid w:val="194D2CE1"/>
    <w:rsid w:val="194D300E"/>
    <w:rsid w:val="194D6A6D"/>
    <w:rsid w:val="194D74B2"/>
    <w:rsid w:val="194E1D0A"/>
    <w:rsid w:val="194E371B"/>
    <w:rsid w:val="194F1CD5"/>
    <w:rsid w:val="194F322A"/>
    <w:rsid w:val="194F4FD8"/>
    <w:rsid w:val="19503165"/>
    <w:rsid w:val="19503BAD"/>
    <w:rsid w:val="195048A6"/>
    <w:rsid w:val="1951370D"/>
    <w:rsid w:val="19515C6B"/>
    <w:rsid w:val="19516FA3"/>
    <w:rsid w:val="19520625"/>
    <w:rsid w:val="19524AC9"/>
    <w:rsid w:val="19533227"/>
    <w:rsid w:val="195425EF"/>
    <w:rsid w:val="1954439D"/>
    <w:rsid w:val="195446B7"/>
    <w:rsid w:val="19547594"/>
    <w:rsid w:val="19550115"/>
    <w:rsid w:val="19552687"/>
    <w:rsid w:val="1955473D"/>
    <w:rsid w:val="19560256"/>
    <w:rsid w:val="19560718"/>
    <w:rsid w:val="1956311E"/>
    <w:rsid w:val="195645B9"/>
    <w:rsid w:val="19564CC5"/>
    <w:rsid w:val="19566FD7"/>
    <w:rsid w:val="19567394"/>
    <w:rsid w:val="19570331"/>
    <w:rsid w:val="19571E4D"/>
    <w:rsid w:val="195720DF"/>
    <w:rsid w:val="19572BCC"/>
    <w:rsid w:val="19573E8D"/>
    <w:rsid w:val="19575C3B"/>
    <w:rsid w:val="19586B57"/>
    <w:rsid w:val="1959041F"/>
    <w:rsid w:val="195919B3"/>
    <w:rsid w:val="195924A3"/>
    <w:rsid w:val="19593824"/>
    <w:rsid w:val="19595E57"/>
    <w:rsid w:val="19597099"/>
    <w:rsid w:val="19597C05"/>
    <w:rsid w:val="195A1DB5"/>
    <w:rsid w:val="195A29A1"/>
    <w:rsid w:val="195A2BE7"/>
    <w:rsid w:val="195A572B"/>
    <w:rsid w:val="195A6DE8"/>
    <w:rsid w:val="195B19B9"/>
    <w:rsid w:val="195B1BCF"/>
    <w:rsid w:val="195B397D"/>
    <w:rsid w:val="195B45A7"/>
    <w:rsid w:val="195C14A3"/>
    <w:rsid w:val="195C5947"/>
    <w:rsid w:val="195C5A1A"/>
    <w:rsid w:val="195C5CE6"/>
    <w:rsid w:val="195D02A8"/>
    <w:rsid w:val="195D3698"/>
    <w:rsid w:val="195D42A1"/>
    <w:rsid w:val="195D42D9"/>
    <w:rsid w:val="195D58FE"/>
    <w:rsid w:val="195D63DC"/>
    <w:rsid w:val="195E346D"/>
    <w:rsid w:val="195E521C"/>
    <w:rsid w:val="195E5769"/>
    <w:rsid w:val="195E6FCA"/>
    <w:rsid w:val="195F095D"/>
    <w:rsid w:val="195F43AD"/>
    <w:rsid w:val="195F6DCC"/>
    <w:rsid w:val="195F7E08"/>
    <w:rsid w:val="19600F94"/>
    <w:rsid w:val="19602C5A"/>
    <w:rsid w:val="196071E6"/>
    <w:rsid w:val="19612E6F"/>
    <w:rsid w:val="19613466"/>
    <w:rsid w:val="1961582B"/>
    <w:rsid w:val="19615DE5"/>
    <w:rsid w:val="19616590"/>
    <w:rsid w:val="19616ABA"/>
    <w:rsid w:val="1961716B"/>
    <w:rsid w:val="1962479C"/>
    <w:rsid w:val="1962557A"/>
    <w:rsid w:val="19625ED7"/>
    <w:rsid w:val="19630A84"/>
    <w:rsid w:val="19630AA2"/>
    <w:rsid w:val="196321D2"/>
    <w:rsid w:val="19632260"/>
    <w:rsid w:val="1963712C"/>
    <w:rsid w:val="19644B1B"/>
    <w:rsid w:val="19646AC5"/>
    <w:rsid w:val="196470BB"/>
    <w:rsid w:val="19650358"/>
    <w:rsid w:val="19653EFB"/>
    <w:rsid w:val="19653F51"/>
    <w:rsid w:val="1965563C"/>
    <w:rsid w:val="196565AA"/>
    <w:rsid w:val="196600CC"/>
    <w:rsid w:val="19666C1D"/>
    <w:rsid w:val="1967459C"/>
    <w:rsid w:val="19680638"/>
    <w:rsid w:val="19683FBD"/>
    <w:rsid w:val="1968609A"/>
    <w:rsid w:val="1968700C"/>
    <w:rsid w:val="19687E48"/>
    <w:rsid w:val="1969228A"/>
    <w:rsid w:val="1969306C"/>
    <w:rsid w:val="19695781"/>
    <w:rsid w:val="196A44ED"/>
    <w:rsid w:val="196A55E9"/>
    <w:rsid w:val="196A7CCD"/>
    <w:rsid w:val="196B14AE"/>
    <w:rsid w:val="196B44CE"/>
    <w:rsid w:val="196B7D6D"/>
    <w:rsid w:val="196C353E"/>
    <w:rsid w:val="196C5B8A"/>
    <w:rsid w:val="196C6C98"/>
    <w:rsid w:val="196D1903"/>
    <w:rsid w:val="196D34BC"/>
    <w:rsid w:val="196D3DCE"/>
    <w:rsid w:val="196D545F"/>
    <w:rsid w:val="196E66EE"/>
    <w:rsid w:val="196F11D7"/>
    <w:rsid w:val="196F12BF"/>
    <w:rsid w:val="196F16CC"/>
    <w:rsid w:val="196F538D"/>
    <w:rsid w:val="196F567B"/>
    <w:rsid w:val="19700883"/>
    <w:rsid w:val="197017F8"/>
    <w:rsid w:val="19704FBA"/>
    <w:rsid w:val="19706CFD"/>
    <w:rsid w:val="19710D6D"/>
    <w:rsid w:val="19715320"/>
    <w:rsid w:val="19721AA5"/>
    <w:rsid w:val="19722A69"/>
    <w:rsid w:val="19722A75"/>
    <w:rsid w:val="197267B0"/>
    <w:rsid w:val="19726F19"/>
    <w:rsid w:val="197310D0"/>
    <w:rsid w:val="1973301A"/>
    <w:rsid w:val="19735B53"/>
    <w:rsid w:val="19737498"/>
    <w:rsid w:val="197418C8"/>
    <w:rsid w:val="19742560"/>
    <w:rsid w:val="19742C91"/>
    <w:rsid w:val="19744A12"/>
    <w:rsid w:val="19744A3F"/>
    <w:rsid w:val="1975273A"/>
    <w:rsid w:val="19752D31"/>
    <w:rsid w:val="197539F0"/>
    <w:rsid w:val="197561B3"/>
    <w:rsid w:val="197607B7"/>
    <w:rsid w:val="19765307"/>
    <w:rsid w:val="19766A09"/>
    <w:rsid w:val="19774C2F"/>
    <w:rsid w:val="197762DD"/>
    <w:rsid w:val="197773B8"/>
    <w:rsid w:val="19777A51"/>
    <w:rsid w:val="19781E82"/>
    <w:rsid w:val="19782558"/>
    <w:rsid w:val="19782D4B"/>
    <w:rsid w:val="19783AB2"/>
    <w:rsid w:val="19787B3F"/>
    <w:rsid w:val="19792055"/>
    <w:rsid w:val="197B1276"/>
    <w:rsid w:val="197B401F"/>
    <w:rsid w:val="197B7B7C"/>
    <w:rsid w:val="197B7E54"/>
    <w:rsid w:val="197D44B3"/>
    <w:rsid w:val="197D73FC"/>
    <w:rsid w:val="197D7D98"/>
    <w:rsid w:val="197E010A"/>
    <w:rsid w:val="197E141A"/>
    <w:rsid w:val="197E58BE"/>
    <w:rsid w:val="197F24DA"/>
    <w:rsid w:val="197F2A15"/>
    <w:rsid w:val="197F5BD3"/>
    <w:rsid w:val="19800B03"/>
    <w:rsid w:val="19801636"/>
    <w:rsid w:val="19801D7F"/>
    <w:rsid w:val="198033E4"/>
    <w:rsid w:val="19810284"/>
    <w:rsid w:val="198136D4"/>
    <w:rsid w:val="19816293"/>
    <w:rsid w:val="1981715C"/>
    <w:rsid w:val="198222FA"/>
    <w:rsid w:val="198253AE"/>
    <w:rsid w:val="19826F89"/>
    <w:rsid w:val="19827735"/>
    <w:rsid w:val="19830BC5"/>
    <w:rsid w:val="19831126"/>
    <w:rsid w:val="19832ED4"/>
    <w:rsid w:val="1983388C"/>
    <w:rsid w:val="19834C82"/>
    <w:rsid w:val="19834F42"/>
    <w:rsid w:val="19836A30"/>
    <w:rsid w:val="198509FA"/>
    <w:rsid w:val="198527A8"/>
    <w:rsid w:val="19856C4C"/>
    <w:rsid w:val="19866520"/>
    <w:rsid w:val="19872BA6"/>
    <w:rsid w:val="19875E05"/>
    <w:rsid w:val="1988007E"/>
    <w:rsid w:val="198804EA"/>
    <w:rsid w:val="198805C0"/>
    <w:rsid w:val="19884C9C"/>
    <w:rsid w:val="198905E6"/>
    <w:rsid w:val="19892FF3"/>
    <w:rsid w:val="198932F6"/>
    <w:rsid w:val="198A0E38"/>
    <w:rsid w:val="198A4263"/>
    <w:rsid w:val="198A5A5A"/>
    <w:rsid w:val="198A6011"/>
    <w:rsid w:val="198A64FD"/>
    <w:rsid w:val="198A78DD"/>
    <w:rsid w:val="198B2DA4"/>
    <w:rsid w:val="198B3B37"/>
    <w:rsid w:val="198B41CF"/>
    <w:rsid w:val="198C1D89"/>
    <w:rsid w:val="198C31BC"/>
    <w:rsid w:val="198C47C6"/>
    <w:rsid w:val="198C7FDB"/>
    <w:rsid w:val="198D10B9"/>
    <w:rsid w:val="198D1C77"/>
    <w:rsid w:val="198D2F3B"/>
    <w:rsid w:val="198D3D53"/>
    <w:rsid w:val="198D5B01"/>
    <w:rsid w:val="198D78AF"/>
    <w:rsid w:val="198E3107"/>
    <w:rsid w:val="198E3900"/>
    <w:rsid w:val="198F041B"/>
    <w:rsid w:val="198F1090"/>
    <w:rsid w:val="198F1879"/>
    <w:rsid w:val="198F3627"/>
    <w:rsid w:val="198F4717"/>
    <w:rsid w:val="198F7ACB"/>
    <w:rsid w:val="19906B90"/>
    <w:rsid w:val="1990749F"/>
    <w:rsid w:val="19907DE4"/>
    <w:rsid w:val="19911600"/>
    <w:rsid w:val="19912A2F"/>
    <w:rsid w:val="199155F1"/>
    <w:rsid w:val="1991739F"/>
    <w:rsid w:val="19921369"/>
    <w:rsid w:val="19921BF7"/>
    <w:rsid w:val="19922838"/>
    <w:rsid w:val="19923117"/>
    <w:rsid w:val="19923DBD"/>
    <w:rsid w:val="19924EC5"/>
    <w:rsid w:val="19924F17"/>
    <w:rsid w:val="19927D75"/>
    <w:rsid w:val="19933157"/>
    <w:rsid w:val="19934667"/>
    <w:rsid w:val="19935BF6"/>
    <w:rsid w:val="19937797"/>
    <w:rsid w:val="19940409"/>
    <w:rsid w:val="19942753"/>
    <w:rsid w:val="199450E1"/>
    <w:rsid w:val="19946E8F"/>
    <w:rsid w:val="199470D8"/>
    <w:rsid w:val="199471BC"/>
    <w:rsid w:val="1996081B"/>
    <w:rsid w:val="19960E59"/>
    <w:rsid w:val="19962C07"/>
    <w:rsid w:val="199639A9"/>
    <w:rsid w:val="19964054"/>
    <w:rsid w:val="199649B5"/>
    <w:rsid w:val="1996643A"/>
    <w:rsid w:val="19966E04"/>
    <w:rsid w:val="1997072D"/>
    <w:rsid w:val="199724DC"/>
    <w:rsid w:val="19972F54"/>
    <w:rsid w:val="199810E1"/>
    <w:rsid w:val="199846DF"/>
    <w:rsid w:val="199871CC"/>
    <w:rsid w:val="19990EDC"/>
    <w:rsid w:val="199926F8"/>
    <w:rsid w:val="199A0116"/>
    <w:rsid w:val="199A0578"/>
    <w:rsid w:val="199A427B"/>
    <w:rsid w:val="199A58F5"/>
    <w:rsid w:val="199B021E"/>
    <w:rsid w:val="199B06F7"/>
    <w:rsid w:val="199B1FCC"/>
    <w:rsid w:val="199B26B3"/>
    <w:rsid w:val="199B47EC"/>
    <w:rsid w:val="199C5D44"/>
    <w:rsid w:val="199C77FC"/>
    <w:rsid w:val="199C7EE5"/>
    <w:rsid w:val="199D3F96"/>
    <w:rsid w:val="199D5B88"/>
    <w:rsid w:val="199E386A"/>
    <w:rsid w:val="199E57CD"/>
    <w:rsid w:val="199E7A0E"/>
    <w:rsid w:val="199F0208"/>
    <w:rsid w:val="199F1B1E"/>
    <w:rsid w:val="199F6C5D"/>
    <w:rsid w:val="19A000ED"/>
    <w:rsid w:val="19A0261D"/>
    <w:rsid w:val="19A03A86"/>
    <w:rsid w:val="19A13010"/>
    <w:rsid w:val="19A1335A"/>
    <w:rsid w:val="19A1471B"/>
    <w:rsid w:val="19A15038"/>
    <w:rsid w:val="19A215AC"/>
    <w:rsid w:val="19A22A0D"/>
    <w:rsid w:val="19A277FE"/>
    <w:rsid w:val="19A312AE"/>
    <w:rsid w:val="19A35324"/>
    <w:rsid w:val="19A35684"/>
    <w:rsid w:val="19A36A6E"/>
    <w:rsid w:val="19A370D2"/>
    <w:rsid w:val="19A3765E"/>
    <w:rsid w:val="19A5109C"/>
    <w:rsid w:val="19A52E4A"/>
    <w:rsid w:val="19A53FC1"/>
    <w:rsid w:val="19A5499B"/>
    <w:rsid w:val="19A60023"/>
    <w:rsid w:val="19A60971"/>
    <w:rsid w:val="19A625A3"/>
    <w:rsid w:val="19A63631"/>
    <w:rsid w:val="19A63BAC"/>
    <w:rsid w:val="19A6781B"/>
    <w:rsid w:val="19A71C72"/>
    <w:rsid w:val="19A74D13"/>
    <w:rsid w:val="19A74E14"/>
    <w:rsid w:val="19A76BC3"/>
    <w:rsid w:val="19A81450"/>
    <w:rsid w:val="19A85BCA"/>
    <w:rsid w:val="19A8687F"/>
    <w:rsid w:val="19A90B8D"/>
    <w:rsid w:val="19A968F2"/>
    <w:rsid w:val="19A97D0F"/>
    <w:rsid w:val="19AA220F"/>
    <w:rsid w:val="19AA66B3"/>
    <w:rsid w:val="19AA6881"/>
    <w:rsid w:val="19AB373B"/>
    <w:rsid w:val="19AC41D9"/>
    <w:rsid w:val="19AC48DE"/>
    <w:rsid w:val="19AC4964"/>
    <w:rsid w:val="19AC5F87"/>
    <w:rsid w:val="19AC6483"/>
    <w:rsid w:val="19AC7DD1"/>
    <w:rsid w:val="19AD1261"/>
    <w:rsid w:val="19AD12FB"/>
    <w:rsid w:val="19AD1F2E"/>
    <w:rsid w:val="19AD7F51"/>
    <w:rsid w:val="19AE18B8"/>
    <w:rsid w:val="19AE687B"/>
    <w:rsid w:val="19AF3CC9"/>
    <w:rsid w:val="19AF3EE3"/>
    <w:rsid w:val="19AF7825"/>
    <w:rsid w:val="19B02B50"/>
    <w:rsid w:val="19B117EF"/>
    <w:rsid w:val="19B1359D"/>
    <w:rsid w:val="19B17A41"/>
    <w:rsid w:val="19B23C43"/>
    <w:rsid w:val="19B27315"/>
    <w:rsid w:val="19B2755B"/>
    <w:rsid w:val="19B337B9"/>
    <w:rsid w:val="19B3654F"/>
    <w:rsid w:val="19B36873"/>
    <w:rsid w:val="19B402F5"/>
    <w:rsid w:val="19B412DF"/>
    <w:rsid w:val="19B60BB4"/>
    <w:rsid w:val="19B65058"/>
    <w:rsid w:val="19B671F2"/>
    <w:rsid w:val="19B71F4B"/>
    <w:rsid w:val="19B72B7E"/>
    <w:rsid w:val="19B73CA4"/>
    <w:rsid w:val="19B74524"/>
    <w:rsid w:val="19B74EE4"/>
    <w:rsid w:val="19B75189"/>
    <w:rsid w:val="19B76A79"/>
    <w:rsid w:val="19B80DD0"/>
    <w:rsid w:val="19B80F45"/>
    <w:rsid w:val="19B85081"/>
    <w:rsid w:val="19B90068"/>
    <w:rsid w:val="19B906A4"/>
    <w:rsid w:val="19B94B48"/>
    <w:rsid w:val="19B968F6"/>
    <w:rsid w:val="19BA24FC"/>
    <w:rsid w:val="19BA25CE"/>
    <w:rsid w:val="19BA5A77"/>
    <w:rsid w:val="19BA6EB0"/>
    <w:rsid w:val="19BB04E7"/>
    <w:rsid w:val="19BB08C0"/>
    <w:rsid w:val="19BB1149"/>
    <w:rsid w:val="19BB441C"/>
    <w:rsid w:val="19BB4CF5"/>
    <w:rsid w:val="19BB7EF0"/>
    <w:rsid w:val="19BC2583"/>
    <w:rsid w:val="19BD0194"/>
    <w:rsid w:val="19BD0252"/>
    <w:rsid w:val="19BD040B"/>
    <w:rsid w:val="19BD1406"/>
    <w:rsid w:val="19BD177A"/>
    <w:rsid w:val="19BD53D0"/>
    <w:rsid w:val="19BD63AB"/>
    <w:rsid w:val="19BD63E6"/>
    <w:rsid w:val="19BD675E"/>
    <w:rsid w:val="19BD742A"/>
    <w:rsid w:val="19BE21E6"/>
    <w:rsid w:val="19BE4718"/>
    <w:rsid w:val="19BE5083"/>
    <w:rsid w:val="19BE56E4"/>
    <w:rsid w:val="19BE5969"/>
    <w:rsid w:val="19BE5CBA"/>
    <w:rsid w:val="19BF4B06"/>
    <w:rsid w:val="19BF65B5"/>
    <w:rsid w:val="19C02112"/>
    <w:rsid w:val="19C03A03"/>
    <w:rsid w:val="19C05ED6"/>
    <w:rsid w:val="19C10B67"/>
    <w:rsid w:val="19C1161C"/>
    <w:rsid w:val="19C12F42"/>
    <w:rsid w:val="19C13A48"/>
    <w:rsid w:val="19C15D0F"/>
    <w:rsid w:val="19C21C4E"/>
    <w:rsid w:val="19C239FC"/>
    <w:rsid w:val="19C25F0F"/>
    <w:rsid w:val="19C2790A"/>
    <w:rsid w:val="19C3097F"/>
    <w:rsid w:val="19C31DC3"/>
    <w:rsid w:val="19C33487"/>
    <w:rsid w:val="19C36058"/>
    <w:rsid w:val="19C36A9E"/>
    <w:rsid w:val="19C4040F"/>
    <w:rsid w:val="19C444F8"/>
    <w:rsid w:val="19C5529B"/>
    <w:rsid w:val="19C5698C"/>
    <w:rsid w:val="19C57518"/>
    <w:rsid w:val="19C61A23"/>
    <w:rsid w:val="19C62172"/>
    <w:rsid w:val="19C707F4"/>
    <w:rsid w:val="19C708B2"/>
    <w:rsid w:val="19C71013"/>
    <w:rsid w:val="19C74CC1"/>
    <w:rsid w:val="19C75B25"/>
    <w:rsid w:val="19C77265"/>
    <w:rsid w:val="19C7789E"/>
    <w:rsid w:val="19C77DED"/>
    <w:rsid w:val="19C8263F"/>
    <w:rsid w:val="19C84D8B"/>
    <w:rsid w:val="19C91587"/>
    <w:rsid w:val="19C968DF"/>
    <w:rsid w:val="19C972F9"/>
    <w:rsid w:val="19CA0B03"/>
    <w:rsid w:val="19CA28B1"/>
    <w:rsid w:val="19CA465F"/>
    <w:rsid w:val="19CB52FF"/>
    <w:rsid w:val="19CD38CF"/>
    <w:rsid w:val="19CD6136"/>
    <w:rsid w:val="19CE05F3"/>
    <w:rsid w:val="19CE111B"/>
    <w:rsid w:val="19CE12D1"/>
    <w:rsid w:val="19CE23A1"/>
    <w:rsid w:val="19CF4BC1"/>
    <w:rsid w:val="19CF5505"/>
    <w:rsid w:val="19CF6119"/>
    <w:rsid w:val="19CF7EC7"/>
    <w:rsid w:val="19D007C9"/>
    <w:rsid w:val="19D1155D"/>
    <w:rsid w:val="19D11E91"/>
    <w:rsid w:val="19D13E2D"/>
    <w:rsid w:val="19D158F2"/>
    <w:rsid w:val="19D16F1B"/>
    <w:rsid w:val="19D21766"/>
    <w:rsid w:val="19D252BE"/>
    <w:rsid w:val="19D302DD"/>
    <w:rsid w:val="19D379B8"/>
    <w:rsid w:val="19D37F20"/>
    <w:rsid w:val="19D40EC1"/>
    <w:rsid w:val="19D41982"/>
    <w:rsid w:val="19D4363A"/>
    <w:rsid w:val="19D43C03"/>
    <w:rsid w:val="19D43D14"/>
    <w:rsid w:val="19D5046D"/>
    <w:rsid w:val="19D53AC2"/>
    <w:rsid w:val="19D5428A"/>
    <w:rsid w:val="19D56C0A"/>
    <w:rsid w:val="19D61256"/>
    <w:rsid w:val="19D6357C"/>
    <w:rsid w:val="19D674A8"/>
    <w:rsid w:val="19D76D7C"/>
    <w:rsid w:val="19D8595E"/>
    <w:rsid w:val="19D900D6"/>
    <w:rsid w:val="19D920C7"/>
    <w:rsid w:val="19D93B69"/>
    <w:rsid w:val="19D96F98"/>
    <w:rsid w:val="19DB061A"/>
    <w:rsid w:val="19DB42DF"/>
    <w:rsid w:val="19DB686C"/>
    <w:rsid w:val="19DC2507"/>
    <w:rsid w:val="19DC4392"/>
    <w:rsid w:val="19DC503E"/>
    <w:rsid w:val="19DD0836"/>
    <w:rsid w:val="19DE010A"/>
    <w:rsid w:val="19DE5C32"/>
    <w:rsid w:val="19DE635C"/>
    <w:rsid w:val="19DF151F"/>
    <w:rsid w:val="19DF45AE"/>
    <w:rsid w:val="19E020D4"/>
    <w:rsid w:val="19E074FE"/>
    <w:rsid w:val="19E102D1"/>
    <w:rsid w:val="19E16A10"/>
    <w:rsid w:val="19E215E1"/>
    <w:rsid w:val="19E219A9"/>
    <w:rsid w:val="19E23912"/>
    <w:rsid w:val="19E25607"/>
    <w:rsid w:val="19E33973"/>
    <w:rsid w:val="19E35BF1"/>
    <w:rsid w:val="19E4006B"/>
    <w:rsid w:val="19E406AB"/>
    <w:rsid w:val="19E4219C"/>
    <w:rsid w:val="19E45391"/>
    <w:rsid w:val="19E46183"/>
    <w:rsid w:val="19E461E8"/>
    <w:rsid w:val="19E52ADB"/>
    <w:rsid w:val="19E52F4F"/>
    <w:rsid w:val="19E5593D"/>
    <w:rsid w:val="19E56DD6"/>
    <w:rsid w:val="19E7102E"/>
    <w:rsid w:val="19E71922"/>
    <w:rsid w:val="19E73463"/>
    <w:rsid w:val="19E74944"/>
    <w:rsid w:val="19E76139"/>
    <w:rsid w:val="19E801A2"/>
    <w:rsid w:val="19E80F89"/>
    <w:rsid w:val="19E81DB9"/>
    <w:rsid w:val="19E82A2B"/>
    <w:rsid w:val="19E82D37"/>
    <w:rsid w:val="19E83D12"/>
    <w:rsid w:val="19E83E62"/>
    <w:rsid w:val="19E90B64"/>
    <w:rsid w:val="19E971DB"/>
    <w:rsid w:val="19EA1203"/>
    <w:rsid w:val="19EA1D8E"/>
    <w:rsid w:val="19EA2F53"/>
    <w:rsid w:val="19EA6AAF"/>
    <w:rsid w:val="19EA6B9E"/>
    <w:rsid w:val="19EB57EB"/>
    <w:rsid w:val="19EB608A"/>
    <w:rsid w:val="19EB72CE"/>
    <w:rsid w:val="19EB7914"/>
    <w:rsid w:val="19EB7CFB"/>
    <w:rsid w:val="19EC0223"/>
    <w:rsid w:val="19EC0A79"/>
    <w:rsid w:val="19EC0AFA"/>
    <w:rsid w:val="19EC2827"/>
    <w:rsid w:val="19EC4E33"/>
    <w:rsid w:val="19EC524C"/>
    <w:rsid w:val="19EC5264"/>
    <w:rsid w:val="19EC6CCB"/>
    <w:rsid w:val="19EC6D02"/>
    <w:rsid w:val="19ED659F"/>
    <w:rsid w:val="19ED7494"/>
    <w:rsid w:val="19ED7866"/>
    <w:rsid w:val="19EE2A43"/>
    <w:rsid w:val="19EE2F83"/>
    <w:rsid w:val="19EE3705"/>
    <w:rsid w:val="19EE47F1"/>
    <w:rsid w:val="19EE7B83"/>
    <w:rsid w:val="19EE7E5D"/>
    <w:rsid w:val="19EF056A"/>
    <w:rsid w:val="19EF24A3"/>
    <w:rsid w:val="19EF3BE4"/>
    <w:rsid w:val="19EF40C6"/>
    <w:rsid w:val="19EF63F5"/>
    <w:rsid w:val="19EF65D1"/>
    <w:rsid w:val="19F02EFF"/>
    <w:rsid w:val="19F03191"/>
    <w:rsid w:val="19F032AD"/>
    <w:rsid w:val="19F033CF"/>
    <w:rsid w:val="19F05074"/>
    <w:rsid w:val="19F133E1"/>
    <w:rsid w:val="19F16090"/>
    <w:rsid w:val="19F17E3E"/>
    <w:rsid w:val="19F23A54"/>
    <w:rsid w:val="19F27296"/>
    <w:rsid w:val="19F3005A"/>
    <w:rsid w:val="19F30E24"/>
    <w:rsid w:val="19F31E08"/>
    <w:rsid w:val="19F33BB6"/>
    <w:rsid w:val="19F33FAB"/>
    <w:rsid w:val="19F416DC"/>
    <w:rsid w:val="19F44E85"/>
    <w:rsid w:val="19F46294"/>
    <w:rsid w:val="19F4792E"/>
    <w:rsid w:val="19F56315"/>
    <w:rsid w:val="19F6034A"/>
    <w:rsid w:val="19F618F8"/>
    <w:rsid w:val="19F636A6"/>
    <w:rsid w:val="19F65454"/>
    <w:rsid w:val="19F6753E"/>
    <w:rsid w:val="19F677A5"/>
    <w:rsid w:val="19F679A0"/>
    <w:rsid w:val="19F70334"/>
    <w:rsid w:val="19F718A8"/>
    <w:rsid w:val="19F72376"/>
    <w:rsid w:val="19F81081"/>
    <w:rsid w:val="19F83806"/>
    <w:rsid w:val="19F85670"/>
    <w:rsid w:val="19F8741E"/>
    <w:rsid w:val="19F95136"/>
    <w:rsid w:val="19F952DC"/>
    <w:rsid w:val="19F95FB9"/>
    <w:rsid w:val="19F97FE0"/>
    <w:rsid w:val="19FA13E8"/>
    <w:rsid w:val="19FA6325"/>
    <w:rsid w:val="19FA71CE"/>
    <w:rsid w:val="19FB1FA5"/>
    <w:rsid w:val="19FB5E42"/>
    <w:rsid w:val="19FB6F0E"/>
    <w:rsid w:val="19FC10BC"/>
    <w:rsid w:val="19FC3617"/>
    <w:rsid w:val="19FD117E"/>
    <w:rsid w:val="19FD3D59"/>
    <w:rsid w:val="19FD4362"/>
    <w:rsid w:val="19FD5FC6"/>
    <w:rsid w:val="19FD67E3"/>
    <w:rsid w:val="19FE07AD"/>
    <w:rsid w:val="19FE1815"/>
    <w:rsid w:val="19FE255B"/>
    <w:rsid w:val="19FE340E"/>
    <w:rsid w:val="19FF1F98"/>
    <w:rsid w:val="19FF2820"/>
    <w:rsid w:val="19FF4A73"/>
    <w:rsid w:val="19FF5095"/>
    <w:rsid w:val="19FF7A86"/>
    <w:rsid w:val="1A002777"/>
    <w:rsid w:val="1A02029D"/>
    <w:rsid w:val="1A02050B"/>
    <w:rsid w:val="1A021B86"/>
    <w:rsid w:val="1A02204B"/>
    <w:rsid w:val="1A023DF9"/>
    <w:rsid w:val="1A0248F8"/>
    <w:rsid w:val="1A025026"/>
    <w:rsid w:val="1A027489"/>
    <w:rsid w:val="1A037DE9"/>
    <w:rsid w:val="1A037DFC"/>
    <w:rsid w:val="1A0418B7"/>
    <w:rsid w:val="1A041DA9"/>
    <w:rsid w:val="1A041EE5"/>
    <w:rsid w:val="1A042CCB"/>
    <w:rsid w:val="1A044015"/>
    <w:rsid w:val="1A04497A"/>
    <w:rsid w:val="1A051B3B"/>
    <w:rsid w:val="1A0538E9"/>
    <w:rsid w:val="1A057D8D"/>
    <w:rsid w:val="1A061AE9"/>
    <w:rsid w:val="1A065BBA"/>
    <w:rsid w:val="1A07140F"/>
    <w:rsid w:val="1A0758B3"/>
    <w:rsid w:val="1A077661"/>
    <w:rsid w:val="1A0822E3"/>
    <w:rsid w:val="1A0832FB"/>
    <w:rsid w:val="1A084EB9"/>
    <w:rsid w:val="1A085187"/>
    <w:rsid w:val="1A085D62"/>
    <w:rsid w:val="1A09162B"/>
    <w:rsid w:val="1A0933D9"/>
    <w:rsid w:val="1A095C36"/>
    <w:rsid w:val="1A09753A"/>
    <w:rsid w:val="1A0A07EC"/>
    <w:rsid w:val="1A0A10F0"/>
    <w:rsid w:val="1A0A196E"/>
    <w:rsid w:val="1A0B053B"/>
    <w:rsid w:val="1A0B58C4"/>
    <w:rsid w:val="1A0B6CD8"/>
    <w:rsid w:val="1A0C111B"/>
    <w:rsid w:val="1A0C2E9D"/>
    <w:rsid w:val="1A0C2EC9"/>
    <w:rsid w:val="1A0C4C78"/>
    <w:rsid w:val="1A0D279E"/>
    <w:rsid w:val="1A0D2C56"/>
    <w:rsid w:val="1A0D459C"/>
    <w:rsid w:val="1A0D716D"/>
    <w:rsid w:val="1A0E05FD"/>
    <w:rsid w:val="1A0E09F0"/>
    <w:rsid w:val="1A0E211B"/>
    <w:rsid w:val="1A0E5A2C"/>
    <w:rsid w:val="1A0E6C42"/>
    <w:rsid w:val="1A0F1A8D"/>
    <w:rsid w:val="1A0F29BA"/>
    <w:rsid w:val="1A101A3F"/>
    <w:rsid w:val="1A101FD2"/>
    <w:rsid w:val="1A110D24"/>
    <w:rsid w:val="1A114A29"/>
    <w:rsid w:val="1A116732"/>
    <w:rsid w:val="1A116B7E"/>
    <w:rsid w:val="1A116EBC"/>
    <w:rsid w:val="1A117341"/>
    <w:rsid w:val="1A121912"/>
    <w:rsid w:val="1A13040E"/>
    <w:rsid w:val="1A134D66"/>
    <w:rsid w:val="1A135C0D"/>
    <w:rsid w:val="1A136006"/>
    <w:rsid w:val="1A14189E"/>
    <w:rsid w:val="1A147FD0"/>
    <w:rsid w:val="1A152C42"/>
    <w:rsid w:val="1A152D2E"/>
    <w:rsid w:val="1A153894"/>
    <w:rsid w:val="1A160337"/>
    <w:rsid w:val="1A1641BE"/>
    <w:rsid w:val="1A165AF6"/>
    <w:rsid w:val="1A166D8F"/>
    <w:rsid w:val="1A17021F"/>
    <w:rsid w:val="1A1739FB"/>
    <w:rsid w:val="1A173F76"/>
    <w:rsid w:val="1A17459F"/>
    <w:rsid w:val="1A176F07"/>
    <w:rsid w:val="1A1816AF"/>
    <w:rsid w:val="1A18186E"/>
    <w:rsid w:val="1A1839A8"/>
    <w:rsid w:val="1A18483E"/>
    <w:rsid w:val="1A186D43"/>
    <w:rsid w:val="1A187AC0"/>
    <w:rsid w:val="1A187FBB"/>
    <w:rsid w:val="1A1928E2"/>
    <w:rsid w:val="1A192B3F"/>
    <w:rsid w:val="1A195710"/>
    <w:rsid w:val="1A19691B"/>
    <w:rsid w:val="1A197394"/>
    <w:rsid w:val="1A1A3838"/>
    <w:rsid w:val="1A1A3C2D"/>
    <w:rsid w:val="1A1A55E6"/>
    <w:rsid w:val="1A1B135F"/>
    <w:rsid w:val="1A1B4A74"/>
    <w:rsid w:val="1A1B77BE"/>
    <w:rsid w:val="1A1C2C01"/>
    <w:rsid w:val="1A1C5BD7"/>
    <w:rsid w:val="1A1C66C0"/>
    <w:rsid w:val="1A1C7BFC"/>
    <w:rsid w:val="1A1D0C33"/>
    <w:rsid w:val="1A1D6E85"/>
    <w:rsid w:val="1A1E7372"/>
    <w:rsid w:val="1A1F0E4F"/>
    <w:rsid w:val="1A1F1582"/>
    <w:rsid w:val="1A1F2877"/>
    <w:rsid w:val="1A200723"/>
    <w:rsid w:val="1A206975"/>
    <w:rsid w:val="1A207E41"/>
    <w:rsid w:val="1A2226ED"/>
    <w:rsid w:val="1A223AD6"/>
    <w:rsid w:val="1A22449B"/>
    <w:rsid w:val="1A225515"/>
    <w:rsid w:val="1A226F49"/>
    <w:rsid w:val="1A22749D"/>
    <w:rsid w:val="1A231FC1"/>
    <w:rsid w:val="1A236C5D"/>
    <w:rsid w:val="1A237635"/>
    <w:rsid w:val="1A241393"/>
    <w:rsid w:val="1A24147C"/>
    <w:rsid w:val="1A242823"/>
    <w:rsid w:val="1A2453EF"/>
    <w:rsid w:val="1A2457AB"/>
    <w:rsid w:val="1A251630"/>
    <w:rsid w:val="1A2521DD"/>
    <w:rsid w:val="1A253454"/>
    <w:rsid w:val="1A253E58"/>
    <w:rsid w:val="1A255D39"/>
    <w:rsid w:val="1A256E93"/>
    <w:rsid w:val="1A257CDF"/>
    <w:rsid w:val="1A271AB1"/>
    <w:rsid w:val="1A27385F"/>
    <w:rsid w:val="1A273FAA"/>
    <w:rsid w:val="1A274AE2"/>
    <w:rsid w:val="1A277D14"/>
    <w:rsid w:val="1A2801B7"/>
    <w:rsid w:val="1A2811A4"/>
    <w:rsid w:val="1A286D3B"/>
    <w:rsid w:val="1A290EDC"/>
    <w:rsid w:val="1A29304B"/>
    <w:rsid w:val="1A293A7B"/>
    <w:rsid w:val="1A296CF8"/>
    <w:rsid w:val="1A2A15A2"/>
    <w:rsid w:val="1A2A3350"/>
    <w:rsid w:val="1A2A3B33"/>
    <w:rsid w:val="1A2A6F75"/>
    <w:rsid w:val="1A2B2090"/>
    <w:rsid w:val="1A2B4870"/>
    <w:rsid w:val="1A2B706F"/>
    <w:rsid w:val="1A2B77F4"/>
    <w:rsid w:val="1A2C04F0"/>
    <w:rsid w:val="1A2C26F6"/>
    <w:rsid w:val="1A2C531A"/>
    <w:rsid w:val="1A2D11DE"/>
    <w:rsid w:val="1A2D3B86"/>
    <w:rsid w:val="1A2E2E40"/>
    <w:rsid w:val="1A2E5016"/>
    <w:rsid w:val="1A2F0966"/>
    <w:rsid w:val="1A2F1077"/>
    <w:rsid w:val="1A2F4DD2"/>
    <w:rsid w:val="1A2F57A0"/>
    <w:rsid w:val="1A2F64A6"/>
    <w:rsid w:val="1A2F6BB8"/>
    <w:rsid w:val="1A2F7C4C"/>
    <w:rsid w:val="1A3011DD"/>
    <w:rsid w:val="1A3027EC"/>
    <w:rsid w:val="1A304E0A"/>
    <w:rsid w:val="1A310B82"/>
    <w:rsid w:val="1A312930"/>
    <w:rsid w:val="1A3146DE"/>
    <w:rsid w:val="1A31606B"/>
    <w:rsid w:val="1A326F78"/>
    <w:rsid w:val="1A327BC9"/>
    <w:rsid w:val="1A330456"/>
    <w:rsid w:val="1A332204"/>
    <w:rsid w:val="1A3327FD"/>
    <w:rsid w:val="1A3362D7"/>
    <w:rsid w:val="1A3366A8"/>
    <w:rsid w:val="1A341039"/>
    <w:rsid w:val="1A341B51"/>
    <w:rsid w:val="1A342318"/>
    <w:rsid w:val="1A352A06"/>
    <w:rsid w:val="1A352EE0"/>
    <w:rsid w:val="1A366379"/>
    <w:rsid w:val="1A367763"/>
    <w:rsid w:val="1A367F46"/>
    <w:rsid w:val="1A37176E"/>
    <w:rsid w:val="1A37660E"/>
    <w:rsid w:val="1A377809"/>
    <w:rsid w:val="1A381F10"/>
    <w:rsid w:val="1A382FAC"/>
    <w:rsid w:val="1A386DBC"/>
    <w:rsid w:val="1A3930EE"/>
    <w:rsid w:val="1A393593"/>
    <w:rsid w:val="1A395B47"/>
    <w:rsid w:val="1A3A0E9F"/>
    <w:rsid w:val="1A3A17E5"/>
    <w:rsid w:val="1A3A19E6"/>
    <w:rsid w:val="1A3A7A37"/>
    <w:rsid w:val="1A3B37AF"/>
    <w:rsid w:val="1A3B555D"/>
    <w:rsid w:val="1A3C140F"/>
    <w:rsid w:val="1A3C637F"/>
    <w:rsid w:val="1A3D12D5"/>
    <w:rsid w:val="1A3D2181"/>
    <w:rsid w:val="1A3D3083"/>
    <w:rsid w:val="1A3D4B32"/>
    <w:rsid w:val="1A3D7527"/>
    <w:rsid w:val="1A3E2AA3"/>
    <w:rsid w:val="1A3F46F0"/>
    <w:rsid w:val="1A3F504D"/>
    <w:rsid w:val="1A3F577B"/>
    <w:rsid w:val="1A3F5CD9"/>
    <w:rsid w:val="1A3F5F9B"/>
    <w:rsid w:val="1A3F6DFB"/>
    <w:rsid w:val="1A400DC5"/>
    <w:rsid w:val="1A40267A"/>
    <w:rsid w:val="1A402B73"/>
    <w:rsid w:val="1A40444E"/>
    <w:rsid w:val="1A404921"/>
    <w:rsid w:val="1A4118FC"/>
    <w:rsid w:val="1A4131B9"/>
    <w:rsid w:val="1A41348C"/>
    <w:rsid w:val="1A415956"/>
    <w:rsid w:val="1A417179"/>
    <w:rsid w:val="1A420699"/>
    <w:rsid w:val="1A42393B"/>
    <w:rsid w:val="1A42491C"/>
    <w:rsid w:val="1A4268EB"/>
    <w:rsid w:val="1A4274B5"/>
    <w:rsid w:val="1A43439E"/>
    <w:rsid w:val="1A435DAC"/>
    <w:rsid w:val="1A4404B8"/>
    <w:rsid w:val="1A441E72"/>
    <w:rsid w:val="1A442663"/>
    <w:rsid w:val="1A46462D"/>
    <w:rsid w:val="1A47158D"/>
    <w:rsid w:val="1A472154"/>
    <w:rsid w:val="1A473F02"/>
    <w:rsid w:val="1A4745EF"/>
    <w:rsid w:val="1A475BBD"/>
    <w:rsid w:val="1A475CB0"/>
    <w:rsid w:val="1A476A74"/>
    <w:rsid w:val="1A48704D"/>
    <w:rsid w:val="1A491A28"/>
    <w:rsid w:val="1A4933A9"/>
    <w:rsid w:val="1A495ECC"/>
    <w:rsid w:val="1A497811"/>
    <w:rsid w:val="1A497C7A"/>
    <w:rsid w:val="1A4A39F2"/>
    <w:rsid w:val="1A4A453E"/>
    <w:rsid w:val="1A4A57A0"/>
    <w:rsid w:val="1A4B589F"/>
    <w:rsid w:val="1A4B7978"/>
    <w:rsid w:val="1A4C1518"/>
    <w:rsid w:val="1A4C776A"/>
    <w:rsid w:val="1A4D4035"/>
    <w:rsid w:val="1A4E34E2"/>
    <w:rsid w:val="1A4E44C3"/>
    <w:rsid w:val="1A4E4600"/>
    <w:rsid w:val="1A4E7FDF"/>
    <w:rsid w:val="1A4F0D02"/>
    <w:rsid w:val="1A4F2DB6"/>
    <w:rsid w:val="1A4F3B53"/>
    <w:rsid w:val="1A5012F9"/>
    <w:rsid w:val="1A512B3C"/>
    <w:rsid w:val="1A512FD2"/>
    <w:rsid w:val="1A5228C8"/>
    <w:rsid w:val="1A524411"/>
    <w:rsid w:val="1A530AF8"/>
    <w:rsid w:val="1A530E12"/>
    <w:rsid w:val="1A5328A6"/>
    <w:rsid w:val="1A53362E"/>
    <w:rsid w:val="1A5358A1"/>
    <w:rsid w:val="1A5403CD"/>
    <w:rsid w:val="1A55089C"/>
    <w:rsid w:val="1A551B7D"/>
    <w:rsid w:val="1A554870"/>
    <w:rsid w:val="1A55661F"/>
    <w:rsid w:val="1A5605E9"/>
    <w:rsid w:val="1A562397"/>
    <w:rsid w:val="1A5627F0"/>
    <w:rsid w:val="1A564145"/>
    <w:rsid w:val="1A565E7D"/>
    <w:rsid w:val="1A580283"/>
    <w:rsid w:val="1A581025"/>
    <w:rsid w:val="1A584361"/>
    <w:rsid w:val="1A586B42"/>
    <w:rsid w:val="1A587EBD"/>
    <w:rsid w:val="1A59000E"/>
    <w:rsid w:val="1A59108D"/>
    <w:rsid w:val="1A592BA3"/>
    <w:rsid w:val="1A597561"/>
    <w:rsid w:val="1A5A0E9C"/>
    <w:rsid w:val="1A5A1E87"/>
    <w:rsid w:val="1A5B22AE"/>
    <w:rsid w:val="1A5B4076"/>
    <w:rsid w:val="1A5B4C15"/>
    <w:rsid w:val="1A5B5C36"/>
    <w:rsid w:val="1A5B6C04"/>
    <w:rsid w:val="1A5B79AD"/>
    <w:rsid w:val="1A5C0094"/>
    <w:rsid w:val="1A5C0E74"/>
    <w:rsid w:val="1A5C382D"/>
    <w:rsid w:val="1A5D0F8B"/>
    <w:rsid w:val="1A5D1977"/>
    <w:rsid w:val="1A5D3430"/>
    <w:rsid w:val="1A5F0CF1"/>
    <w:rsid w:val="1A5F2142"/>
    <w:rsid w:val="1A5F2FF9"/>
    <w:rsid w:val="1A5F6A15"/>
    <w:rsid w:val="1A5F749D"/>
    <w:rsid w:val="1A604FC3"/>
    <w:rsid w:val="1A607EA5"/>
    <w:rsid w:val="1A613215"/>
    <w:rsid w:val="1A6138D3"/>
    <w:rsid w:val="1A61648E"/>
    <w:rsid w:val="1A62088D"/>
    <w:rsid w:val="1A620D3B"/>
    <w:rsid w:val="1A6220C1"/>
    <w:rsid w:val="1A622AE9"/>
    <w:rsid w:val="1A6256EF"/>
    <w:rsid w:val="1A626F8D"/>
    <w:rsid w:val="1A626FD4"/>
    <w:rsid w:val="1A633C09"/>
    <w:rsid w:val="1A633C55"/>
    <w:rsid w:val="1A635396"/>
    <w:rsid w:val="1A641AD5"/>
    <w:rsid w:val="1A644AB4"/>
    <w:rsid w:val="1A644B2C"/>
    <w:rsid w:val="1A646826"/>
    <w:rsid w:val="1A646862"/>
    <w:rsid w:val="1A650A3E"/>
    <w:rsid w:val="1A651146"/>
    <w:rsid w:val="1A65153B"/>
    <w:rsid w:val="1A652345"/>
    <w:rsid w:val="1A652887"/>
    <w:rsid w:val="1A654388"/>
    <w:rsid w:val="1A655D2E"/>
    <w:rsid w:val="1A65730A"/>
    <w:rsid w:val="1A65739F"/>
    <w:rsid w:val="1A66082C"/>
    <w:rsid w:val="1A667DED"/>
    <w:rsid w:val="1A670100"/>
    <w:rsid w:val="1A670176"/>
    <w:rsid w:val="1A6733E4"/>
    <w:rsid w:val="1A673855"/>
    <w:rsid w:val="1A6745A4"/>
    <w:rsid w:val="1A676352"/>
    <w:rsid w:val="1A681208"/>
    <w:rsid w:val="1A686E3E"/>
    <w:rsid w:val="1A6908C4"/>
    <w:rsid w:val="1A6936B1"/>
    <w:rsid w:val="1A693BC4"/>
    <w:rsid w:val="1A694137"/>
    <w:rsid w:val="1A6A0A07"/>
    <w:rsid w:val="1A6A14B2"/>
    <w:rsid w:val="1A6A1554"/>
    <w:rsid w:val="1A6A34A6"/>
    <w:rsid w:val="1A6A7BF0"/>
    <w:rsid w:val="1A6B2BD5"/>
    <w:rsid w:val="1A6B4094"/>
    <w:rsid w:val="1A6B5E42"/>
    <w:rsid w:val="1A6C1BBA"/>
    <w:rsid w:val="1A6C2697"/>
    <w:rsid w:val="1A6C46BD"/>
    <w:rsid w:val="1A6C47C5"/>
    <w:rsid w:val="1A6C5716"/>
    <w:rsid w:val="1A6D5380"/>
    <w:rsid w:val="1A6D777D"/>
    <w:rsid w:val="1A6E1333"/>
    <w:rsid w:val="1A6E148E"/>
    <w:rsid w:val="1A6E1A80"/>
    <w:rsid w:val="1A6E5932"/>
    <w:rsid w:val="1A6E76E0"/>
    <w:rsid w:val="1A6F5CF5"/>
    <w:rsid w:val="1A6F650A"/>
    <w:rsid w:val="1A6F7B77"/>
    <w:rsid w:val="1A703458"/>
    <w:rsid w:val="1A7035BC"/>
    <w:rsid w:val="1A704ADF"/>
    <w:rsid w:val="1A710D5C"/>
    <w:rsid w:val="1A710E2A"/>
    <w:rsid w:val="1A710F7F"/>
    <w:rsid w:val="1A7171D0"/>
    <w:rsid w:val="1A720819"/>
    <w:rsid w:val="1A7222BA"/>
    <w:rsid w:val="1A725422"/>
    <w:rsid w:val="1A736AA5"/>
    <w:rsid w:val="1A7379BC"/>
    <w:rsid w:val="1A741289"/>
    <w:rsid w:val="1A744BDA"/>
    <w:rsid w:val="1A750A6F"/>
    <w:rsid w:val="1A75281D"/>
    <w:rsid w:val="1A755E4C"/>
    <w:rsid w:val="1A756CC1"/>
    <w:rsid w:val="1A76621B"/>
    <w:rsid w:val="1A766595"/>
    <w:rsid w:val="1A766950"/>
    <w:rsid w:val="1A772A39"/>
    <w:rsid w:val="1A7731BB"/>
    <w:rsid w:val="1A77355B"/>
    <w:rsid w:val="1A780447"/>
    <w:rsid w:val="1A78055F"/>
    <w:rsid w:val="1A78230D"/>
    <w:rsid w:val="1A7840BB"/>
    <w:rsid w:val="1A7867B1"/>
    <w:rsid w:val="1A787243"/>
    <w:rsid w:val="1A7874C0"/>
    <w:rsid w:val="1A796D92"/>
    <w:rsid w:val="1A7A1339"/>
    <w:rsid w:val="1A7A42D7"/>
    <w:rsid w:val="1A7A6085"/>
    <w:rsid w:val="1A7B19AE"/>
    <w:rsid w:val="1A7B1DFD"/>
    <w:rsid w:val="1A7C004F"/>
    <w:rsid w:val="1A7C0DA2"/>
    <w:rsid w:val="1A7C143C"/>
    <w:rsid w:val="1A7C336C"/>
    <w:rsid w:val="1A7D3DC7"/>
    <w:rsid w:val="1A7D4911"/>
    <w:rsid w:val="1A7D73CD"/>
    <w:rsid w:val="1A7D7923"/>
    <w:rsid w:val="1A7E0512"/>
    <w:rsid w:val="1A7E36B1"/>
    <w:rsid w:val="1A7E3C31"/>
    <w:rsid w:val="1A7F18ED"/>
    <w:rsid w:val="1A7F1CED"/>
    <w:rsid w:val="1A7F31E2"/>
    <w:rsid w:val="1A7F5553"/>
    <w:rsid w:val="1A7F685C"/>
    <w:rsid w:val="1A8020BF"/>
    <w:rsid w:val="1A807414"/>
    <w:rsid w:val="1A815666"/>
    <w:rsid w:val="1A8213DE"/>
    <w:rsid w:val="1A825EC0"/>
    <w:rsid w:val="1A831C80"/>
    <w:rsid w:val="1A8353BC"/>
    <w:rsid w:val="1A83719D"/>
    <w:rsid w:val="1A840CB2"/>
    <w:rsid w:val="1A844FA1"/>
    <w:rsid w:val="1A845156"/>
    <w:rsid w:val="1A846F04"/>
    <w:rsid w:val="1A85772F"/>
    <w:rsid w:val="1A86006F"/>
    <w:rsid w:val="1A861B61"/>
    <w:rsid w:val="1A861BC0"/>
    <w:rsid w:val="1A864952"/>
    <w:rsid w:val="1A864A2A"/>
    <w:rsid w:val="1A873050"/>
    <w:rsid w:val="1A873F68"/>
    <w:rsid w:val="1A87580C"/>
    <w:rsid w:val="1A8769F4"/>
    <w:rsid w:val="1A880339"/>
    <w:rsid w:val="1A8852EE"/>
    <w:rsid w:val="1A886EFD"/>
    <w:rsid w:val="1A89276C"/>
    <w:rsid w:val="1A892BA4"/>
    <w:rsid w:val="1A89451A"/>
    <w:rsid w:val="1A8962C8"/>
    <w:rsid w:val="1A8970B1"/>
    <w:rsid w:val="1A8A3DEE"/>
    <w:rsid w:val="1A8B01B1"/>
    <w:rsid w:val="1A8B0292"/>
    <w:rsid w:val="1A8B18A5"/>
    <w:rsid w:val="1A8B19D1"/>
    <w:rsid w:val="1A8B2040"/>
    <w:rsid w:val="1A8B4DD7"/>
    <w:rsid w:val="1A8B4E5B"/>
    <w:rsid w:val="1A8B4F03"/>
    <w:rsid w:val="1A8B6479"/>
    <w:rsid w:val="1A8B7E79"/>
    <w:rsid w:val="1A8C400A"/>
    <w:rsid w:val="1A8C42F1"/>
    <w:rsid w:val="1A8C55EC"/>
    <w:rsid w:val="1A8E1B30"/>
    <w:rsid w:val="1A8E52F0"/>
    <w:rsid w:val="1A8E7D82"/>
    <w:rsid w:val="1A8F3C86"/>
    <w:rsid w:val="1A9016E4"/>
    <w:rsid w:val="1A901BB1"/>
    <w:rsid w:val="1A9024A7"/>
    <w:rsid w:val="1A903AFB"/>
    <w:rsid w:val="1A906CFE"/>
    <w:rsid w:val="1A907657"/>
    <w:rsid w:val="1A910ABC"/>
    <w:rsid w:val="1A911F76"/>
    <w:rsid w:val="1A9133CF"/>
    <w:rsid w:val="1A91414C"/>
    <w:rsid w:val="1A914F07"/>
    <w:rsid w:val="1A91517D"/>
    <w:rsid w:val="1A916CD3"/>
    <w:rsid w:val="1A920163"/>
    <w:rsid w:val="1A920A3F"/>
    <w:rsid w:val="1A92388D"/>
    <w:rsid w:val="1A924232"/>
    <w:rsid w:val="1A930146"/>
    <w:rsid w:val="1A930F26"/>
    <w:rsid w:val="1A9315F3"/>
    <w:rsid w:val="1A935399"/>
    <w:rsid w:val="1A93629F"/>
    <w:rsid w:val="1A937313"/>
    <w:rsid w:val="1A9424AE"/>
    <w:rsid w:val="1A94409D"/>
    <w:rsid w:val="1A9441C4"/>
    <w:rsid w:val="1A95088B"/>
    <w:rsid w:val="1A952EBF"/>
    <w:rsid w:val="1A954C6D"/>
    <w:rsid w:val="1A9557EC"/>
    <w:rsid w:val="1A9609E5"/>
    <w:rsid w:val="1A9676B7"/>
    <w:rsid w:val="1A97051A"/>
    <w:rsid w:val="1A97157D"/>
    <w:rsid w:val="1A9722A6"/>
    <w:rsid w:val="1A972B45"/>
    <w:rsid w:val="1A97307B"/>
    <w:rsid w:val="1A9742EA"/>
    <w:rsid w:val="1A974E89"/>
    <w:rsid w:val="1A975E3B"/>
    <w:rsid w:val="1A976E5F"/>
    <w:rsid w:val="1A9776FB"/>
    <w:rsid w:val="1A9829AF"/>
    <w:rsid w:val="1A983FD5"/>
    <w:rsid w:val="1A9845E5"/>
    <w:rsid w:val="1A98475D"/>
    <w:rsid w:val="1A9908E0"/>
    <w:rsid w:val="1A993244"/>
    <w:rsid w:val="1A995465"/>
    <w:rsid w:val="1A99589A"/>
    <w:rsid w:val="1A9963CD"/>
    <w:rsid w:val="1A997B74"/>
    <w:rsid w:val="1A9A04D5"/>
    <w:rsid w:val="1A9A14C6"/>
    <w:rsid w:val="1A9A2283"/>
    <w:rsid w:val="1A9A5CB7"/>
    <w:rsid w:val="1A9A648B"/>
    <w:rsid w:val="1A9A6727"/>
    <w:rsid w:val="1A9B20BC"/>
    <w:rsid w:val="1A9B5FFB"/>
    <w:rsid w:val="1A9B61D0"/>
    <w:rsid w:val="1A9C3DE6"/>
    <w:rsid w:val="1A9C424D"/>
    <w:rsid w:val="1A9C48B3"/>
    <w:rsid w:val="1A9C5A4F"/>
    <w:rsid w:val="1A9C5F4B"/>
    <w:rsid w:val="1A9C7758"/>
    <w:rsid w:val="1A9D0B3C"/>
    <w:rsid w:val="1A9D1D74"/>
    <w:rsid w:val="1A9D6217"/>
    <w:rsid w:val="1A9D69B7"/>
    <w:rsid w:val="1A9D70AA"/>
    <w:rsid w:val="1A9E2025"/>
    <w:rsid w:val="1A9E2B3B"/>
    <w:rsid w:val="1A9E3580"/>
    <w:rsid w:val="1A9F379B"/>
    <w:rsid w:val="1A9F3D3E"/>
    <w:rsid w:val="1A9F5AEC"/>
    <w:rsid w:val="1AA03612"/>
    <w:rsid w:val="1AA060F9"/>
    <w:rsid w:val="1AA15FAD"/>
    <w:rsid w:val="1AA167C8"/>
    <w:rsid w:val="1AA20C5D"/>
    <w:rsid w:val="1AA3373F"/>
    <w:rsid w:val="1AA35A1E"/>
    <w:rsid w:val="1AA41354"/>
    <w:rsid w:val="1AA42578"/>
    <w:rsid w:val="1AA43102"/>
    <w:rsid w:val="1AA475A6"/>
    <w:rsid w:val="1AA64D8C"/>
    <w:rsid w:val="1AA650CC"/>
    <w:rsid w:val="1AA66E7A"/>
    <w:rsid w:val="1AA72BF2"/>
    <w:rsid w:val="1AA749A0"/>
    <w:rsid w:val="1AA80E44"/>
    <w:rsid w:val="1AA90718"/>
    <w:rsid w:val="1AA907A3"/>
    <w:rsid w:val="1AA90BE8"/>
    <w:rsid w:val="1AA91385"/>
    <w:rsid w:val="1AA94BBC"/>
    <w:rsid w:val="1AA9696A"/>
    <w:rsid w:val="1AA97B2B"/>
    <w:rsid w:val="1AAA4EC5"/>
    <w:rsid w:val="1AAB2075"/>
    <w:rsid w:val="1AAB26E2"/>
    <w:rsid w:val="1AAB43CE"/>
    <w:rsid w:val="1AAB4490"/>
    <w:rsid w:val="1AAC18EF"/>
    <w:rsid w:val="1AAC3990"/>
    <w:rsid w:val="1AAD303C"/>
    <w:rsid w:val="1AAD45DE"/>
    <w:rsid w:val="1AAD4D6B"/>
    <w:rsid w:val="1AAD5756"/>
    <w:rsid w:val="1AAD645B"/>
    <w:rsid w:val="1AAD64AC"/>
    <w:rsid w:val="1AAE1582"/>
    <w:rsid w:val="1AAE21D3"/>
    <w:rsid w:val="1AAE3F81"/>
    <w:rsid w:val="1AAE4E88"/>
    <w:rsid w:val="1AAF11C7"/>
    <w:rsid w:val="1AB01AA7"/>
    <w:rsid w:val="1AB037F9"/>
    <w:rsid w:val="1AB0763E"/>
    <w:rsid w:val="1AB07CF9"/>
    <w:rsid w:val="1AB1581F"/>
    <w:rsid w:val="1AB16D8D"/>
    <w:rsid w:val="1AB175CD"/>
    <w:rsid w:val="1AB204E9"/>
    <w:rsid w:val="1AB2774D"/>
    <w:rsid w:val="1AB31597"/>
    <w:rsid w:val="1AB36D20"/>
    <w:rsid w:val="1AB41414"/>
    <w:rsid w:val="1AB43742"/>
    <w:rsid w:val="1AB448C1"/>
    <w:rsid w:val="1AB44FF3"/>
    <w:rsid w:val="1AB535CF"/>
    <w:rsid w:val="1AB55005"/>
    <w:rsid w:val="1AB5530F"/>
    <w:rsid w:val="1AB570BD"/>
    <w:rsid w:val="1AB60E27"/>
    <w:rsid w:val="1AB64BE3"/>
    <w:rsid w:val="1AB6755E"/>
    <w:rsid w:val="1AB71087"/>
    <w:rsid w:val="1AB7212F"/>
    <w:rsid w:val="1AB76358"/>
    <w:rsid w:val="1AB772D9"/>
    <w:rsid w:val="1AB8095B"/>
    <w:rsid w:val="1AB83388"/>
    <w:rsid w:val="1AB84A57"/>
    <w:rsid w:val="1AB84E59"/>
    <w:rsid w:val="1AB85342"/>
    <w:rsid w:val="1AB86BAD"/>
    <w:rsid w:val="1AB879F4"/>
    <w:rsid w:val="1AB92E2D"/>
    <w:rsid w:val="1AB93B37"/>
    <w:rsid w:val="1AB94A4F"/>
    <w:rsid w:val="1AB960B0"/>
    <w:rsid w:val="1AB9743E"/>
    <w:rsid w:val="1ABA0B77"/>
    <w:rsid w:val="1ABA2925"/>
    <w:rsid w:val="1ABA46D4"/>
    <w:rsid w:val="1ABA59B3"/>
    <w:rsid w:val="1ABB236E"/>
    <w:rsid w:val="1ABB7006"/>
    <w:rsid w:val="1ABB7A27"/>
    <w:rsid w:val="1ABC0E77"/>
    <w:rsid w:val="1ABC33D0"/>
    <w:rsid w:val="1ABC48F0"/>
    <w:rsid w:val="1ABD2416"/>
    <w:rsid w:val="1ABD2AC6"/>
    <w:rsid w:val="1ABD3C70"/>
    <w:rsid w:val="1ABD4218"/>
    <w:rsid w:val="1ABD518E"/>
    <w:rsid w:val="1ABD78F1"/>
    <w:rsid w:val="1ABE18FF"/>
    <w:rsid w:val="1ABF1CEA"/>
    <w:rsid w:val="1ABF618E"/>
    <w:rsid w:val="1ABF6AA2"/>
    <w:rsid w:val="1ABF7F3C"/>
    <w:rsid w:val="1AC01327"/>
    <w:rsid w:val="1AC01D51"/>
    <w:rsid w:val="1AC031E1"/>
    <w:rsid w:val="1AC03B72"/>
    <w:rsid w:val="1AC04F2C"/>
    <w:rsid w:val="1AC10464"/>
    <w:rsid w:val="1AC1096A"/>
    <w:rsid w:val="1AC11F06"/>
    <w:rsid w:val="1AC13CB4"/>
    <w:rsid w:val="1AC15A62"/>
    <w:rsid w:val="1AC20A5B"/>
    <w:rsid w:val="1AC217DA"/>
    <w:rsid w:val="1AC243E7"/>
    <w:rsid w:val="1AC27242"/>
    <w:rsid w:val="1AC27A2C"/>
    <w:rsid w:val="1AC31AA4"/>
    <w:rsid w:val="1AC35C7E"/>
    <w:rsid w:val="1AC36B9D"/>
    <w:rsid w:val="1AC42237"/>
    <w:rsid w:val="1AC45B3E"/>
    <w:rsid w:val="1AC47300"/>
    <w:rsid w:val="1AC5064D"/>
    <w:rsid w:val="1AC509AC"/>
    <w:rsid w:val="1AC50A58"/>
    <w:rsid w:val="1AC5699F"/>
    <w:rsid w:val="1AC612CA"/>
    <w:rsid w:val="1AC63907"/>
    <w:rsid w:val="1AC63963"/>
    <w:rsid w:val="1AC64482"/>
    <w:rsid w:val="1AC6751C"/>
    <w:rsid w:val="1AC71B91"/>
    <w:rsid w:val="1AC75E8C"/>
    <w:rsid w:val="1AC76DF0"/>
    <w:rsid w:val="1AC77824"/>
    <w:rsid w:val="1AC814A0"/>
    <w:rsid w:val="1AC83294"/>
    <w:rsid w:val="1AC90DBB"/>
    <w:rsid w:val="1AC92B69"/>
    <w:rsid w:val="1AC94917"/>
    <w:rsid w:val="1AC976AA"/>
    <w:rsid w:val="1ACA4321"/>
    <w:rsid w:val="1ACB1CBF"/>
    <w:rsid w:val="1ACB4B33"/>
    <w:rsid w:val="1ACB7BBE"/>
    <w:rsid w:val="1ACC13EB"/>
    <w:rsid w:val="1ACC2805"/>
    <w:rsid w:val="1ACC4407"/>
    <w:rsid w:val="1ACD039F"/>
    <w:rsid w:val="1ACD08AB"/>
    <w:rsid w:val="1ACE017F"/>
    <w:rsid w:val="1ACE4623"/>
    <w:rsid w:val="1ACE63D1"/>
    <w:rsid w:val="1ACF00F1"/>
    <w:rsid w:val="1ACF1846"/>
    <w:rsid w:val="1ACF194E"/>
    <w:rsid w:val="1AD00105"/>
    <w:rsid w:val="1AD0039B"/>
    <w:rsid w:val="1AD02149"/>
    <w:rsid w:val="1AD02CD6"/>
    <w:rsid w:val="1AD03EF7"/>
    <w:rsid w:val="1AD04576"/>
    <w:rsid w:val="1AD04D80"/>
    <w:rsid w:val="1AD11A1D"/>
    <w:rsid w:val="1AD220F1"/>
    <w:rsid w:val="1AD25EC1"/>
    <w:rsid w:val="1AD27C6F"/>
    <w:rsid w:val="1AD3124A"/>
    <w:rsid w:val="1AD31C39"/>
    <w:rsid w:val="1AD33D36"/>
    <w:rsid w:val="1AD35795"/>
    <w:rsid w:val="1AD41657"/>
    <w:rsid w:val="1AD42D15"/>
    <w:rsid w:val="1AD55213"/>
    <w:rsid w:val="1AD556B8"/>
    <w:rsid w:val="1AD559B1"/>
    <w:rsid w:val="1AD5775F"/>
    <w:rsid w:val="1AD64983"/>
    <w:rsid w:val="1AD6553D"/>
    <w:rsid w:val="1AD734D7"/>
    <w:rsid w:val="1AD758DA"/>
    <w:rsid w:val="1AD80DDB"/>
    <w:rsid w:val="1AD81CC7"/>
    <w:rsid w:val="1AD8315F"/>
    <w:rsid w:val="1AD9291B"/>
    <w:rsid w:val="1AD93C60"/>
    <w:rsid w:val="1AD94039"/>
    <w:rsid w:val="1ADA2AFB"/>
    <w:rsid w:val="1ADA2FC8"/>
    <w:rsid w:val="1ADA4D76"/>
    <w:rsid w:val="1ADA5841"/>
    <w:rsid w:val="1ADA6B24"/>
    <w:rsid w:val="1ADA712F"/>
    <w:rsid w:val="1ADB573D"/>
    <w:rsid w:val="1ADB6959"/>
    <w:rsid w:val="1ADC0AEE"/>
    <w:rsid w:val="1ADC1524"/>
    <w:rsid w:val="1ADC289C"/>
    <w:rsid w:val="1ADC29BA"/>
    <w:rsid w:val="1ADD0C53"/>
    <w:rsid w:val="1ADD0F44"/>
    <w:rsid w:val="1ADD420C"/>
    <w:rsid w:val="1ADE0138"/>
    <w:rsid w:val="1ADE1D72"/>
    <w:rsid w:val="1ADE4ADC"/>
    <w:rsid w:val="1ADE598D"/>
    <w:rsid w:val="1AE00FF5"/>
    <w:rsid w:val="1AE01AEC"/>
    <w:rsid w:val="1AE02CDB"/>
    <w:rsid w:val="1AE04070"/>
    <w:rsid w:val="1AE0635C"/>
    <w:rsid w:val="1AE14356"/>
    <w:rsid w:val="1AE154DB"/>
    <w:rsid w:val="1AE17EB2"/>
    <w:rsid w:val="1AE23C2A"/>
    <w:rsid w:val="1AE25190"/>
    <w:rsid w:val="1AE25978"/>
    <w:rsid w:val="1AE4114C"/>
    <w:rsid w:val="1AE41EBF"/>
    <w:rsid w:val="1AE44BBE"/>
    <w:rsid w:val="1AE45BF4"/>
    <w:rsid w:val="1AE479A2"/>
    <w:rsid w:val="1AE52032"/>
    <w:rsid w:val="1AE57172"/>
    <w:rsid w:val="1AE6371B"/>
    <w:rsid w:val="1AE63A6C"/>
    <w:rsid w:val="1AE654C9"/>
    <w:rsid w:val="1AE6663D"/>
    <w:rsid w:val="1AE74C34"/>
    <w:rsid w:val="1AE82DEB"/>
    <w:rsid w:val="1AE8530A"/>
    <w:rsid w:val="1AE856E5"/>
    <w:rsid w:val="1AE86002"/>
    <w:rsid w:val="1AE86DD2"/>
    <w:rsid w:val="1AE87493"/>
    <w:rsid w:val="1AE923ED"/>
    <w:rsid w:val="1AE96D67"/>
    <w:rsid w:val="1AEA3365"/>
    <w:rsid w:val="1AEA675D"/>
    <w:rsid w:val="1AEA67C3"/>
    <w:rsid w:val="1AEB0D31"/>
    <w:rsid w:val="1AEB3644"/>
    <w:rsid w:val="1AEB5005"/>
    <w:rsid w:val="1AEB54C8"/>
    <w:rsid w:val="1AEB6F83"/>
    <w:rsid w:val="1AEC0D6E"/>
    <w:rsid w:val="1AEC11F3"/>
    <w:rsid w:val="1AEC507F"/>
    <w:rsid w:val="1AEC6857"/>
    <w:rsid w:val="1AED000E"/>
    <w:rsid w:val="1AED2CFB"/>
    <w:rsid w:val="1AED4234"/>
    <w:rsid w:val="1AEE0821"/>
    <w:rsid w:val="1AEE25CF"/>
    <w:rsid w:val="1AEF03DC"/>
    <w:rsid w:val="1AEF625F"/>
    <w:rsid w:val="1AEF6A73"/>
    <w:rsid w:val="1AF06347"/>
    <w:rsid w:val="1AF078D3"/>
    <w:rsid w:val="1AF07ABE"/>
    <w:rsid w:val="1AF10A0C"/>
    <w:rsid w:val="1AF16C4B"/>
    <w:rsid w:val="1AF20311"/>
    <w:rsid w:val="1AF20F2C"/>
    <w:rsid w:val="1AF22894"/>
    <w:rsid w:val="1AF23B08"/>
    <w:rsid w:val="1AF23E6D"/>
    <w:rsid w:val="1AF304D3"/>
    <w:rsid w:val="1AF374CF"/>
    <w:rsid w:val="1AF37BE5"/>
    <w:rsid w:val="1AF40915"/>
    <w:rsid w:val="1AF40C41"/>
    <w:rsid w:val="1AF44089"/>
    <w:rsid w:val="1AF46464"/>
    <w:rsid w:val="1AF46C60"/>
    <w:rsid w:val="1AF51BB0"/>
    <w:rsid w:val="1AF520D1"/>
    <w:rsid w:val="1AF53561"/>
    <w:rsid w:val="1AF5395E"/>
    <w:rsid w:val="1AF53BB6"/>
    <w:rsid w:val="1AF5570C"/>
    <w:rsid w:val="1AF5638A"/>
    <w:rsid w:val="1AF57E02"/>
    <w:rsid w:val="1AF61E20"/>
    <w:rsid w:val="1AF644B1"/>
    <w:rsid w:val="1AF701B2"/>
    <w:rsid w:val="1AF75928"/>
    <w:rsid w:val="1AF776D6"/>
    <w:rsid w:val="1AF80A52"/>
    <w:rsid w:val="1AF82BB8"/>
    <w:rsid w:val="1AF8344E"/>
    <w:rsid w:val="1AF844CE"/>
    <w:rsid w:val="1AF851FC"/>
    <w:rsid w:val="1AF87C2B"/>
    <w:rsid w:val="1AF914CD"/>
    <w:rsid w:val="1AF91F50"/>
    <w:rsid w:val="1AFA31C6"/>
    <w:rsid w:val="1AFA71C6"/>
    <w:rsid w:val="1AFB0442"/>
    <w:rsid w:val="1AFB257B"/>
    <w:rsid w:val="1AFB73D3"/>
    <w:rsid w:val="1AFC1190"/>
    <w:rsid w:val="1AFC2F3E"/>
    <w:rsid w:val="1AFC4063"/>
    <w:rsid w:val="1AFC5C92"/>
    <w:rsid w:val="1AFC5F8D"/>
    <w:rsid w:val="1AFC6A9A"/>
    <w:rsid w:val="1AFD0A64"/>
    <w:rsid w:val="1AFD2812"/>
    <w:rsid w:val="1AFD320E"/>
    <w:rsid w:val="1AFE3183"/>
    <w:rsid w:val="1AFE514C"/>
    <w:rsid w:val="1AFE6CB6"/>
    <w:rsid w:val="1AFE758E"/>
    <w:rsid w:val="1AFF0141"/>
    <w:rsid w:val="1AFF1EC8"/>
    <w:rsid w:val="1AFF2A2E"/>
    <w:rsid w:val="1AFF4613"/>
    <w:rsid w:val="1AFF47DC"/>
    <w:rsid w:val="1AFF658A"/>
    <w:rsid w:val="1B000E30"/>
    <w:rsid w:val="1B012302"/>
    <w:rsid w:val="1B014DDE"/>
    <w:rsid w:val="1B021A9D"/>
    <w:rsid w:val="1B02588B"/>
    <w:rsid w:val="1B027E29"/>
    <w:rsid w:val="1B03607B"/>
    <w:rsid w:val="1B040045"/>
    <w:rsid w:val="1B041DF3"/>
    <w:rsid w:val="1B0428B0"/>
    <w:rsid w:val="1B043BA1"/>
    <w:rsid w:val="1B046F80"/>
    <w:rsid w:val="1B046FF5"/>
    <w:rsid w:val="1B0475B6"/>
    <w:rsid w:val="1B050815"/>
    <w:rsid w:val="1B061915"/>
    <w:rsid w:val="1B063DBD"/>
    <w:rsid w:val="1B065B6B"/>
    <w:rsid w:val="1B0662C1"/>
    <w:rsid w:val="1B067919"/>
    <w:rsid w:val="1B0720FE"/>
    <w:rsid w:val="1B080547"/>
    <w:rsid w:val="1B0818E3"/>
    <w:rsid w:val="1B086E06"/>
    <w:rsid w:val="1B087B35"/>
    <w:rsid w:val="1B0911B7"/>
    <w:rsid w:val="1B0A1726"/>
    <w:rsid w:val="1B0A7C6C"/>
    <w:rsid w:val="1B0B4F2F"/>
    <w:rsid w:val="1B0B609D"/>
    <w:rsid w:val="1B0D0CA7"/>
    <w:rsid w:val="1B0D514B"/>
    <w:rsid w:val="1B0D60A4"/>
    <w:rsid w:val="1B0D6265"/>
    <w:rsid w:val="1B0D75A0"/>
    <w:rsid w:val="1B0E67CD"/>
    <w:rsid w:val="1B0F0EC3"/>
    <w:rsid w:val="1B0F15F1"/>
    <w:rsid w:val="1B0F22CF"/>
    <w:rsid w:val="1B0F27A4"/>
    <w:rsid w:val="1B100797"/>
    <w:rsid w:val="1B102545"/>
    <w:rsid w:val="1B106D2D"/>
    <w:rsid w:val="1B114159"/>
    <w:rsid w:val="1B114C59"/>
    <w:rsid w:val="1B116A28"/>
    <w:rsid w:val="1B11796B"/>
    <w:rsid w:val="1B122866"/>
    <w:rsid w:val="1B124510"/>
    <w:rsid w:val="1B1262BE"/>
    <w:rsid w:val="1B126F6B"/>
    <w:rsid w:val="1B127E3F"/>
    <w:rsid w:val="1B132036"/>
    <w:rsid w:val="1B133F19"/>
    <w:rsid w:val="1B13717E"/>
    <w:rsid w:val="1B140288"/>
    <w:rsid w:val="1B1431CA"/>
    <w:rsid w:val="1B1453A9"/>
    <w:rsid w:val="1B14771A"/>
    <w:rsid w:val="1B147FDB"/>
    <w:rsid w:val="1B15199C"/>
    <w:rsid w:val="1B155DAE"/>
    <w:rsid w:val="1B15756B"/>
    <w:rsid w:val="1B157B5C"/>
    <w:rsid w:val="1B1606AA"/>
    <w:rsid w:val="1B16314C"/>
    <w:rsid w:val="1B16537B"/>
    <w:rsid w:val="1B165BD2"/>
    <w:rsid w:val="1B166B07"/>
    <w:rsid w:val="1B17289A"/>
    <w:rsid w:val="1B1738D4"/>
    <w:rsid w:val="1B17546B"/>
    <w:rsid w:val="1B176E1F"/>
    <w:rsid w:val="1B17784B"/>
    <w:rsid w:val="1B177D78"/>
    <w:rsid w:val="1B183D2A"/>
    <w:rsid w:val="1B18509C"/>
    <w:rsid w:val="1B1868FB"/>
    <w:rsid w:val="1B1942FF"/>
    <w:rsid w:val="1B1A1616"/>
    <w:rsid w:val="1B1A33C4"/>
    <w:rsid w:val="1B1A4EED"/>
    <w:rsid w:val="1B1A5316"/>
    <w:rsid w:val="1B1A7868"/>
    <w:rsid w:val="1B1B25B9"/>
    <w:rsid w:val="1B1B4B0C"/>
    <w:rsid w:val="1B1B56F9"/>
    <w:rsid w:val="1B1B7367"/>
    <w:rsid w:val="1B1C3CF0"/>
    <w:rsid w:val="1B1C538E"/>
    <w:rsid w:val="1B1C5ADB"/>
    <w:rsid w:val="1B1D12DD"/>
    <w:rsid w:val="1B1D5FE3"/>
    <w:rsid w:val="1B1D6651"/>
    <w:rsid w:val="1B1E0159"/>
    <w:rsid w:val="1B1E28B3"/>
    <w:rsid w:val="1B1E5081"/>
    <w:rsid w:val="1B1E690C"/>
    <w:rsid w:val="1B1F09DB"/>
    <w:rsid w:val="1B1F35B3"/>
    <w:rsid w:val="1B1F3BFD"/>
    <w:rsid w:val="1B1F4796"/>
    <w:rsid w:val="1B1F4E7E"/>
    <w:rsid w:val="1B1F6C2C"/>
    <w:rsid w:val="1B2047C2"/>
    <w:rsid w:val="1B206E1A"/>
    <w:rsid w:val="1B210BF7"/>
    <w:rsid w:val="1B2129A5"/>
    <w:rsid w:val="1B216501"/>
    <w:rsid w:val="1B21661A"/>
    <w:rsid w:val="1B222279"/>
    <w:rsid w:val="1B2304CB"/>
    <w:rsid w:val="1B230958"/>
    <w:rsid w:val="1B233A0E"/>
    <w:rsid w:val="1B23671D"/>
    <w:rsid w:val="1B241B75"/>
    <w:rsid w:val="1B2465DF"/>
    <w:rsid w:val="1B247501"/>
    <w:rsid w:val="1B252495"/>
    <w:rsid w:val="1B257A6F"/>
    <w:rsid w:val="1B260EFF"/>
    <w:rsid w:val="1B263D34"/>
    <w:rsid w:val="1B26620D"/>
    <w:rsid w:val="1B267FBB"/>
    <w:rsid w:val="1B2735BA"/>
    <w:rsid w:val="1B277B2E"/>
    <w:rsid w:val="1B280C01"/>
    <w:rsid w:val="1B283D33"/>
    <w:rsid w:val="1B285AE1"/>
    <w:rsid w:val="1B286473"/>
    <w:rsid w:val="1B28788F"/>
    <w:rsid w:val="1B29134E"/>
    <w:rsid w:val="1B291859"/>
    <w:rsid w:val="1B293157"/>
    <w:rsid w:val="1B29668C"/>
    <w:rsid w:val="1B2A3848"/>
    <w:rsid w:val="1B2A7AAB"/>
    <w:rsid w:val="1B2A7DD7"/>
    <w:rsid w:val="1B2A7E54"/>
    <w:rsid w:val="1B2B21A0"/>
    <w:rsid w:val="1B2B3823"/>
    <w:rsid w:val="1B2B55D1"/>
    <w:rsid w:val="1B2B737F"/>
    <w:rsid w:val="1B2C2D07"/>
    <w:rsid w:val="1B2C54CB"/>
    <w:rsid w:val="1B2C6201"/>
    <w:rsid w:val="1B2D30F7"/>
    <w:rsid w:val="1B2D40BD"/>
    <w:rsid w:val="1B2D544E"/>
    <w:rsid w:val="1B2D759B"/>
    <w:rsid w:val="1B2E0B21"/>
    <w:rsid w:val="1B2E15A1"/>
    <w:rsid w:val="1B2E6E70"/>
    <w:rsid w:val="1B2E7C06"/>
    <w:rsid w:val="1B2F1FB1"/>
    <w:rsid w:val="1B2F4801"/>
    <w:rsid w:val="1B2F50C2"/>
    <w:rsid w:val="1B2F5FEF"/>
    <w:rsid w:val="1B2F75DB"/>
    <w:rsid w:val="1B300E3A"/>
    <w:rsid w:val="1B304996"/>
    <w:rsid w:val="1B30756F"/>
    <w:rsid w:val="1B3106CA"/>
    <w:rsid w:val="1B310BE3"/>
    <w:rsid w:val="1B3115B8"/>
    <w:rsid w:val="1B312E97"/>
    <w:rsid w:val="1B314F5F"/>
    <w:rsid w:val="1B3163D1"/>
    <w:rsid w:val="1B32070E"/>
    <w:rsid w:val="1B320932"/>
    <w:rsid w:val="1B324BB2"/>
    <w:rsid w:val="1B325260"/>
    <w:rsid w:val="1B3267B5"/>
    <w:rsid w:val="1B331F53"/>
    <w:rsid w:val="1B334486"/>
    <w:rsid w:val="1B334C93"/>
    <w:rsid w:val="1B34092A"/>
    <w:rsid w:val="1B344143"/>
    <w:rsid w:val="1B346FAA"/>
    <w:rsid w:val="1B3501FE"/>
    <w:rsid w:val="1B350BCC"/>
    <w:rsid w:val="1B351FAC"/>
    <w:rsid w:val="1B356450"/>
    <w:rsid w:val="1B373F76"/>
    <w:rsid w:val="1B3821FE"/>
    <w:rsid w:val="1B3919A8"/>
    <w:rsid w:val="1B391A9C"/>
    <w:rsid w:val="1B395F40"/>
    <w:rsid w:val="1B397375"/>
    <w:rsid w:val="1B3976F8"/>
    <w:rsid w:val="1B397CEE"/>
    <w:rsid w:val="1B3A0805"/>
    <w:rsid w:val="1B3A3A66"/>
    <w:rsid w:val="1B3A5096"/>
    <w:rsid w:val="1B3A5814"/>
    <w:rsid w:val="1B3A6979"/>
    <w:rsid w:val="1B3A75C2"/>
    <w:rsid w:val="1B3B4866"/>
    <w:rsid w:val="1B3B4AA5"/>
    <w:rsid w:val="1B3B6643"/>
    <w:rsid w:val="1B3C158C"/>
    <w:rsid w:val="1B3C3125"/>
    <w:rsid w:val="1B3C333B"/>
    <w:rsid w:val="1B3D0BDB"/>
    <w:rsid w:val="1B3D69DC"/>
    <w:rsid w:val="1B3D7186"/>
    <w:rsid w:val="1B3E2542"/>
    <w:rsid w:val="1B3E3557"/>
    <w:rsid w:val="1B3E5305"/>
    <w:rsid w:val="1B3E70B3"/>
    <w:rsid w:val="1B3F00C0"/>
    <w:rsid w:val="1B3F2E2B"/>
    <w:rsid w:val="1B40161D"/>
    <w:rsid w:val="1B4072CF"/>
    <w:rsid w:val="1B411F3B"/>
    <w:rsid w:val="1B413411"/>
    <w:rsid w:val="1B414DF5"/>
    <w:rsid w:val="1B415B07"/>
    <w:rsid w:val="1B415FDD"/>
    <w:rsid w:val="1B416BA3"/>
    <w:rsid w:val="1B42447A"/>
    <w:rsid w:val="1B430B6D"/>
    <w:rsid w:val="1B43291B"/>
    <w:rsid w:val="1B437A96"/>
    <w:rsid w:val="1B440A6E"/>
    <w:rsid w:val="1B440BFE"/>
    <w:rsid w:val="1B441859"/>
    <w:rsid w:val="1B44195B"/>
    <w:rsid w:val="1B44394F"/>
    <w:rsid w:val="1B44560F"/>
    <w:rsid w:val="1B446693"/>
    <w:rsid w:val="1B446B4C"/>
    <w:rsid w:val="1B447BC4"/>
    <w:rsid w:val="1B453DD4"/>
    <w:rsid w:val="1B4548E5"/>
    <w:rsid w:val="1B455918"/>
    <w:rsid w:val="1B460455"/>
    <w:rsid w:val="1B46240B"/>
    <w:rsid w:val="1B462E4A"/>
    <w:rsid w:val="1B4641B9"/>
    <w:rsid w:val="1B470238"/>
    <w:rsid w:val="1B474289"/>
    <w:rsid w:val="1B474FB9"/>
    <w:rsid w:val="1B477B17"/>
    <w:rsid w:val="1B4818AB"/>
    <w:rsid w:val="1B481CDF"/>
    <w:rsid w:val="1B484299"/>
    <w:rsid w:val="1B4855C5"/>
    <w:rsid w:val="1B4914E9"/>
    <w:rsid w:val="1B492FD4"/>
    <w:rsid w:val="1B495A57"/>
    <w:rsid w:val="1B496E6A"/>
    <w:rsid w:val="1B4A3A6B"/>
    <w:rsid w:val="1B4A4141"/>
    <w:rsid w:val="1B4A6562"/>
    <w:rsid w:val="1B4A7657"/>
    <w:rsid w:val="1B4B17D0"/>
    <w:rsid w:val="1B4B25FD"/>
    <w:rsid w:val="1B4B5C73"/>
    <w:rsid w:val="1B4B7A22"/>
    <w:rsid w:val="1B4B7F39"/>
    <w:rsid w:val="1B4C2C1A"/>
    <w:rsid w:val="1B4C57EB"/>
    <w:rsid w:val="1B4D0DC9"/>
    <w:rsid w:val="1B4D19EC"/>
    <w:rsid w:val="1B4D28CD"/>
    <w:rsid w:val="1B4D379A"/>
    <w:rsid w:val="1B4D5548"/>
    <w:rsid w:val="1B4D72F6"/>
    <w:rsid w:val="1B4E09AA"/>
    <w:rsid w:val="1B4E1FD5"/>
    <w:rsid w:val="1B4E63FB"/>
    <w:rsid w:val="1B4E6A4E"/>
    <w:rsid w:val="1B4F12C0"/>
    <w:rsid w:val="1B4F1F42"/>
    <w:rsid w:val="1B4F48C3"/>
    <w:rsid w:val="1B4F7512"/>
    <w:rsid w:val="1B5017BE"/>
    <w:rsid w:val="1B501AD4"/>
    <w:rsid w:val="1B502EFC"/>
    <w:rsid w:val="1B50328A"/>
    <w:rsid w:val="1B50491E"/>
    <w:rsid w:val="1B505038"/>
    <w:rsid w:val="1B5055FC"/>
    <w:rsid w:val="1B506993"/>
    <w:rsid w:val="1B506DE6"/>
    <w:rsid w:val="1B5101ED"/>
    <w:rsid w:val="1B516A8C"/>
    <w:rsid w:val="1B520013"/>
    <w:rsid w:val="1B520060"/>
    <w:rsid w:val="1B521314"/>
    <w:rsid w:val="1B52244E"/>
    <w:rsid w:val="1B522C97"/>
    <w:rsid w:val="1B523035"/>
    <w:rsid w:val="1B530684"/>
    <w:rsid w:val="1B532AED"/>
    <w:rsid w:val="1B54078A"/>
    <w:rsid w:val="1B54283C"/>
    <w:rsid w:val="1B542D7A"/>
    <w:rsid w:val="1B543F7D"/>
    <w:rsid w:val="1B5468D6"/>
    <w:rsid w:val="1B5508A0"/>
    <w:rsid w:val="1B55264E"/>
    <w:rsid w:val="1B5544D0"/>
    <w:rsid w:val="1B555B8D"/>
    <w:rsid w:val="1B5602C2"/>
    <w:rsid w:val="1B560478"/>
    <w:rsid w:val="1B5621D1"/>
    <w:rsid w:val="1B565EE4"/>
    <w:rsid w:val="1B570174"/>
    <w:rsid w:val="1B571195"/>
    <w:rsid w:val="1B572326"/>
    <w:rsid w:val="1B5728FE"/>
    <w:rsid w:val="1B574618"/>
    <w:rsid w:val="1B574A9A"/>
    <w:rsid w:val="1B5763C6"/>
    <w:rsid w:val="1B57754F"/>
    <w:rsid w:val="1B5775A5"/>
    <w:rsid w:val="1B5777F7"/>
    <w:rsid w:val="1B584038"/>
    <w:rsid w:val="1B5863FE"/>
    <w:rsid w:val="1B5866A0"/>
    <w:rsid w:val="1B590390"/>
    <w:rsid w:val="1B59213E"/>
    <w:rsid w:val="1B593EEC"/>
    <w:rsid w:val="1B597458"/>
    <w:rsid w:val="1B5A3F64"/>
    <w:rsid w:val="1B5A7C65"/>
    <w:rsid w:val="1B5A7F07"/>
    <w:rsid w:val="1B5B12DF"/>
    <w:rsid w:val="1B5B1965"/>
    <w:rsid w:val="1B5B387B"/>
    <w:rsid w:val="1B5B67BF"/>
    <w:rsid w:val="1B5B7B3E"/>
    <w:rsid w:val="1B5C578B"/>
    <w:rsid w:val="1B5E3183"/>
    <w:rsid w:val="1B5E413C"/>
    <w:rsid w:val="1B5E59A7"/>
    <w:rsid w:val="1B5F1090"/>
    <w:rsid w:val="1B5F6D18"/>
    <w:rsid w:val="1B60171F"/>
    <w:rsid w:val="1B6019DE"/>
    <w:rsid w:val="1B602520"/>
    <w:rsid w:val="1B6034CD"/>
    <w:rsid w:val="1B613EDB"/>
    <w:rsid w:val="1B61671A"/>
    <w:rsid w:val="1B62334C"/>
    <w:rsid w:val="1B624E40"/>
    <w:rsid w:val="1B627A11"/>
    <w:rsid w:val="1B630EA1"/>
    <w:rsid w:val="1B632FBD"/>
    <w:rsid w:val="1B634D6B"/>
    <w:rsid w:val="1B636B19"/>
    <w:rsid w:val="1B640F2A"/>
    <w:rsid w:val="1B642891"/>
    <w:rsid w:val="1B650AE3"/>
    <w:rsid w:val="1B652590"/>
    <w:rsid w:val="1B6603B7"/>
    <w:rsid w:val="1B6606B1"/>
    <w:rsid w:val="1B6610C1"/>
    <w:rsid w:val="1B66485B"/>
    <w:rsid w:val="1B666391"/>
    <w:rsid w:val="1B666609"/>
    <w:rsid w:val="1B667B96"/>
    <w:rsid w:val="1B670421"/>
    <w:rsid w:val="1B674310"/>
    <w:rsid w:val="1B674CBA"/>
    <w:rsid w:val="1B67781F"/>
    <w:rsid w:val="1B6805D3"/>
    <w:rsid w:val="1B682381"/>
    <w:rsid w:val="1B682CFE"/>
    <w:rsid w:val="1B6875F7"/>
    <w:rsid w:val="1B6953AA"/>
    <w:rsid w:val="1B6978F5"/>
    <w:rsid w:val="1B697EA8"/>
    <w:rsid w:val="1B6A2D00"/>
    <w:rsid w:val="1B6A434C"/>
    <w:rsid w:val="1B6A5222"/>
    <w:rsid w:val="1B6A60FA"/>
    <w:rsid w:val="1B6C00C4"/>
    <w:rsid w:val="1B6C1ABF"/>
    <w:rsid w:val="1B6C1F52"/>
    <w:rsid w:val="1B6C4F0A"/>
    <w:rsid w:val="1B6C5938"/>
    <w:rsid w:val="1B6D1746"/>
    <w:rsid w:val="1B6D1AD6"/>
    <w:rsid w:val="1B6D5A44"/>
    <w:rsid w:val="1B6D5BEA"/>
    <w:rsid w:val="1B6D759C"/>
    <w:rsid w:val="1B6D7998"/>
    <w:rsid w:val="1B6E3F4F"/>
    <w:rsid w:val="1B6E6171"/>
    <w:rsid w:val="1B6E63C8"/>
    <w:rsid w:val="1B6F1962"/>
    <w:rsid w:val="1B6F3710"/>
    <w:rsid w:val="1B6F387E"/>
    <w:rsid w:val="1B6F54BE"/>
    <w:rsid w:val="1B6F5FBB"/>
    <w:rsid w:val="1B6F7658"/>
    <w:rsid w:val="1B701236"/>
    <w:rsid w:val="1B704AAB"/>
    <w:rsid w:val="1B70593E"/>
    <w:rsid w:val="1B707488"/>
    <w:rsid w:val="1B707CC1"/>
    <w:rsid w:val="1B71480B"/>
    <w:rsid w:val="1B7156DA"/>
    <w:rsid w:val="1B721452"/>
    <w:rsid w:val="1B7251BD"/>
    <w:rsid w:val="1B7312FC"/>
    <w:rsid w:val="1B735DC4"/>
    <w:rsid w:val="1B7374FE"/>
    <w:rsid w:val="1B740D26"/>
    <w:rsid w:val="1B742AD4"/>
    <w:rsid w:val="1B743976"/>
    <w:rsid w:val="1B746F78"/>
    <w:rsid w:val="1B747804"/>
    <w:rsid w:val="1B751DEC"/>
    <w:rsid w:val="1B752A01"/>
    <w:rsid w:val="1B755A8E"/>
    <w:rsid w:val="1B755E11"/>
    <w:rsid w:val="1B75684C"/>
    <w:rsid w:val="1B757110"/>
    <w:rsid w:val="1B761C0E"/>
    <w:rsid w:val="1B762CF0"/>
    <w:rsid w:val="1B764745"/>
    <w:rsid w:val="1B765E86"/>
    <w:rsid w:val="1B770817"/>
    <w:rsid w:val="1B7725C5"/>
    <w:rsid w:val="1B77374A"/>
    <w:rsid w:val="1B776A68"/>
    <w:rsid w:val="1B7827E5"/>
    <w:rsid w:val="1B7872FA"/>
    <w:rsid w:val="1B7927E1"/>
    <w:rsid w:val="1B79458F"/>
    <w:rsid w:val="1B794807"/>
    <w:rsid w:val="1B7959DE"/>
    <w:rsid w:val="1B7A3A97"/>
    <w:rsid w:val="1B7A4599"/>
    <w:rsid w:val="1B7A7D7F"/>
    <w:rsid w:val="1B7B0307"/>
    <w:rsid w:val="1B7B0489"/>
    <w:rsid w:val="1B7B258A"/>
    <w:rsid w:val="1B7B70E3"/>
    <w:rsid w:val="1B7C407F"/>
    <w:rsid w:val="1B7C7BDB"/>
    <w:rsid w:val="1B7D0858"/>
    <w:rsid w:val="1B7D0A1D"/>
    <w:rsid w:val="1B7D7315"/>
    <w:rsid w:val="1B7D7960"/>
    <w:rsid w:val="1B7E1BA5"/>
    <w:rsid w:val="1B7E7DF7"/>
    <w:rsid w:val="1B7F0146"/>
    <w:rsid w:val="1B7F0577"/>
    <w:rsid w:val="1B7F0679"/>
    <w:rsid w:val="1B7F1479"/>
    <w:rsid w:val="1B7F7FCA"/>
    <w:rsid w:val="1B8003C8"/>
    <w:rsid w:val="1B800E24"/>
    <w:rsid w:val="1B803B6F"/>
    <w:rsid w:val="1B80591D"/>
    <w:rsid w:val="1B8076CB"/>
    <w:rsid w:val="1B811695"/>
    <w:rsid w:val="1B813443"/>
    <w:rsid w:val="1B815460"/>
    <w:rsid w:val="1B8232C1"/>
    <w:rsid w:val="1B8258B9"/>
    <w:rsid w:val="1B830F69"/>
    <w:rsid w:val="1B832531"/>
    <w:rsid w:val="1B83337F"/>
    <w:rsid w:val="1B83540D"/>
    <w:rsid w:val="1B8371BB"/>
    <w:rsid w:val="1B8401D9"/>
    <w:rsid w:val="1B845637"/>
    <w:rsid w:val="1B845674"/>
    <w:rsid w:val="1B852DAA"/>
    <w:rsid w:val="1B852F33"/>
    <w:rsid w:val="1B854CE1"/>
    <w:rsid w:val="1B862799"/>
    <w:rsid w:val="1B862808"/>
    <w:rsid w:val="1B866CAC"/>
    <w:rsid w:val="1B866E0B"/>
    <w:rsid w:val="1B870938"/>
    <w:rsid w:val="1B873225"/>
    <w:rsid w:val="1B873788"/>
    <w:rsid w:val="1B886580"/>
    <w:rsid w:val="1B886B5A"/>
    <w:rsid w:val="1B8922A0"/>
    <w:rsid w:val="1B896AEA"/>
    <w:rsid w:val="1B8A0099"/>
    <w:rsid w:val="1B8A054A"/>
    <w:rsid w:val="1B8A3290"/>
    <w:rsid w:val="1B8A5572"/>
    <w:rsid w:val="1B8B0EE2"/>
    <w:rsid w:val="1B8B14AB"/>
    <w:rsid w:val="1B8B3939"/>
    <w:rsid w:val="1B8B42C2"/>
    <w:rsid w:val="1B8B6070"/>
    <w:rsid w:val="1B8B7514"/>
    <w:rsid w:val="1B8C2514"/>
    <w:rsid w:val="1B8C2C7D"/>
    <w:rsid w:val="1B8D29CC"/>
    <w:rsid w:val="1B8D3B96"/>
    <w:rsid w:val="1B8D6B9A"/>
    <w:rsid w:val="1B8D748B"/>
    <w:rsid w:val="1B8E559D"/>
    <w:rsid w:val="1B8E5A25"/>
    <w:rsid w:val="1B8F3DB2"/>
    <w:rsid w:val="1B8F5B60"/>
    <w:rsid w:val="1B8F67F8"/>
    <w:rsid w:val="1B8F72BD"/>
    <w:rsid w:val="1B8F790E"/>
    <w:rsid w:val="1B902585"/>
    <w:rsid w:val="1B90504E"/>
    <w:rsid w:val="1B906E7B"/>
    <w:rsid w:val="1B91134D"/>
    <w:rsid w:val="1B9118D8"/>
    <w:rsid w:val="1B912A8E"/>
    <w:rsid w:val="1B917B2A"/>
    <w:rsid w:val="1B920007"/>
    <w:rsid w:val="1B921996"/>
    <w:rsid w:val="1B925650"/>
    <w:rsid w:val="1B927013"/>
    <w:rsid w:val="1B9326C6"/>
    <w:rsid w:val="1B935091"/>
    <w:rsid w:val="1B9363EE"/>
    <w:rsid w:val="1B936470"/>
    <w:rsid w:val="1B9370A5"/>
    <w:rsid w:val="1B937A0D"/>
    <w:rsid w:val="1B943177"/>
    <w:rsid w:val="1B94321A"/>
    <w:rsid w:val="1B944F25"/>
    <w:rsid w:val="1B946797"/>
    <w:rsid w:val="1B94797C"/>
    <w:rsid w:val="1B951893"/>
    <w:rsid w:val="1B953C80"/>
    <w:rsid w:val="1B95609B"/>
    <w:rsid w:val="1B960842"/>
    <w:rsid w:val="1B960DBE"/>
    <w:rsid w:val="1B961746"/>
    <w:rsid w:val="1B963D2F"/>
    <w:rsid w:val="1B972C67"/>
    <w:rsid w:val="1B9751BF"/>
    <w:rsid w:val="1B975401"/>
    <w:rsid w:val="1B977781"/>
    <w:rsid w:val="1B980B29"/>
    <w:rsid w:val="1B986767"/>
    <w:rsid w:val="1B99078D"/>
    <w:rsid w:val="1B9907D4"/>
    <w:rsid w:val="1B990A4B"/>
    <w:rsid w:val="1B99136E"/>
    <w:rsid w:val="1B9926B0"/>
    <w:rsid w:val="1B992D65"/>
    <w:rsid w:val="1B9938F9"/>
    <w:rsid w:val="1B9969DF"/>
    <w:rsid w:val="1B997728"/>
    <w:rsid w:val="1B9A62B3"/>
    <w:rsid w:val="1B9B2757"/>
    <w:rsid w:val="1B9B2D86"/>
    <w:rsid w:val="1B9B38DD"/>
    <w:rsid w:val="1B9C027D"/>
    <w:rsid w:val="1B9C1031"/>
    <w:rsid w:val="1B9C202B"/>
    <w:rsid w:val="1B9C30EB"/>
    <w:rsid w:val="1B9C337D"/>
    <w:rsid w:val="1B9C57F6"/>
    <w:rsid w:val="1B9C5B8F"/>
    <w:rsid w:val="1B9C64CF"/>
    <w:rsid w:val="1B9C7BA1"/>
    <w:rsid w:val="1B9D763C"/>
    <w:rsid w:val="1B9E1012"/>
    <w:rsid w:val="1B9E2247"/>
    <w:rsid w:val="1B9E4562"/>
    <w:rsid w:val="1B9E5DA3"/>
    <w:rsid w:val="1B9F1114"/>
    <w:rsid w:val="1B9F1C9B"/>
    <w:rsid w:val="1B9F22EA"/>
    <w:rsid w:val="1B9F38C9"/>
    <w:rsid w:val="1B9F4351"/>
    <w:rsid w:val="1B9F4DE1"/>
    <w:rsid w:val="1BA0121F"/>
    <w:rsid w:val="1BA01A42"/>
    <w:rsid w:val="1BA01B1B"/>
    <w:rsid w:val="1BA07D6D"/>
    <w:rsid w:val="1BA15893"/>
    <w:rsid w:val="1BA16335"/>
    <w:rsid w:val="1BA20DA5"/>
    <w:rsid w:val="1BA22221"/>
    <w:rsid w:val="1BA23B9B"/>
    <w:rsid w:val="1BA24915"/>
    <w:rsid w:val="1BA3160C"/>
    <w:rsid w:val="1BA33440"/>
    <w:rsid w:val="1BA33762"/>
    <w:rsid w:val="1BA3609A"/>
    <w:rsid w:val="1BA37F34"/>
    <w:rsid w:val="1BA50EE0"/>
    <w:rsid w:val="1BA52394"/>
    <w:rsid w:val="1BA530B2"/>
    <w:rsid w:val="1BA535D6"/>
    <w:rsid w:val="1BA55384"/>
    <w:rsid w:val="1BA568E9"/>
    <w:rsid w:val="1BA57132"/>
    <w:rsid w:val="1BA60290"/>
    <w:rsid w:val="1BA620E3"/>
    <w:rsid w:val="1BA62EAA"/>
    <w:rsid w:val="1BA63824"/>
    <w:rsid w:val="1BA64C58"/>
    <w:rsid w:val="1BA70AA5"/>
    <w:rsid w:val="1BA710FC"/>
    <w:rsid w:val="1BA72E6B"/>
    <w:rsid w:val="1BA77E0C"/>
    <w:rsid w:val="1BA809D0"/>
    <w:rsid w:val="1BA82A49"/>
    <w:rsid w:val="1BA857ED"/>
    <w:rsid w:val="1BA90A64"/>
    <w:rsid w:val="1BA91B8C"/>
    <w:rsid w:val="1BA93859"/>
    <w:rsid w:val="1BA97A82"/>
    <w:rsid w:val="1BAA4748"/>
    <w:rsid w:val="1BAB04C0"/>
    <w:rsid w:val="1BAB226E"/>
    <w:rsid w:val="1BAB4E27"/>
    <w:rsid w:val="1BAB64B2"/>
    <w:rsid w:val="1BAC26C9"/>
    <w:rsid w:val="1BAC2926"/>
    <w:rsid w:val="1BAC5F55"/>
    <w:rsid w:val="1BAD248A"/>
    <w:rsid w:val="1BAD291D"/>
    <w:rsid w:val="1BAD73E5"/>
    <w:rsid w:val="1BAE5697"/>
    <w:rsid w:val="1BAF018A"/>
    <w:rsid w:val="1BAF1D5E"/>
    <w:rsid w:val="1BAF53D7"/>
    <w:rsid w:val="1BAF6202"/>
    <w:rsid w:val="1BAF7FB0"/>
    <w:rsid w:val="1BB05AD7"/>
    <w:rsid w:val="1BB07532"/>
    <w:rsid w:val="1BB10937"/>
    <w:rsid w:val="1BB11F7A"/>
    <w:rsid w:val="1BB13D28"/>
    <w:rsid w:val="1BB2184F"/>
    <w:rsid w:val="1BB235FD"/>
    <w:rsid w:val="1BB27AA1"/>
    <w:rsid w:val="1BB31283"/>
    <w:rsid w:val="1BB33257"/>
    <w:rsid w:val="1BB333AD"/>
    <w:rsid w:val="1BB3358F"/>
    <w:rsid w:val="1BB36608"/>
    <w:rsid w:val="1BB43819"/>
    <w:rsid w:val="1BB446E7"/>
    <w:rsid w:val="1BB4571C"/>
    <w:rsid w:val="1BB47375"/>
    <w:rsid w:val="1BB477F2"/>
    <w:rsid w:val="1BB51F5F"/>
    <w:rsid w:val="1BB5399E"/>
    <w:rsid w:val="1BB55A38"/>
    <w:rsid w:val="1BB56A8F"/>
    <w:rsid w:val="1BB6133F"/>
    <w:rsid w:val="1BB61785"/>
    <w:rsid w:val="1BB63319"/>
    <w:rsid w:val="1BB65D15"/>
    <w:rsid w:val="1BB67048"/>
    <w:rsid w:val="1BB67591"/>
    <w:rsid w:val="1BB67CA6"/>
    <w:rsid w:val="1BB71FAD"/>
    <w:rsid w:val="1BB72C99"/>
    <w:rsid w:val="1BB750B7"/>
    <w:rsid w:val="1BB7679E"/>
    <w:rsid w:val="1BB769A8"/>
    <w:rsid w:val="1BB76E65"/>
    <w:rsid w:val="1BB90E2F"/>
    <w:rsid w:val="1BB92FF8"/>
    <w:rsid w:val="1BB9498B"/>
    <w:rsid w:val="1BB96ABD"/>
    <w:rsid w:val="1BBA312A"/>
    <w:rsid w:val="1BBB3B4D"/>
    <w:rsid w:val="1BBB45BA"/>
    <w:rsid w:val="1BBB45C6"/>
    <w:rsid w:val="1BBC26CD"/>
    <w:rsid w:val="1BBC447B"/>
    <w:rsid w:val="1BBD05EC"/>
    <w:rsid w:val="1BBD091F"/>
    <w:rsid w:val="1BBD6EDA"/>
    <w:rsid w:val="1BBE01F3"/>
    <w:rsid w:val="1BBE16D8"/>
    <w:rsid w:val="1BBE1FA1"/>
    <w:rsid w:val="1BBE2B10"/>
    <w:rsid w:val="1BBE2F3B"/>
    <w:rsid w:val="1BBE56A7"/>
    <w:rsid w:val="1BBF402D"/>
    <w:rsid w:val="1BC03F6C"/>
    <w:rsid w:val="1BC0585B"/>
    <w:rsid w:val="1BC05D1A"/>
    <w:rsid w:val="1BC066D3"/>
    <w:rsid w:val="1BC1042C"/>
    <w:rsid w:val="1BC111DD"/>
    <w:rsid w:val="1BC11A92"/>
    <w:rsid w:val="1BC12219"/>
    <w:rsid w:val="1BC16CEB"/>
    <w:rsid w:val="1BC16E8C"/>
    <w:rsid w:val="1BC17CE4"/>
    <w:rsid w:val="1BC218BC"/>
    <w:rsid w:val="1BC22888"/>
    <w:rsid w:val="1BC24148"/>
    <w:rsid w:val="1BC25F36"/>
    <w:rsid w:val="1BC263C8"/>
    <w:rsid w:val="1BC32313"/>
    <w:rsid w:val="1BC33A5C"/>
    <w:rsid w:val="1BC3580A"/>
    <w:rsid w:val="1BC3591D"/>
    <w:rsid w:val="1BC378AD"/>
    <w:rsid w:val="1BC4017A"/>
    <w:rsid w:val="1BC4351D"/>
    <w:rsid w:val="1BC45252"/>
    <w:rsid w:val="1BC4566C"/>
    <w:rsid w:val="1BC46DAD"/>
    <w:rsid w:val="1BC51582"/>
    <w:rsid w:val="1BC51676"/>
    <w:rsid w:val="1BC5242A"/>
    <w:rsid w:val="1BC525FA"/>
    <w:rsid w:val="1BC53330"/>
    <w:rsid w:val="1BC558B7"/>
    <w:rsid w:val="1BC56A32"/>
    <w:rsid w:val="1BC603E1"/>
    <w:rsid w:val="1BC626E4"/>
    <w:rsid w:val="1BC63880"/>
    <w:rsid w:val="1BC6658C"/>
    <w:rsid w:val="1BC670A8"/>
    <w:rsid w:val="1BC714FE"/>
    <w:rsid w:val="1BC7354C"/>
    <w:rsid w:val="1BC74505"/>
    <w:rsid w:val="1BC752FA"/>
    <w:rsid w:val="1BC82E20"/>
    <w:rsid w:val="1BC85DE4"/>
    <w:rsid w:val="1BCA0332"/>
    <w:rsid w:val="1BCA2929"/>
    <w:rsid w:val="1BCB46BE"/>
    <w:rsid w:val="1BCC0B62"/>
    <w:rsid w:val="1BCC11CE"/>
    <w:rsid w:val="1BCC2A84"/>
    <w:rsid w:val="1BCC5812"/>
    <w:rsid w:val="1BCD0283"/>
    <w:rsid w:val="1BCD0437"/>
    <w:rsid w:val="1BCE4B75"/>
    <w:rsid w:val="1BCF0653"/>
    <w:rsid w:val="1BCF1468"/>
    <w:rsid w:val="1BCF1B55"/>
    <w:rsid w:val="1BCF516C"/>
    <w:rsid w:val="1BD01FD6"/>
    <w:rsid w:val="1BD143CB"/>
    <w:rsid w:val="1BD16179"/>
    <w:rsid w:val="1BD167E0"/>
    <w:rsid w:val="1BD21EF1"/>
    <w:rsid w:val="1BD27C70"/>
    <w:rsid w:val="1BD32089"/>
    <w:rsid w:val="1BD33CD1"/>
    <w:rsid w:val="1BD4591C"/>
    <w:rsid w:val="1BD52AC6"/>
    <w:rsid w:val="1BD565F1"/>
    <w:rsid w:val="1BD573F6"/>
    <w:rsid w:val="1BD57725"/>
    <w:rsid w:val="1BD57D32"/>
    <w:rsid w:val="1BD619E1"/>
    <w:rsid w:val="1BD6378F"/>
    <w:rsid w:val="1BD6553D"/>
    <w:rsid w:val="1BD712B5"/>
    <w:rsid w:val="1BD72652"/>
    <w:rsid w:val="1BD73063"/>
    <w:rsid w:val="1BD77F1D"/>
    <w:rsid w:val="1BD87507"/>
    <w:rsid w:val="1BD92E02"/>
    <w:rsid w:val="1BD9327F"/>
    <w:rsid w:val="1BD93979"/>
    <w:rsid w:val="1BD94FE4"/>
    <w:rsid w:val="1BD9502D"/>
    <w:rsid w:val="1BD96312"/>
    <w:rsid w:val="1BD96DDB"/>
    <w:rsid w:val="1BD97114"/>
    <w:rsid w:val="1BDA5C83"/>
    <w:rsid w:val="1BDA74D2"/>
    <w:rsid w:val="1BDB0DA5"/>
    <w:rsid w:val="1BDB2656"/>
    <w:rsid w:val="1BDB2B53"/>
    <w:rsid w:val="1BDB6FF7"/>
    <w:rsid w:val="1BDC1373"/>
    <w:rsid w:val="1BDC2527"/>
    <w:rsid w:val="1BDC38F3"/>
    <w:rsid w:val="1BDC3E67"/>
    <w:rsid w:val="1BDC68CC"/>
    <w:rsid w:val="1BDC7BC5"/>
    <w:rsid w:val="1BDD08C4"/>
    <w:rsid w:val="1BDD2D6F"/>
    <w:rsid w:val="1BDE01B7"/>
    <w:rsid w:val="1BDE11CE"/>
    <w:rsid w:val="1BDE2644"/>
    <w:rsid w:val="1BDE43F2"/>
    <w:rsid w:val="1BE0016A"/>
    <w:rsid w:val="1BE01AFD"/>
    <w:rsid w:val="1BE0460E"/>
    <w:rsid w:val="1BE04E86"/>
    <w:rsid w:val="1BE0555A"/>
    <w:rsid w:val="1BE137C9"/>
    <w:rsid w:val="1BE13EE2"/>
    <w:rsid w:val="1BE21ECD"/>
    <w:rsid w:val="1BE258FF"/>
    <w:rsid w:val="1BE3371C"/>
    <w:rsid w:val="1BE337C6"/>
    <w:rsid w:val="1BE340FE"/>
    <w:rsid w:val="1BE35DC2"/>
    <w:rsid w:val="1BE376E3"/>
    <w:rsid w:val="1BE37C5A"/>
    <w:rsid w:val="1BE44C56"/>
    <w:rsid w:val="1BE46C49"/>
    <w:rsid w:val="1BE47C13"/>
    <w:rsid w:val="1BE50115"/>
    <w:rsid w:val="1BE51C24"/>
    <w:rsid w:val="1BE539D2"/>
    <w:rsid w:val="1BE60CB7"/>
    <w:rsid w:val="1BE614F8"/>
    <w:rsid w:val="1BE6598A"/>
    <w:rsid w:val="1BE66E73"/>
    <w:rsid w:val="1BE67576"/>
    <w:rsid w:val="1BE67CAF"/>
    <w:rsid w:val="1BE72147"/>
    <w:rsid w:val="1BE74617"/>
    <w:rsid w:val="1BE7599C"/>
    <w:rsid w:val="1BE7774A"/>
    <w:rsid w:val="1BE77B2D"/>
    <w:rsid w:val="1BE82F3C"/>
    <w:rsid w:val="1BE834C2"/>
    <w:rsid w:val="1BE835D7"/>
    <w:rsid w:val="1BE861A8"/>
    <w:rsid w:val="1BE86C4A"/>
    <w:rsid w:val="1BE91714"/>
    <w:rsid w:val="1BE952E1"/>
    <w:rsid w:val="1BE95673"/>
    <w:rsid w:val="1BE95EF7"/>
    <w:rsid w:val="1BE96AFB"/>
    <w:rsid w:val="1BE96EEF"/>
    <w:rsid w:val="1BE97638"/>
    <w:rsid w:val="1BEA0FE8"/>
    <w:rsid w:val="1BEA2D97"/>
    <w:rsid w:val="1BEA44C8"/>
    <w:rsid w:val="1BEA548C"/>
    <w:rsid w:val="1BEA723A"/>
    <w:rsid w:val="1BEA7B4F"/>
    <w:rsid w:val="1BEB0238"/>
    <w:rsid w:val="1BEB1F26"/>
    <w:rsid w:val="1BEC10B9"/>
    <w:rsid w:val="1BEC2FB3"/>
    <w:rsid w:val="1BEC4B29"/>
    <w:rsid w:val="1BEC4D61"/>
    <w:rsid w:val="1BEC5FB9"/>
    <w:rsid w:val="1BEC6B0F"/>
    <w:rsid w:val="1BED2887"/>
    <w:rsid w:val="1BED30CC"/>
    <w:rsid w:val="1BED38F0"/>
    <w:rsid w:val="1BEE1A69"/>
    <w:rsid w:val="1BEE234F"/>
    <w:rsid w:val="1BEE3761"/>
    <w:rsid w:val="1BEE6D2B"/>
    <w:rsid w:val="1BEF055C"/>
    <w:rsid w:val="1BEF08D2"/>
    <w:rsid w:val="1BEF1167"/>
    <w:rsid w:val="1BF04E4F"/>
    <w:rsid w:val="1BF105C9"/>
    <w:rsid w:val="1BF1114A"/>
    <w:rsid w:val="1BF12377"/>
    <w:rsid w:val="1BF14125"/>
    <w:rsid w:val="1BF14E36"/>
    <w:rsid w:val="1BF21E2B"/>
    <w:rsid w:val="1BF26033"/>
    <w:rsid w:val="1BF27E04"/>
    <w:rsid w:val="1BF27E9D"/>
    <w:rsid w:val="1BF34341"/>
    <w:rsid w:val="1BF400B9"/>
    <w:rsid w:val="1BF409BA"/>
    <w:rsid w:val="1BF41064"/>
    <w:rsid w:val="1BF4474B"/>
    <w:rsid w:val="1BF52034"/>
    <w:rsid w:val="1BF54CE8"/>
    <w:rsid w:val="1BF603FD"/>
    <w:rsid w:val="1BF62DFB"/>
    <w:rsid w:val="1BF65E1C"/>
    <w:rsid w:val="1BF6798D"/>
    <w:rsid w:val="1BF704FB"/>
    <w:rsid w:val="1BF710A2"/>
    <w:rsid w:val="1BF71C3C"/>
    <w:rsid w:val="1BF7343A"/>
    <w:rsid w:val="1BF73705"/>
    <w:rsid w:val="1BF74BB1"/>
    <w:rsid w:val="1BF754B3"/>
    <w:rsid w:val="1BF779AD"/>
    <w:rsid w:val="1BF812E1"/>
    <w:rsid w:val="1BF815E2"/>
    <w:rsid w:val="1BF81957"/>
    <w:rsid w:val="1BF81B66"/>
    <w:rsid w:val="1BF84BCE"/>
    <w:rsid w:val="1BF857E4"/>
    <w:rsid w:val="1BF85C20"/>
    <w:rsid w:val="1BF865FC"/>
    <w:rsid w:val="1BF91102"/>
    <w:rsid w:val="1BF9122C"/>
    <w:rsid w:val="1BF9747E"/>
    <w:rsid w:val="1BF97562"/>
    <w:rsid w:val="1BFA05BD"/>
    <w:rsid w:val="1BFA0945"/>
    <w:rsid w:val="1BFA1224"/>
    <w:rsid w:val="1BFA69AF"/>
    <w:rsid w:val="1BFA6E7C"/>
    <w:rsid w:val="1BFB1448"/>
    <w:rsid w:val="1BFB31F6"/>
    <w:rsid w:val="1BFB3860"/>
    <w:rsid w:val="1BFB4FA4"/>
    <w:rsid w:val="1BFC1BAE"/>
    <w:rsid w:val="1BFC2ACA"/>
    <w:rsid w:val="1BFC5AAE"/>
    <w:rsid w:val="1BFD0D1C"/>
    <w:rsid w:val="1BFD5A01"/>
    <w:rsid w:val="1BFD6F6E"/>
    <w:rsid w:val="1BFD7D6F"/>
    <w:rsid w:val="1BFE0DA6"/>
    <w:rsid w:val="1BFE261B"/>
    <w:rsid w:val="1BFE4A94"/>
    <w:rsid w:val="1BFE4D79"/>
    <w:rsid w:val="1BFE6842"/>
    <w:rsid w:val="1BFF185E"/>
    <w:rsid w:val="1BFF7AE7"/>
    <w:rsid w:val="1C000618"/>
    <w:rsid w:val="1C000731"/>
    <w:rsid w:val="1C00080C"/>
    <w:rsid w:val="1C0058A1"/>
    <w:rsid w:val="1C006A5E"/>
    <w:rsid w:val="1C007E13"/>
    <w:rsid w:val="1C010CAE"/>
    <w:rsid w:val="1C01417E"/>
    <w:rsid w:val="1C014F3D"/>
    <w:rsid w:val="1C0211D5"/>
    <w:rsid w:val="1C0227D6"/>
    <w:rsid w:val="1C024584"/>
    <w:rsid w:val="1C0247F5"/>
    <w:rsid w:val="1C02560E"/>
    <w:rsid w:val="1C026113"/>
    <w:rsid w:val="1C026D4F"/>
    <w:rsid w:val="1C0302FC"/>
    <w:rsid w:val="1C033E58"/>
    <w:rsid w:val="1C03796F"/>
    <w:rsid w:val="1C042AFF"/>
    <w:rsid w:val="1C043AC0"/>
    <w:rsid w:val="1C043CB3"/>
    <w:rsid w:val="1C043FB6"/>
    <w:rsid w:val="1C044240"/>
    <w:rsid w:val="1C045DA1"/>
    <w:rsid w:val="1C0478F6"/>
    <w:rsid w:val="1C0521F4"/>
    <w:rsid w:val="1C053B91"/>
    <w:rsid w:val="1C053F8F"/>
    <w:rsid w:val="1C054074"/>
    <w:rsid w:val="1C066879"/>
    <w:rsid w:val="1C066B60"/>
    <w:rsid w:val="1C071B9A"/>
    <w:rsid w:val="1C07266C"/>
    <w:rsid w:val="1C077DEC"/>
    <w:rsid w:val="1C081480"/>
    <w:rsid w:val="1C084051"/>
    <w:rsid w:val="1C087134"/>
    <w:rsid w:val="1C0876C1"/>
    <w:rsid w:val="1C093B64"/>
    <w:rsid w:val="1C093CFE"/>
    <w:rsid w:val="1C094248"/>
    <w:rsid w:val="1C0A00B2"/>
    <w:rsid w:val="1C0A168B"/>
    <w:rsid w:val="1C0A45FF"/>
    <w:rsid w:val="1C0A6971"/>
    <w:rsid w:val="1C0B1542"/>
    <w:rsid w:val="1C0B5693"/>
    <w:rsid w:val="1C0B71C8"/>
    <w:rsid w:val="1C0B7E01"/>
    <w:rsid w:val="1C0C29D2"/>
    <w:rsid w:val="1C0C71B1"/>
    <w:rsid w:val="1C0C7829"/>
    <w:rsid w:val="1C0D32DB"/>
    <w:rsid w:val="1C0D4CD7"/>
    <w:rsid w:val="1C0D6A33"/>
    <w:rsid w:val="1C0E117B"/>
    <w:rsid w:val="1C0E2F29"/>
    <w:rsid w:val="1C0E6E9C"/>
    <w:rsid w:val="1C0E7EC3"/>
    <w:rsid w:val="1C0F0A4F"/>
    <w:rsid w:val="1C0F4EF3"/>
    <w:rsid w:val="1C0F6851"/>
    <w:rsid w:val="1C0F6CA1"/>
    <w:rsid w:val="1C113C73"/>
    <w:rsid w:val="1C1147C7"/>
    <w:rsid w:val="1C116575"/>
    <w:rsid w:val="1C11720E"/>
    <w:rsid w:val="1C121E20"/>
    <w:rsid w:val="1C1222ED"/>
    <w:rsid w:val="1C12344F"/>
    <w:rsid w:val="1C1238BF"/>
    <w:rsid w:val="1C13053F"/>
    <w:rsid w:val="1C142509"/>
    <w:rsid w:val="1C146065"/>
    <w:rsid w:val="1C153A84"/>
    <w:rsid w:val="1C154808"/>
    <w:rsid w:val="1C1551C5"/>
    <w:rsid w:val="1C155BE2"/>
    <w:rsid w:val="1C156DF0"/>
    <w:rsid w:val="1C1575B8"/>
    <w:rsid w:val="1C161DDD"/>
    <w:rsid w:val="1C163B8C"/>
    <w:rsid w:val="1C16449D"/>
    <w:rsid w:val="1C164A1A"/>
    <w:rsid w:val="1C166281"/>
    <w:rsid w:val="1C166655"/>
    <w:rsid w:val="1C1726B6"/>
    <w:rsid w:val="1C172DF3"/>
    <w:rsid w:val="1C173660"/>
    <w:rsid w:val="1C17537A"/>
    <w:rsid w:val="1C177904"/>
    <w:rsid w:val="1C180F75"/>
    <w:rsid w:val="1C181D56"/>
    <w:rsid w:val="1C183DA8"/>
    <w:rsid w:val="1C19155A"/>
    <w:rsid w:val="1C19367C"/>
    <w:rsid w:val="1C1A356B"/>
    <w:rsid w:val="1C1A55C0"/>
    <w:rsid w:val="1C1B04C5"/>
    <w:rsid w:val="1C1B5646"/>
    <w:rsid w:val="1C1B6232"/>
    <w:rsid w:val="1C1B73F4"/>
    <w:rsid w:val="1C1C24C7"/>
    <w:rsid w:val="1C1C4F1A"/>
    <w:rsid w:val="1C1D13BE"/>
    <w:rsid w:val="1C1D180C"/>
    <w:rsid w:val="1C1D3098"/>
    <w:rsid w:val="1C1D316C"/>
    <w:rsid w:val="1C1D4DE7"/>
    <w:rsid w:val="1C1D6CDF"/>
    <w:rsid w:val="1C1E0C92"/>
    <w:rsid w:val="1C1E5B08"/>
    <w:rsid w:val="1C1E6B01"/>
    <w:rsid w:val="1C1E6EE4"/>
    <w:rsid w:val="1C1F5BFB"/>
    <w:rsid w:val="1C1F66F6"/>
    <w:rsid w:val="1C1F7707"/>
    <w:rsid w:val="1C200B6F"/>
    <w:rsid w:val="1C200B97"/>
    <w:rsid w:val="1C200EAE"/>
    <w:rsid w:val="1C200F44"/>
    <w:rsid w:val="1C202C5C"/>
    <w:rsid w:val="1C202FE8"/>
    <w:rsid w:val="1C2045CA"/>
    <w:rsid w:val="1C204608"/>
    <w:rsid w:val="1C204E6B"/>
    <w:rsid w:val="1C213768"/>
    <w:rsid w:val="1C2179A2"/>
    <w:rsid w:val="1C220989"/>
    <w:rsid w:val="1C2241CD"/>
    <w:rsid w:val="1C224C26"/>
    <w:rsid w:val="1C2269D4"/>
    <w:rsid w:val="1C226D8F"/>
    <w:rsid w:val="1C2277C9"/>
    <w:rsid w:val="1C230C59"/>
    <w:rsid w:val="1C230CA1"/>
    <w:rsid w:val="1C2347C4"/>
    <w:rsid w:val="1C2362A8"/>
    <w:rsid w:val="1C23676C"/>
    <w:rsid w:val="1C2420E9"/>
    <w:rsid w:val="1C24274C"/>
    <w:rsid w:val="1C2479B4"/>
    <w:rsid w:val="1C247BF6"/>
    <w:rsid w:val="1C250273"/>
    <w:rsid w:val="1C250E5C"/>
    <w:rsid w:val="1C252021"/>
    <w:rsid w:val="1C253579"/>
    <w:rsid w:val="1C2564C4"/>
    <w:rsid w:val="1C257E23"/>
    <w:rsid w:val="1C260E2E"/>
    <w:rsid w:val="1C26385D"/>
    <w:rsid w:val="1C264522"/>
    <w:rsid w:val="1C26614A"/>
    <w:rsid w:val="1C266A76"/>
    <w:rsid w:val="1C2705D0"/>
    <w:rsid w:val="1C2707CC"/>
    <w:rsid w:val="1C275E99"/>
    <w:rsid w:val="1C2775A9"/>
    <w:rsid w:val="1C282B8D"/>
    <w:rsid w:val="1C2838BF"/>
    <w:rsid w:val="1C290A43"/>
    <w:rsid w:val="1C291CA4"/>
    <w:rsid w:val="1C291EFA"/>
    <w:rsid w:val="1C29338A"/>
    <w:rsid w:val="1C295FB5"/>
    <w:rsid w:val="1C297D63"/>
    <w:rsid w:val="1C2A0ACE"/>
    <w:rsid w:val="1C2A22C1"/>
    <w:rsid w:val="1C2A3ADB"/>
    <w:rsid w:val="1C2A5889"/>
    <w:rsid w:val="1C2A5F5B"/>
    <w:rsid w:val="1C2A72A6"/>
    <w:rsid w:val="1C2A7770"/>
    <w:rsid w:val="1C2B0A0C"/>
    <w:rsid w:val="1C2B12CA"/>
    <w:rsid w:val="1C2B13CA"/>
    <w:rsid w:val="1C2B1DDC"/>
    <w:rsid w:val="1C2B663D"/>
    <w:rsid w:val="1C2C1601"/>
    <w:rsid w:val="1C2C57C5"/>
    <w:rsid w:val="1C2C63B2"/>
    <w:rsid w:val="1C2C7853"/>
    <w:rsid w:val="1C2D086D"/>
    <w:rsid w:val="1C2D5567"/>
    <w:rsid w:val="1C2D63ED"/>
    <w:rsid w:val="1C2E137E"/>
    <w:rsid w:val="1C2E1509"/>
    <w:rsid w:val="1C2E319B"/>
    <w:rsid w:val="1C2E35CB"/>
    <w:rsid w:val="1C2E5379"/>
    <w:rsid w:val="1C2E5CAA"/>
    <w:rsid w:val="1C2F10F1"/>
    <w:rsid w:val="1C2F2E9F"/>
    <w:rsid w:val="1C2F794E"/>
    <w:rsid w:val="1C2F7D03"/>
    <w:rsid w:val="1C30068C"/>
    <w:rsid w:val="1C301642"/>
    <w:rsid w:val="1C301DCD"/>
    <w:rsid w:val="1C30475F"/>
    <w:rsid w:val="1C305FA2"/>
    <w:rsid w:val="1C3130DC"/>
    <w:rsid w:val="1C313639"/>
    <w:rsid w:val="1C314E69"/>
    <w:rsid w:val="1C317BCF"/>
    <w:rsid w:val="1C317DAA"/>
    <w:rsid w:val="1C321384"/>
    <w:rsid w:val="1C3217C2"/>
    <w:rsid w:val="1C3256E7"/>
    <w:rsid w:val="1C325E28"/>
    <w:rsid w:val="1C327026"/>
    <w:rsid w:val="1C33074E"/>
    <w:rsid w:val="1C330BE1"/>
    <w:rsid w:val="1C333E2F"/>
    <w:rsid w:val="1C334008"/>
    <w:rsid w:val="1C33473D"/>
    <w:rsid w:val="1C3404B6"/>
    <w:rsid w:val="1C346708"/>
    <w:rsid w:val="1C34700D"/>
    <w:rsid w:val="1C3533F3"/>
    <w:rsid w:val="1C35495A"/>
    <w:rsid w:val="1C35689F"/>
    <w:rsid w:val="1C35754A"/>
    <w:rsid w:val="1C357D5D"/>
    <w:rsid w:val="1C360A6E"/>
    <w:rsid w:val="1C362480"/>
    <w:rsid w:val="1C36422E"/>
    <w:rsid w:val="1C365FDC"/>
    <w:rsid w:val="1C3770CF"/>
    <w:rsid w:val="1C381D54"/>
    <w:rsid w:val="1C3852D9"/>
    <w:rsid w:val="1C3861F8"/>
    <w:rsid w:val="1C386E1E"/>
    <w:rsid w:val="1C387FA6"/>
    <w:rsid w:val="1C391D5F"/>
    <w:rsid w:val="1C393D1E"/>
    <w:rsid w:val="1C395ACC"/>
    <w:rsid w:val="1C3A08A1"/>
    <w:rsid w:val="1C3A1C5A"/>
    <w:rsid w:val="1C3A5A50"/>
    <w:rsid w:val="1C3B5CE8"/>
    <w:rsid w:val="1C3B7AB2"/>
    <w:rsid w:val="1C3C08FD"/>
    <w:rsid w:val="1C3C4445"/>
    <w:rsid w:val="1C3C73CE"/>
    <w:rsid w:val="1C3D2FDD"/>
    <w:rsid w:val="1C3D380E"/>
    <w:rsid w:val="1C3D55BC"/>
    <w:rsid w:val="1C3E1334"/>
    <w:rsid w:val="1C3E2C90"/>
    <w:rsid w:val="1C3E30E2"/>
    <w:rsid w:val="1C3E5861"/>
    <w:rsid w:val="1C3E5A5B"/>
    <w:rsid w:val="1C3E71CC"/>
    <w:rsid w:val="1C3F07E7"/>
    <w:rsid w:val="1C3F38DA"/>
    <w:rsid w:val="1C3F7586"/>
    <w:rsid w:val="1C4050AC"/>
    <w:rsid w:val="1C406BD8"/>
    <w:rsid w:val="1C411611"/>
    <w:rsid w:val="1C411B36"/>
    <w:rsid w:val="1C4131F2"/>
    <w:rsid w:val="1C413D24"/>
    <w:rsid w:val="1C414032"/>
    <w:rsid w:val="1C420C2C"/>
    <w:rsid w:val="1C420E24"/>
    <w:rsid w:val="1C422BD3"/>
    <w:rsid w:val="1C424981"/>
    <w:rsid w:val="1C427076"/>
    <w:rsid w:val="1C4306F9"/>
    <w:rsid w:val="1C43132C"/>
    <w:rsid w:val="1C440896"/>
    <w:rsid w:val="1C441207"/>
    <w:rsid w:val="1C4416D3"/>
    <w:rsid w:val="1C4429AF"/>
    <w:rsid w:val="1C44694B"/>
    <w:rsid w:val="1C4477C7"/>
    <w:rsid w:val="1C452525"/>
    <w:rsid w:val="1C4526C3"/>
    <w:rsid w:val="1C454033"/>
    <w:rsid w:val="1C454471"/>
    <w:rsid w:val="1C455095"/>
    <w:rsid w:val="1C461BF2"/>
    <w:rsid w:val="1C4701E9"/>
    <w:rsid w:val="1C47468D"/>
    <w:rsid w:val="1C47643B"/>
    <w:rsid w:val="1C4806F3"/>
    <w:rsid w:val="1C480C1B"/>
    <w:rsid w:val="1C48160C"/>
    <w:rsid w:val="1C4832CF"/>
    <w:rsid w:val="1C486871"/>
    <w:rsid w:val="1C487B04"/>
    <w:rsid w:val="1C4921B3"/>
    <w:rsid w:val="1C492D6C"/>
    <w:rsid w:val="1C493F61"/>
    <w:rsid w:val="1C49697C"/>
    <w:rsid w:val="1C4A101B"/>
    <w:rsid w:val="1C4A1A87"/>
    <w:rsid w:val="1C4A1BC6"/>
    <w:rsid w:val="1C4A1FB8"/>
    <w:rsid w:val="1C4A3C27"/>
    <w:rsid w:val="1C4A728A"/>
    <w:rsid w:val="1C4A7417"/>
    <w:rsid w:val="1C4A7CD9"/>
    <w:rsid w:val="1C4B1399"/>
    <w:rsid w:val="1C4B5294"/>
    <w:rsid w:val="1C4B5D35"/>
    <w:rsid w:val="1C4C07B0"/>
    <w:rsid w:val="1C4C1CA3"/>
    <w:rsid w:val="1C4C30B4"/>
    <w:rsid w:val="1C4C57FF"/>
    <w:rsid w:val="1C4C6724"/>
    <w:rsid w:val="1C4D79CB"/>
    <w:rsid w:val="1C4E1AC2"/>
    <w:rsid w:val="1C4E1D5C"/>
    <w:rsid w:val="1C4E5356"/>
    <w:rsid w:val="1C4E5C24"/>
    <w:rsid w:val="1C4E5D33"/>
    <w:rsid w:val="1C4E76C8"/>
    <w:rsid w:val="1C4F2064"/>
    <w:rsid w:val="1C4F22FA"/>
    <w:rsid w:val="1C4F52EF"/>
    <w:rsid w:val="1C4F6AE7"/>
    <w:rsid w:val="1C4F709D"/>
    <w:rsid w:val="1C5037C9"/>
    <w:rsid w:val="1C5045D2"/>
    <w:rsid w:val="1C506D3A"/>
    <w:rsid w:val="1C511068"/>
    <w:rsid w:val="1C512E16"/>
    <w:rsid w:val="1C51457D"/>
    <w:rsid w:val="1C5172BA"/>
    <w:rsid w:val="1C5204E5"/>
    <w:rsid w:val="1C521F14"/>
    <w:rsid w:val="1C52434B"/>
    <w:rsid w:val="1C527EEE"/>
    <w:rsid w:val="1C530401"/>
    <w:rsid w:val="1C53255D"/>
    <w:rsid w:val="1C533032"/>
    <w:rsid w:val="1C5341C9"/>
    <w:rsid w:val="1C534DE0"/>
    <w:rsid w:val="1C5365F7"/>
    <w:rsid w:val="1C536B8E"/>
    <w:rsid w:val="1C542906"/>
    <w:rsid w:val="1C547A87"/>
    <w:rsid w:val="1C5503E6"/>
    <w:rsid w:val="1C550B37"/>
    <w:rsid w:val="1C550B58"/>
    <w:rsid w:val="1C552658"/>
    <w:rsid w:val="1C556815"/>
    <w:rsid w:val="1C556DAA"/>
    <w:rsid w:val="1C56042C"/>
    <w:rsid w:val="1C56667E"/>
    <w:rsid w:val="1C574F78"/>
    <w:rsid w:val="1C576E7E"/>
    <w:rsid w:val="1C580648"/>
    <w:rsid w:val="1C59151D"/>
    <w:rsid w:val="1C592469"/>
    <w:rsid w:val="1C5969C2"/>
    <w:rsid w:val="1C5A4EFE"/>
    <w:rsid w:val="1C5A616E"/>
    <w:rsid w:val="1C5B1EE6"/>
    <w:rsid w:val="1C5B208E"/>
    <w:rsid w:val="1C5B3C94"/>
    <w:rsid w:val="1C5B5A42"/>
    <w:rsid w:val="1C5D01D2"/>
    <w:rsid w:val="1C5D1C3C"/>
    <w:rsid w:val="1C5D3EB1"/>
    <w:rsid w:val="1C5D7A0C"/>
    <w:rsid w:val="1C5E353A"/>
    <w:rsid w:val="1C5E547B"/>
    <w:rsid w:val="1C5E5533"/>
    <w:rsid w:val="1C5E7925"/>
    <w:rsid w:val="1C5F19D6"/>
    <w:rsid w:val="1C5F3505"/>
    <w:rsid w:val="1C5F3BAF"/>
    <w:rsid w:val="1C5F61F1"/>
    <w:rsid w:val="1C5F62DB"/>
    <w:rsid w:val="1C5F6B98"/>
    <w:rsid w:val="1C600946"/>
    <w:rsid w:val="1C6012AB"/>
    <w:rsid w:val="1C601B99"/>
    <w:rsid w:val="1C60574F"/>
    <w:rsid w:val="1C6074FD"/>
    <w:rsid w:val="1C60776B"/>
    <w:rsid w:val="1C62177B"/>
    <w:rsid w:val="1C624C5C"/>
    <w:rsid w:val="1C625023"/>
    <w:rsid w:val="1C626DD1"/>
    <w:rsid w:val="1C6332CB"/>
    <w:rsid w:val="1C633C5C"/>
    <w:rsid w:val="1C635866"/>
    <w:rsid w:val="1C635A3C"/>
    <w:rsid w:val="1C640D9B"/>
    <w:rsid w:val="1C64490D"/>
    <w:rsid w:val="1C646FED"/>
    <w:rsid w:val="1C654B13"/>
    <w:rsid w:val="1C6568C1"/>
    <w:rsid w:val="1C65754E"/>
    <w:rsid w:val="1C662D65"/>
    <w:rsid w:val="1C67088B"/>
    <w:rsid w:val="1C672639"/>
    <w:rsid w:val="1C6727CD"/>
    <w:rsid w:val="1C672AAE"/>
    <w:rsid w:val="1C673203"/>
    <w:rsid w:val="1C676ADD"/>
    <w:rsid w:val="1C680D07"/>
    <w:rsid w:val="1C684352"/>
    <w:rsid w:val="1C69015F"/>
    <w:rsid w:val="1C694092"/>
    <w:rsid w:val="1C694603"/>
    <w:rsid w:val="1C694EC9"/>
    <w:rsid w:val="1C6963B1"/>
    <w:rsid w:val="1C696478"/>
    <w:rsid w:val="1C6973F4"/>
    <w:rsid w:val="1C6A1CAD"/>
    <w:rsid w:val="1C6A3ED7"/>
    <w:rsid w:val="1C6B1F5C"/>
    <w:rsid w:val="1C6B3DC5"/>
    <w:rsid w:val="1C6B4178"/>
    <w:rsid w:val="1C6B487E"/>
    <w:rsid w:val="1C6B7F03"/>
    <w:rsid w:val="1C6C044E"/>
    <w:rsid w:val="1C6C33DE"/>
    <w:rsid w:val="1C6C40F3"/>
    <w:rsid w:val="1C6C5D0E"/>
    <w:rsid w:val="1C6D06B1"/>
    <w:rsid w:val="1C6D719E"/>
    <w:rsid w:val="1C6E1C1A"/>
    <w:rsid w:val="1C6E39C8"/>
    <w:rsid w:val="1C6E7E08"/>
    <w:rsid w:val="1C6F14EE"/>
    <w:rsid w:val="1C6F468F"/>
    <w:rsid w:val="1C7036CC"/>
    <w:rsid w:val="1C7067AD"/>
    <w:rsid w:val="1C707260"/>
    <w:rsid w:val="1C7106F0"/>
    <w:rsid w:val="1C710E65"/>
    <w:rsid w:val="1C7134B8"/>
    <w:rsid w:val="1C715266"/>
    <w:rsid w:val="1C7178FA"/>
    <w:rsid w:val="1C72156B"/>
    <w:rsid w:val="1C7232DE"/>
    <w:rsid w:val="1C727939"/>
    <w:rsid w:val="1C731143"/>
    <w:rsid w:val="1C7318A2"/>
    <w:rsid w:val="1C735482"/>
    <w:rsid w:val="1C737230"/>
    <w:rsid w:val="1C7410D7"/>
    <w:rsid w:val="1C7444A0"/>
    <w:rsid w:val="1C75033B"/>
    <w:rsid w:val="1C750AE8"/>
    <w:rsid w:val="1C752FA8"/>
    <w:rsid w:val="1C754C65"/>
    <w:rsid w:val="1C755930"/>
    <w:rsid w:val="1C76037F"/>
    <w:rsid w:val="1C760ACE"/>
    <w:rsid w:val="1C7657B7"/>
    <w:rsid w:val="1C765C9F"/>
    <w:rsid w:val="1C766D20"/>
    <w:rsid w:val="1C767B21"/>
    <w:rsid w:val="1C773E6C"/>
    <w:rsid w:val="1C7749E3"/>
    <w:rsid w:val="1C781A8A"/>
    <w:rsid w:val="1C782A98"/>
    <w:rsid w:val="1C784846"/>
    <w:rsid w:val="1C7865F4"/>
    <w:rsid w:val="1C7871AE"/>
    <w:rsid w:val="1C7958C4"/>
    <w:rsid w:val="1C797F26"/>
    <w:rsid w:val="1C7A05BE"/>
    <w:rsid w:val="1C7A5BF0"/>
    <w:rsid w:val="1C7A6484"/>
    <w:rsid w:val="1C7A6810"/>
    <w:rsid w:val="1C7A7A72"/>
    <w:rsid w:val="1C7B4336"/>
    <w:rsid w:val="1C7B7E93"/>
    <w:rsid w:val="1C7C30D0"/>
    <w:rsid w:val="1C7C5803"/>
    <w:rsid w:val="1C7C667B"/>
    <w:rsid w:val="1C7D1864"/>
    <w:rsid w:val="1C7D1E5D"/>
    <w:rsid w:val="1C7D2DAC"/>
    <w:rsid w:val="1C7D378F"/>
    <w:rsid w:val="1C7E2CF4"/>
    <w:rsid w:val="1C7E52F6"/>
    <w:rsid w:val="1C7F15B3"/>
    <w:rsid w:val="1C7F3E27"/>
    <w:rsid w:val="1C800088"/>
    <w:rsid w:val="1C803DCB"/>
    <w:rsid w:val="1C803E14"/>
    <w:rsid w:val="1C8054A9"/>
    <w:rsid w:val="1C805D87"/>
    <w:rsid w:val="1C805DA7"/>
    <w:rsid w:val="1C805DE3"/>
    <w:rsid w:val="1C812015"/>
    <w:rsid w:val="1C817B9F"/>
    <w:rsid w:val="1C821221"/>
    <w:rsid w:val="1C821675"/>
    <w:rsid w:val="1C82354E"/>
    <w:rsid w:val="1C824218"/>
    <w:rsid w:val="1C8256C5"/>
    <w:rsid w:val="1C8401AD"/>
    <w:rsid w:val="1C84143D"/>
    <w:rsid w:val="1C843F95"/>
    <w:rsid w:val="1C844F99"/>
    <w:rsid w:val="1C845425"/>
    <w:rsid w:val="1C845937"/>
    <w:rsid w:val="1C850D11"/>
    <w:rsid w:val="1C8568B5"/>
    <w:rsid w:val="1C86394C"/>
    <w:rsid w:val="1C865316"/>
    <w:rsid w:val="1C8724BA"/>
    <w:rsid w:val="1C872916"/>
    <w:rsid w:val="1C872925"/>
    <w:rsid w:val="1C872CDB"/>
    <w:rsid w:val="1C876837"/>
    <w:rsid w:val="1C894FDC"/>
    <w:rsid w:val="1C895D91"/>
    <w:rsid w:val="1C896A53"/>
    <w:rsid w:val="1C89750E"/>
    <w:rsid w:val="1C897E07"/>
    <w:rsid w:val="1C8A6328"/>
    <w:rsid w:val="1C8A763E"/>
    <w:rsid w:val="1C8B0D12"/>
    <w:rsid w:val="1C8B27CB"/>
    <w:rsid w:val="1C8B3224"/>
    <w:rsid w:val="1C8B457A"/>
    <w:rsid w:val="1C8B6CB4"/>
    <w:rsid w:val="1C8C02F2"/>
    <w:rsid w:val="1C8C20A0"/>
    <w:rsid w:val="1C8C3534"/>
    <w:rsid w:val="1C8C3BB7"/>
    <w:rsid w:val="1C8D2BE4"/>
    <w:rsid w:val="1C8D5047"/>
    <w:rsid w:val="1C8D6788"/>
    <w:rsid w:val="1C8D6789"/>
    <w:rsid w:val="1C8D7DE8"/>
    <w:rsid w:val="1C8E3E97"/>
    <w:rsid w:val="1C8E5E18"/>
    <w:rsid w:val="1C8E7BC6"/>
    <w:rsid w:val="1C8F189F"/>
    <w:rsid w:val="1C8F393E"/>
    <w:rsid w:val="1C8F3C79"/>
    <w:rsid w:val="1C8F409E"/>
    <w:rsid w:val="1C900E6F"/>
    <w:rsid w:val="1C901B90"/>
    <w:rsid w:val="1C902538"/>
    <w:rsid w:val="1C905296"/>
    <w:rsid w:val="1C9054E9"/>
    <w:rsid w:val="1C9074FE"/>
    <w:rsid w:val="1C907DE2"/>
    <w:rsid w:val="1C91118D"/>
    <w:rsid w:val="1C915908"/>
    <w:rsid w:val="1C916599"/>
    <w:rsid w:val="1C91695D"/>
    <w:rsid w:val="1C927A29"/>
    <w:rsid w:val="1C931680"/>
    <w:rsid w:val="1C9325FA"/>
    <w:rsid w:val="1C93342E"/>
    <w:rsid w:val="1C933A8A"/>
    <w:rsid w:val="1C9363D4"/>
    <w:rsid w:val="1C9378D2"/>
    <w:rsid w:val="1C940F54"/>
    <w:rsid w:val="1C9416F4"/>
    <w:rsid w:val="1C942349"/>
    <w:rsid w:val="1C944F1A"/>
    <w:rsid w:val="1C9466D2"/>
    <w:rsid w:val="1C95279F"/>
    <w:rsid w:val="1C9532F1"/>
    <w:rsid w:val="1C9538CE"/>
    <w:rsid w:val="1C9553F8"/>
    <w:rsid w:val="1C9571A6"/>
    <w:rsid w:val="1C961170"/>
    <w:rsid w:val="1C962F1E"/>
    <w:rsid w:val="1C964CCC"/>
    <w:rsid w:val="1C96783A"/>
    <w:rsid w:val="1C970611"/>
    <w:rsid w:val="1C9761DD"/>
    <w:rsid w:val="1C976791"/>
    <w:rsid w:val="1C98646C"/>
    <w:rsid w:val="1C9865D5"/>
    <w:rsid w:val="1C986C96"/>
    <w:rsid w:val="1C991496"/>
    <w:rsid w:val="1C992912"/>
    <w:rsid w:val="1C9930D4"/>
    <w:rsid w:val="1C99656B"/>
    <w:rsid w:val="1C9A0C60"/>
    <w:rsid w:val="1C9A167C"/>
    <w:rsid w:val="1C9A47BD"/>
    <w:rsid w:val="1C9B0535"/>
    <w:rsid w:val="1C9B0812"/>
    <w:rsid w:val="1C9B221C"/>
    <w:rsid w:val="1C9B22E3"/>
    <w:rsid w:val="1C9B3EAC"/>
    <w:rsid w:val="1C9B55BD"/>
    <w:rsid w:val="1C9B764B"/>
    <w:rsid w:val="1C9C2C85"/>
    <w:rsid w:val="1C9C2ED5"/>
    <w:rsid w:val="1C9C6787"/>
    <w:rsid w:val="1C9D301D"/>
    <w:rsid w:val="1C9D3091"/>
    <w:rsid w:val="1C9D42AD"/>
    <w:rsid w:val="1C9D4E8A"/>
    <w:rsid w:val="1C9D5736"/>
    <w:rsid w:val="1C9D605B"/>
    <w:rsid w:val="1C9E0F30"/>
    <w:rsid w:val="1C9F0B9D"/>
    <w:rsid w:val="1C9F5DD9"/>
    <w:rsid w:val="1CA0178F"/>
    <w:rsid w:val="1CA03591"/>
    <w:rsid w:val="1CA05B4B"/>
    <w:rsid w:val="1CA13D9D"/>
    <w:rsid w:val="1CA14483"/>
    <w:rsid w:val="1CA14636"/>
    <w:rsid w:val="1CA203C6"/>
    <w:rsid w:val="1CA218C3"/>
    <w:rsid w:val="1CA21A6F"/>
    <w:rsid w:val="1CA2247B"/>
    <w:rsid w:val="1CA27B15"/>
    <w:rsid w:val="1CA30706"/>
    <w:rsid w:val="1CA40C0C"/>
    <w:rsid w:val="1CA4388D"/>
    <w:rsid w:val="1CA473E9"/>
    <w:rsid w:val="1CA5120B"/>
    <w:rsid w:val="1CA53072"/>
    <w:rsid w:val="1CA53161"/>
    <w:rsid w:val="1CA613B3"/>
    <w:rsid w:val="1CA67605"/>
    <w:rsid w:val="1CA707BF"/>
    <w:rsid w:val="1CA70C88"/>
    <w:rsid w:val="1CA7512B"/>
    <w:rsid w:val="1CA76EDA"/>
    <w:rsid w:val="1CA83640"/>
    <w:rsid w:val="1CA90EA4"/>
    <w:rsid w:val="1CA92C52"/>
    <w:rsid w:val="1CA94A00"/>
    <w:rsid w:val="1CA96A15"/>
    <w:rsid w:val="1CA96E0C"/>
    <w:rsid w:val="1CAA0881"/>
    <w:rsid w:val="1CAA5CB0"/>
    <w:rsid w:val="1CAA7140"/>
    <w:rsid w:val="1CAB3108"/>
    <w:rsid w:val="1CAB4C1C"/>
    <w:rsid w:val="1CAB69CA"/>
    <w:rsid w:val="1CAC31A1"/>
    <w:rsid w:val="1CAD0994"/>
    <w:rsid w:val="1CAD4631"/>
    <w:rsid w:val="1CAD4FF6"/>
    <w:rsid w:val="1CAD79FF"/>
    <w:rsid w:val="1CAE0268"/>
    <w:rsid w:val="1CAE2016"/>
    <w:rsid w:val="1CAE508E"/>
    <w:rsid w:val="1CAE5755"/>
    <w:rsid w:val="1CAE5842"/>
    <w:rsid w:val="1CAF0DD6"/>
    <w:rsid w:val="1CAF1B22"/>
    <w:rsid w:val="1CAF6F51"/>
    <w:rsid w:val="1CB05D8E"/>
    <w:rsid w:val="1CB06A41"/>
    <w:rsid w:val="1CB139AE"/>
    <w:rsid w:val="1CB14442"/>
    <w:rsid w:val="1CB15B83"/>
    <w:rsid w:val="1CB226F7"/>
    <w:rsid w:val="1CB22D3B"/>
    <w:rsid w:val="1CB258D2"/>
    <w:rsid w:val="1CB27054"/>
    <w:rsid w:val="1CB315A0"/>
    <w:rsid w:val="1CB32810"/>
    <w:rsid w:val="1CB3587E"/>
    <w:rsid w:val="1CB416A2"/>
    <w:rsid w:val="1CB41933"/>
    <w:rsid w:val="1CB475FC"/>
    <w:rsid w:val="1CB52A5D"/>
    <w:rsid w:val="1CB52DC3"/>
    <w:rsid w:val="1CB533A4"/>
    <w:rsid w:val="1CB55994"/>
    <w:rsid w:val="1CB5767A"/>
    <w:rsid w:val="1CB57848"/>
    <w:rsid w:val="1CB63965"/>
    <w:rsid w:val="1CB6536F"/>
    <w:rsid w:val="1CB661B7"/>
    <w:rsid w:val="1CB66819"/>
    <w:rsid w:val="1CB6681F"/>
    <w:rsid w:val="1CB6711D"/>
    <w:rsid w:val="1CB70FD5"/>
    <w:rsid w:val="1CB735C0"/>
    <w:rsid w:val="1CB73D95"/>
    <w:rsid w:val="1CB82E95"/>
    <w:rsid w:val="1CB84BDC"/>
    <w:rsid w:val="1CB85CA1"/>
    <w:rsid w:val="1CB87339"/>
    <w:rsid w:val="1CB8776E"/>
    <w:rsid w:val="1CB87EE5"/>
    <w:rsid w:val="1CB90BA6"/>
    <w:rsid w:val="1CB92BD4"/>
    <w:rsid w:val="1CBA40B3"/>
    <w:rsid w:val="1CBA4E5F"/>
    <w:rsid w:val="1CBB0B6E"/>
    <w:rsid w:val="1CBB4733"/>
    <w:rsid w:val="1CBC0BD7"/>
    <w:rsid w:val="1CBC22EE"/>
    <w:rsid w:val="1CBC2C96"/>
    <w:rsid w:val="1CBC361C"/>
    <w:rsid w:val="1CBC619A"/>
    <w:rsid w:val="1CBD04AB"/>
    <w:rsid w:val="1CBD18D7"/>
    <w:rsid w:val="1CBD3874"/>
    <w:rsid w:val="1CBD494F"/>
    <w:rsid w:val="1CBD7DD6"/>
    <w:rsid w:val="1CBE3199"/>
    <w:rsid w:val="1CBE55B6"/>
    <w:rsid w:val="1CBF31C6"/>
    <w:rsid w:val="1CBF46CE"/>
    <w:rsid w:val="1CBF6A46"/>
    <w:rsid w:val="1CC00D13"/>
    <w:rsid w:val="1CC02AA7"/>
    <w:rsid w:val="1CC07862"/>
    <w:rsid w:val="1CC161ED"/>
    <w:rsid w:val="1CC173C7"/>
    <w:rsid w:val="1CC17F9B"/>
    <w:rsid w:val="1CC21F65"/>
    <w:rsid w:val="1CC22173"/>
    <w:rsid w:val="1CC23D13"/>
    <w:rsid w:val="1CC25AC1"/>
    <w:rsid w:val="1CC26B08"/>
    <w:rsid w:val="1CC26C07"/>
    <w:rsid w:val="1CC36857"/>
    <w:rsid w:val="1CC37B90"/>
    <w:rsid w:val="1CC41428"/>
    <w:rsid w:val="1CC41839"/>
    <w:rsid w:val="1CC41A4E"/>
    <w:rsid w:val="1CC428AD"/>
    <w:rsid w:val="1CC45CDD"/>
    <w:rsid w:val="1CC47A8B"/>
    <w:rsid w:val="1CC57360"/>
    <w:rsid w:val="1CC61A56"/>
    <w:rsid w:val="1CC63804"/>
    <w:rsid w:val="1CC651D8"/>
    <w:rsid w:val="1CC655B2"/>
    <w:rsid w:val="1CC67A6B"/>
    <w:rsid w:val="1CC761CC"/>
    <w:rsid w:val="1CC7757C"/>
    <w:rsid w:val="1CC77DA9"/>
    <w:rsid w:val="1CC8040E"/>
    <w:rsid w:val="1CC81239"/>
    <w:rsid w:val="1CC8318C"/>
    <w:rsid w:val="1CC87F09"/>
    <w:rsid w:val="1CC92887"/>
    <w:rsid w:val="1CC94AAB"/>
    <w:rsid w:val="1CC950A2"/>
    <w:rsid w:val="1CC96CF2"/>
    <w:rsid w:val="1CC96E50"/>
    <w:rsid w:val="1CCA0FFC"/>
    <w:rsid w:val="1CCA1DE9"/>
    <w:rsid w:val="1CCA5E18"/>
    <w:rsid w:val="1CCA672A"/>
    <w:rsid w:val="1CCA7EC2"/>
    <w:rsid w:val="1CCB0E1A"/>
    <w:rsid w:val="1CCB4390"/>
    <w:rsid w:val="1CCB4CFF"/>
    <w:rsid w:val="1CCB5EE5"/>
    <w:rsid w:val="1CCB706C"/>
    <w:rsid w:val="1CCC6940"/>
    <w:rsid w:val="1CCC6FD1"/>
    <w:rsid w:val="1CCD2299"/>
    <w:rsid w:val="1CCD6606"/>
    <w:rsid w:val="1CCE090A"/>
    <w:rsid w:val="1CCE26B8"/>
    <w:rsid w:val="1CCE33C6"/>
    <w:rsid w:val="1CCE39BD"/>
    <w:rsid w:val="1CCE4466"/>
    <w:rsid w:val="1CCE50AB"/>
    <w:rsid w:val="1CCE583F"/>
    <w:rsid w:val="1CCF0851"/>
    <w:rsid w:val="1CCF110C"/>
    <w:rsid w:val="1CCF4996"/>
    <w:rsid w:val="1CCF6BE6"/>
    <w:rsid w:val="1CCF7EFB"/>
    <w:rsid w:val="1CD001DE"/>
    <w:rsid w:val="1CD008A6"/>
    <w:rsid w:val="1CD00E5B"/>
    <w:rsid w:val="1CD04682"/>
    <w:rsid w:val="1CD079CB"/>
    <w:rsid w:val="1CD13B74"/>
    <w:rsid w:val="1CD13F56"/>
    <w:rsid w:val="1CD1424B"/>
    <w:rsid w:val="1CD209BC"/>
    <w:rsid w:val="1CD20EA3"/>
    <w:rsid w:val="1CD221A8"/>
    <w:rsid w:val="1CD22318"/>
    <w:rsid w:val="1CD31A7D"/>
    <w:rsid w:val="1CD35F20"/>
    <w:rsid w:val="1CD37684"/>
    <w:rsid w:val="1CD37940"/>
    <w:rsid w:val="1CD37CCF"/>
    <w:rsid w:val="1CD37F35"/>
    <w:rsid w:val="1CD40050"/>
    <w:rsid w:val="1CD41FE7"/>
    <w:rsid w:val="1CD50E8C"/>
    <w:rsid w:val="1CD51C99"/>
    <w:rsid w:val="1CD53A47"/>
    <w:rsid w:val="1CD53DCE"/>
    <w:rsid w:val="1CD612FF"/>
    <w:rsid w:val="1CD6156D"/>
    <w:rsid w:val="1CD623B4"/>
    <w:rsid w:val="1CD62C7D"/>
    <w:rsid w:val="1CD64CCD"/>
    <w:rsid w:val="1CD661E4"/>
    <w:rsid w:val="1CD700C4"/>
    <w:rsid w:val="1CD707D9"/>
    <w:rsid w:val="1CD72153"/>
    <w:rsid w:val="1CD724C7"/>
    <w:rsid w:val="1CD74F0E"/>
    <w:rsid w:val="1CD75A11"/>
    <w:rsid w:val="1CD7615D"/>
    <w:rsid w:val="1CD81789"/>
    <w:rsid w:val="1CD83537"/>
    <w:rsid w:val="1CD852E5"/>
    <w:rsid w:val="1CD87093"/>
    <w:rsid w:val="1CD921BE"/>
    <w:rsid w:val="1CD949E4"/>
    <w:rsid w:val="1CD963B0"/>
    <w:rsid w:val="1CDA069D"/>
    <w:rsid w:val="1CDA105D"/>
    <w:rsid w:val="1CDA2E0B"/>
    <w:rsid w:val="1CDA4102"/>
    <w:rsid w:val="1CDA72AF"/>
    <w:rsid w:val="1CDB20E5"/>
    <w:rsid w:val="1CDB2F4B"/>
    <w:rsid w:val="1CDC0905"/>
    <w:rsid w:val="1CDC12CF"/>
    <w:rsid w:val="1CDC18F9"/>
    <w:rsid w:val="1CDC77FE"/>
    <w:rsid w:val="1CDD0B4D"/>
    <w:rsid w:val="1CDD28FB"/>
    <w:rsid w:val="1CDD2960"/>
    <w:rsid w:val="1CDD3710"/>
    <w:rsid w:val="1CDE345E"/>
    <w:rsid w:val="1CDE4685"/>
    <w:rsid w:val="1CDE4B9F"/>
    <w:rsid w:val="1CDF0421"/>
    <w:rsid w:val="1CDF6673"/>
    <w:rsid w:val="1CDF74BF"/>
    <w:rsid w:val="1CE005AE"/>
    <w:rsid w:val="1CE03BBE"/>
    <w:rsid w:val="1CE1063D"/>
    <w:rsid w:val="1CE249B0"/>
    <w:rsid w:val="1CE25726"/>
    <w:rsid w:val="1CE27F12"/>
    <w:rsid w:val="1CE343B6"/>
    <w:rsid w:val="1CE4012E"/>
    <w:rsid w:val="1CE43C8A"/>
    <w:rsid w:val="1CE472D0"/>
    <w:rsid w:val="1CE51164"/>
    <w:rsid w:val="1CE523E9"/>
    <w:rsid w:val="1CE53331"/>
    <w:rsid w:val="1CE54AF5"/>
    <w:rsid w:val="1CE56C8D"/>
    <w:rsid w:val="1CE57D5A"/>
    <w:rsid w:val="1CE61322"/>
    <w:rsid w:val="1CE617B0"/>
    <w:rsid w:val="1CE647C1"/>
    <w:rsid w:val="1CE67A02"/>
    <w:rsid w:val="1CE7330D"/>
    <w:rsid w:val="1CE7377A"/>
    <w:rsid w:val="1CE86FA4"/>
    <w:rsid w:val="1CE870E1"/>
    <w:rsid w:val="1CE912A0"/>
    <w:rsid w:val="1CE95744"/>
    <w:rsid w:val="1CE974F2"/>
    <w:rsid w:val="1CEA2700"/>
    <w:rsid w:val="1CEB14BC"/>
    <w:rsid w:val="1CEB5A62"/>
    <w:rsid w:val="1CEB7570"/>
    <w:rsid w:val="1CEC1A8F"/>
    <w:rsid w:val="1CEC2B3E"/>
    <w:rsid w:val="1CEC2CCD"/>
    <w:rsid w:val="1CED3BA2"/>
    <w:rsid w:val="1CED6FE2"/>
    <w:rsid w:val="1CED7C1A"/>
    <w:rsid w:val="1CEE07C3"/>
    <w:rsid w:val="1CEE2F53"/>
    <w:rsid w:val="1CEE500F"/>
    <w:rsid w:val="1CEE68B6"/>
    <w:rsid w:val="1CEE7D71"/>
    <w:rsid w:val="1CEF5BC0"/>
    <w:rsid w:val="1CEF6FB4"/>
    <w:rsid w:val="1CF00880"/>
    <w:rsid w:val="1CF0262F"/>
    <w:rsid w:val="1CF06752"/>
    <w:rsid w:val="1CF06AD2"/>
    <w:rsid w:val="1CF074F6"/>
    <w:rsid w:val="1CF101B8"/>
    <w:rsid w:val="1CF1143C"/>
    <w:rsid w:val="1CF14417"/>
    <w:rsid w:val="1CF15F84"/>
    <w:rsid w:val="1CF163A7"/>
    <w:rsid w:val="1CF167DB"/>
    <w:rsid w:val="1CF16BA7"/>
    <w:rsid w:val="1CF2284B"/>
    <w:rsid w:val="1CF245F9"/>
    <w:rsid w:val="1CF30371"/>
    <w:rsid w:val="1CF31A3E"/>
    <w:rsid w:val="1CF3211F"/>
    <w:rsid w:val="1CF33ECD"/>
    <w:rsid w:val="1CF34BCB"/>
    <w:rsid w:val="1CF436AF"/>
    <w:rsid w:val="1CF46060"/>
    <w:rsid w:val="1CF466F3"/>
    <w:rsid w:val="1CF4752C"/>
    <w:rsid w:val="1CF47EE2"/>
    <w:rsid w:val="1CF50255"/>
    <w:rsid w:val="1CF52E26"/>
    <w:rsid w:val="1CF540E9"/>
    <w:rsid w:val="1CF547D5"/>
    <w:rsid w:val="1CF55E97"/>
    <w:rsid w:val="1CF56195"/>
    <w:rsid w:val="1CF57C45"/>
    <w:rsid w:val="1CF60711"/>
    <w:rsid w:val="1CF653C3"/>
    <w:rsid w:val="1CF67CC9"/>
    <w:rsid w:val="1CF739BD"/>
    <w:rsid w:val="1CF75746"/>
    <w:rsid w:val="1CF759BA"/>
    <w:rsid w:val="1CF7709A"/>
    <w:rsid w:val="1CF7783C"/>
    <w:rsid w:val="1CF77E61"/>
    <w:rsid w:val="1CF80317"/>
    <w:rsid w:val="1CF814E3"/>
    <w:rsid w:val="1CF85987"/>
    <w:rsid w:val="1CF86BD6"/>
    <w:rsid w:val="1CF87735"/>
    <w:rsid w:val="1CF920A7"/>
    <w:rsid w:val="1CF9444B"/>
    <w:rsid w:val="1CF94D1C"/>
    <w:rsid w:val="1CF9552A"/>
    <w:rsid w:val="1CFA0A5E"/>
    <w:rsid w:val="1CFA16FF"/>
    <w:rsid w:val="1CFA3491"/>
    <w:rsid w:val="1CFA525B"/>
    <w:rsid w:val="1CFA778D"/>
    <w:rsid w:val="1CFB1B4E"/>
    <w:rsid w:val="1CFB2A86"/>
    <w:rsid w:val="1CFB5557"/>
    <w:rsid w:val="1CFC037B"/>
    <w:rsid w:val="1CFC56E0"/>
    <w:rsid w:val="1CFC7225"/>
    <w:rsid w:val="1CFD070F"/>
    <w:rsid w:val="1CFD1CD4"/>
    <w:rsid w:val="1CFD2F9D"/>
    <w:rsid w:val="1CFD4D4B"/>
    <w:rsid w:val="1CFE011A"/>
    <w:rsid w:val="1CFE11EF"/>
    <w:rsid w:val="1CFE13A1"/>
    <w:rsid w:val="1CFE5619"/>
    <w:rsid w:val="1CFE572E"/>
    <w:rsid w:val="1CFE70FF"/>
    <w:rsid w:val="1CFF0AC4"/>
    <w:rsid w:val="1CFF0C80"/>
    <w:rsid w:val="1CFF25BD"/>
    <w:rsid w:val="1CFF3ED8"/>
    <w:rsid w:val="1CFF47B3"/>
    <w:rsid w:val="1CFF56E8"/>
    <w:rsid w:val="1CFF6AA9"/>
    <w:rsid w:val="1D0008C2"/>
    <w:rsid w:val="1D005142"/>
    <w:rsid w:val="1D007F39"/>
    <w:rsid w:val="1D01156B"/>
    <w:rsid w:val="1D012A8E"/>
    <w:rsid w:val="1D01483C"/>
    <w:rsid w:val="1D0165EA"/>
    <w:rsid w:val="1D0205B4"/>
    <w:rsid w:val="1D020935"/>
    <w:rsid w:val="1D023F9A"/>
    <w:rsid w:val="1D035E33"/>
    <w:rsid w:val="1D036806"/>
    <w:rsid w:val="1D041A1B"/>
    <w:rsid w:val="1D04257E"/>
    <w:rsid w:val="1D043F56"/>
    <w:rsid w:val="1D04432C"/>
    <w:rsid w:val="1D0449F7"/>
    <w:rsid w:val="1D045A6C"/>
    <w:rsid w:val="1D0460DA"/>
    <w:rsid w:val="1D046572"/>
    <w:rsid w:val="1D0468BA"/>
    <w:rsid w:val="1D04722A"/>
    <w:rsid w:val="1D0600A4"/>
    <w:rsid w:val="1D0710C2"/>
    <w:rsid w:val="1D077978"/>
    <w:rsid w:val="1D08159A"/>
    <w:rsid w:val="1D083E1C"/>
    <w:rsid w:val="1D085312"/>
    <w:rsid w:val="1D085BCA"/>
    <w:rsid w:val="1D0861E8"/>
    <w:rsid w:val="1D094EA4"/>
    <w:rsid w:val="1D0A0FEB"/>
    <w:rsid w:val="1D0A1D59"/>
    <w:rsid w:val="1D0A3BBC"/>
    <w:rsid w:val="1D0B504C"/>
    <w:rsid w:val="1D0B56BA"/>
    <w:rsid w:val="1D0B5FA6"/>
    <w:rsid w:val="1D0C47AC"/>
    <w:rsid w:val="1D0C4F8F"/>
    <w:rsid w:val="1D0C5C34"/>
    <w:rsid w:val="1D0D1432"/>
    <w:rsid w:val="1D0D26D5"/>
    <w:rsid w:val="1D0D30FE"/>
    <w:rsid w:val="1D0D31E0"/>
    <w:rsid w:val="1D0D4810"/>
    <w:rsid w:val="1D0E1D11"/>
    <w:rsid w:val="1D0E21DE"/>
    <w:rsid w:val="1D0E253D"/>
    <w:rsid w:val="1D0E51AB"/>
    <w:rsid w:val="1D0E5B6B"/>
    <w:rsid w:val="1D0E7635"/>
    <w:rsid w:val="1D0E7780"/>
    <w:rsid w:val="1D0F1F45"/>
    <w:rsid w:val="1D0F25F5"/>
    <w:rsid w:val="1D100149"/>
    <w:rsid w:val="1D100F23"/>
    <w:rsid w:val="1D102CD1"/>
    <w:rsid w:val="1D103862"/>
    <w:rsid w:val="1D104A7F"/>
    <w:rsid w:val="1D1053D6"/>
    <w:rsid w:val="1D110AE1"/>
    <w:rsid w:val="1D1125A5"/>
    <w:rsid w:val="1D11777D"/>
    <w:rsid w:val="1D1207F7"/>
    <w:rsid w:val="1D122DA1"/>
    <w:rsid w:val="1D1246B6"/>
    <w:rsid w:val="1D124A7B"/>
    <w:rsid w:val="1D126A49"/>
    <w:rsid w:val="1D1279D5"/>
    <w:rsid w:val="1D127A69"/>
    <w:rsid w:val="1D130756"/>
    <w:rsid w:val="1D132287"/>
    <w:rsid w:val="1D133527"/>
    <w:rsid w:val="1D1337DE"/>
    <w:rsid w:val="1D13631D"/>
    <w:rsid w:val="1D137488"/>
    <w:rsid w:val="1D1414AB"/>
    <w:rsid w:val="1D144528"/>
    <w:rsid w:val="1D144537"/>
    <w:rsid w:val="1D1502E7"/>
    <w:rsid w:val="1D151EF2"/>
    <w:rsid w:val="1D152095"/>
    <w:rsid w:val="1D152951"/>
    <w:rsid w:val="1D1545F2"/>
    <w:rsid w:val="1D156539"/>
    <w:rsid w:val="1D1577FB"/>
    <w:rsid w:val="1D1638A0"/>
    <w:rsid w:val="1D170CCE"/>
    <w:rsid w:val="1D1722B1"/>
    <w:rsid w:val="1D17405F"/>
    <w:rsid w:val="1D181B85"/>
    <w:rsid w:val="1D183933"/>
    <w:rsid w:val="1D187DD7"/>
    <w:rsid w:val="1D194868"/>
    <w:rsid w:val="1D1A36B1"/>
    <w:rsid w:val="1D1A495A"/>
    <w:rsid w:val="1D1A58FD"/>
    <w:rsid w:val="1D1A76AB"/>
    <w:rsid w:val="1D1B34DC"/>
    <w:rsid w:val="1D1B4E63"/>
    <w:rsid w:val="1D1C1667"/>
    <w:rsid w:val="1D1C1676"/>
    <w:rsid w:val="1D1C1EC5"/>
    <w:rsid w:val="1D1C2534"/>
    <w:rsid w:val="1D1C3424"/>
    <w:rsid w:val="1D1C4FB7"/>
    <w:rsid w:val="1D1C5FD1"/>
    <w:rsid w:val="1D1D0F4A"/>
    <w:rsid w:val="1D1D565E"/>
    <w:rsid w:val="1D1D6E6C"/>
    <w:rsid w:val="1D1D719C"/>
    <w:rsid w:val="1D1E0415"/>
    <w:rsid w:val="1D1E3640"/>
    <w:rsid w:val="1D1E53EE"/>
    <w:rsid w:val="1D1F0795"/>
    <w:rsid w:val="1D1F1D81"/>
    <w:rsid w:val="1D1F34C2"/>
    <w:rsid w:val="1D203CB2"/>
    <w:rsid w:val="1D204A78"/>
    <w:rsid w:val="1D2105A5"/>
    <w:rsid w:val="1D210A3A"/>
    <w:rsid w:val="1D211272"/>
    <w:rsid w:val="1D211953"/>
    <w:rsid w:val="1D216C8C"/>
    <w:rsid w:val="1D221193"/>
    <w:rsid w:val="1D226055"/>
    <w:rsid w:val="1D227206"/>
    <w:rsid w:val="1D230C56"/>
    <w:rsid w:val="1D232A04"/>
    <w:rsid w:val="1D233D7E"/>
    <w:rsid w:val="1D23441E"/>
    <w:rsid w:val="1D24052A"/>
    <w:rsid w:val="1D2422D8"/>
    <w:rsid w:val="1D246249"/>
    <w:rsid w:val="1D247334"/>
    <w:rsid w:val="1D2507C4"/>
    <w:rsid w:val="1D256673"/>
    <w:rsid w:val="1D260D82"/>
    <w:rsid w:val="1D266050"/>
    <w:rsid w:val="1D266C03"/>
    <w:rsid w:val="1D26718E"/>
    <w:rsid w:val="1D271DC8"/>
    <w:rsid w:val="1D274825"/>
    <w:rsid w:val="1D277A9E"/>
    <w:rsid w:val="1D277B49"/>
    <w:rsid w:val="1D28001A"/>
    <w:rsid w:val="1D285CB5"/>
    <w:rsid w:val="1D28626C"/>
    <w:rsid w:val="1D291FE4"/>
    <w:rsid w:val="1D292920"/>
    <w:rsid w:val="1D292B5D"/>
    <w:rsid w:val="1D292EB6"/>
    <w:rsid w:val="1D293D92"/>
    <w:rsid w:val="1D294450"/>
    <w:rsid w:val="1D296BBB"/>
    <w:rsid w:val="1D2A2740"/>
    <w:rsid w:val="1D2A3AA4"/>
    <w:rsid w:val="1D2A5330"/>
    <w:rsid w:val="1D2A61E1"/>
    <w:rsid w:val="1D2B18B9"/>
    <w:rsid w:val="1D2B1A65"/>
    <w:rsid w:val="1D2B4636"/>
    <w:rsid w:val="1D2B7DA0"/>
    <w:rsid w:val="1D2C49BB"/>
    <w:rsid w:val="1D2D0F85"/>
    <w:rsid w:val="1D2D29F2"/>
    <w:rsid w:val="1D2D45F5"/>
    <w:rsid w:val="1D2D6A81"/>
    <w:rsid w:val="1D2D73DF"/>
    <w:rsid w:val="1D2D74FA"/>
    <w:rsid w:val="1D2E0F82"/>
    <w:rsid w:val="1D2E3157"/>
    <w:rsid w:val="1D2E3C2C"/>
    <w:rsid w:val="1D2E6D07"/>
    <w:rsid w:val="1D2F2FB7"/>
    <w:rsid w:val="1D2F4447"/>
    <w:rsid w:val="1D2F75FB"/>
    <w:rsid w:val="1D2F788C"/>
    <w:rsid w:val="1D30031E"/>
    <w:rsid w:val="1D300C7D"/>
    <w:rsid w:val="1D304F34"/>
    <w:rsid w:val="1D305121"/>
    <w:rsid w:val="1D306ECF"/>
    <w:rsid w:val="1D307A6A"/>
    <w:rsid w:val="1D313E2D"/>
    <w:rsid w:val="1D316BEE"/>
    <w:rsid w:val="1D316D67"/>
    <w:rsid w:val="1D3203DE"/>
    <w:rsid w:val="1D321938"/>
    <w:rsid w:val="1D322AF4"/>
    <w:rsid w:val="1D3249F5"/>
    <w:rsid w:val="1D33076D"/>
    <w:rsid w:val="1D332DC8"/>
    <w:rsid w:val="1D344258"/>
    <w:rsid w:val="1D344AD1"/>
    <w:rsid w:val="1D344C11"/>
    <w:rsid w:val="1D352737"/>
    <w:rsid w:val="1D3558A2"/>
    <w:rsid w:val="1D3608A9"/>
    <w:rsid w:val="1D361749"/>
    <w:rsid w:val="1D365280"/>
    <w:rsid w:val="1D366B78"/>
    <w:rsid w:val="1D37025D"/>
    <w:rsid w:val="1D3743EF"/>
    <w:rsid w:val="1D3764AF"/>
    <w:rsid w:val="1D3807C1"/>
    <w:rsid w:val="1D382FC3"/>
    <w:rsid w:val="1D383FD6"/>
    <w:rsid w:val="1D385D84"/>
    <w:rsid w:val="1D392227"/>
    <w:rsid w:val="1D393E0D"/>
    <w:rsid w:val="1D394750"/>
    <w:rsid w:val="1D3A1AFC"/>
    <w:rsid w:val="1D3A5F55"/>
    <w:rsid w:val="1D3A5FA0"/>
    <w:rsid w:val="1D3A7D4E"/>
    <w:rsid w:val="1D3B125C"/>
    <w:rsid w:val="1D3B3B59"/>
    <w:rsid w:val="1D3B5FEF"/>
    <w:rsid w:val="1D3B67AE"/>
    <w:rsid w:val="1D3B6F7E"/>
    <w:rsid w:val="1D3B7C6D"/>
    <w:rsid w:val="1D3C1D18"/>
    <w:rsid w:val="1D3C3AC6"/>
    <w:rsid w:val="1D3C5038"/>
    <w:rsid w:val="1D3E1CC2"/>
    <w:rsid w:val="1D3E783E"/>
    <w:rsid w:val="1D3F30C1"/>
    <w:rsid w:val="1D3F7112"/>
    <w:rsid w:val="1D401CFC"/>
    <w:rsid w:val="1D4029A2"/>
    <w:rsid w:val="1D402DA3"/>
    <w:rsid w:val="1D4044BA"/>
    <w:rsid w:val="1D4110DC"/>
    <w:rsid w:val="1D412E8A"/>
    <w:rsid w:val="1D413C8B"/>
    <w:rsid w:val="1D414A32"/>
    <w:rsid w:val="1D41530D"/>
    <w:rsid w:val="1D41732E"/>
    <w:rsid w:val="1D4209B0"/>
    <w:rsid w:val="1D421B0E"/>
    <w:rsid w:val="1D422837"/>
    <w:rsid w:val="1D427438"/>
    <w:rsid w:val="1D43117C"/>
    <w:rsid w:val="1D431530"/>
    <w:rsid w:val="1D4328BD"/>
    <w:rsid w:val="1D4330A6"/>
    <w:rsid w:val="1D4400E0"/>
    <w:rsid w:val="1D441525"/>
    <w:rsid w:val="1D444728"/>
    <w:rsid w:val="1D445A97"/>
    <w:rsid w:val="1D453826"/>
    <w:rsid w:val="1D454838"/>
    <w:rsid w:val="1D4561E5"/>
    <w:rsid w:val="1D456CB0"/>
    <w:rsid w:val="1D460A14"/>
    <w:rsid w:val="1D463CB8"/>
    <w:rsid w:val="1D463EBA"/>
    <w:rsid w:val="1D4666F2"/>
    <w:rsid w:val="1D470F8D"/>
    <w:rsid w:val="1D4806BC"/>
    <w:rsid w:val="1D480A72"/>
    <w:rsid w:val="1D48246B"/>
    <w:rsid w:val="1D483E66"/>
    <w:rsid w:val="1D484219"/>
    <w:rsid w:val="1D491D3F"/>
    <w:rsid w:val="1D4961E3"/>
    <w:rsid w:val="1D497BBF"/>
    <w:rsid w:val="1D497F91"/>
    <w:rsid w:val="1D4A604E"/>
    <w:rsid w:val="1D4B1A1A"/>
    <w:rsid w:val="1D4B1F5B"/>
    <w:rsid w:val="1D4B3D09"/>
    <w:rsid w:val="1D4C1905"/>
    <w:rsid w:val="1D4C6A9F"/>
    <w:rsid w:val="1D4C6E7B"/>
    <w:rsid w:val="1D4D182F"/>
    <w:rsid w:val="1D4D24F3"/>
    <w:rsid w:val="1D4D3A48"/>
    <w:rsid w:val="1D4D4BCA"/>
    <w:rsid w:val="1D4D5CD3"/>
    <w:rsid w:val="1D4D69B7"/>
    <w:rsid w:val="1D4D7A81"/>
    <w:rsid w:val="1D4D7F40"/>
    <w:rsid w:val="1D4E37F9"/>
    <w:rsid w:val="1D4E496C"/>
    <w:rsid w:val="1D4E55A7"/>
    <w:rsid w:val="1D4E628F"/>
    <w:rsid w:val="1D4F125E"/>
    <w:rsid w:val="1D4F1A4B"/>
    <w:rsid w:val="1D5006E2"/>
    <w:rsid w:val="1D50131F"/>
    <w:rsid w:val="1D507571"/>
    <w:rsid w:val="1D510E4D"/>
    <w:rsid w:val="1D51180E"/>
    <w:rsid w:val="1D511CA5"/>
    <w:rsid w:val="1D512FC9"/>
    <w:rsid w:val="1D51468C"/>
    <w:rsid w:val="1D5148BC"/>
    <w:rsid w:val="1D5150BC"/>
    <w:rsid w:val="1D5159CD"/>
    <w:rsid w:val="1D51673F"/>
    <w:rsid w:val="1D5177CC"/>
    <w:rsid w:val="1D5178C8"/>
    <w:rsid w:val="1D5211AF"/>
    <w:rsid w:val="1D523031"/>
    <w:rsid w:val="1D5232E9"/>
    <w:rsid w:val="1D525097"/>
    <w:rsid w:val="1D526D63"/>
    <w:rsid w:val="1D531D19"/>
    <w:rsid w:val="1D532BBD"/>
    <w:rsid w:val="1D545C24"/>
    <w:rsid w:val="1D552DD9"/>
    <w:rsid w:val="1D552FB7"/>
    <w:rsid w:val="1D553591"/>
    <w:rsid w:val="1D55493B"/>
    <w:rsid w:val="1D554B87"/>
    <w:rsid w:val="1D554CD2"/>
    <w:rsid w:val="1D556162"/>
    <w:rsid w:val="1D570900"/>
    <w:rsid w:val="1D5726AE"/>
    <w:rsid w:val="1D572F5F"/>
    <w:rsid w:val="1D57445C"/>
    <w:rsid w:val="1D575B20"/>
    <w:rsid w:val="1D5801D4"/>
    <w:rsid w:val="1D5807C7"/>
    <w:rsid w:val="1D581F12"/>
    <w:rsid w:val="1D583CAB"/>
    <w:rsid w:val="1D58475E"/>
    <w:rsid w:val="1D594AE3"/>
    <w:rsid w:val="1D596426"/>
    <w:rsid w:val="1D597DB2"/>
    <w:rsid w:val="1D5A219E"/>
    <w:rsid w:val="1D5A3F4C"/>
    <w:rsid w:val="1D5B46B4"/>
    <w:rsid w:val="1D5B7403"/>
    <w:rsid w:val="1D5C1A72"/>
    <w:rsid w:val="1D5C2CE1"/>
    <w:rsid w:val="1D5C3F0D"/>
    <w:rsid w:val="1D5C4948"/>
    <w:rsid w:val="1D5C678A"/>
    <w:rsid w:val="1D5C6F31"/>
    <w:rsid w:val="1D5C7CC4"/>
    <w:rsid w:val="1D5D57EA"/>
    <w:rsid w:val="1D5E0F41"/>
    <w:rsid w:val="1D5E1C8E"/>
    <w:rsid w:val="1D5E364A"/>
    <w:rsid w:val="1D5F1562"/>
    <w:rsid w:val="1D5F1D99"/>
    <w:rsid w:val="1D5F3957"/>
    <w:rsid w:val="1D5F6196"/>
    <w:rsid w:val="1D5F77B4"/>
    <w:rsid w:val="1D603275"/>
    <w:rsid w:val="1D61177E"/>
    <w:rsid w:val="1D6132A5"/>
    <w:rsid w:val="1D614705"/>
    <w:rsid w:val="1D622524"/>
    <w:rsid w:val="1D623CE6"/>
    <w:rsid w:val="1D6272D6"/>
    <w:rsid w:val="1D633565"/>
    <w:rsid w:val="1D6368CB"/>
    <w:rsid w:val="1D640046"/>
    <w:rsid w:val="1D6447C7"/>
    <w:rsid w:val="1D644DCB"/>
    <w:rsid w:val="1D646CF8"/>
    <w:rsid w:val="1D65301C"/>
    <w:rsid w:val="1D655AFD"/>
    <w:rsid w:val="1D656883"/>
    <w:rsid w:val="1D660B43"/>
    <w:rsid w:val="1D6643BF"/>
    <w:rsid w:val="1D666D95"/>
    <w:rsid w:val="1D6670E7"/>
    <w:rsid w:val="1D6713CB"/>
    <w:rsid w:val="1D671E67"/>
    <w:rsid w:val="1D6758EF"/>
    <w:rsid w:val="1D6800AF"/>
    <w:rsid w:val="1D682B0D"/>
    <w:rsid w:val="1D682FCE"/>
    <w:rsid w:val="1D6848BB"/>
    <w:rsid w:val="1D684F0D"/>
    <w:rsid w:val="1D685CB5"/>
    <w:rsid w:val="1D687CDB"/>
    <w:rsid w:val="1D691882"/>
    <w:rsid w:val="1D692E97"/>
    <w:rsid w:val="1D69418F"/>
    <w:rsid w:val="1D6945D8"/>
    <w:rsid w:val="1D6950EF"/>
    <w:rsid w:val="1D697180"/>
    <w:rsid w:val="1D6A0633"/>
    <w:rsid w:val="1D6A0723"/>
    <w:rsid w:val="1D6A107B"/>
    <w:rsid w:val="1D6B273C"/>
    <w:rsid w:val="1D6B43AB"/>
    <w:rsid w:val="1D6B6159"/>
    <w:rsid w:val="1D6B6EF8"/>
    <w:rsid w:val="1D6B7532"/>
    <w:rsid w:val="1D6B7F07"/>
    <w:rsid w:val="1D6C0388"/>
    <w:rsid w:val="1D6C19D4"/>
    <w:rsid w:val="1D6D1ED1"/>
    <w:rsid w:val="1D6D4311"/>
    <w:rsid w:val="1D6E17A5"/>
    <w:rsid w:val="1D6F3E9B"/>
    <w:rsid w:val="1D6F5B4D"/>
    <w:rsid w:val="1D6F5C49"/>
    <w:rsid w:val="1D701EDA"/>
    <w:rsid w:val="1D702D6A"/>
    <w:rsid w:val="1D70376F"/>
    <w:rsid w:val="1D70603C"/>
    <w:rsid w:val="1D706292"/>
    <w:rsid w:val="1D706448"/>
    <w:rsid w:val="1D706691"/>
    <w:rsid w:val="1D713B23"/>
    <w:rsid w:val="1D7222B5"/>
    <w:rsid w:val="1D725739"/>
    <w:rsid w:val="1D726DCB"/>
    <w:rsid w:val="1D7274E7"/>
    <w:rsid w:val="1D73011D"/>
    <w:rsid w:val="1D7312A3"/>
    <w:rsid w:val="1D734218"/>
    <w:rsid w:val="1D7377B8"/>
    <w:rsid w:val="1D7414B2"/>
    <w:rsid w:val="1D7416EB"/>
    <w:rsid w:val="1D743260"/>
    <w:rsid w:val="1D743C34"/>
    <w:rsid w:val="1D74633E"/>
    <w:rsid w:val="1D750D86"/>
    <w:rsid w:val="1D752B34"/>
    <w:rsid w:val="1D753B25"/>
    <w:rsid w:val="1D754D15"/>
    <w:rsid w:val="1D75574C"/>
    <w:rsid w:val="1D756FD8"/>
    <w:rsid w:val="1D764FB6"/>
    <w:rsid w:val="1D76522A"/>
    <w:rsid w:val="1D766BDC"/>
    <w:rsid w:val="1D7722AA"/>
    <w:rsid w:val="1D772D50"/>
    <w:rsid w:val="1D77483C"/>
    <w:rsid w:val="1D7768AC"/>
    <w:rsid w:val="1D7773D1"/>
    <w:rsid w:val="1D7856D5"/>
    <w:rsid w:val="1D786FCF"/>
    <w:rsid w:val="1D790876"/>
    <w:rsid w:val="1D792624"/>
    <w:rsid w:val="1D7926C1"/>
    <w:rsid w:val="1D7940CD"/>
    <w:rsid w:val="1D796AC8"/>
    <w:rsid w:val="1D7A1153"/>
    <w:rsid w:val="1D7A555D"/>
    <w:rsid w:val="1D7A6111"/>
    <w:rsid w:val="1D7A639C"/>
    <w:rsid w:val="1D7A7C9C"/>
    <w:rsid w:val="1D7B1EA5"/>
    <w:rsid w:val="1D7B31AC"/>
    <w:rsid w:val="1D7B793B"/>
    <w:rsid w:val="1D7C1F18"/>
    <w:rsid w:val="1D7C2114"/>
    <w:rsid w:val="1D7C3EC2"/>
    <w:rsid w:val="1D7C5C1C"/>
    <w:rsid w:val="1D7D20BC"/>
    <w:rsid w:val="1D7D279D"/>
    <w:rsid w:val="1D7D7138"/>
    <w:rsid w:val="1D7E40DE"/>
    <w:rsid w:val="1D7E6968"/>
    <w:rsid w:val="1D7E73A5"/>
    <w:rsid w:val="1D7F13CF"/>
    <w:rsid w:val="1D7F17EA"/>
    <w:rsid w:val="1D7F1C04"/>
    <w:rsid w:val="1D803319"/>
    <w:rsid w:val="1D804F3C"/>
    <w:rsid w:val="1D8069EA"/>
    <w:rsid w:val="1D807CA4"/>
    <w:rsid w:val="1D81111E"/>
    <w:rsid w:val="1D812A56"/>
    <w:rsid w:val="1D81597C"/>
    <w:rsid w:val="1D81615D"/>
    <w:rsid w:val="1D822D9D"/>
    <w:rsid w:val="1D82517F"/>
    <w:rsid w:val="1D826E1D"/>
    <w:rsid w:val="1D833FD6"/>
    <w:rsid w:val="1D837D50"/>
    <w:rsid w:val="1D840AB4"/>
    <w:rsid w:val="1D8423B0"/>
    <w:rsid w:val="1D842994"/>
    <w:rsid w:val="1D843F44"/>
    <w:rsid w:val="1D844FBF"/>
    <w:rsid w:val="1D8471AE"/>
    <w:rsid w:val="1D84721B"/>
    <w:rsid w:val="1D85546D"/>
    <w:rsid w:val="1D85779E"/>
    <w:rsid w:val="1D8611E5"/>
    <w:rsid w:val="1D861FDE"/>
    <w:rsid w:val="1D863B00"/>
    <w:rsid w:val="1D86733C"/>
    <w:rsid w:val="1D874CC9"/>
    <w:rsid w:val="1D875445"/>
    <w:rsid w:val="1D875AE7"/>
    <w:rsid w:val="1D87623D"/>
    <w:rsid w:val="1D877B61"/>
    <w:rsid w:val="1D880AB9"/>
    <w:rsid w:val="1D884F5D"/>
    <w:rsid w:val="1D88562B"/>
    <w:rsid w:val="1D886D0B"/>
    <w:rsid w:val="1D887DB3"/>
    <w:rsid w:val="1D890D99"/>
    <w:rsid w:val="1D8951D4"/>
    <w:rsid w:val="1D8A0486"/>
    <w:rsid w:val="1D8A24FF"/>
    <w:rsid w:val="1D8A4831"/>
    <w:rsid w:val="1D8A5052"/>
    <w:rsid w:val="1D8A5EA2"/>
    <w:rsid w:val="1D8A64E2"/>
    <w:rsid w:val="1D8B2357"/>
    <w:rsid w:val="1D8B4DA1"/>
    <w:rsid w:val="1D8C1861"/>
    <w:rsid w:val="1D8C664E"/>
    <w:rsid w:val="1D8C7807"/>
    <w:rsid w:val="1D8D2292"/>
    <w:rsid w:val="1D8D2573"/>
    <w:rsid w:val="1D8D2D14"/>
    <w:rsid w:val="1D8D4321"/>
    <w:rsid w:val="1D8D60CF"/>
    <w:rsid w:val="1D8E56D5"/>
    <w:rsid w:val="1D8F0099"/>
    <w:rsid w:val="1D8F1E47"/>
    <w:rsid w:val="1D8F3D10"/>
    <w:rsid w:val="1D8F64BD"/>
    <w:rsid w:val="1D9011EB"/>
    <w:rsid w:val="1D902354"/>
    <w:rsid w:val="1D903B1C"/>
    <w:rsid w:val="1D903E12"/>
    <w:rsid w:val="1D904A93"/>
    <w:rsid w:val="1D904DBD"/>
    <w:rsid w:val="1D90796E"/>
    <w:rsid w:val="1D910C13"/>
    <w:rsid w:val="1D9146CB"/>
    <w:rsid w:val="1D917D8C"/>
    <w:rsid w:val="1D9220A3"/>
    <w:rsid w:val="1D923073"/>
    <w:rsid w:val="1D9236E6"/>
    <w:rsid w:val="1D924C74"/>
    <w:rsid w:val="1D930B0E"/>
    <w:rsid w:val="1D932D6E"/>
    <w:rsid w:val="1D940CD5"/>
    <w:rsid w:val="1D943902"/>
    <w:rsid w:val="1D9456B0"/>
    <w:rsid w:val="1D945988"/>
    <w:rsid w:val="1D94745E"/>
    <w:rsid w:val="1D954F84"/>
    <w:rsid w:val="1D955D68"/>
    <w:rsid w:val="1D95788F"/>
    <w:rsid w:val="1D962FA8"/>
    <w:rsid w:val="1D964A85"/>
    <w:rsid w:val="1D970CFC"/>
    <w:rsid w:val="1D971E99"/>
    <w:rsid w:val="1D9751A0"/>
    <w:rsid w:val="1D976F4E"/>
    <w:rsid w:val="1D980AE6"/>
    <w:rsid w:val="1D983533"/>
    <w:rsid w:val="1D98582F"/>
    <w:rsid w:val="1D990F18"/>
    <w:rsid w:val="1D9A16EA"/>
    <w:rsid w:val="1D9A1EEE"/>
    <w:rsid w:val="1D9A6C42"/>
    <w:rsid w:val="1D9B6A3E"/>
    <w:rsid w:val="1D9B7467"/>
    <w:rsid w:val="1D9C08F7"/>
    <w:rsid w:val="1D9C63A4"/>
    <w:rsid w:val="1D9D32A1"/>
    <w:rsid w:val="1D9D7070"/>
    <w:rsid w:val="1D9D71B6"/>
    <w:rsid w:val="1D9E02DC"/>
    <w:rsid w:val="1D9E19D0"/>
    <w:rsid w:val="1D9E208B"/>
    <w:rsid w:val="1D9E4958"/>
    <w:rsid w:val="1D9F1E99"/>
    <w:rsid w:val="1D9F3834"/>
    <w:rsid w:val="1D9F5E03"/>
    <w:rsid w:val="1D9F616B"/>
    <w:rsid w:val="1DA022A7"/>
    <w:rsid w:val="1DA04055"/>
    <w:rsid w:val="1DA05B37"/>
    <w:rsid w:val="1DA148A4"/>
    <w:rsid w:val="1DA1570C"/>
    <w:rsid w:val="1DA17DCD"/>
    <w:rsid w:val="1DA222B3"/>
    <w:rsid w:val="1DA23028"/>
    <w:rsid w:val="1DA33641"/>
    <w:rsid w:val="1DA4002F"/>
    <w:rsid w:val="1DA41B2E"/>
    <w:rsid w:val="1DA43419"/>
    <w:rsid w:val="1DA50210"/>
    <w:rsid w:val="1DA50519"/>
    <w:rsid w:val="1DA5166B"/>
    <w:rsid w:val="1DA52E4D"/>
    <w:rsid w:val="1DA6052E"/>
    <w:rsid w:val="1DA63635"/>
    <w:rsid w:val="1DA6627E"/>
    <w:rsid w:val="1DA67191"/>
    <w:rsid w:val="1DA713F5"/>
    <w:rsid w:val="1DA75D06"/>
    <w:rsid w:val="1DA819EC"/>
    <w:rsid w:val="1DA82846"/>
    <w:rsid w:val="1DA82F09"/>
    <w:rsid w:val="1DA84CB7"/>
    <w:rsid w:val="1DA85754"/>
    <w:rsid w:val="1DA9032A"/>
    <w:rsid w:val="1DA90A2F"/>
    <w:rsid w:val="1DA91A6B"/>
    <w:rsid w:val="1DA94B37"/>
    <w:rsid w:val="1DA96A6F"/>
    <w:rsid w:val="1DAA1327"/>
    <w:rsid w:val="1DAA17BA"/>
    <w:rsid w:val="1DAB2808"/>
    <w:rsid w:val="1DAB283C"/>
    <w:rsid w:val="1DAB29F9"/>
    <w:rsid w:val="1DAB47A7"/>
    <w:rsid w:val="1DAB4D3C"/>
    <w:rsid w:val="1DAB70EE"/>
    <w:rsid w:val="1DAB77B7"/>
    <w:rsid w:val="1DAB7F33"/>
    <w:rsid w:val="1DAC03EC"/>
    <w:rsid w:val="1DAC0C4B"/>
    <w:rsid w:val="1DAC581B"/>
    <w:rsid w:val="1DAC66AD"/>
    <w:rsid w:val="1DAD2CAB"/>
    <w:rsid w:val="1DAD49C3"/>
    <w:rsid w:val="1DAD6772"/>
    <w:rsid w:val="1DAE320C"/>
    <w:rsid w:val="1DAF2452"/>
    <w:rsid w:val="1DAF24EA"/>
    <w:rsid w:val="1DAF45F9"/>
    <w:rsid w:val="1DAF6046"/>
    <w:rsid w:val="1DB00002"/>
    <w:rsid w:val="1DB06ACF"/>
    <w:rsid w:val="1DB06D6D"/>
    <w:rsid w:val="1DB07C40"/>
    <w:rsid w:val="1DB1168D"/>
    <w:rsid w:val="1DB124D1"/>
    <w:rsid w:val="1DB16262"/>
    <w:rsid w:val="1DB21FDA"/>
    <w:rsid w:val="1DB22A46"/>
    <w:rsid w:val="1DB23D88"/>
    <w:rsid w:val="1DB244E3"/>
    <w:rsid w:val="1DB25B36"/>
    <w:rsid w:val="1DB33FAD"/>
    <w:rsid w:val="1DB34226"/>
    <w:rsid w:val="1DB4543D"/>
    <w:rsid w:val="1DB47B00"/>
    <w:rsid w:val="1DB5139C"/>
    <w:rsid w:val="1DB55626"/>
    <w:rsid w:val="1DB605AC"/>
    <w:rsid w:val="1DB63878"/>
    <w:rsid w:val="1DB63F0D"/>
    <w:rsid w:val="1DB7139E"/>
    <w:rsid w:val="1DB754FF"/>
    <w:rsid w:val="1DB775F0"/>
    <w:rsid w:val="1DB81C3A"/>
    <w:rsid w:val="1DB83DBE"/>
    <w:rsid w:val="1DB8700D"/>
    <w:rsid w:val="1DB92444"/>
    <w:rsid w:val="1DB93368"/>
    <w:rsid w:val="1DB95116"/>
    <w:rsid w:val="1DB96250"/>
    <w:rsid w:val="1DB96EC4"/>
    <w:rsid w:val="1DBA0B1F"/>
    <w:rsid w:val="1DBA1560"/>
    <w:rsid w:val="1DBA24F8"/>
    <w:rsid w:val="1DBA26EF"/>
    <w:rsid w:val="1DBA29F0"/>
    <w:rsid w:val="1DBA2C3C"/>
    <w:rsid w:val="1DBA3E76"/>
    <w:rsid w:val="1DBA49EB"/>
    <w:rsid w:val="1DBA4A40"/>
    <w:rsid w:val="1DBB279E"/>
    <w:rsid w:val="1DBB3E80"/>
    <w:rsid w:val="1DBC10C3"/>
    <w:rsid w:val="1DBC67A0"/>
    <w:rsid w:val="1DBC71D5"/>
    <w:rsid w:val="1DBD7C30"/>
    <w:rsid w:val="1DBE097F"/>
    <w:rsid w:val="1DBE10C0"/>
    <w:rsid w:val="1DBE44DB"/>
    <w:rsid w:val="1DBE5D48"/>
    <w:rsid w:val="1DBF46E8"/>
    <w:rsid w:val="1DBF493B"/>
    <w:rsid w:val="1DBF57F9"/>
    <w:rsid w:val="1DC00253"/>
    <w:rsid w:val="1DC06213"/>
    <w:rsid w:val="1DC064A5"/>
    <w:rsid w:val="1DC11D64"/>
    <w:rsid w:val="1DC12D91"/>
    <w:rsid w:val="1DC13FCB"/>
    <w:rsid w:val="1DC15D79"/>
    <w:rsid w:val="1DC2245F"/>
    <w:rsid w:val="1DC31AF1"/>
    <w:rsid w:val="1DC32259"/>
    <w:rsid w:val="1DC332DD"/>
    <w:rsid w:val="1DC33AA2"/>
    <w:rsid w:val="1DC37BB2"/>
    <w:rsid w:val="1DC51D0D"/>
    <w:rsid w:val="1DC52A83"/>
    <w:rsid w:val="1DC55869"/>
    <w:rsid w:val="1DC615E1"/>
    <w:rsid w:val="1DC67833"/>
    <w:rsid w:val="1DC72423"/>
    <w:rsid w:val="1DC74FF4"/>
    <w:rsid w:val="1DC75A85"/>
    <w:rsid w:val="1DC85359"/>
    <w:rsid w:val="1DC863CF"/>
    <w:rsid w:val="1DC87107"/>
    <w:rsid w:val="1DC93146"/>
    <w:rsid w:val="1DC936E2"/>
    <w:rsid w:val="1DC94F93"/>
    <w:rsid w:val="1DC97EE6"/>
    <w:rsid w:val="1DCA10D2"/>
    <w:rsid w:val="1DCA412E"/>
    <w:rsid w:val="1DCA52F7"/>
    <w:rsid w:val="1DCA7323"/>
    <w:rsid w:val="1DCB2234"/>
    <w:rsid w:val="1DCB4E05"/>
    <w:rsid w:val="1DCB4E4A"/>
    <w:rsid w:val="1DCC0473"/>
    <w:rsid w:val="1DCC1FFE"/>
    <w:rsid w:val="1DCC2569"/>
    <w:rsid w:val="1DCC309C"/>
    <w:rsid w:val="1DCC31FE"/>
    <w:rsid w:val="1DCC4043"/>
    <w:rsid w:val="1DCC4533"/>
    <w:rsid w:val="1DCC6295"/>
    <w:rsid w:val="1DCC72F7"/>
    <w:rsid w:val="1DCC7928"/>
    <w:rsid w:val="1DCD02A0"/>
    <w:rsid w:val="1DCD0BC2"/>
    <w:rsid w:val="1DCD2970"/>
    <w:rsid w:val="1DCE22F6"/>
    <w:rsid w:val="1DCF0496"/>
    <w:rsid w:val="1DCF1687"/>
    <w:rsid w:val="1DCF201B"/>
    <w:rsid w:val="1DCF493A"/>
    <w:rsid w:val="1DCF66E8"/>
    <w:rsid w:val="1DCF6B00"/>
    <w:rsid w:val="1DD0085C"/>
    <w:rsid w:val="1DD033F2"/>
    <w:rsid w:val="1DD04C16"/>
    <w:rsid w:val="1DD106B2"/>
    <w:rsid w:val="1DD109F2"/>
    <w:rsid w:val="1DD11374"/>
    <w:rsid w:val="1DD12460"/>
    <w:rsid w:val="1DD160A6"/>
    <w:rsid w:val="1DD176BC"/>
    <w:rsid w:val="1DD21403"/>
    <w:rsid w:val="1DD23657"/>
    <w:rsid w:val="1DD25099"/>
    <w:rsid w:val="1DD26DCC"/>
    <w:rsid w:val="1DD27F86"/>
    <w:rsid w:val="1DD314C1"/>
    <w:rsid w:val="1DD343A3"/>
    <w:rsid w:val="1DD34B1E"/>
    <w:rsid w:val="1DD34F82"/>
    <w:rsid w:val="1DD41F3C"/>
    <w:rsid w:val="1DD41F50"/>
    <w:rsid w:val="1DD43CFE"/>
    <w:rsid w:val="1DD45AAC"/>
    <w:rsid w:val="1DD4763E"/>
    <w:rsid w:val="1DD50CF7"/>
    <w:rsid w:val="1DD563AA"/>
    <w:rsid w:val="1DD64B1F"/>
    <w:rsid w:val="1DD65CC8"/>
    <w:rsid w:val="1DD67347"/>
    <w:rsid w:val="1DD67B31"/>
    <w:rsid w:val="1DD71A40"/>
    <w:rsid w:val="1DD733A8"/>
    <w:rsid w:val="1DD737EE"/>
    <w:rsid w:val="1DD75116"/>
    <w:rsid w:val="1DD75AD9"/>
    <w:rsid w:val="1DD84838"/>
    <w:rsid w:val="1DD92B8A"/>
    <w:rsid w:val="1DD942EA"/>
    <w:rsid w:val="1DD957B9"/>
    <w:rsid w:val="1DD97567"/>
    <w:rsid w:val="1DDA08BB"/>
    <w:rsid w:val="1DDA3171"/>
    <w:rsid w:val="1DDA5751"/>
    <w:rsid w:val="1DDA5FEB"/>
    <w:rsid w:val="1DDB36B3"/>
    <w:rsid w:val="1DDB508D"/>
    <w:rsid w:val="1DDB605C"/>
    <w:rsid w:val="1DDC0E05"/>
    <w:rsid w:val="1DDC0EF0"/>
    <w:rsid w:val="1DDC1F50"/>
    <w:rsid w:val="1DDC3559"/>
    <w:rsid w:val="1DDC7057"/>
    <w:rsid w:val="1DDD5774"/>
    <w:rsid w:val="1DDD721A"/>
    <w:rsid w:val="1DDE06AA"/>
    <w:rsid w:val="1DDE4B7D"/>
    <w:rsid w:val="1DDE692B"/>
    <w:rsid w:val="1DDF1B3A"/>
    <w:rsid w:val="1DDF327B"/>
    <w:rsid w:val="1DDF4451"/>
    <w:rsid w:val="1DDF7CA6"/>
    <w:rsid w:val="1DE008F5"/>
    <w:rsid w:val="1DE01651"/>
    <w:rsid w:val="1DE026A3"/>
    <w:rsid w:val="1DE02FCA"/>
    <w:rsid w:val="1DE0470B"/>
    <w:rsid w:val="1DE07480"/>
    <w:rsid w:val="1DE10BC6"/>
    <w:rsid w:val="1DE1641B"/>
    <w:rsid w:val="1DE17F63"/>
    <w:rsid w:val="1DE207AB"/>
    <w:rsid w:val="1DE23EBF"/>
    <w:rsid w:val="1DE2466D"/>
    <w:rsid w:val="1DE2702B"/>
    <w:rsid w:val="1DE30791"/>
    <w:rsid w:val="1DE32193"/>
    <w:rsid w:val="1DE3280C"/>
    <w:rsid w:val="1DE33F41"/>
    <w:rsid w:val="1DE3706E"/>
    <w:rsid w:val="1DE42AF6"/>
    <w:rsid w:val="1DE43269"/>
    <w:rsid w:val="1DE50CF7"/>
    <w:rsid w:val="1DE53B7D"/>
    <w:rsid w:val="1DE5415D"/>
    <w:rsid w:val="1DE56157"/>
    <w:rsid w:val="1DE57CF3"/>
    <w:rsid w:val="1DE61A0D"/>
    <w:rsid w:val="1DE63A32"/>
    <w:rsid w:val="1DE657E0"/>
    <w:rsid w:val="1DE65D97"/>
    <w:rsid w:val="1DE675CD"/>
    <w:rsid w:val="1DE71436"/>
    <w:rsid w:val="1DE71C83"/>
    <w:rsid w:val="1DE763F1"/>
    <w:rsid w:val="1DE801A3"/>
    <w:rsid w:val="1DE81558"/>
    <w:rsid w:val="1DE859FC"/>
    <w:rsid w:val="1DE877AA"/>
    <w:rsid w:val="1DE957BD"/>
    <w:rsid w:val="1DE96EFE"/>
    <w:rsid w:val="1DEA1774"/>
    <w:rsid w:val="1DEA3522"/>
    <w:rsid w:val="1DEA4172"/>
    <w:rsid w:val="1DEA5721"/>
    <w:rsid w:val="1DEA6C4D"/>
    <w:rsid w:val="1DEA7F90"/>
    <w:rsid w:val="1DEB1048"/>
    <w:rsid w:val="1DEB181E"/>
    <w:rsid w:val="1DEB6E0B"/>
    <w:rsid w:val="1DEC26CB"/>
    <w:rsid w:val="1DEC3186"/>
    <w:rsid w:val="1DEC54EC"/>
    <w:rsid w:val="1DEC729A"/>
    <w:rsid w:val="1DED0A78"/>
    <w:rsid w:val="1DED0EED"/>
    <w:rsid w:val="1DED0FD0"/>
    <w:rsid w:val="1DED29EB"/>
    <w:rsid w:val="1DED413E"/>
    <w:rsid w:val="1DED6B6E"/>
    <w:rsid w:val="1DEE2B54"/>
    <w:rsid w:val="1DEE7EB0"/>
    <w:rsid w:val="1DEF0B38"/>
    <w:rsid w:val="1DEF28E6"/>
    <w:rsid w:val="1DF034A2"/>
    <w:rsid w:val="1DF04200"/>
    <w:rsid w:val="1DF11667"/>
    <w:rsid w:val="1DF12B02"/>
    <w:rsid w:val="1DF148B0"/>
    <w:rsid w:val="1DF15300"/>
    <w:rsid w:val="1DF20628"/>
    <w:rsid w:val="1DF223D6"/>
    <w:rsid w:val="1DF24184"/>
    <w:rsid w:val="1DF24EF1"/>
    <w:rsid w:val="1DF27517"/>
    <w:rsid w:val="1DF32B31"/>
    <w:rsid w:val="1DF3360C"/>
    <w:rsid w:val="1DF35130"/>
    <w:rsid w:val="1DF3687A"/>
    <w:rsid w:val="1DF428D0"/>
    <w:rsid w:val="1DF42DFE"/>
    <w:rsid w:val="1DF443A0"/>
    <w:rsid w:val="1DF4614E"/>
    <w:rsid w:val="1DF46C22"/>
    <w:rsid w:val="1DF47EFC"/>
    <w:rsid w:val="1DF57F41"/>
    <w:rsid w:val="1DF60118"/>
    <w:rsid w:val="1DF61502"/>
    <w:rsid w:val="1DF61EC7"/>
    <w:rsid w:val="1DF66C74"/>
    <w:rsid w:val="1DF75C3F"/>
    <w:rsid w:val="1DF779ED"/>
    <w:rsid w:val="1DF77DC1"/>
    <w:rsid w:val="1DF81251"/>
    <w:rsid w:val="1DF82B3E"/>
    <w:rsid w:val="1DF85C28"/>
    <w:rsid w:val="1DF93765"/>
    <w:rsid w:val="1DF970BD"/>
    <w:rsid w:val="1DFA7E83"/>
    <w:rsid w:val="1DFB572F"/>
    <w:rsid w:val="1DFB69D8"/>
    <w:rsid w:val="1DFB74DD"/>
    <w:rsid w:val="1DFC00B5"/>
    <w:rsid w:val="1DFC27A3"/>
    <w:rsid w:val="1DFC3255"/>
    <w:rsid w:val="1DFC34BE"/>
    <w:rsid w:val="1DFC3830"/>
    <w:rsid w:val="1DFC5003"/>
    <w:rsid w:val="1DFC5AA4"/>
    <w:rsid w:val="1DFD14A7"/>
    <w:rsid w:val="1DFD3589"/>
    <w:rsid w:val="1DFD506D"/>
    <w:rsid w:val="1DFD6804"/>
    <w:rsid w:val="1DFD7DB0"/>
    <w:rsid w:val="1DFE0C9B"/>
    <w:rsid w:val="1DFE1E76"/>
    <w:rsid w:val="1DFE3B5C"/>
    <w:rsid w:val="1DFE6FCD"/>
    <w:rsid w:val="1DFF0A28"/>
    <w:rsid w:val="1DFF1124"/>
    <w:rsid w:val="1DFF7416"/>
    <w:rsid w:val="1E002D45"/>
    <w:rsid w:val="1E003D01"/>
    <w:rsid w:val="1E0068A1"/>
    <w:rsid w:val="1E01086B"/>
    <w:rsid w:val="1E011EFE"/>
    <w:rsid w:val="1E012619"/>
    <w:rsid w:val="1E013A44"/>
    <w:rsid w:val="1E015A5E"/>
    <w:rsid w:val="1E016246"/>
    <w:rsid w:val="1E026ABD"/>
    <w:rsid w:val="1E030EE6"/>
    <w:rsid w:val="1E030F35"/>
    <w:rsid w:val="1E032835"/>
    <w:rsid w:val="1E0345E3"/>
    <w:rsid w:val="1E04324C"/>
    <w:rsid w:val="1E04636E"/>
    <w:rsid w:val="1E046E4D"/>
    <w:rsid w:val="1E05035C"/>
    <w:rsid w:val="1E05210A"/>
    <w:rsid w:val="1E05462A"/>
    <w:rsid w:val="1E0565AE"/>
    <w:rsid w:val="1E056BD5"/>
    <w:rsid w:val="1E057A6F"/>
    <w:rsid w:val="1E0647C5"/>
    <w:rsid w:val="1E0652D0"/>
    <w:rsid w:val="1E067C30"/>
    <w:rsid w:val="1E07142E"/>
    <w:rsid w:val="1E073016"/>
    <w:rsid w:val="1E074A41"/>
    <w:rsid w:val="1E0756AE"/>
    <w:rsid w:val="1E075729"/>
    <w:rsid w:val="1E075E82"/>
    <w:rsid w:val="1E083917"/>
    <w:rsid w:val="1E0839A8"/>
    <w:rsid w:val="1E084B89"/>
    <w:rsid w:val="1E087AB6"/>
    <w:rsid w:val="1E087C14"/>
    <w:rsid w:val="1E087E4C"/>
    <w:rsid w:val="1E090D49"/>
    <w:rsid w:val="1E09287F"/>
    <w:rsid w:val="1E094DA7"/>
    <w:rsid w:val="1E097A28"/>
    <w:rsid w:val="1E0A2B26"/>
    <w:rsid w:val="1E0A3BC4"/>
    <w:rsid w:val="1E0A6237"/>
    <w:rsid w:val="1E0B10EA"/>
    <w:rsid w:val="1E0B33FB"/>
    <w:rsid w:val="1E0B3E66"/>
    <w:rsid w:val="1E0B45F4"/>
    <w:rsid w:val="1E0B5246"/>
    <w:rsid w:val="1E0C16EA"/>
    <w:rsid w:val="1E0C2885"/>
    <w:rsid w:val="1E0C3498"/>
    <w:rsid w:val="1E0C49BE"/>
    <w:rsid w:val="1E0C5B33"/>
    <w:rsid w:val="1E0C793C"/>
    <w:rsid w:val="1E0C7FC9"/>
    <w:rsid w:val="1E0D0FBE"/>
    <w:rsid w:val="1E0D743F"/>
    <w:rsid w:val="1E0E2B0F"/>
    <w:rsid w:val="1E0F11DA"/>
    <w:rsid w:val="1E0F2F88"/>
    <w:rsid w:val="1E0F4D36"/>
    <w:rsid w:val="1E100DC3"/>
    <w:rsid w:val="1E1046E0"/>
    <w:rsid w:val="1E106E48"/>
    <w:rsid w:val="1E111A10"/>
    <w:rsid w:val="1E114F52"/>
    <w:rsid w:val="1E116D00"/>
    <w:rsid w:val="1E122143"/>
    <w:rsid w:val="1E122A78"/>
    <w:rsid w:val="1E1251AF"/>
    <w:rsid w:val="1E1354B2"/>
    <w:rsid w:val="1E135B88"/>
    <w:rsid w:val="1E14053A"/>
    <w:rsid w:val="1E14059F"/>
    <w:rsid w:val="1E146FDE"/>
    <w:rsid w:val="1E154A8B"/>
    <w:rsid w:val="1E16147F"/>
    <w:rsid w:val="1E162569"/>
    <w:rsid w:val="1E1660C5"/>
    <w:rsid w:val="1E167A40"/>
    <w:rsid w:val="1E171CE7"/>
    <w:rsid w:val="1E1723C2"/>
    <w:rsid w:val="1E185311"/>
    <w:rsid w:val="1E1862E1"/>
    <w:rsid w:val="1E1923DB"/>
    <w:rsid w:val="1E19297F"/>
    <w:rsid w:val="1E19315B"/>
    <w:rsid w:val="1E193E07"/>
    <w:rsid w:val="1E195BB5"/>
    <w:rsid w:val="1E197963"/>
    <w:rsid w:val="1E1B192D"/>
    <w:rsid w:val="1E1B36DB"/>
    <w:rsid w:val="1E1B7B7F"/>
    <w:rsid w:val="1E1C064C"/>
    <w:rsid w:val="1E1C1002"/>
    <w:rsid w:val="1E1C72F1"/>
    <w:rsid w:val="1E1C7453"/>
    <w:rsid w:val="1E1D37B8"/>
    <w:rsid w:val="1E1D38F7"/>
    <w:rsid w:val="1E1D4912"/>
    <w:rsid w:val="1E1E11FC"/>
    <w:rsid w:val="1E1E141D"/>
    <w:rsid w:val="1E1E6BD4"/>
    <w:rsid w:val="1E1F69F3"/>
    <w:rsid w:val="1E2030CD"/>
    <w:rsid w:val="1E203378"/>
    <w:rsid w:val="1E20679B"/>
    <w:rsid w:val="1E214557"/>
    <w:rsid w:val="1E2162F9"/>
    <w:rsid w:val="1E217CEA"/>
    <w:rsid w:val="1E222CBC"/>
    <w:rsid w:val="1E2244BE"/>
    <w:rsid w:val="1E22594E"/>
    <w:rsid w:val="1E22708F"/>
    <w:rsid w:val="1E2307E2"/>
    <w:rsid w:val="1E230866"/>
    <w:rsid w:val="1E23366E"/>
    <w:rsid w:val="1E234C86"/>
    <w:rsid w:val="1E236A34"/>
    <w:rsid w:val="1E24026E"/>
    <w:rsid w:val="1E245D59"/>
    <w:rsid w:val="1E2504BC"/>
    <w:rsid w:val="1E250F87"/>
    <w:rsid w:val="1E2527AC"/>
    <w:rsid w:val="1E256308"/>
    <w:rsid w:val="1E2642CF"/>
    <w:rsid w:val="1E2660A9"/>
    <w:rsid w:val="1E266EA0"/>
    <w:rsid w:val="1E267A75"/>
    <w:rsid w:val="1E2702D2"/>
    <w:rsid w:val="1E270B19"/>
    <w:rsid w:val="1E27575F"/>
    <w:rsid w:val="1E276524"/>
    <w:rsid w:val="1E28404A"/>
    <w:rsid w:val="1E28666F"/>
    <w:rsid w:val="1E286BEF"/>
    <w:rsid w:val="1E290094"/>
    <w:rsid w:val="1E29229C"/>
    <w:rsid w:val="1E292C50"/>
    <w:rsid w:val="1E293041"/>
    <w:rsid w:val="1E293BEA"/>
    <w:rsid w:val="1E2950A8"/>
    <w:rsid w:val="1E2A1B70"/>
    <w:rsid w:val="1E2A28EC"/>
    <w:rsid w:val="1E2A40E0"/>
    <w:rsid w:val="1E2A476E"/>
    <w:rsid w:val="1E2A6014"/>
    <w:rsid w:val="1E2A7DC2"/>
    <w:rsid w:val="1E2B48DF"/>
    <w:rsid w:val="1E2B5570"/>
    <w:rsid w:val="1E2C0141"/>
    <w:rsid w:val="1E2C1658"/>
    <w:rsid w:val="1E2C2D12"/>
    <w:rsid w:val="1E2C3B3A"/>
    <w:rsid w:val="1E2C4390"/>
    <w:rsid w:val="1E2C58E8"/>
    <w:rsid w:val="1E2C69EF"/>
    <w:rsid w:val="1E2D1660"/>
    <w:rsid w:val="1E2D340E"/>
    <w:rsid w:val="1E2D4515"/>
    <w:rsid w:val="1E2D476D"/>
    <w:rsid w:val="1E2E2158"/>
    <w:rsid w:val="1E2E65A9"/>
    <w:rsid w:val="1E2E78B2"/>
    <w:rsid w:val="1E2F53D8"/>
    <w:rsid w:val="1E2F7187"/>
    <w:rsid w:val="1E302C66"/>
    <w:rsid w:val="1E303449"/>
    <w:rsid w:val="1E303A22"/>
    <w:rsid w:val="1E304463"/>
    <w:rsid w:val="1E305155"/>
    <w:rsid w:val="1E30674D"/>
    <w:rsid w:val="1E306949"/>
    <w:rsid w:val="1E311151"/>
    <w:rsid w:val="1E312EFF"/>
    <w:rsid w:val="1E313FB3"/>
    <w:rsid w:val="1E31403C"/>
    <w:rsid w:val="1E315AF1"/>
    <w:rsid w:val="1E3173A3"/>
    <w:rsid w:val="1E320A25"/>
    <w:rsid w:val="1E322872"/>
    <w:rsid w:val="1E324B5C"/>
    <w:rsid w:val="1E326C77"/>
    <w:rsid w:val="1E330808"/>
    <w:rsid w:val="1E33337B"/>
    <w:rsid w:val="1E340C41"/>
    <w:rsid w:val="1E3443C3"/>
    <w:rsid w:val="1E3450BD"/>
    <w:rsid w:val="1E350253"/>
    <w:rsid w:val="1E360515"/>
    <w:rsid w:val="1E3649B9"/>
    <w:rsid w:val="1E365FB3"/>
    <w:rsid w:val="1E366086"/>
    <w:rsid w:val="1E367C9E"/>
    <w:rsid w:val="1E370B06"/>
    <w:rsid w:val="1E37428D"/>
    <w:rsid w:val="1E375254"/>
    <w:rsid w:val="1E375461"/>
    <w:rsid w:val="1E380731"/>
    <w:rsid w:val="1E3824DF"/>
    <w:rsid w:val="1E386D1B"/>
    <w:rsid w:val="1E386D3D"/>
    <w:rsid w:val="1E391DB3"/>
    <w:rsid w:val="1E39597F"/>
    <w:rsid w:val="1E3A658A"/>
    <w:rsid w:val="1E3B1FCF"/>
    <w:rsid w:val="1E3B3D7D"/>
    <w:rsid w:val="1E3B4FF2"/>
    <w:rsid w:val="1E3B5B2B"/>
    <w:rsid w:val="1E3B6737"/>
    <w:rsid w:val="1E3B6FE1"/>
    <w:rsid w:val="1E3D23BC"/>
    <w:rsid w:val="1E3D3403"/>
    <w:rsid w:val="1E3D5D47"/>
    <w:rsid w:val="1E3D7AF5"/>
    <w:rsid w:val="1E3E561C"/>
    <w:rsid w:val="1E3E68F9"/>
    <w:rsid w:val="1E3E73CA"/>
    <w:rsid w:val="1E3F0B27"/>
    <w:rsid w:val="1E3F4E76"/>
    <w:rsid w:val="1E3F65B7"/>
    <w:rsid w:val="1E403142"/>
    <w:rsid w:val="1E4075E6"/>
    <w:rsid w:val="1E407A47"/>
    <w:rsid w:val="1E4127BB"/>
    <w:rsid w:val="1E412917"/>
    <w:rsid w:val="1E42510C"/>
    <w:rsid w:val="1E426EBA"/>
    <w:rsid w:val="1E42774E"/>
    <w:rsid w:val="1E430E84"/>
    <w:rsid w:val="1E4361E1"/>
    <w:rsid w:val="1E4363C8"/>
    <w:rsid w:val="1E44449D"/>
    <w:rsid w:val="1E44628E"/>
    <w:rsid w:val="1E450758"/>
    <w:rsid w:val="1E452429"/>
    <w:rsid w:val="1E454BFC"/>
    <w:rsid w:val="1E4569AA"/>
    <w:rsid w:val="1E456D71"/>
    <w:rsid w:val="1E464CD0"/>
    <w:rsid w:val="1E46641D"/>
    <w:rsid w:val="1E470974"/>
    <w:rsid w:val="1E47263C"/>
    <w:rsid w:val="1E47675D"/>
    <w:rsid w:val="1E480DAA"/>
    <w:rsid w:val="1E485D91"/>
    <w:rsid w:val="1E49223A"/>
    <w:rsid w:val="1E4946EC"/>
    <w:rsid w:val="1E4A0464"/>
    <w:rsid w:val="1E4A12EB"/>
    <w:rsid w:val="1E4A2212"/>
    <w:rsid w:val="1E4A3FC0"/>
    <w:rsid w:val="1E4A5D6E"/>
    <w:rsid w:val="1E4A674A"/>
    <w:rsid w:val="1E4A6953"/>
    <w:rsid w:val="1E4A76D4"/>
    <w:rsid w:val="1E4A7D3D"/>
    <w:rsid w:val="1E4C01D3"/>
    <w:rsid w:val="1E4C366C"/>
    <w:rsid w:val="1E4C627E"/>
    <w:rsid w:val="1E4C7D38"/>
    <w:rsid w:val="1E4D204B"/>
    <w:rsid w:val="1E4D585F"/>
    <w:rsid w:val="1E4D747A"/>
    <w:rsid w:val="1E4E19BD"/>
    <w:rsid w:val="1E4E1D03"/>
    <w:rsid w:val="1E4E376C"/>
    <w:rsid w:val="1E4E3AB1"/>
    <w:rsid w:val="1E4E521C"/>
    <w:rsid w:val="1E4E6744"/>
    <w:rsid w:val="1E4E67B2"/>
    <w:rsid w:val="1E4E70A8"/>
    <w:rsid w:val="1E4F15D7"/>
    <w:rsid w:val="1E4F217A"/>
    <w:rsid w:val="1E4F5417"/>
    <w:rsid w:val="1E4F5A7B"/>
    <w:rsid w:val="1E4F5B7B"/>
    <w:rsid w:val="1E4F7829"/>
    <w:rsid w:val="1E505DFB"/>
    <w:rsid w:val="1E5135A1"/>
    <w:rsid w:val="1E51534F"/>
    <w:rsid w:val="1E5170FD"/>
    <w:rsid w:val="1E522E0D"/>
    <w:rsid w:val="1E524A2D"/>
    <w:rsid w:val="1E526564"/>
    <w:rsid w:val="1E527FF7"/>
    <w:rsid w:val="1E537319"/>
    <w:rsid w:val="1E54305E"/>
    <w:rsid w:val="1E54477C"/>
    <w:rsid w:val="1E546BED"/>
    <w:rsid w:val="1E547096"/>
    <w:rsid w:val="1E54734D"/>
    <w:rsid w:val="1E56072B"/>
    <w:rsid w:val="1E560BB7"/>
    <w:rsid w:val="1E562965"/>
    <w:rsid w:val="1E566E09"/>
    <w:rsid w:val="1E567848"/>
    <w:rsid w:val="1E567BD2"/>
    <w:rsid w:val="1E57048B"/>
    <w:rsid w:val="1E572FAE"/>
    <w:rsid w:val="1E573315"/>
    <w:rsid w:val="1E57604D"/>
    <w:rsid w:val="1E581723"/>
    <w:rsid w:val="1E58492F"/>
    <w:rsid w:val="1E585428"/>
    <w:rsid w:val="1E5866DD"/>
    <w:rsid w:val="1E586C33"/>
    <w:rsid w:val="1E5872AA"/>
    <w:rsid w:val="1E5878A1"/>
    <w:rsid w:val="1E5905ED"/>
    <w:rsid w:val="1E590BE7"/>
    <w:rsid w:val="1E591D2E"/>
    <w:rsid w:val="1E592455"/>
    <w:rsid w:val="1E5927A7"/>
    <w:rsid w:val="1E593087"/>
    <w:rsid w:val="1E594203"/>
    <w:rsid w:val="1E5A1293"/>
    <w:rsid w:val="1E5A1702"/>
    <w:rsid w:val="1E5A5FC8"/>
    <w:rsid w:val="1E5B441F"/>
    <w:rsid w:val="1E5B48A1"/>
    <w:rsid w:val="1E5B4960"/>
    <w:rsid w:val="1E5B5204"/>
    <w:rsid w:val="1E5B5378"/>
    <w:rsid w:val="1E5B61CE"/>
    <w:rsid w:val="1E5B7F7C"/>
    <w:rsid w:val="1E5C4551"/>
    <w:rsid w:val="1E5D1B3F"/>
    <w:rsid w:val="1E5D3B6B"/>
    <w:rsid w:val="1E5D4E9A"/>
    <w:rsid w:val="1E5E0599"/>
    <w:rsid w:val="1E5E1E02"/>
    <w:rsid w:val="1E5E2FCF"/>
    <w:rsid w:val="1E5E46DB"/>
    <w:rsid w:val="1E5E5050"/>
    <w:rsid w:val="1E5F445F"/>
    <w:rsid w:val="1E5F5CBE"/>
    <w:rsid w:val="1E5F5E96"/>
    <w:rsid w:val="1E601A36"/>
    <w:rsid w:val="1E6037E4"/>
    <w:rsid w:val="1E605592"/>
    <w:rsid w:val="1E6058EF"/>
    <w:rsid w:val="1E6104C0"/>
    <w:rsid w:val="1E6167B4"/>
    <w:rsid w:val="1E621950"/>
    <w:rsid w:val="1E62318F"/>
    <w:rsid w:val="1E624F8E"/>
    <w:rsid w:val="1E6257AE"/>
    <w:rsid w:val="1E635082"/>
    <w:rsid w:val="1E641526"/>
    <w:rsid w:val="1E641E2B"/>
    <w:rsid w:val="1E6502D1"/>
    <w:rsid w:val="1E650DFA"/>
    <w:rsid w:val="1E6517B1"/>
    <w:rsid w:val="1E655BBE"/>
    <w:rsid w:val="1E65704C"/>
    <w:rsid w:val="1E6615A9"/>
    <w:rsid w:val="1E672DC4"/>
    <w:rsid w:val="1E6757C2"/>
    <w:rsid w:val="1E676920"/>
    <w:rsid w:val="1E682698"/>
    <w:rsid w:val="1E696B3C"/>
    <w:rsid w:val="1E6A4663"/>
    <w:rsid w:val="1E6A4B1A"/>
    <w:rsid w:val="1E6A6074"/>
    <w:rsid w:val="1E6A6411"/>
    <w:rsid w:val="1E6A6E8D"/>
    <w:rsid w:val="1E6B02B1"/>
    <w:rsid w:val="1E6B4B5A"/>
    <w:rsid w:val="1E6C0941"/>
    <w:rsid w:val="1E6C3F37"/>
    <w:rsid w:val="1E6D567C"/>
    <w:rsid w:val="1E6D6A63"/>
    <w:rsid w:val="1E6E4153"/>
    <w:rsid w:val="1E6E5400"/>
    <w:rsid w:val="1E6E5F01"/>
    <w:rsid w:val="1E6F3A27"/>
    <w:rsid w:val="1E6F3F54"/>
    <w:rsid w:val="1E707FA7"/>
    <w:rsid w:val="1E711139"/>
    <w:rsid w:val="1E71154D"/>
    <w:rsid w:val="1E711CB2"/>
    <w:rsid w:val="1E7159F1"/>
    <w:rsid w:val="1E71779F"/>
    <w:rsid w:val="1E720B94"/>
    <w:rsid w:val="1E721445"/>
    <w:rsid w:val="1E7228D5"/>
    <w:rsid w:val="1E731769"/>
    <w:rsid w:val="1E734C4A"/>
    <w:rsid w:val="1E7352C5"/>
    <w:rsid w:val="1E74103D"/>
    <w:rsid w:val="1E7421DE"/>
    <w:rsid w:val="1E742AAA"/>
    <w:rsid w:val="1E7430A4"/>
    <w:rsid w:val="1E7440CE"/>
    <w:rsid w:val="1E7458AC"/>
    <w:rsid w:val="1E74604F"/>
    <w:rsid w:val="1E74728F"/>
    <w:rsid w:val="1E7554E1"/>
    <w:rsid w:val="1E756A19"/>
    <w:rsid w:val="1E757DC6"/>
    <w:rsid w:val="1E761259"/>
    <w:rsid w:val="1E763007"/>
    <w:rsid w:val="1E763BFC"/>
    <w:rsid w:val="1E7726E6"/>
    <w:rsid w:val="1E7749BC"/>
    <w:rsid w:val="1E7828DC"/>
    <w:rsid w:val="1E786D7F"/>
    <w:rsid w:val="1E796654"/>
    <w:rsid w:val="1E7966D4"/>
    <w:rsid w:val="1E7A43DA"/>
    <w:rsid w:val="1E7A5202"/>
    <w:rsid w:val="1E7A5E10"/>
    <w:rsid w:val="1E7B23CC"/>
    <w:rsid w:val="1E7C7851"/>
    <w:rsid w:val="1E7D1075"/>
    <w:rsid w:val="1E7D37D0"/>
    <w:rsid w:val="1E7D4396"/>
    <w:rsid w:val="1E7D79C5"/>
    <w:rsid w:val="1E7D7D6D"/>
    <w:rsid w:val="1E7E0E78"/>
    <w:rsid w:val="1E7E1948"/>
    <w:rsid w:val="1E7E194D"/>
    <w:rsid w:val="1E7E1EBC"/>
    <w:rsid w:val="1E7E1F44"/>
    <w:rsid w:val="1E7E22AB"/>
    <w:rsid w:val="1E7E2B16"/>
    <w:rsid w:val="1E7E3C6A"/>
    <w:rsid w:val="1E7F010E"/>
    <w:rsid w:val="1E7F4C67"/>
    <w:rsid w:val="1E801F9C"/>
    <w:rsid w:val="1E803E86"/>
    <w:rsid w:val="1E805C34"/>
    <w:rsid w:val="1E8068F9"/>
    <w:rsid w:val="1E8079E2"/>
    <w:rsid w:val="1E816369"/>
    <w:rsid w:val="1E8219AC"/>
    <w:rsid w:val="1E825D72"/>
    <w:rsid w:val="1E826933"/>
    <w:rsid w:val="1E8277F9"/>
    <w:rsid w:val="1E830C01"/>
    <w:rsid w:val="1E831280"/>
    <w:rsid w:val="1E835366"/>
    <w:rsid w:val="1E8367F7"/>
    <w:rsid w:val="1E840A3C"/>
    <w:rsid w:val="1E8429D3"/>
    <w:rsid w:val="1E8474D2"/>
    <w:rsid w:val="1E8512FD"/>
    <w:rsid w:val="1E85149C"/>
    <w:rsid w:val="1E851DDC"/>
    <w:rsid w:val="1E85324A"/>
    <w:rsid w:val="1E8558BB"/>
    <w:rsid w:val="1E855AEA"/>
    <w:rsid w:val="1E8578BB"/>
    <w:rsid w:val="1E857F63"/>
    <w:rsid w:val="1E860B31"/>
    <w:rsid w:val="1E86760A"/>
    <w:rsid w:val="1E870EAF"/>
    <w:rsid w:val="1E871148"/>
    <w:rsid w:val="1E8717F3"/>
    <w:rsid w:val="1E8721DB"/>
    <w:rsid w:val="1E8729D4"/>
    <w:rsid w:val="1E872CDC"/>
    <w:rsid w:val="1E876D42"/>
    <w:rsid w:val="1E876FC3"/>
    <w:rsid w:val="1E877AD1"/>
    <w:rsid w:val="1E8835C2"/>
    <w:rsid w:val="1E88366B"/>
    <w:rsid w:val="1E88623C"/>
    <w:rsid w:val="1E890F8D"/>
    <w:rsid w:val="1E89227A"/>
    <w:rsid w:val="1E892D3B"/>
    <w:rsid w:val="1E894640"/>
    <w:rsid w:val="1E896032"/>
    <w:rsid w:val="1E8A158E"/>
    <w:rsid w:val="1E8A260F"/>
    <w:rsid w:val="1E8A32F0"/>
    <w:rsid w:val="1E8A4F0A"/>
    <w:rsid w:val="1E8A6AB3"/>
    <w:rsid w:val="1E8A779D"/>
    <w:rsid w:val="1E8B12D8"/>
    <w:rsid w:val="1E8B1411"/>
    <w:rsid w:val="1E8B60C1"/>
    <w:rsid w:val="1E8B632B"/>
    <w:rsid w:val="1E8C282B"/>
    <w:rsid w:val="1E8D3FC1"/>
    <w:rsid w:val="1E8D62F8"/>
    <w:rsid w:val="1E8E0351"/>
    <w:rsid w:val="1E8E0B45"/>
    <w:rsid w:val="1E8E325B"/>
    <w:rsid w:val="1E8E461A"/>
    <w:rsid w:val="1E8E4B87"/>
    <w:rsid w:val="1E8E65A3"/>
    <w:rsid w:val="1E8F1F8A"/>
    <w:rsid w:val="1E8F353E"/>
    <w:rsid w:val="1E8F5E77"/>
    <w:rsid w:val="1E8F661D"/>
    <w:rsid w:val="1E8F7C25"/>
    <w:rsid w:val="1E900239"/>
    <w:rsid w:val="1E90231B"/>
    <w:rsid w:val="1E902CFD"/>
    <w:rsid w:val="1E9109A5"/>
    <w:rsid w:val="1E913C15"/>
    <w:rsid w:val="1E915E5E"/>
    <w:rsid w:val="1E917E41"/>
    <w:rsid w:val="1E921EBF"/>
    <w:rsid w:val="1E92221F"/>
    <w:rsid w:val="1E92303D"/>
    <w:rsid w:val="1E927D98"/>
    <w:rsid w:val="1E933BB9"/>
    <w:rsid w:val="1E936385"/>
    <w:rsid w:val="1E937715"/>
    <w:rsid w:val="1E94348E"/>
    <w:rsid w:val="1E9447DF"/>
    <w:rsid w:val="1E953EAA"/>
    <w:rsid w:val="1E95450A"/>
    <w:rsid w:val="1E954756"/>
    <w:rsid w:val="1E955C6F"/>
    <w:rsid w:val="1E957931"/>
    <w:rsid w:val="1E960FB4"/>
    <w:rsid w:val="1E96253F"/>
    <w:rsid w:val="1E9664E3"/>
    <w:rsid w:val="1E9671D5"/>
    <w:rsid w:val="1E9676DF"/>
    <w:rsid w:val="1E967FEE"/>
    <w:rsid w:val="1E9718F5"/>
    <w:rsid w:val="1E9811D0"/>
    <w:rsid w:val="1E9845F0"/>
    <w:rsid w:val="1E995A80"/>
    <w:rsid w:val="1E997144"/>
    <w:rsid w:val="1E9A0220"/>
    <w:rsid w:val="1E9A378C"/>
    <w:rsid w:val="1E9A4F48"/>
    <w:rsid w:val="1E9A6CF6"/>
    <w:rsid w:val="1E9B0CC0"/>
    <w:rsid w:val="1E9B2A6E"/>
    <w:rsid w:val="1E9B2E83"/>
    <w:rsid w:val="1E9D0594"/>
    <w:rsid w:val="1E9D2342"/>
    <w:rsid w:val="1E9E0462"/>
    <w:rsid w:val="1E9E11CF"/>
    <w:rsid w:val="1E9E60BA"/>
    <w:rsid w:val="1E9F0C26"/>
    <w:rsid w:val="1E9F18F2"/>
    <w:rsid w:val="1E9F55B3"/>
    <w:rsid w:val="1EA01228"/>
    <w:rsid w:val="1EA044C3"/>
    <w:rsid w:val="1EA05AAF"/>
    <w:rsid w:val="1EA062D6"/>
    <w:rsid w:val="1EA10EDE"/>
    <w:rsid w:val="1EA15553"/>
    <w:rsid w:val="1EA21FDF"/>
    <w:rsid w:val="1EA2204E"/>
    <w:rsid w:val="1EA23DFC"/>
    <w:rsid w:val="1EA25BAA"/>
    <w:rsid w:val="1EA26DE3"/>
    <w:rsid w:val="1EA276C4"/>
    <w:rsid w:val="1EA27958"/>
    <w:rsid w:val="1EA31703"/>
    <w:rsid w:val="1EA336D1"/>
    <w:rsid w:val="1EA35B1D"/>
    <w:rsid w:val="1EA35E34"/>
    <w:rsid w:val="1EA442D4"/>
    <w:rsid w:val="1EA45923"/>
    <w:rsid w:val="1EA47B9E"/>
    <w:rsid w:val="1EA52C82"/>
    <w:rsid w:val="1EA5569B"/>
    <w:rsid w:val="1EA56C09"/>
    <w:rsid w:val="1EA56C6A"/>
    <w:rsid w:val="1EA56D4C"/>
    <w:rsid w:val="1EA57449"/>
    <w:rsid w:val="1EA57B4B"/>
    <w:rsid w:val="1EA638ED"/>
    <w:rsid w:val="1EA64965"/>
    <w:rsid w:val="1EA70084"/>
    <w:rsid w:val="1EA71413"/>
    <w:rsid w:val="1EA717C5"/>
    <w:rsid w:val="1EA731C1"/>
    <w:rsid w:val="1EA77173"/>
    <w:rsid w:val="1EA77665"/>
    <w:rsid w:val="1EA81514"/>
    <w:rsid w:val="1EA81DF2"/>
    <w:rsid w:val="1EA84017"/>
    <w:rsid w:val="1EA86119"/>
    <w:rsid w:val="1EA8656B"/>
    <w:rsid w:val="1EA94287"/>
    <w:rsid w:val="1EA95575"/>
    <w:rsid w:val="1EAA0A15"/>
    <w:rsid w:val="1EAA2CB1"/>
    <w:rsid w:val="1EAA4A5F"/>
    <w:rsid w:val="1EAA5D14"/>
    <w:rsid w:val="1EAA6A05"/>
    <w:rsid w:val="1EAA7B96"/>
    <w:rsid w:val="1EAB0F03"/>
    <w:rsid w:val="1EAB15D6"/>
    <w:rsid w:val="1EAB258F"/>
    <w:rsid w:val="1EAB5D97"/>
    <w:rsid w:val="1EAC04C3"/>
    <w:rsid w:val="1EAC07D7"/>
    <w:rsid w:val="1EAC2A66"/>
    <w:rsid w:val="1EAC4C7B"/>
    <w:rsid w:val="1EAC6A29"/>
    <w:rsid w:val="1EAD1969"/>
    <w:rsid w:val="1EAD6AC7"/>
    <w:rsid w:val="1EAE00DE"/>
    <w:rsid w:val="1EAE09F3"/>
    <w:rsid w:val="1EAE27A1"/>
    <w:rsid w:val="1EAE454F"/>
    <w:rsid w:val="1EAE7AE7"/>
    <w:rsid w:val="1EAE7F57"/>
    <w:rsid w:val="1EAF004C"/>
    <w:rsid w:val="1EAF233F"/>
    <w:rsid w:val="1EAF2557"/>
    <w:rsid w:val="1EAF2B4E"/>
    <w:rsid w:val="1EAF32E5"/>
    <w:rsid w:val="1EAF53C9"/>
    <w:rsid w:val="1EAF7CA6"/>
    <w:rsid w:val="1EB06519"/>
    <w:rsid w:val="1EB12291"/>
    <w:rsid w:val="1EB1373C"/>
    <w:rsid w:val="1EB15BB6"/>
    <w:rsid w:val="1EB17799"/>
    <w:rsid w:val="1EB24F08"/>
    <w:rsid w:val="1EB27D68"/>
    <w:rsid w:val="1EB311F8"/>
    <w:rsid w:val="1EB32B92"/>
    <w:rsid w:val="1EB33096"/>
    <w:rsid w:val="1EB33C0A"/>
    <w:rsid w:val="1EB34A6E"/>
    <w:rsid w:val="1EB3600A"/>
    <w:rsid w:val="1EB36627"/>
    <w:rsid w:val="1EB36D9B"/>
    <w:rsid w:val="1EB37DB8"/>
    <w:rsid w:val="1EB44C3A"/>
    <w:rsid w:val="1EB458DE"/>
    <w:rsid w:val="1EB45A4D"/>
    <w:rsid w:val="1EB4768C"/>
    <w:rsid w:val="1EB51D82"/>
    <w:rsid w:val="1EB53B30"/>
    <w:rsid w:val="1EB56555"/>
    <w:rsid w:val="1EB568C0"/>
    <w:rsid w:val="1EB61656"/>
    <w:rsid w:val="1EB61BB2"/>
    <w:rsid w:val="1EB64FA8"/>
    <w:rsid w:val="1EB65147"/>
    <w:rsid w:val="1EB659EE"/>
    <w:rsid w:val="1EB71DF9"/>
    <w:rsid w:val="1EB83620"/>
    <w:rsid w:val="1EB853CE"/>
    <w:rsid w:val="1EB8717C"/>
    <w:rsid w:val="1EB9078D"/>
    <w:rsid w:val="1EB92499"/>
    <w:rsid w:val="1EB9506A"/>
    <w:rsid w:val="1EB96347"/>
    <w:rsid w:val="1EBA0569"/>
    <w:rsid w:val="1EBA1146"/>
    <w:rsid w:val="1EBA637E"/>
    <w:rsid w:val="1EBA7398"/>
    <w:rsid w:val="1EBB4EBE"/>
    <w:rsid w:val="1EBB6772"/>
    <w:rsid w:val="1EBC3344"/>
    <w:rsid w:val="1EBD0C36"/>
    <w:rsid w:val="1EBD29E4"/>
    <w:rsid w:val="1EBD459D"/>
    <w:rsid w:val="1EBD4792"/>
    <w:rsid w:val="1EBE54DD"/>
    <w:rsid w:val="1EBF050A"/>
    <w:rsid w:val="1EBF49AE"/>
    <w:rsid w:val="1EBF6202"/>
    <w:rsid w:val="1EBF675C"/>
    <w:rsid w:val="1EC00C2B"/>
    <w:rsid w:val="1EC0236C"/>
    <w:rsid w:val="1EC03BB7"/>
    <w:rsid w:val="1EC04283"/>
    <w:rsid w:val="1EC10F60"/>
    <w:rsid w:val="1EC11B21"/>
    <w:rsid w:val="1EC15808"/>
    <w:rsid w:val="1EC2011E"/>
    <w:rsid w:val="1EC21DA9"/>
    <w:rsid w:val="1EC24C8C"/>
    <w:rsid w:val="1EC2580E"/>
    <w:rsid w:val="1EC2785D"/>
    <w:rsid w:val="1EC3140E"/>
    <w:rsid w:val="1EC3611C"/>
    <w:rsid w:val="1EC4076B"/>
    <w:rsid w:val="1EC41FC5"/>
    <w:rsid w:val="1EC4217D"/>
    <w:rsid w:val="1EC45B21"/>
    <w:rsid w:val="1EC475AC"/>
    <w:rsid w:val="1EC60A42"/>
    <w:rsid w:val="1EC6393D"/>
    <w:rsid w:val="1EC65D3D"/>
    <w:rsid w:val="1EC70B5D"/>
    <w:rsid w:val="1EC71AB5"/>
    <w:rsid w:val="1EC73863"/>
    <w:rsid w:val="1EC75F2D"/>
    <w:rsid w:val="1EC7766E"/>
    <w:rsid w:val="1EC82232"/>
    <w:rsid w:val="1EC91389"/>
    <w:rsid w:val="1EC9257D"/>
    <w:rsid w:val="1EC93137"/>
    <w:rsid w:val="1EC94C84"/>
    <w:rsid w:val="1EC975DB"/>
    <w:rsid w:val="1EC9797A"/>
    <w:rsid w:val="1ECA29DE"/>
    <w:rsid w:val="1ECA6AF9"/>
    <w:rsid w:val="1ECA6EAF"/>
    <w:rsid w:val="1ECB2E05"/>
    <w:rsid w:val="1ECB747F"/>
    <w:rsid w:val="1ECC0E79"/>
    <w:rsid w:val="1ECD1D9F"/>
    <w:rsid w:val="1ECD34E0"/>
    <w:rsid w:val="1ECD4970"/>
    <w:rsid w:val="1ECD6B66"/>
    <w:rsid w:val="1ECE2679"/>
    <w:rsid w:val="1ECE2E43"/>
    <w:rsid w:val="1ECE4BF1"/>
    <w:rsid w:val="1ECF35D3"/>
    <w:rsid w:val="1ECF44C6"/>
    <w:rsid w:val="1ECF5222"/>
    <w:rsid w:val="1ED0096A"/>
    <w:rsid w:val="1ED01E61"/>
    <w:rsid w:val="1ED02718"/>
    <w:rsid w:val="1ED16490"/>
    <w:rsid w:val="1ED2063C"/>
    <w:rsid w:val="1ED23537"/>
    <w:rsid w:val="1ED23E85"/>
    <w:rsid w:val="1ED25922"/>
    <w:rsid w:val="1ED3045A"/>
    <w:rsid w:val="1ED33FB6"/>
    <w:rsid w:val="1ED35C11"/>
    <w:rsid w:val="1ED363DF"/>
    <w:rsid w:val="1ED41ADC"/>
    <w:rsid w:val="1ED41C72"/>
    <w:rsid w:val="1ED45A31"/>
    <w:rsid w:val="1ED50EF6"/>
    <w:rsid w:val="1ED526B1"/>
    <w:rsid w:val="1ED54A6D"/>
    <w:rsid w:val="1ED54DF8"/>
    <w:rsid w:val="1ED55F80"/>
    <w:rsid w:val="1ED63AA6"/>
    <w:rsid w:val="1ED6433B"/>
    <w:rsid w:val="1ED65854"/>
    <w:rsid w:val="1ED712AC"/>
    <w:rsid w:val="1ED74AFA"/>
    <w:rsid w:val="1ED7641F"/>
    <w:rsid w:val="1ED76F10"/>
    <w:rsid w:val="1ED77163"/>
    <w:rsid w:val="1ED77B8A"/>
    <w:rsid w:val="1ED805F3"/>
    <w:rsid w:val="1ED815CC"/>
    <w:rsid w:val="1ED82DCC"/>
    <w:rsid w:val="1ED85A70"/>
    <w:rsid w:val="1ED86EB2"/>
    <w:rsid w:val="1ED8781E"/>
    <w:rsid w:val="1ED90599"/>
    <w:rsid w:val="1ED979AD"/>
    <w:rsid w:val="1EDA6661"/>
    <w:rsid w:val="1EDB1A02"/>
    <w:rsid w:val="1EDB1CB7"/>
    <w:rsid w:val="1EDB51FA"/>
    <w:rsid w:val="1EDB5833"/>
    <w:rsid w:val="1EDC0404"/>
    <w:rsid w:val="1EDC3211"/>
    <w:rsid w:val="1EDC36A6"/>
    <w:rsid w:val="1EDC403A"/>
    <w:rsid w:val="1EDC62DD"/>
    <w:rsid w:val="1EDC6F15"/>
    <w:rsid w:val="1EDC730E"/>
    <w:rsid w:val="1EDD03A5"/>
    <w:rsid w:val="1EDD3086"/>
    <w:rsid w:val="1EDD4465"/>
    <w:rsid w:val="1EDD4E34"/>
    <w:rsid w:val="1EDD6BE3"/>
    <w:rsid w:val="1EDE1F51"/>
    <w:rsid w:val="1EDE299A"/>
    <w:rsid w:val="1EDE2D24"/>
    <w:rsid w:val="1EDE6770"/>
    <w:rsid w:val="1EDF295B"/>
    <w:rsid w:val="1EDF41B4"/>
    <w:rsid w:val="1EDF6D85"/>
    <w:rsid w:val="1EDF6DFF"/>
    <w:rsid w:val="1EE00481"/>
    <w:rsid w:val="1EE01FD6"/>
    <w:rsid w:val="1EE03162"/>
    <w:rsid w:val="1EE03439"/>
    <w:rsid w:val="1EE055DB"/>
    <w:rsid w:val="1EE05627"/>
    <w:rsid w:val="1EE066D3"/>
    <w:rsid w:val="1EE12B77"/>
    <w:rsid w:val="1EE14925"/>
    <w:rsid w:val="1EE2069D"/>
    <w:rsid w:val="1EE2244B"/>
    <w:rsid w:val="1EE22B35"/>
    <w:rsid w:val="1EE24276"/>
    <w:rsid w:val="1EE26412"/>
    <w:rsid w:val="1EE2660B"/>
    <w:rsid w:val="1EE27045"/>
    <w:rsid w:val="1EE35706"/>
    <w:rsid w:val="1EE36C03"/>
    <w:rsid w:val="1EE4107F"/>
    <w:rsid w:val="1EE4349E"/>
    <w:rsid w:val="1EE44415"/>
    <w:rsid w:val="1EE47F71"/>
    <w:rsid w:val="1EE514B6"/>
    <w:rsid w:val="1EE53CE9"/>
    <w:rsid w:val="1EE53F7A"/>
    <w:rsid w:val="1EE6018D"/>
    <w:rsid w:val="1EE610FD"/>
    <w:rsid w:val="1EE61F3B"/>
    <w:rsid w:val="1EE64702"/>
    <w:rsid w:val="1EE65E08"/>
    <w:rsid w:val="1EE700E8"/>
    <w:rsid w:val="1EE7180F"/>
    <w:rsid w:val="1EE7254A"/>
    <w:rsid w:val="1EE73F05"/>
    <w:rsid w:val="1EE75B81"/>
    <w:rsid w:val="1EE75CB3"/>
    <w:rsid w:val="1EE81578"/>
    <w:rsid w:val="1EE830BB"/>
    <w:rsid w:val="1EE90857"/>
    <w:rsid w:val="1EE91A2B"/>
    <w:rsid w:val="1EEA3E98"/>
    <w:rsid w:val="1EEB3383"/>
    <w:rsid w:val="1EEB57A3"/>
    <w:rsid w:val="1EEB6A69"/>
    <w:rsid w:val="1EEC0F4D"/>
    <w:rsid w:val="1EEC32CA"/>
    <w:rsid w:val="1EEC5078"/>
    <w:rsid w:val="1EED1389"/>
    <w:rsid w:val="1EED14BB"/>
    <w:rsid w:val="1EEE2819"/>
    <w:rsid w:val="1EEE2B9E"/>
    <w:rsid w:val="1EEE4DCC"/>
    <w:rsid w:val="1EEE7042"/>
    <w:rsid w:val="1EEF3CA9"/>
    <w:rsid w:val="1EEF4894"/>
    <w:rsid w:val="1EF01CAB"/>
    <w:rsid w:val="1EF02DBA"/>
    <w:rsid w:val="1EF04B68"/>
    <w:rsid w:val="1EF108E0"/>
    <w:rsid w:val="1EF1268E"/>
    <w:rsid w:val="1EF15EF1"/>
    <w:rsid w:val="1EF1701D"/>
    <w:rsid w:val="1EF2138D"/>
    <w:rsid w:val="1EF351FB"/>
    <w:rsid w:val="1EF3668B"/>
    <w:rsid w:val="1EF47B1B"/>
    <w:rsid w:val="1EF5217E"/>
    <w:rsid w:val="1EF53F2C"/>
    <w:rsid w:val="1EF54DE2"/>
    <w:rsid w:val="1EF5763B"/>
    <w:rsid w:val="1EF63A88"/>
    <w:rsid w:val="1EF6573A"/>
    <w:rsid w:val="1EF65EF6"/>
    <w:rsid w:val="1EF67D14"/>
    <w:rsid w:val="1EF74148"/>
    <w:rsid w:val="1EF74D23"/>
    <w:rsid w:val="1EF83A1C"/>
    <w:rsid w:val="1EF93823"/>
    <w:rsid w:val="1EF961BB"/>
    <w:rsid w:val="1EF962D9"/>
    <w:rsid w:val="1EF9792C"/>
    <w:rsid w:val="1EFA0DBC"/>
    <w:rsid w:val="1EFA1CE8"/>
    <w:rsid w:val="1EFA3C38"/>
    <w:rsid w:val="1EFA3F74"/>
    <w:rsid w:val="1EFA7825"/>
    <w:rsid w:val="1EFB099A"/>
    <w:rsid w:val="1EFB350D"/>
    <w:rsid w:val="1EFB52BB"/>
    <w:rsid w:val="1EFB706D"/>
    <w:rsid w:val="1EFC1441"/>
    <w:rsid w:val="1EFC175F"/>
    <w:rsid w:val="1EFC5204"/>
    <w:rsid w:val="1EFD1033"/>
    <w:rsid w:val="1EFD2328"/>
    <w:rsid w:val="1EFD54D7"/>
    <w:rsid w:val="1EFD609C"/>
    <w:rsid w:val="1EFD7285"/>
    <w:rsid w:val="1EFF2FFD"/>
    <w:rsid w:val="1EFF4DAB"/>
    <w:rsid w:val="1EFF5708"/>
    <w:rsid w:val="1EFF6848"/>
    <w:rsid w:val="1F0020BC"/>
    <w:rsid w:val="1F007353"/>
    <w:rsid w:val="1F010B23"/>
    <w:rsid w:val="1F010C8F"/>
    <w:rsid w:val="1F014CC6"/>
    <w:rsid w:val="1F022AED"/>
    <w:rsid w:val="1F02489B"/>
    <w:rsid w:val="1F026649"/>
    <w:rsid w:val="1F037907"/>
    <w:rsid w:val="1F040613"/>
    <w:rsid w:val="1F04091B"/>
    <w:rsid w:val="1F0423C1"/>
    <w:rsid w:val="1F044A3F"/>
    <w:rsid w:val="1F046865"/>
    <w:rsid w:val="1F05003D"/>
    <w:rsid w:val="1F0625DD"/>
    <w:rsid w:val="1F0629FB"/>
    <w:rsid w:val="1F06438B"/>
    <w:rsid w:val="1F066139"/>
    <w:rsid w:val="1F067B74"/>
    <w:rsid w:val="1F070103"/>
    <w:rsid w:val="1F070B67"/>
    <w:rsid w:val="1F071EB1"/>
    <w:rsid w:val="1F0720F7"/>
    <w:rsid w:val="1F073C5F"/>
    <w:rsid w:val="1F081417"/>
    <w:rsid w:val="1F085F91"/>
    <w:rsid w:val="1F095C2A"/>
    <w:rsid w:val="1F09720F"/>
    <w:rsid w:val="1F097421"/>
    <w:rsid w:val="1F0A08B1"/>
    <w:rsid w:val="1F0A2599"/>
    <w:rsid w:val="1F0B3750"/>
    <w:rsid w:val="1F0B7256"/>
    <w:rsid w:val="1F0C1276"/>
    <w:rsid w:val="1F0C20CC"/>
    <w:rsid w:val="1F0C322D"/>
    <w:rsid w:val="1F0C7529"/>
    <w:rsid w:val="1F0D19A2"/>
    <w:rsid w:val="1F0D1E03"/>
    <w:rsid w:val="1F0D396C"/>
    <w:rsid w:val="1F0D3E1B"/>
    <w:rsid w:val="1F0D4502"/>
    <w:rsid w:val="1F0E1492"/>
    <w:rsid w:val="1F0E3240"/>
    <w:rsid w:val="1F0E4FEE"/>
    <w:rsid w:val="1F100D66"/>
    <w:rsid w:val="1F10520A"/>
    <w:rsid w:val="1F105E2D"/>
    <w:rsid w:val="1F114636"/>
    <w:rsid w:val="1F114ADE"/>
    <w:rsid w:val="1F122D30"/>
    <w:rsid w:val="1F124910"/>
    <w:rsid w:val="1F125493"/>
    <w:rsid w:val="1F126501"/>
    <w:rsid w:val="1F1279FF"/>
    <w:rsid w:val="1F130856"/>
    <w:rsid w:val="1F130BF5"/>
    <w:rsid w:val="1F131EFA"/>
    <w:rsid w:val="1F132604"/>
    <w:rsid w:val="1F1330A4"/>
    <w:rsid w:val="1F136AA8"/>
    <w:rsid w:val="1F144534"/>
    <w:rsid w:val="1F14460C"/>
    <w:rsid w:val="1F146188"/>
    <w:rsid w:val="1F150595"/>
    <w:rsid w:val="1F152820"/>
    <w:rsid w:val="1F1545CE"/>
    <w:rsid w:val="1F154762"/>
    <w:rsid w:val="1F1552B4"/>
    <w:rsid w:val="1F1563B3"/>
    <w:rsid w:val="1F160813"/>
    <w:rsid w:val="1F160FB7"/>
    <w:rsid w:val="1F170346"/>
    <w:rsid w:val="1F17089A"/>
    <w:rsid w:val="1F175906"/>
    <w:rsid w:val="1F176598"/>
    <w:rsid w:val="1F176B6B"/>
    <w:rsid w:val="1F18105D"/>
    <w:rsid w:val="1F1840BF"/>
    <w:rsid w:val="1F18583A"/>
    <w:rsid w:val="1F187F9D"/>
    <w:rsid w:val="1F19038F"/>
    <w:rsid w:val="1F196F16"/>
    <w:rsid w:val="1F1A1836"/>
    <w:rsid w:val="1F1A1BE5"/>
    <w:rsid w:val="1F1A2D99"/>
    <w:rsid w:val="1F1B26E3"/>
    <w:rsid w:val="1F1B2CC6"/>
    <w:rsid w:val="1F1B4407"/>
    <w:rsid w:val="1F1C3BAF"/>
    <w:rsid w:val="1F1C4DA5"/>
    <w:rsid w:val="1F1D10EC"/>
    <w:rsid w:val="1F1D18F8"/>
    <w:rsid w:val="1F1D3483"/>
    <w:rsid w:val="1F1D4603"/>
    <w:rsid w:val="1F1D7927"/>
    <w:rsid w:val="1F1E6AC8"/>
    <w:rsid w:val="1F1F702C"/>
    <w:rsid w:val="1F1F71FB"/>
    <w:rsid w:val="1F200019"/>
    <w:rsid w:val="1F200E52"/>
    <w:rsid w:val="1F2030DD"/>
    <w:rsid w:val="1F2056A8"/>
    <w:rsid w:val="1F206FB1"/>
    <w:rsid w:val="1F20701C"/>
    <w:rsid w:val="1F2111C5"/>
    <w:rsid w:val="1F211C1E"/>
    <w:rsid w:val="1F212F73"/>
    <w:rsid w:val="1F2160E0"/>
    <w:rsid w:val="1F2170C9"/>
    <w:rsid w:val="1F226397"/>
    <w:rsid w:val="1F226CEB"/>
    <w:rsid w:val="1F234F3D"/>
    <w:rsid w:val="1F240CB5"/>
    <w:rsid w:val="1F2419A1"/>
    <w:rsid w:val="1F242A63"/>
    <w:rsid w:val="1F244029"/>
    <w:rsid w:val="1F2446C8"/>
    <w:rsid w:val="1F244B90"/>
    <w:rsid w:val="1F2534F3"/>
    <w:rsid w:val="1F25399B"/>
    <w:rsid w:val="1F2562A9"/>
    <w:rsid w:val="1F26058A"/>
    <w:rsid w:val="1F262338"/>
    <w:rsid w:val="1F2667DB"/>
    <w:rsid w:val="1F273CC8"/>
    <w:rsid w:val="1F274302"/>
    <w:rsid w:val="1F2801AD"/>
    <w:rsid w:val="1F28078C"/>
    <w:rsid w:val="1F2835BA"/>
    <w:rsid w:val="1F284C6B"/>
    <w:rsid w:val="1F29007A"/>
    <w:rsid w:val="1F291E28"/>
    <w:rsid w:val="1F292C10"/>
    <w:rsid w:val="1F2962CC"/>
    <w:rsid w:val="1F296D77"/>
    <w:rsid w:val="1F2A1C1E"/>
    <w:rsid w:val="1F2A5125"/>
    <w:rsid w:val="1F2B1086"/>
    <w:rsid w:val="1F2B1096"/>
    <w:rsid w:val="1F2B3DF2"/>
    <w:rsid w:val="1F2B3EFC"/>
    <w:rsid w:val="1F2B5BA0"/>
    <w:rsid w:val="1F2B666B"/>
    <w:rsid w:val="1F2B7FF6"/>
    <w:rsid w:val="1F2C1918"/>
    <w:rsid w:val="1F2C3F22"/>
    <w:rsid w:val="1F2C5DD9"/>
    <w:rsid w:val="1F2D2A0E"/>
    <w:rsid w:val="1F2D681C"/>
    <w:rsid w:val="1F2D7B6A"/>
    <w:rsid w:val="1F2E3506"/>
    <w:rsid w:val="1F2E4B98"/>
    <w:rsid w:val="1F2E5690"/>
    <w:rsid w:val="1F2E743E"/>
    <w:rsid w:val="1F2F02C6"/>
    <w:rsid w:val="1F2F1C82"/>
    <w:rsid w:val="1F2F3BF4"/>
    <w:rsid w:val="1F301408"/>
    <w:rsid w:val="1F3025CC"/>
    <w:rsid w:val="1F3056CD"/>
    <w:rsid w:val="1F314CE2"/>
    <w:rsid w:val="1F31662D"/>
    <w:rsid w:val="1F3209DC"/>
    <w:rsid w:val="1F3211FE"/>
    <w:rsid w:val="1F3233D2"/>
    <w:rsid w:val="1F323A4E"/>
    <w:rsid w:val="1F325180"/>
    <w:rsid w:val="1F326A1F"/>
    <w:rsid w:val="1F327347"/>
    <w:rsid w:val="1F327C3B"/>
    <w:rsid w:val="1F330341"/>
    <w:rsid w:val="1F330EF8"/>
    <w:rsid w:val="1F330F4D"/>
    <w:rsid w:val="1F33268E"/>
    <w:rsid w:val="1F333C41"/>
    <w:rsid w:val="1F33463C"/>
    <w:rsid w:val="1F337125"/>
    <w:rsid w:val="1F344FAE"/>
    <w:rsid w:val="1F345A09"/>
    <w:rsid w:val="1F346AB5"/>
    <w:rsid w:val="1F3507CD"/>
    <w:rsid w:val="1F355821"/>
    <w:rsid w:val="1F356A1F"/>
    <w:rsid w:val="1F357B7F"/>
    <w:rsid w:val="1F364BB7"/>
    <w:rsid w:val="1F3678CE"/>
    <w:rsid w:val="1F3709E9"/>
    <w:rsid w:val="1F372797"/>
    <w:rsid w:val="1F376F23"/>
    <w:rsid w:val="1F3802BD"/>
    <w:rsid w:val="1F380E7F"/>
    <w:rsid w:val="1F3816E3"/>
    <w:rsid w:val="1F386500"/>
    <w:rsid w:val="1F386FFD"/>
    <w:rsid w:val="1F394761"/>
    <w:rsid w:val="1F39499A"/>
    <w:rsid w:val="1F397990"/>
    <w:rsid w:val="1F3A2287"/>
    <w:rsid w:val="1F3A3060"/>
    <w:rsid w:val="1F3A5164"/>
    <w:rsid w:val="1F3A55EB"/>
    <w:rsid w:val="1F3A669C"/>
    <w:rsid w:val="1F3B76DF"/>
    <w:rsid w:val="1F3B7729"/>
    <w:rsid w:val="1F3C1B5B"/>
    <w:rsid w:val="1F3C4E81"/>
    <w:rsid w:val="1F3D3B25"/>
    <w:rsid w:val="1F3D58D3"/>
    <w:rsid w:val="1F3E1D77"/>
    <w:rsid w:val="1F3F0B98"/>
    <w:rsid w:val="1F3F164B"/>
    <w:rsid w:val="1F3F20C1"/>
    <w:rsid w:val="1F3F2AA7"/>
    <w:rsid w:val="1F3F5AEF"/>
    <w:rsid w:val="1F3F789D"/>
    <w:rsid w:val="1F403B0D"/>
    <w:rsid w:val="1F413615"/>
    <w:rsid w:val="1F4153C3"/>
    <w:rsid w:val="1F4211C0"/>
    <w:rsid w:val="1F422183"/>
    <w:rsid w:val="1F4275B2"/>
    <w:rsid w:val="1F4310FD"/>
    <w:rsid w:val="1F435C8F"/>
    <w:rsid w:val="1F4379B3"/>
    <w:rsid w:val="1F441CDA"/>
    <w:rsid w:val="1F441ED2"/>
    <w:rsid w:val="1F444EB4"/>
    <w:rsid w:val="1F445C6E"/>
    <w:rsid w:val="1F453362"/>
    <w:rsid w:val="1F455F33"/>
    <w:rsid w:val="1F45754D"/>
    <w:rsid w:val="1F457A09"/>
    <w:rsid w:val="1F460376"/>
    <w:rsid w:val="1F460C2C"/>
    <w:rsid w:val="1F4629DA"/>
    <w:rsid w:val="1F464788"/>
    <w:rsid w:val="1F470500"/>
    <w:rsid w:val="1F471F94"/>
    <w:rsid w:val="1F486AD9"/>
    <w:rsid w:val="1F49071C"/>
    <w:rsid w:val="1F4924CA"/>
    <w:rsid w:val="1F492BEB"/>
    <w:rsid w:val="1F495F85"/>
    <w:rsid w:val="1F4A0F65"/>
    <w:rsid w:val="1F4A4AD3"/>
    <w:rsid w:val="1F4A5D44"/>
    <w:rsid w:val="1F4A63C4"/>
    <w:rsid w:val="1F4B1523"/>
    <w:rsid w:val="1F4B1DA5"/>
    <w:rsid w:val="1F4B4494"/>
    <w:rsid w:val="1F4B7FF0"/>
    <w:rsid w:val="1F4C5B16"/>
    <w:rsid w:val="1F4D1FBA"/>
    <w:rsid w:val="1F4E0726"/>
    <w:rsid w:val="1F4E188E"/>
    <w:rsid w:val="1F4E1F2C"/>
    <w:rsid w:val="1F4E5D32"/>
    <w:rsid w:val="1F4E7AE0"/>
    <w:rsid w:val="1F4F1797"/>
    <w:rsid w:val="1F4F1A7A"/>
    <w:rsid w:val="1F4F505E"/>
    <w:rsid w:val="1F502D95"/>
    <w:rsid w:val="1F503046"/>
    <w:rsid w:val="1F5056F1"/>
    <w:rsid w:val="1F510404"/>
    <w:rsid w:val="1F512658"/>
    <w:rsid w:val="1F512E32"/>
    <w:rsid w:val="1F5144D6"/>
    <w:rsid w:val="1F517F3C"/>
    <w:rsid w:val="1F520570"/>
    <w:rsid w:val="1F52137F"/>
    <w:rsid w:val="1F523BEB"/>
    <w:rsid w:val="1F525822"/>
    <w:rsid w:val="1F525966"/>
    <w:rsid w:val="1F5270A7"/>
    <w:rsid w:val="1F5275D0"/>
    <w:rsid w:val="1F5321E4"/>
    <w:rsid w:val="1F5350F7"/>
    <w:rsid w:val="1F535879"/>
    <w:rsid w:val="1F536EA5"/>
    <w:rsid w:val="1F544598"/>
    <w:rsid w:val="1F546283"/>
    <w:rsid w:val="1F550E6F"/>
    <w:rsid w:val="1F552779"/>
    <w:rsid w:val="1F55345D"/>
    <w:rsid w:val="1F553D69"/>
    <w:rsid w:val="1F555A28"/>
    <w:rsid w:val="1F5565FE"/>
    <w:rsid w:val="1F564C1F"/>
    <w:rsid w:val="1F566EB8"/>
    <w:rsid w:val="1F572E39"/>
    <w:rsid w:val="1F574BE7"/>
    <w:rsid w:val="1F576995"/>
    <w:rsid w:val="1F5817D8"/>
    <w:rsid w:val="1F582F19"/>
    <w:rsid w:val="1F583DAF"/>
    <w:rsid w:val="1F5844BB"/>
    <w:rsid w:val="1F5866E8"/>
    <w:rsid w:val="1F59095F"/>
    <w:rsid w:val="1F5943A9"/>
    <w:rsid w:val="1F5A46D7"/>
    <w:rsid w:val="1F5A5233"/>
    <w:rsid w:val="1F5A6485"/>
    <w:rsid w:val="1F5B189A"/>
    <w:rsid w:val="1F5B41C0"/>
    <w:rsid w:val="1F5C0AB2"/>
    <w:rsid w:val="1F5C21FD"/>
    <w:rsid w:val="1F5C3959"/>
    <w:rsid w:val="1F5C51C2"/>
    <w:rsid w:val="1F5D28B6"/>
    <w:rsid w:val="1F5D53A5"/>
    <w:rsid w:val="1F5D6C30"/>
    <w:rsid w:val="1F5D7D23"/>
    <w:rsid w:val="1F5D7ED9"/>
    <w:rsid w:val="1F5E021B"/>
    <w:rsid w:val="1F5E1C97"/>
    <w:rsid w:val="1F5E41C7"/>
    <w:rsid w:val="1F5E73A9"/>
    <w:rsid w:val="1F5F1CED"/>
    <w:rsid w:val="1F5F1D72"/>
    <w:rsid w:val="1F5F1E04"/>
    <w:rsid w:val="1F5F1EF7"/>
    <w:rsid w:val="1F5F3FBD"/>
    <w:rsid w:val="1F5F44D0"/>
    <w:rsid w:val="1F5F584A"/>
    <w:rsid w:val="1F5F5F93"/>
    <w:rsid w:val="1F6074F8"/>
    <w:rsid w:val="1F607F6A"/>
    <w:rsid w:val="1F615A66"/>
    <w:rsid w:val="1F61776F"/>
    <w:rsid w:val="1F617814"/>
    <w:rsid w:val="1F62533A"/>
    <w:rsid w:val="1F63035D"/>
    <w:rsid w:val="1F6379FE"/>
    <w:rsid w:val="1F642E60"/>
    <w:rsid w:val="1F645556"/>
    <w:rsid w:val="1F6456B2"/>
    <w:rsid w:val="1F647304"/>
    <w:rsid w:val="1F6501F2"/>
    <w:rsid w:val="1F6514E8"/>
    <w:rsid w:val="1F65294C"/>
    <w:rsid w:val="1F6605CA"/>
    <w:rsid w:val="1F664A44"/>
    <w:rsid w:val="1F664E2A"/>
    <w:rsid w:val="1F6669AD"/>
    <w:rsid w:val="1F67061F"/>
    <w:rsid w:val="1F672DAF"/>
    <w:rsid w:val="1F672FA8"/>
    <w:rsid w:val="1F677E3D"/>
    <w:rsid w:val="1F683E9E"/>
    <w:rsid w:val="1F69491A"/>
    <w:rsid w:val="1F6949B7"/>
    <w:rsid w:val="1F6966C8"/>
    <w:rsid w:val="1F6A2267"/>
    <w:rsid w:val="1F6A2B6C"/>
    <w:rsid w:val="1F6A372E"/>
    <w:rsid w:val="1F6A67BE"/>
    <w:rsid w:val="1F6B39D9"/>
    <w:rsid w:val="1F6C21DC"/>
    <w:rsid w:val="1F6C499D"/>
    <w:rsid w:val="1F6D440A"/>
    <w:rsid w:val="1F6D61B8"/>
    <w:rsid w:val="1F6D7EB8"/>
    <w:rsid w:val="1F6D7F66"/>
    <w:rsid w:val="1F6E1F30"/>
    <w:rsid w:val="1F6E6BD1"/>
    <w:rsid w:val="1F6E745D"/>
    <w:rsid w:val="1F6E75C5"/>
    <w:rsid w:val="1F6E7EA0"/>
    <w:rsid w:val="1F6F0182"/>
    <w:rsid w:val="1F703746"/>
    <w:rsid w:val="1F703EFB"/>
    <w:rsid w:val="1F705CA9"/>
    <w:rsid w:val="1F707970"/>
    <w:rsid w:val="1F711D7F"/>
    <w:rsid w:val="1F712DC2"/>
    <w:rsid w:val="1F713AC0"/>
    <w:rsid w:val="1F721A21"/>
    <w:rsid w:val="1F722321"/>
    <w:rsid w:val="1F7237CF"/>
    <w:rsid w:val="1F7245D7"/>
    <w:rsid w:val="1F724F50"/>
    <w:rsid w:val="1F7363E0"/>
    <w:rsid w:val="1F74414D"/>
    <w:rsid w:val="1F746526"/>
    <w:rsid w:val="1F7507FB"/>
    <w:rsid w:val="1F7515EA"/>
    <w:rsid w:val="1F7532BF"/>
    <w:rsid w:val="1F760B9D"/>
    <w:rsid w:val="1F7664A2"/>
    <w:rsid w:val="1F770DE5"/>
    <w:rsid w:val="1F7728C6"/>
    <w:rsid w:val="1F775289"/>
    <w:rsid w:val="1F7761F1"/>
    <w:rsid w:val="1F7762D0"/>
    <w:rsid w:val="1F777130"/>
    <w:rsid w:val="1F777932"/>
    <w:rsid w:val="1F781499"/>
    <w:rsid w:val="1F786EE7"/>
    <w:rsid w:val="1F792DAF"/>
    <w:rsid w:val="1F7A08D5"/>
    <w:rsid w:val="1F7A3CB3"/>
    <w:rsid w:val="1F7A6206"/>
    <w:rsid w:val="1F7A6B27"/>
    <w:rsid w:val="1F7B4B72"/>
    <w:rsid w:val="1F7C289F"/>
    <w:rsid w:val="1F7C464D"/>
    <w:rsid w:val="1F7C63FB"/>
    <w:rsid w:val="1F7D1F78"/>
    <w:rsid w:val="1F7D3F22"/>
    <w:rsid w:val="1F7E03C6"/>
    <w:rsid w:val="1F7E2174"/>
    <w:rsid w:val="1F7E2ADC"/>
    <w:rsid w:val="1F7E34F3"/>
    <w:rsid w:val="1F7E4C34"/>
    <w:rsid w:val="1F7E6617"/>
    <w:rsid w:val="1F7F6C18"/>
    <w:rsid w:val="1F7F7C9A"/>
    <w:rsid w:val="1F800AB9"/>
    <w:rsid w:val="1F806099"/>
    <w:rsid w:val="1F807554"/>
    <w:rsid w:val="1F811C64"/>
    <w:rsid w:val="1F817EB6"/>
    <w:rsid w:val="1F82379E"/>
    <w:rsid w:val="1F826828"/>
    <w:rsid w:val="1F833C2E"/>
    <w:rsid w:val="1F835CF5"/>
    <w:rsid w:val="1F83778A"/>
    <w:rsid w:val="1F841754"/>
    <w:rsid w:val="1F8452B0"/>
    <w:rsid w:val="1F846FD8"/>
    <w:rsid w:val="1F861028"/>
    <w:rsid w:val="1F8630A6"/>
    <w:rsid w:val="1F8654CC"/>
    <w:rsid w:val="1F865520"/>
    <w:rsid w:val="1F865547"/>
    <w:rsid w:val="1F866656"/>
    <w:rsid w:val="1F87465B"/>
    <w:rsid w:val="1F877427"/>
    <w:rsid w:val="1F882FF2"/>
    <w:rsid w:val="1F883238"/>
    <w:rsid w:val="1F884DA0"/>
    <w:rsid w:val="1F890B18"/>
    <w:rsid w:val="1F891D47"/>
    <w:rsid w:val="1F893859"/>
    <w:rsid w:val="1F89461B"/>
    <w:rsid w:val="1F896A4A"/>
    <w:rsid w:val="1F8A2241"/>
    <w:rsid w:val="1F8A31D7"/>
    <w:rsid w:val="1F8A4EEE"/>
    <w:rsid w:val="1F8A4FBC"/>
    <w:rsid w:val="1F8A5DA8"/>
    <w:rsid w:val="1F8B1D63"/>
    <w:rsid w:val="1F8B2AE2"/>
    <w:rsid w:val="1F8B3EF6"/>
    <w:rsid w:val="1F8B4667"/>
    <w:rsid w:val="1F8B5AF7"/>
    <w:rsid w:val="1F8B663F"/>
    <w:rsid w:val="1F8B7238"/>
    <w:rsid w:val="1F8C0209"/>
    <w:rsid w:val="1F8C0ACF"/>
    <w:rsid w:val="1F8C3691"/>
    <w:rsid w:val="1F8D0609"/>
    <w:rsid w:val="1F8D23B7"/>
    <w:rsid w:val="1F8D56F4"/>
    <w:rsid w:val="1F8D685B"/>
    <w:rsid w:val="1F8E0EBD"/>
    <w:rsid w:val="1F8E5BB9"/>
    <w:rsid w:val="1F8E612F"/>
    <w:rsid w:val="1F8F25D3"/>
    <w:rsid w:val="1F8F34D6"/>
    <w:rsid w:val="1F8F4381"/>
    <w:rsid w:val="1F901EA7"/>
    <w:rsid w:val="1F903714"/>
    <w:rsid w:val="1F903C55"/>
    <w:rsid w:val="1F905AFE"/>
    <w:rsid w:val="1F90634B"/>
    <w:rsid w:val="1F9065D5"/>
    <w:rsid w:val="1F922CB9"/>
    <w:rsid w:val="1F925C1F"/>
    <w:rsid w:val="1F927B6B"/>
    <w:rsid w:val="1F932DF6"/>
    <w:rsid w:val="1F9336CE"/>
    <w:rsid w:val="1F9359CA"/>
    <w:rsid w:val="1F941997"/>
    <w:rsid w:val="1F9460CE"/>
    <w:rsid w:val="1F946E5A"/>
    <w:rsid w:val="1F947BE9"/>
    <w:rsid w:val="1F950812"/>
    <w:rsid w:val="1F953832"/>
    <w:rsid w:val="1F953961"/>
    <w:rsid w:val="1F9574BD"/>
    <w:rsid w:val="1F9579A8"/>
    <w:rsid w:val="1F966AD9"/>
    <w:rsid w:val="1F971487"/>
    <w:rsid w:val="1F973235"/>
    <w:rsid w:val="1F974FE3"/>
    <w:rsid w:val="1F9779E1"/>
    <w:rsid w:val="1F986C6B"/>
    <w:rsid w:val="1F987162"/>
    <w:rsid w:val="1F9900FB"/>
    <w:rsid w:val="1F990199"/>
    <w:rsid w:val="1F991801"/>
    <w:rsid w:val="1F99183C"/>
    <w:rsid w:val="1F9951FF"/>
    <w:rsid w:val="1F99651E"/>
    <w:rsid w:val="1F99698C"/>
    <w:rsid w:val="1F9A122F"/>
    <w:rsid w:val="1F9A2CCC"/>
    <w:rsid w:val="1F9A2D26"/>
    <w:rsid w:val="1F9A2D6F"/>
    <w:rsid w:val="1F9A73AA"/>
    <w:rsid w:val="1F9B0686"/>
    <w:rsid w:val="1F9B55EC"/>
    <w:rsid w:val="1F9B6D2D"/>
    <w:rsid w:val="1F9C084C"/>
    <w:rsid w:val="1F9C6A9E"/>
    <w:rsid w:val="1F9C7784"/>
    <w:rsid w:val="1F9D6549"/>
    <w:rsid w:val="1F9D6F56"/>
    <w:rsid w:val="1F9D6FD9"/>
    <w:rsid w:val="1F9E2ADD"/>
    <w:rsid w:val="1F9E45C4"/>
    <w:rsid w:val="1F9F3C4B"/>
    <w:rsid w:val="1F9F3F6D"/>
    <w:rsid w:val="1F9F6B3E"/>
    <w:rsid w:val="1F9F7A11"/>
    <w:rsid w:val="1FA023CA"/>
    <w:rsid w:val="1FA0658E"/>
    <w:rsid w:val="1FA06825"/>
    <w:rsid w:val="1FA07FCE"/>
    <w:rsid w:val="1FA1145E"/>
    <w:rsid w:val="1FA12306"/>
    <w:rsid w:val="1FA140B4"/>
    <w:rsid w:val="1FA15E62"/>
    <w:rsid w:val="1FA1632D"/>
    <w:rsid w:val="1FA2252F"/>
    <w:rsid w:val="1FA26029"/>
    <w:rsid w:val="1FA32BE8"/>
    <w:rsid w:val="1FA354BF"/>
    <w:rsid w:val="1FA3607E"/>
    <w:rsid w:val="1FA36BBF"/>
    <w:rsid w:val="1FA61E04"/>
    <w:rsid w:val="1FA631AA"/>
    <w:rsid w:val="1FA6791C"/>
    <w:rsid w:val="1FA7254E"/>
    <w:rsid w:val="1FA77DFF"/>
    <w:rsid w:val="1FA80B40"/>
    <w:rsid w:val="1FA81635"/>
    <w:rsid w:val="1FA81665"/>
    <w:rsid w:val="1FA83694"/>
    <w:rsid w:val="1FA83722"/>
    <w:rsid w:val="1FA94D17"/>
    <w:rsid w:val="1FA97A2D"/>
    <w:rsid w:val="1FAA11BB"/>
    <w:rsid w:val="1FAA1D7E"/>
    <w:rsid w:val="1FAB15B6"/>
    <w:rsid w:val="1FAB4F33"/>
    <w:rsid w:val="1FAB6CE1"/>
    <w:rsid w:val="1FAC33E4"/>
    <w:rsid w:val="1FAC3E99"/>
    <w:rsid w:val="1FAC53D6"/>
    <w:rsid w:val="1FAD0CAB"/>
    <w:rsid w:val="1FAD2A59"/>
    <w:rsid w:val="1FAE057F"/>
    <w:rsid w:val="1FAF1A54"/>
    <w:rsid w:val="1FAF3818"/>
    <w:rsid w:val="1FAF3ACC"/>
    <w:rsid w:val="1FAF4A23"/>
    <w:rsid w:val="1FB001A8"/>
    <w:rsid w:val="1FB02549"/>
    <w:rsid w:val="1FB03E76"/>
    <w:rsid w:val="1FB042F7"/>
    <w:rsid w:val="1FB07190"/>
    <w:rsid w:val="1FB10F53"/>
    <w:rsid w:val="1FB11C0E"/>
    <w:rsid w:val="1FB139AC"/>
    <w:rsid w:val="1FB14406"/>
    <w:rsid w:val="1FB14CCA"/>
    <w:rsid w:val="1FB16382"/>
    <w:rsid w:val="1FB1687F"/>
    <w:rsid w:val="1FB179C6"/>
    <w:rsid w:val="1FB2006F"/>
    <w:rsid w:val="1FB223E3"/>
    <w:rsid w:val="1FB232D7"/>
    <w:rsid w:val="1FB24FF4"/>
    <w:rsid w:val="1FB262C1"/>
    <w:rsid w:val="1FB33873"/>
    <w:rsid w:val="1FB34FB4"/>
    <w:rsid w:val="1FB35F68"/>
    <w:rsid w:val="1FB36C7F"/>
    <w:rsid w:val="1FB42039"/>
    <w:rsid w:val="1FB43DE7"/>
    <w:rsid w:val="1FB4550E"/>
    <w:rsid w:val="1FB45F02"/>
    <w:rsid w:val="1FB46AA4"/>
    <w:rsid w:val="1FB50D64"/>
    <w:rsid w:val="1FB5190D"/>
    <w:rsid w:val="1FB5412E"/>
    <w:rsid w:val="1FB5467F"/>
    <w:rsid w:val="1FB55268"/>
    <w:rsid w:val="1FB57B5F"/>
    <w:rsid w:val="1FB63935"/>
    <w:rsid w:val="1FB65DB1"/>
    <w:rsid w:val="1FB738D7"/>
    <w:rsid w:val="1FB76625"/>
    <w:rsid w:val="1FB77D3E"/>
    <w:rsid w:val="1FB77FAC"/>
    <w:rsid w:val="1FB8489F"/>
    <w:rsid w:val="1FB9100C"/>
    <w:rsid w:val="1FB913FE"/>
    <w:rsid w:val="1FB93013"/>
    <w:rsid w:val="1FB94DE9"/>
    <w:rsid w:val="1FB97650"/>
    <w:rsid w:val="1FBA5176"/>
    <w:rsid w:val="1FBA6F24"/>
    <w:rsid w:val="1FBB41F8"/>
    <w:rsid w:val="1FBB5E2A"/>
    <w:rsid w:val="1FBC0EEE"/>
    <w:rsid w:val="1FBC4A4A"/>
    <w:rsid w:val="1FBC6CA8"/>
    <w:rsid w:val="1FBC7140"/>
    <w:rsid w:val="1FBD222D"/>
    <w:rsid w:val="1FBD74F6"/>
    <w:rsid w:val="1FBE07C2"/>
    <w:rsid w:val="1FBE0EA2"/>
    <w:rsid w:val="1FBE1CDA"/>
    <w:rsid w:val="1FBE4C66"/>
    <w:rsid w:val="1FBE5ABB"/>
    <w:rsid w:val="1FBE630D"/>
    <w:rsid w:val="1FBE6DAC"/>
    <w:rsid w:val="1FBF098E"/>
    <w:rsid w:val="1FBF0AB8"/>
    <w:rsid w:val="1FBF1ABC"/>
    <w:rsid w:val="1FBF278C"/>
    <w:rsid w:val="1FBF453A"/>
    <w:rsid w:val="1FC009DE"/>
    <w:rsid w:val="1FC02C5A"/>
    <w:rsid w:val="1FC049E7"/>
    <w:rsid w:val="1FC11EA9"/>
    <w:rsid w:val="1FC131F6"/>
    <w:rsid w:val="1FC14756"/>
    <w:rsid w:val="1FC15FC2"/>
    <w:rsid w:val="1FC16504"/>
    <w:rsid w:val="1FC21ED8"/>
    <w:rsid w:val="1FC2709D"/>
    <w:rsid w:val="1FC30B43"/>
    <w:rsid w:val="1FC310F5"/>
    <w:rsid w:val="1FC3227C"/>
    <w:rsid w:val="1FC33104"/>
    <w:rsid w:val="1FC35DD8"/>
    <w:rsid w:val="1FC37245"/>
    <w:rsid w:val="1FC41B50"/>
    <w:rsid w:val="1FC43B21"/>
    <w:rsid w:val="1FC447F8"/>
    <w:rsid w:val="1FC44D9A"/>
    <w:rsid w:val="1FC4514A"/>
    <w:rsid w:val="1FC50859"/>
    <w:rsid w:val="1FC5460C"/>
    <w:rsid w:val="1FC55FF4"/>
    <w:rsid w:val="1FC56C02"/>
    <w:rsid w:val="1FC63844"/>
    <w:rsid w:val="1FC63B1B"/>
    <w:rsid w:val="1FC658C9"/>
    <w:rsid w:val="1FC67130"/>
    <w:rsid w:val="1FC7023A"/>
    <w:rsid w:val="1FC733AF"/>
    <w:rsid w:val="1FC81692"/>
    <w:rsid w:val="1FC84345"/>
    <w:rsid w:val="1FC85AE5"/>
    <w:rsid w:val="1FC87893"/>
    <w:rsid w:val="1FC9040F"/>
    <w:rsid w:val="1FC906EB"/>
    <w:rsid w:val="1FC91A5B"/>
    <w:rsid w:val="1FC93A5C"/>
    <w:rsid w:val="1FC971DA"/>
    <w:rsid w:val="1FCA323B"/>
    <w:rsid w:val="1FCA360B"/>
    <w:rsid w:val="1FCA4916"/>
    <w:rsid w:val="1FCA5A43"/>
    <w:rsid w:val="1FCB1131"/>
    <w:rsid w:val="1FCB1AFA"/>
    <w:rsid w:val="1FCB46CB"/>
    <w:rsid w:val="1FCB49B6"/>
    <w:rsid w:val="1FCB7383"/>
    <w:rsid w:val="1FCC1B4B"/>
    <w:rsid w:val="1FCC5D6A"/>
    <w:rsid w:val="1FCC7ADD"/>
    <w:rsid w:val="1FCD0842"/>
    <w:rsid w:val="1FCD30FB"/>
    <w:rsid w:val="1FCD4EA9"/>
    <w:rsid w:val="1FCD6AB7"/>
    <w:rsid w:val="1FCD6C57"/>
    <w:rsid w:val="1FCE078F"/>
    <w:rsid w:val="1FCF29CF"/>
    <w:rsid w:val="1FCF44DB"/>
    <w:rsid w:val="1FCF6E73"/>
    <w:rsid w:val="1FD004F5"/>
    <w:rsid w:val="1FD02D9A"/>
    <w:rsid w:val="1FD04999"/>
    <w:rsid w:val="1FD0596B"/>
    <w:rsid w:val="1FD05D91"/>
    <w:rsid w:val="1FD14BE2"/>
    <w:rsid w:val="1FD16DFB"/>
    <w:rsid w:val="1FD224BF"/>
    <w:rsid w:val="1FD225AD"/>
    <w:rsid w:val="1FD2426D"/>
    <w:rsid w:val="1FD27E93"/>
    <w:rsid w:val="1FD308B3"/>
    <w:rsid w:val="1FD3171B"/>
    <w:rsid w:val="1FD42832"/>
    <w:rsid w:val="1FD42E4A"/>
    <w:rsid w:val="1FD430C8"/>
    <w:rsid w:val="1FD44489"/>
    <w:rsid w:val="1FD46237"/>
    <w:rsid w:val="1FD53473"/>
    <w:rsid w:val="1FD53D5E"/>
    <w:rsid w:val="1FD573AF"/>
    <w:rsid w:val="1FD60202"/>
    <w:rsid w:val="1FD6163B"/>
    <w:rsid w:val="1FD6186F"/>
    <w:rsid w:val="1FD639A6"/>
    <w:rsid w:val="1FD66C0C"/>
    <w:rsid w:val="1FD7009C"/>
    <w:rsid w:val="1FD71884"/>
    <w:rsid w:val="1FD75D28"/>
    <w:rsid w:val="1FD81096"/>
    <w:rsid w:val="1FD91AA0"/>
    <w:rsid w:val="1FD955FC"/>
    <w:rsid w:val="1FD96CCE"/>
    <w:rsid w:val="1FDA015E"/>
    <w:rsid w:val="1FDA1374"/>
    <w:rsid w:val="1FDA6A1D"/>
    <w:rsid w:val="1FDB146A"/>
    <w:rsid w:val="1FDB15EE"/>
    <w:rsid w:val="1FDB17ED"/>
    <w:rsid w:val="1FDB55EB"/>
    <w:rsid w:val="1FDB5818"/>
    <w:rsid w:val="1FDB75C6"/>
    <w:rsid w:val="1FDC030D"/>
    <w:rsid w:val="1FDC333E"/>
    <w:rsid w:val="1FDC50EC"/>
    <w:rsid w:val="1FDC64B6"/>
    <w:rsid w:val="1FDC6E9A"/>
    <w:rsid w:val="1FDD4838"/>
    <w:rsid w:val="1FDD5294"/>
    <w:rsid w:val="1FDD694B"/>
    <w:rsid w:val="1FDD6ADF"/>
    <w:rsid w:val="1FDE359C"/>
    <w:rsid w:val="1FDE458D"/>
    <w:rsid w:val="1FDE786A"/>
    <w:rsid w:val="1FDE7F5E"/>
    <w:rsid w:val="1FDF0D24"/>
    <w:rsid w:val="1FDF13FF"/>
    <w:rsid w:val="1FDF7F9B"/>
    <w:rsid w:val="1FE02579"/>
    <w:rsid w:val="1FE02E2E"/>
    <w:rsid w:val="1FE0375E"/>
    <w:rsid w:val="1FE06C87"/>
    <w:rsid w:val="1FE10954"/>
    <w:rsid w:val="1FE10CC3"/>
    <w:rsid w:val="1FE126E5"/>
    <w:rsid w:val="1FE1689C"/>
    <w:rsid w:val="1FE16BA6"/>
    <w:rsid w:val="1FE17A10"/>
    <w:rsid w:val="1FE25607"/>
    <w:rsid w:val="1FE31210"/>
    <w:rsid w:val="1FE32951"/>
    <w:rsid w:val="1FE3647B"/>
    <w:rsid w:val="1FE43FA1"/>
    <w:rsid w:val="1FE50158"/>
    <w:rsid w:val="1FE50445"/>
    <w:rsid w:val="1FE521F3"/>
    <w:rsid w:val="1FE56DE3"/>
    <w:rsid w:val="1FE618BE"/>
    <w:rsid w:val="1FE62FE2"/>
    <w:rsid w:val="1FE65558"/>
    <w:rsid w:val="1FE65F6B"/>
    <w:rsid w:val="1FE665C2"/>
    <w:rsid w:val="1FE67D19"/>
    <w:rsid w:val="1FE67F31"/>
    <w:rsid w:val="1FE73E1F"/>
    <w:rsid w:val="1FE741BD"/>
    <w:rsid w:val="1FE7457E"/>
    <w:rsid w:val="1FE7539E"/>
    <w:rsid w:val="1FE77A03"/>
    <w:rsid w:val="1FE81CE3"/>
    <w:rsid w:val="1FE83A91"/>
    <w:rsid w:val="1FE83BF2"/>
    <w:rsid w:val="1FE8583F"/>
    <w:rsid w:val="1FE86C28"/>
    <w:rsid w:val="1FE87F35"/>
    <w:rsid w:val="1FE94E8A"/>
    <w:rsid w:val="1FEA07EB"/>
    <w:rsid w:val="1FEA15B7"/>
    <w:rsid w:val="1FEA46F5"/>
    <w:rsid w:val="1FEA5A5B"/>
    <w:rsid w:val="1FEA6512"/>
    <w:rsid w:val="1FEB79A2"/>
    <w:rsid w:val="1FEC17D3"/>
    <w:rsid w:val="1FED554B"/>
    <w:rsid w:val="1FED72F9"/>
    <w:rsid w:val="1FEE048D"/>
    <w:rsid w:val="1FEE7A64"/>
    <w:rsid w:val="1FEE7E1C"/>
    <w:rsid w:val="1FEF3071"/>
    <w:rsid w:val="1FEF47C7"/>
    <w:rsid w:val="1FEF6BCD"/>
    <w:rsid w:val="1FF00B97"/>
    <w:rsid w:val="1FF01789"/>
    <w:rsid w:val="1FF02384"/>
    <w:rsid w:val="1FF02946"/>
    <w:rsid w:val="1FF119C4"/>
    <w:rsid w:val="1FF12270"/>
    <w:rsid w:val="1FF1373D"/>
    <w:rsid w:val="1FF13AB4"/>
    <w:rsid w:val="1FF1533F"/>
    <w:rsid w:val="1FF1600F"/>
    <w:rsid w:val="1FF16DE9"/>
    <w:rsid w:val="1FF22794"/>
    <w:rsid w:val="1FF22B62"/>
    <w:rsid w:val="1FF266BE"/>
    <w:rsid w:val="1FF269E9"/>
    <w:rsid w:val="1FF35F64"/>
    <w:rsid w:val="1FF3689D"/>
    <w:rsid w:val="1FF40688"/>
    <w:rsid w:val="1FF41699"/>
    <w:rsid w:val="1FF42436"/>
    <w:rsid w:val="1FF438D6"/>
    <w:rsid w:val="1FF468DA"/>
    <w:rsid w:val="1FF51F8F"/>
    <w:rsid w:val="1FF54C72"/>
    <w:rsid w:val="1FF5537C"/>
    <w:rsid w:val="1FF56CB3"/>
    <w:rsid w:val="1FF56E68"/>
    <w:rsid w:val="1FF61C0D"/>
    <w:rsid w:val="1FF64400"/>
    <w:rsid w:val="1FF70178"/>
    <w:rsid w:val="1FF71F26"/>
    <w:rsid w:val="1FF72257"/>
    <w:rsid w:val="1FF7502E"/>
    <w:rsid w:val="1FF75123"/>
    <w:rsid w:val="1FF7664E"/>
    <w:rsid w:val="1FF80096"/>
    <w:rsid w:val="1FF93EF0"/>
    <w:rsid w:val="1FF95C9E"/>
    <w:rsid w:val="1FF97891"/>
    <w:rsid w:val="1FF97A4C"/>
    <w:rsid w:val="1FFA316D"/>
    <w:rsid w:val="1FFA46CE"/>
    <w:rsid w:val="1FFB2068"/>
    <w:rsid w:val="1FFB37C4"/>
    <w:rsid w:val="1FFB7C68"/>
    <w:rsid w:val="1FFC3756"/>
    <w:rsid w:val="1FFC578E"/>
    <w:rsid w:val="1FFC696C"/>
    <w:rsid w:val="1FFD0343"/>
    <w:rsid w:val="1FFD6432"/>
    <w:rsid w:val="1FFD7BAE"/>
    <w:rsid w:val="1FFE2C96"/>
    <w:rsid w:val="1FFE32B4"/>
    <w:rsid w:val="1FFE3BBA"/>
    <w:rsid w:val="1FFE5062"/>
    <w:rsid w:val="1FFE7559"/>
    <w:rsid w:val="1FFE79E6"/>
    <w:rsid w:val="1FFF09E9"/>
    <w:rsid w:val="1FFF5A80"/>
    <w:rsid w:val="1FFF6D8A"/>
    <w:rsid w:val="1FFF7BF0"/>
    <w:rsid w:val="20000DDB"/>
    <w:rsid w:val="2000453B"/>
    <w:rsid w:val="2000527E"/>
    <w:rsid w:val="2000702C"/>
    <w:rsid w:val="20012DA5"/>
    <w:rsid w:val="20014B53"/>
    <w:rsid w:val="200159CF"/>
    <w:rsid w:val="20015EDA"/>
    <w:rsid w:val="200207B9"/>
    <w:rsid w:val="20025260"/>
    <w:rsid w:val="200308CB"/>
    <w:rsid w:val="20032CFE"/>
    <w:rsid w:val="20032E44"/>
    <w:rsid w:val="200334C8"/>
    <w:rsid w:val="20042508"/>
    <w:rsid w:val="20046ACE"/>
    <w:rsid w:val="20052498"/>
    <w:rsid w:val="200563F1"/>
    <w:rsid w:val="20056E08"/>
    <w:rsid w:val="200603BB"/>
    <w:rsid w:val="20061F7F"/>
    <w:rsid w:val="20062169"/>
    <w:rsid w:val="20064EC7"/>
    <w:rsid w:val="2006717B"/>
    <w:rsid w:val="20071859"/>
    <w:rsid w:val="20074CBE"/>
    <w:rsid w:val="20083FA6"/>
    <w:rsid w:val="20085EE1"/>
    <w:rsid w:val="20091827"/>
    <w:rsid w:val="20093868"/>
    <w:rsid w:val="2009466C"/>
    <w:rsid w:val="2009641F"/>
    <w:rsid w:val="200A1C59"/>
    <w:rsid w:val="200A3A07"/>
    <w:rsid w:val="200A5AFC"/>
    <w:rsid w:val="200A614B"/>
    <w:rsid w:val="200B1A7E"/>
    <w:rsid w:val="200B1B5D"/>
    <w:rsid w:val="200B777F"/>
    <w:rsid w:val="200C2FED"/>
    <w:rsid w:val="200C3C23"/>
    <w:rsid w:val="200C41CE"/>
    <w:rsid w:val="200C5F1E"/>
    <w:rsid w:val="200C6AA5"/>
    <w:rsid w:val="200C7108"/>
    <w:rsid w:val="200D34F7"/>
    <w:rsid w:val="200D44EE"/>
    <w:rsid w:val="200D4854"/>
    <w:rsid w:val="200E6F5E"/>
    <w:rsid w:val="200F04DE"/>
    <w:rsid w:val="200F101E"/>
    <w:rsid w:val="200F41A6"/>
    <w:rsid w:val="200F7270"/>
    <w:rsid w:val="201013CA"/>
    <w:rsid w:val="2010196E"/>
    <w:rsid w:val="20101FC5"/>
    <w:rsid w:val="20104D96"/>
    <w:rsid w:val="20110CB2"/>
    <w:rsid w:val="20113546"/>
    <w:rsid w:val="201148E1"/>
    <w:rsid w:val="20116EAF"/>
    <w:rsid w:val="201209AE"/>
    <w:rsid w:val="2012261C"/>
    <w:rsid w:val="201237BF"/>
    <w:rsid w:val="2012495D"/>
    <w:rsid w:val="20124FB2"/>
    <w:rsid w:val="20126932"/>
    <w:rsid w:val="20130094"/>
    <w:rsid w:val="20133365"/>
    <w:rsid w:val="20140D2A"/>
    <w:rsid w:val="201441BB"/>
    <w:rsid w:val="2014438F"/>
    <w:rsid w:val="20144886"/>
    <w:rsid w:val="20146634"/>
    <w:rsid w:val="201477F8"/>
    <w:rsid w:val="201523AC"/>
    <w:rsid w:val="20155297"/>
    <w:rsid w:val="201605FE"/>
    <w:rsid w:val="201612E1"/>
    <w:rsid w:val="20166850"/>
    <w:rsid w:val="20170100"/>
    <w:rsid w:val="20170DC5"/>
    <w:rsid w:val="201725C8"/>
    <w:rsid w:val="201767DE"/>
    <w:rsid w:val="20185789"/>
    <w:rsid w:val="20187034"/>
    <w:rsid w:val="20191E9C"/>
    <w:rsid w:val="201924B3"/>
    <w:rsid w:val="20196340"/>
    <w:rsid w:val="201A54F1"/>
    <w:rsid w:val="201B060B"/>
    <w:rsid w:val="201B0F76"/>
    <w:rsid w:val="201B1B3C"/>
    <w:rsid w:val="201B28D7"/>
    <w:rsid w:val="201B358F"/>
    <w:rsid w:val="201B3E66"/>
    <w:rsid w:val="201B5C14"/>
    <w:rsid w:val="201C13A1"/>
    <w:rsid w:val="201C198C"/>
    <w:rsid w:val="201C4CC4"/>
    <w:rsid w:val="201D018C"/>
    <w:rsid w:val="201D063C"/>
    <w:rsid w:val="201D2529"/>
    <w:rsid w:val="201D2831"/>
    <w:rsid w:val="201D4D1C"/>
    <w:rsid w:val="201E2258"/>
    <w:rsid w:val="201E3957"/>
    <w:rsid w:val="201E74B3"/>
    <w:rsid w:val="201F596A"/>
    <w:rsid w:val="201F62E6"/>
    <w:rsid w:val="201F6D62"/>
    <w:rsid w:val="2020147D"/>
    <w:rsid w:val="20201BE6"/>
    <w:rsid w:val="2020322B"/>
    <w:rsid w:val="202034E4"/>
    <w:rsid w:val="20206F49"/>
    <w:rsid w:val="20207D22"/>
    <w:rsid w:val="20210D51"/>
    <w:rsid w:val="2021790A"/>
    <w:rsid w:val="20220C48"/>
    <w:rsid w:val="2022423E"/>
    <w:rsid w:val="202251F5"/>
    <w:rsid w:val="20231FB8"/>
    <w:rsid w:val="20232D1B"/>
    <w:rsid w:val="20234AC9"/>
    <w:rsid w:val="2024037B"/>
    <w:rsid w:val="20241274"/>
    <w:rsid w:val="20241570"/>
    <w:rsid w:val="20250841"/>
    <w:rsid w:val="20252AFD"/>
    <w:rsid w:val="20254CE5"/>
    <w:rsid w:val="20256A93"/>
    <w:rsid w:val="202645B9"/>
    <w:rsid w:val="20265102"/>
    <w:rsid w:val="20266BC2"/>
    <w:rsid w:val="20277A00"/>
    <w:rsid w:val="20277BF5"/>
    <w:rsid w:val="20280331"/>
    <w:rsid w:val="20280798"/>
    <w:rsid w:val="20290F38"/>
    <w:rsid w:val="202A0901"/>
    <w:rsid w:val="202A22FB"/>
    <w:rsid w:val="202A40A9"/>
    <w:rsid w:val="202A6576"/>
    <w:rsid w:val="202B1BD0"/>
    <w:rsid w:val="202C0E96"/>
    <w:rsid w:val="202C4B65"/>
    <w:rsid w:val="202C6073"/>
    <w:rsid w:val="202C6C23"/>
    <w:rsid w:val="202C6F6E"/>
    <w:rsid w:val="202C7E22"/>
    <w:rsid w:val="202D1DEC"/>
    <w:rsid w:val="202D1E43"/>
    <w:rsid w:val="202D5948"/>
    <w:rsid w:val="202D76F6"/>
    <w:rsid w:val="202E1F15"/>
    <w:rsid w:val="202E4EE0"/>
    <w:rsid w:val="202E4EF7"/>
    <w:rsid w:val="202E6539"/>
    <w:rsid w:val="202F6387"/>
    <w:rsid w:val="2030109A"/>
    <w:rsid w:val="2030283D"/>
    <w:rsid w:val="2030652F"/>
    <w:rsid w:val="20307817"/>
    <w:rsid w:val="2031104E"/>
    <w:rsid w:val="20315438"/>
    <w:rsid w:val="203171E6"/>
    <w:rsid w:val="2031721D"/>
    <w:rsid w:val="203211B0"/>
    <w:rsid w:val="20322137"/>
    <w:rsid w:val="20323C59"/>
    <w:rsid w:val="20327004"/>
    <w:rsid w:val="203304B7"/>
    <w:rsid w:val="2033100A"/>
    <w:rsid w:val="20333841"/>
    <w:rsid w:val="20335368"/>
    <w:rsid w:val="20337402"/>
    <w:rsid w:val="20340A84"/>
    <w:rsid w:val="2034408C"/>
    <w:rsid w:val="20346CD6"/>
    <w:rsid w:val="2034777F"/>
    <w:rsid w:val="203506F4"/>
    <w:rsid w:val="20350AB8"/>
    <w:rsid w:val="20355D0E"/>
    <w:rsid w:val="20360CA0"/>
    <w:rsid w:val="203647FC"/>
    <w:rsid w:val="2036506B"/>
    <w:rsid w:val="203675A1"/>
    <w:rsid w:val="20370539"/>
    <w:rsid w:val="20371552"/>
    <w:rsid w:val="203741D2"/>
    <w:rsid w:val="203776EA"/>
    <w:rsid w:val="20384A18"/>
    <w:rsid w:val="20384F7D"/>
    <w:rsid w:val="20390B9D"/>
    <w:rsid w:val="20390FE6"/>
    <w:rsid w:val="203953C1"/>
    <w:rsid w:val="203A0E96"/>
    <w:rsid w:val="203A349A"/>
    <w:rsid w:val="203A4BB0"/>
    <w:rsid w:val="203B0065"/>
    <w:rsid w:val="203B1E13"/>
    <w:rsid w:val="203B62B7"/>
    <w:rsid w:val="203B7610"/>
    <w:rsid w:val="203C2883"/>
    <w:rsid w:val="203C2A71"/>
    <w:rsid w:val="203C3DDD"/>
    <w:rsid w:val="203C52EF"/>
    <w:rsid w:val="203C5789"/>
    <w:rsid w:val="203C66A6"/>
    <w:rsid w:val="203D1B42"/>
    <w:rsid w:val="203D1BBB"/>
    <w:rsid w:val="203D31A7"/>
    <w:rsid w:val="203D456C"/>
    <w:rsid w:val="203D4B01"/>
    <w:rsid w:val="203E1903"/>
    <w:rsid w:val="203E244F"/>
    <w:rsid w:val="203E49EC"/>
    <w:rsid w:val="203E4FC4"/>
    <w:rsid w:val="203E76A0"/>
    <w:rsid w:val="203E7B33"/>
    <w:rsid w:val="203E7B55"/>
    <w:rsid w:val="203F2061"/>
    <w:rsid w:val="20401B1F"/>
    <w:rsid w:val="20402BA2"/>
    <w:rsid w:val="204038CD"/>
    <w:rsid w:val="20405BCB"/>
    <w:rsid w:val="2040730C"/>
    <w:rsid w:val="20407429"/>
    <w:rsid w:val="20411C2C"/>
    <w:rsid w:val="20411C85"/>
    <w:rsid w:val="20422C10"/>
    <w:rsid w:val="20422F13"/>
    <w:rsid w:val="2042411F"/>
    <w:rsid w:val="204247FD"/>
    <w:rsid w:val="20427645"/>
    <w:rsid w:val="204431AA"/>
    <w:rsid w:val="2044711D"/>
    <w:rsid w:val="20447548"/>
    <w:rsid w:val="20450EE3"/>
    <w:rsid w:val="20452C91"/>
    <w:rsid w:val="20457135"/>
    <w:rsid w:val="204607B7"/>
    <w:rsid w:val="204620FB"/>
    <w:rsid w:val="2046441B"/>
    <w:rsid w:val="2046460E"/>
    <w:rsid w:val="204679CD"/>
    <w:rsid w:val="20474A01"/>
    <w:rsid w:val="20475E9C"/>
    <w:rsid w:val="20476A09"/>
    <w:rsid w:val="20480339"/>
    <w:rsid w:val="204809D3"/>
    <w:rsid w:val="204840CC"/>
    <w:rsid w:val="20484530"/>
    <w:rsid w:val="20487A67"/>
    <w:rsid w:val="20487ABD"/>
    <w:rsid w:val="204903BE"/>
    <w:rsid w:val="20490F2F"/>
    <w:rsid w:val="20491AFF"/>
    <w:rsid w:val="20494CD2"/>
    <w:rsid w:val="204A02A8"/>
    <w:rsid w:val="204A1CCE"/>
    <w:rsid w:val="204A21EF"/>
    <w:rsid w:val="204A7D65"/>
    <w:rsid w:val="204C04C4"/>
    <w:rsid w:val="204C14D6"/>
    <w:rsid w:val="204C2272"/>
    <w:rsid w:val="204C4020"/>
    <w:rsid w:val="204C4EB0"/>
    <w:rsid w:val="204C59E3"/>
    <w:rsid w:val="204C6E14"/>
    <w:rsid w:val="204C7D55"/>
    <w:rsid w:val="204C7FA5"/>
    <w:rsid w:val="204D1A8C"/>
    <w:rsid w:val="204D1B46"/>
    <w:rsid w:val="204D5FEA"/>
    <w:rsid w:val="204D7367"/>
    <w:rsid w:val="204E15E1"/>
    <w:rsid w:val="204E1EBD"/>
    <w:rsid w:val="204E3D7D"/>
    <w:rsid w:val="204F3B10"/>
    <w:rsid w:val="204F4230"/>
    <w:rsid w:val="20500291"/>
    <w:rsid w:val="20501CCD"/>
    <w:rsid w:val="2050480F"/>
    <w:rsid w:val="205056C0"/>
    <w:rsid w:val="20506E01"/>
    <w:rsid w:val="20507AC6"/>
    <w:rsid w:val="20510059"/>
    <w:rsid w:val="20511636"/>
    <w:rsid w:val="20514F88"/>
    <w:rsid w:val="20515ADA"/>
    <w:rsid w:val="20515FF4"/>
    <w:rsid w:val="20517888"/>
    <w:rsid w:val="2052068F"/>
    <w:rsid w:val="20523600"/>
    <w:rsid w:val="2052380D"/>
    <w:rsid w:val="205242F2"/>
    <w:rsid w:val="205253AE"/>
    <w:rsid w:val="20531852"/>
    <w:rsid w:val="2053237A"/>
    <w:rsid w:val="20533B97"/>
    <w:rsid w:val="20534041"/>
    <w:rsid w:val="20535782"/>
    <w:rsid w:val="20541126"/>
    <w:rsid w:val="20544E21"/>
    <w:rsid w:val="2054554F"/>
    <w:rsid w:val="20546C12"/>
    <w:rsid w:val="20547BCC"/>
    <w:rsid w:val="20552401"/>
    <w:rsid w:val="20554DBD"/>
    <w:rsid w:val="20555FD1"/>
    <w:rsid w:val="205630F0"/>
    <w:rsid w:val="205634B0"/>
    <w:rsid w:val="205645BD"/>
    <w:rsid w:val="20564718"/>
    <w:rsid w:val="20564E9E"/>
    <w:rsid w:val="2056753A"/>
    <w:rsid w:val="20575593"/>
    <w:rsid w:val="20580C17"/>
    <w:rsid w:val="20583E52"/>
    <w:rsid w:val="20586E69"/>
    <w:rsid w:val="205904EB"/>
    <w:rsid w:val="20592BE1"/>
    <w:rsid w:val="20592F93"/>
    <w:rsid w:val="2059422E"/>
    <w:rsid w:val="2059673D"/>
    <w:rsid w:val="20597DA6"/>
    <w:rsid w:val="205A01D9"/>
    <w:rsid w:val="205A0DA2"/>
    <w:rsid w:val="205A1343"/>
    <w:rsid w:val="205A1583"/>
    <w:rsid w:val="205A1E29"/>
    <w:rsid w:val="205B0FB8"/>
    <w:rsid w:val="205B1084"/>
    <w:rsid w:val="205B24B5"/>
    <w:rsid w:val="205B27D3"/>
    <w:rsid w:val="205B4263"/>
    <w:rsid w:val="205C0E8A"/>
    <w:rsid w:val="205C22E1"/>
    <w:rsid w:val="205C6F44"/>
    <w:rsid w:val="205C7FDB"/>
    <w:rsid w:val="205D1ED7"/>
    <w:rsid w:val="205D24AF"/>
    <w:rsid w:val="205D33EC"/>
    <w:rsid w:val="205D364A"/>
    <w:rsid w:val="205D447F"/>
    <w:rsid w:val="205D4DC1"/>
    <w:rsid w:val="205D622D"/>
    <w:rsid w:val="205E1FA5"/>
    <w:rsid w:val="205E2895"/>
    <w:rsid w:val="205E3D53"/>
    <w:rsid w:val="205E6DED"/>
    <w:rsid w:val="205F0ADF"/>
    <w:rsid w:val="205F0E28"/>
    <w:rsid w:val="205F2E5C"/>
    <w:rsid w:val="205F2EEE"/>
    <w:rsid w:val="205F4DDA"/>
    <w:rsid w:val="20601879"/>
    <w:rsid w:val="20602450"/>
    <w:rsid w:val="20602E5A"/>
    <w:rsid w:val="20605D1D"/>
    <w:rsid w:val="20607ACB"/>
    <w:rsid w:val="20607EA0"/>
    <w:rsid w:val="206111AE"/>
    <w:rsid w:val="2061413D"/>
    <w:rsid w:val="206165B6"/>
    <w:rsid w:val="20620EE2"/>
    <w:rsid w:val="20627DAA"/>
    <w:rsid w:val="20631369"/>
    <w:rsid w:val="2063580D"/>
    <w:rsid w:val="20635C11"/>
    <w:rsid w:val="20636D33"/>
    <w:rsid w:val="206371A4"/>
    <w:rsid w:val="2063739B"/>
    <w:rsid w:val="20637614"/>
    <w:rsid w:val="20637792"/>
    <w:rsid w:val="20643A97"/>
    <w:rsid w:val="20650270"/>
    <w:rsid w:val="20650485"/>
    <w:rsid w:val="20651585"/>
    <w:rsid w:val="20652652"/>
    <w:rsid w:val="20653333"/>
    <w:rsid w:val="20654685"/>
    <w:rsid w:val="206550E2"/>
    <w:rsid w:val="20657133"/>
    <w:rsid w:val="2066447E"/>
    <w:rsid w:val="20665273"/>
    <w:rsid w:val="20665917"/>
    <w:rsid w:val="20670766"/>
    <w:rsid w:val="20670E5A"/>
    <w:rsid w:val="20670FFE"/>
    <w:rsid w:val="20671BE0"/>
    <w:rsid w:val="20672C61"/>
    <w:rsid w:val="20673947"/>
    <w:rsid w:val="20675141"/>
    <w:rsid w:val="20677837"/>
    <w:rsid w:val="206802DA"/>
    <w:rsid w:val="20683FDF"/>
    <w:rsid w:val="20684BD2"/>
    <w:rsid w:val="20684D39"/>
    <w:rsid w:val="20684DD7"/>
    <w:rsid w:val="20686980"/>
    <w:rsid w:val="206908D1"/>
    <w:rsid w:val="20691FCA"/>
    <w:rsid w:val="206967F2"/>
    <w:rsid w:val="206A094A"/>
    <w:rsid w:val="206A26F8"/>
    <w:rsid w:val="206B1EF8"/>
    <w:rsid w:val="206B3A09"/>
    <w:rsid w:val="206B4E99"/>
    <w:rsid w:val="206C021E"/>
    <w:rsid w:val="206C121D"/>
    <w:rsid w:val="206C3DE5"/>
    <w:rsid w:val="206C408B"/>
    <w:rsid w:val="206C46C2"/>
    <w:rsid w:val="206D3F96"/>
    <w:rsid w:val="206D452E"/>
    <w:rsid w:val="206D4E8F"/>
    <w:rsid w:val="206E05E3"/>
    <w:rsid w:val="206F058A"/>
    <w:rsid w:val="206F41B2"/>
    <w:rsid w:val="206F5F60"/>
    <w:rsid w:val="206F7D0E"/>
    <w:rsid w:val="20704FCC"/>
    <w:rsid w:val="20712604"/>
    <w:rsid w:val="20713A86"/>
    <w:rsid w:val="20716881"/>
    <w:rsid w:val="20717F2A"/>
    <w:rsid w:val="207215AC"/>
    <w:rsid w:val="2072219B"/>
    <w:rsid w:val="20723415"/>
    <w:rsid w:val="2072424B"/>
    <w:rsid w:val="20724DA3"/>
    <w:rsid w:val="207275CA"/>
    <w:rsid w:val="207277FE"/>
    <w:rsid w:val="20730A5A"/>
    <w:rsid w:val="20733E78"/>
    <w:rsid w:val="20735759"/>
    <w:rsid w:val="207402A9"/>
    <w:rsid w:val="2074095B"/>
    <w:rsid w:val="207417C9"/>
    <w:rsid w:val="20743577"/>
    <w:rsid w:val="20744028"/>
    <w:rsid w:val="20744ABB"/>
    <w:rsid w:val="2075366A"/>
    <w:rsid w:val="20753F4B"/>
    <w:rsid w:val="20757B2D"/>
    <w:rsid w:val="2076018E"/>
    <w:rsid w:val="2076109D"/>
    <w:rsid w:val="207633E4"/>
    <w:rsid w:val="20763B8A"/>
    <w:rsid w:val="207672EF"/>
    <w:rsid w:val="20772662"/>
    <w:rsid w:val="207812B9"/>
    <w:rsid w:val="207812FE"/>
    <w:rsid w:val="2078418F"/>
    <w:rsid w:val="207848CC"/>
    <w:rsid w:val="20784E15"/>
    <w:rsid w:val="20790B8D"/>
    <w:rsid w:val="20791BF6"/>
    <w:rsid w:val="2079264D"/>
    <w:rsid w:val="2079293B"/>
    <w:rsid w:val="207939F5"/>
    <w:rsid w:val="20796DDF"/>
    <w:rsid w:val="207A271F"/>
    <w:rsid w:val="207A5ED6"/>
    <w:rsid w:val="207A62DC"/>
    <w:rsid w:val="207A7564"/>
    <w:rsid w:val="207B1BB0"/>
    <w:rsid w:val="207B2B57"/>
    <w:rsid w:val="207B4905"/>
    <w:rsid w:val="207B66B3"/>
    <w:rsid w:val="207B6FD9"/>
    <w:rsid w:val="207C452B"/>
    <w:rsid w:val="207C5BCE"/>
    <w:rsid w:val="207C5E1E"/>
    <w:rsid w:val="207D242B"/>
    <w:rsid w:val="207D282B"/>
    <w:rsid w:val="207D46DD"/>
    <w:rsid w:val="207D68CF"/>
    <w:rsid w:val="207D72AE"/>
    <w:rsid w:val="207D75FE"/>
    <w:rsid w:val="207E0940"/>
    <w:rsid w:val="207E43F5"/>
    <w:rsid w:val="207E61A3"/>
    <w:rsid w:val="207E7A89"/>
    <w:rsid w:val="207F2647"/>
    <w:rsid w:val="207F4FEB"/>
    <w:rsid w:val="2080016D"/>
    <w:rsid w:val="20801662"/>
    <w:rsid w:val="20801F1B"/>
    <w:rsid w:val="2080305E"/>
    <w:rsid w:val="2080704E"/>
    <w:rsid w:val="208077CE"/>
    <w:rsid w:val="20814A1C"/>
    <w:rsid w:val="20815C2F"/>
    <w:rsid w:val="20820341"/>
    <w:rsid w:val="20822381"/>
    <w:rsid w:val="20823EE5"/>
    <w:rsid w:val="20825806"/>
    <w:rsid w:val="20825C93"/>
    <w:rsid w:val="20826F69"/>
    <w:rsid w:val="20827A42"/>
    <w:rsid w:val="20830551"/>
    <w:rsid w:val="20831A0C"/>
    <w:rsid w:val="20833120"/>
    <w:rsid w:val="20835145"/>
    <w:rsid w:val="208400B9"/>
    <w:rsid w:val="208440A8"/>
    <w:rsid w:val="20847C5E"/>
    <w:rsid w:val="208512E0"/>
    <w:rsid w:val="208539D6"/>
    <w:rsid w:val="20857532"/>
    <w:rsid w:val="20861AA1"/>
    <w:rsid w:val="2086254D"/>
    <w:rsid w:val="208732AA"/>
    <w:rsid w:val="20880DD0"/>
    <w:rsid w:val="20890483"/>
    <w:rsid w:val="2089061C"/>
    <w:rsid w:val="208909C1"/>
    <w:rsid w:val="20894729"/>
    <w:rsid w:val="20895851"/>
    <w:rsid w:val="208960F5"/>
    <w:rsid w:val="20896F92"/>
    <w:rsid w:val="208A05B3"/>
    <w:rsid w:val="208A0FEC"/>
    <w:rsid w:val="208A2436"/>
    <w:rsid w:val="208A2D9A"/>
    <w:rsid w:val="208A37E2"/>
    <w:rsid w:val="208A3AF0"/>
    <w:rsid w:val="208A3FC9"/>
    <w:rsid w:val="208A42B8"/>
    <w:rsid w:val="208A4B48"/>
    <w:rsid w:val="208B0BAA"/>
    <w:rsid w:val="208C08C0"/>
    <w:rsid w:val="208C0EFF"/>
    <w:rsid w:val="208C266E"/>
    <w:rsid w:val="208C6B12"/>
    <w:rsid w:val="208D0F7E"/>
    <w:rsid w:val="208E288A"/>
    <w:rsid w:val="208E28AB"/>
    <w:rsid w:val="208E64F5"/>
    <w:rsid w:val="208F215E"/>
    <w:rsid w:val="20901942"/>
    <w:rsid w:val="209122FD"/>
    <w:rsid w:val="2091237A"/>
    <w:rsid w:val="20914128"/>
    <w:rsid w:val="20914159"/>
    <w:rsid w:val="209152CB"/>
    <w:rsid w:val="20915724"/>
    <w:rsid w:val="20915ED7"/>
    <w:rsid w:val="209239FD"/>
    <w:rsid w:val="209249D8"/>
    <w:rsid w:val="20925403"/>
    <w:rsid w:val="20927DA8"/>
    <w:rsid w:val="20932183"/>
    <w:rsid w:val="20932C15"/>
    <w:rsid w:val="2093407F"/>
    <w:rsid w:val="20937887"/>
    <w:rsid w:val="209440AA"/>
    <w:rsid w:val="20945561"/>
    <w:rsid w:val="20947775"/>
    <w:rsid w:val="20947DAF"/>
    <w:rsid w:val="20951A8F"/>
    <w:rsid w:val="2096173F"/>
    <w:rsid w:val="209634ED"/>
    <w:rsid w:val="20963CB8"/>
    <w:rsid w:val="20967991"/>
    <w:rsid w:val="20977E55"/>
    <w:rsid w:val="20980969"/>
    <w:rsid w:val="20980FAB"/>
    <w:rsid w:val="20981039"/>
    <w:rsid w:val="209812E5"/>
    <w:rsid w:val="20983709"/>
    <w:rsid w:val="209854B7"/>
    <w:rsid w:val="20987265"/>
    <w:rsid w:val="20990887"/>
    <w:rsid w:val="2099095F"/>
    <w:rsid w:val="2099122F"/>
    <w:rsid w:val="20992A79"/>
    <w:rsid w:val="20992FDD"/>
    <w:rsid w:val="20994503"/>
    <w:rsid w:val="209946C3"/>
    <w:rsid w:val="20994D8B"/>
    <w:rsid w:val="20996B07"/>
    <w:rsid w:val="20996FB4"/>
    <w:rsid w:val="209A090E"/>
    <w:rsid w:val="209A67D6"/>
    <w:rsid w:val="209B094F"/>
    <w:rsid w:val="209B0B03"/>
    <w:rsid w:val="209B4FA7"/>
    <w:rsid w:val="209B7606"/>
    <w:rsid w:val="209C0D97"/>
    <w:rsid w:val="209C2837"/>
    <w:rsid w:val="209D055F"/>
    <w:rsid w:val="209D14B7"/>
    <w:rsid w:val="209D2ACD"/>
    <w:rsid w:val="209D4A29"/>
    <w:rsid w:val="209D641A"/>
    <w:rsid w:val="209E05F3"/>
    <w:rsid w:val="209E0FCB"/>
    <w:rsid w:val="209E1AB3"/>
    <w:rsid w:val="209E2529"/>
    <w:rsid w:val="209E4D89"/>
    <w:rsid w:val="209E7D28"/>
    <w:rsid w:val="209F3E7A"/>
    <w:rsid w:val="209F6845"/>
    <w:rsid w:val="20A0245C"/>
    <w:rsid w:val="20A025BE"/>
    <w:rsid w:val="20A03A95"/>
    <w:rsid w:val="20A05219"/>
    <w:rsid w:val="20A0611A"/>
    <w:rsid w:val="20A126CD"/>
    <w:rsid w:val="20A13FF5"/>
    <w:rsid w:val="20A166D4"/>
    <w:rsid w:val="20A200E4"/>
    <w:rsid w:val="20A21E92"/>
    <w:rsid w:val="20A24CF7"/>
    <w:rsid w:val="20A26336"/>
    <w:rsid w:val="20A309B0"/>
    <w:rsid w:val="20A30C25"/>
    <w:rsid w:val="20A420AE"/>
    <w:rsid w:val="20A44004"/>
    <w:rsid w:val="20A507D9"/>
    <w:rsid w:val="20A53730"/>
    <w:rsid w:val="20A5502A"/>
    <w:rsid w:val="20A568E6"/>
    <w:rsid w:val="20A57BD4"/>
    <w:rsid w:val="20A602EA"/>
    <w:rsid w:val="20A637C9"/>
    <w:rsid w:val="20A64348"/>
    <w:rsid w:val="20A64877"/>
    <w:rsid w:val="20A67094"/>
    <w:rsid w:val="20A71B49"/>
    <w:rsid w:val="20A756FA"/>
    <w:rsid w:val="20A76F0C"/>
    <w:rsid w:val="20A774A8"/>
    <w:rsid w:val="20A80DDA"/>
    <w:rsid w:val="20A81A1B"/>
    <w:rsid w:val="20A83220"/>
    <w:rsid w:val="20A85157"/>
    <w:rsid w:val="20A91472"/>
    <w:rsid w:val="20A951E7"/>
    <w:rsid w:val="20A976C4"/>
    <w:rsid w:val="20AA6F98"/>
    <w:rsid w:val="20AB0DA3"/>
    <w:rsid w:val="20AB4ADC"/>
    <w:rsid w:val="20AC6A7E"/>
    <w:rsid w:val="20AD0837"/>
    <w:rsid w:val="20AD2AAA"/>
    <w:rsid w:val="20AD412B"/>
    <w:rsid w:val="20AD4C4C"/>
    <w:rsid w:val="20AE4CDA"/>
    <w:rsid w:val="20AE5E6F"/>
    <w:rsid w:val="20AE60DC"/>
    <w:rsid w:val="20AE781D"/>
    <w:rsid w:val="20AF0142"/>
    <w:rsid w:val="20AF0CAD"/>
    <w:rsid w:val="20AF16D9"/>
    <w:rsid w:val="20AF2801"/>
    <w:rsid w:val="20AF45AF"/>
    <w:rsid w:val="20B00A53"/>
    <w:rsid w:val="20B0213D"/>
    <w:rsid w:val="20B073BB"/>
    <w:rsid w:val="20B07FB6"/>
    <w:rsid w:val="20B10327"/>
    <w:rsid w:val="20B1619E"/>
    <w:rsid w:val="20B17012"/>
    <w:rsid w:val="20B2762E"/>
    <w:rsid w:val="20B32C96"/>
    <w:rsid w:val="20B3409F"/>
    <w:rsid w:val="20B34AA7"/>
    <w:rsid w:val="20B3595C"/>
    <w:rsid w:val="20B35E4D"/>
    <w:rsid w:val="20B41BC5"/>
    <w:rsid w:val="20B44B02"/>
    <w:rsid w:val="20B44B0A"/>
    <w:rsid w:val="20B475D9"/>
    <w:rsid w:val="20B47E17"/>
    <w:rsid w:val="20B50777"/>
    <w:rsid w:val="20B55C0F"/>
    <w:rsid w:val="20B56069"/>
    <w:rsid w:val="20B57B58"/>
    <w:rsid w:val="20B61DE1"/>
    <w:rsid w:val="20B62501"/>
    <w:rsid w:val="20B64159"/>
    <w:rsid w:val="20B646FB"/>
    <w:rsid w:val="20B6593D"/>
    <w:rsid w:val="20B65A27"/>
    <w:rsid w:val="20B6728A"/>
    <w:rsid w:val="20B6755A"/>
    <w:rsid w:val="20B708CF"/>
    <w:rsid w:val="20B70C76"/>
    <w:rsid w:val="20B74F71"/>
    <w:rsid w:val="20B816B5"/>
    <w:rsid w:val="20B81D5F"/>
    <w:rsid w:val="20B83463"/>
    <w:rsid w:val="20B83DF2"/>
    <w:rsid w:val="20B83E3C"/>
    <w:rsid w:val="20B8425B"/>
    <w:rsid w:val="20B84EDD"/>
    <w:rsid w:val="20B9542D"/>
    <w:rsid w:val="20B95B5F"/>
    <w:rsid w:val="20B9688A"/>
    <w:rsid w:val="20B971DB"/>
    <w:rsid w:val="20B97FD9"/>
    <w:rsid w:val="20BA2AE8"/>
    <w:rsid w:val="20BA614C"/>
    <w:rsid w:val="20BB11A5"/>
    <w:rsid w:val="20BB2F53"/>
    <w:rsid w:val="20BB7035"/>
    <w:rsid w:val="20BB73F7"/>
    <w:rsid w:val="20BC32B1"/>
    <w:rsid w:val="20BC54B9"/>
    <w:rsid w:val="20BD0520"/>
    <w:rsid w:val="20BD1B70"/>
    <w:rsid w:val="20BD316F"/>
    <w:rsid w:val="20BD4F1E"/>
    <w:rsid w:val="20BD60A7"/>
    <w:rsid w:val="20BE0AC7"/>
    <w:rsid w:val="20BE2A44"/>
    <w:rsid w:val="20BE47F2"/>
    <w:rsid w:val="20BE5BD1"/>
    <w:rsid w:val="20BF07A2"/>
    <w:rsid w:val="20BF0C96"/>
    <w:rsid w:val="20BF110E"/>
    <w:rsid w:val="20BF540A"/>
    <w:rsid w:val="20BF6076"/>
    <w:rsid w:val="20BF7061"/>
    <w:rsid w:val="20BF76FF"/>
    <w:rsid w:val="20C01C32"/>
    <w:rsid w:val="20C05FF8"/>
    <w:rsid w:val="20C067BC"/>
    <w:rsid w:val="20C141D6"/>
    <w:rsid w:val="20C20786"/>
    <w:rsid w:val="20C22534"/>
    <w:rsid w:val="20C305B3"/>
    <w:rsid w:val="20C31E08"/>
    <w:rsid w:val="20C337AE"/>
    <w:rsid w:val="20C35A90"/>
    <w:rsid w:val="20C438DB"/>
    <w:rsid w:val="20C444FE"/>
    <w:rsid w:val="20C462AC"/>
    <w:rsid w:val="20C52024"/>
    <w:rsid w:val="20C53424"/>
    <w:rsid w:val="20C53DD2"/>
    <w:rsid w:val="20C5553B"/>
    <w:rsid w:val="20C55B80"/>
    <w:rsid w:val="20C55CEA"/>
    <w:rsid w:val="20C64363"/>
    <w:rsid w:val="20C70FBF"/>
    <w:rsid w:val="20C757F3"/>
    <w:rsid w:val="20C75D9C"/>
    <w:rsid w:val="20C77B4A"/>
    <w:rsid w:val="20C81C32"/>
    <w:rsid w:val="20C84B7B"/>
    <w:rsid w:val="20C91B14"/>
    <w:rsid w:val="20C938C2"/>
    <w:rsid w:val="20C95670"/>
    <w:rsid w:val="20C97B52"/>
    <w:rsid w:val="20CA1365"/>
    <w:rsid w:val="20CA3197"/>
    <w:rsid w:val="20CA3913"/>
    <w:rsid w:val="20CA6FA5"/>
    <w:rsid w:val="20CA721E"/>
    <w:rsid w:val="20CA723A"/>
    <w:rsid w:val="20CA763A"/>
    <w:rsid w:val="20CB5604"/>
    <w:rsid w:val="20CB6693"/>
    <w:rsid w:val="20CB6F22"/>
    <w:rsid w:val="20CC33B3"/>
    <w:rsid w:val="20CC62D2"/>
    <w:rsid w:val="20CD04A5"/>
    <w:rsid w:val="20CD64B8"/>
    <w:rsid w:val="20CE2AF5"/>
    <w:rsid w:val="20CE2C87"/>
    <w:rsid w:val="20CE3F85"/>
    <w:rsid w:val="20CE6D11"/>
    <w:rsid w:val="20CE712B"/>
    <w:rsid w:val="20CF1592"/>
    <w:rsid w:val="20CF2D5D"/>
    <w:rsid w:val="20CF4C51"/>
    <w:rsid w:val="20CF69FF"/>
    <w:rsid w:val="20CF6B56"/>
    <w:rsid w:val="20D02EA3"/>
    <w:rsid w:val="20D12777"/>
    <w:rsid w:val="20D12BB7"/>
    <w:rsid w:val="20D12E2D"/>
    <w:rsid w:val="20D14525"/>
    <w:rsid w:val="20D22906"/>
    <w:rsid w:val="20D300A8"/>
    <w:rsid w:val="20D3029D"/>
    <w:rsid w:val="20D34741"/>
    <w:rsid w:val="20D3486B"/>
    <w:rsid w:val="20D3568F"/>
    <w:rsid w:val="20D364EF"/>
    <w:rsid w:val="20D40D3D"/>
    <w:rsid w:val="20D41538"/>
    <w:rsid w:val="20D44015"/>
    <w:rsid w:val="20D45DBA"/>
    <w:rsid w:val="20D504B9"/>
    <w:rsid w:val="20D529C8"/>
    <w:rsid w:val="20D61B3B"/>
    <w:rsid w:val="20D64231"/>
    <w:rsid w:val="20D66A29"/>
    <w:rsid w:val="20D67D8D"/>
    <w:rsid w:val="20D72F1D"/>
    <w:rsid w:val="20D74E08"/>
    <w:rsid w:val="20D75D18"/>
    <w:rsid w:val="20D77EB9"/>
    <w:rsid w:val="20D81349"/>
    <w:rsid w:val="20D81D57"/>
    <w:rsid w:val="20D83B05"/>
    <w:rsid w:val="20D858B3"/>
    <w:rsid w:val="20D86778"/>
    <w:rsid w:val="20DA4E1E"/>
    <w:rsid w:val="20DA5ACF"/>
    <w:rsid w:val="20DB2702"/>
    <w:rsid w:val="20DB35F6"/>
    <w:rsid w:val="20DB53A4"/>
    <w:rsid w:val="20DB683A"/>
    <w:rsid w:val="20DB686C"/>
    <w:rsid w:val="20DC29E7"/>
    <w:rsid w:val="20DC2EC0"/>
    <w:rsid w:val="20DC5E15"/>
    <w:rsid w:val="20DC6589"/>
    <w:rsid w:val="20DC7F63"/>
    <w:rsid w:val="20DD111C"/>
    <w:rsid w:val="20DD115A"/>
    <w:rsid w:val="20DD2ECA"/>
    <w:rsid w:val="20DD5AF8"/>
    <w:rsid w:val="20DD7234"/>
    <w:rsid w:val="20DD736E"/>
    <w:rsid w:val="20DE3074"/>
    <w:rsid w:val="20DE37A6"/>
    <w:rsid w:val="20DE3A7A"/>
    <w:rsid w:val="20DE6C42"/>
    <w:rsid w:val="20E007BD"/>
    <w:rsid w:val="20E029BA"/>
    <w:rsid w:val="20E05C6E"/>
    <w:rsid w:val="20E06E5E"/>
    <w:rsid w:val="20E10F6B"/>
    <w:rsid w:val="20E11235"/>
    <w:rsid w:val="20E119DF"/>
    <w:rsid w:val="20E16B40"/>
    <w:rsid w:val="20E22BD6"/>
    <w:rsid w:val="20E24FCC"/>
    <w:rsid w:val="20E26732"/>
    <w:rsid w:val="20E274CA"/>
    <w:rsid w:val="20E27EA4"/>
    <w:rsid w:val="20E32222"/>
    <w:rsid w:val="20E32E40"/>
    <w:rsid w:val="20E34BC3"/>
    <w:rsid w:val="20E40884"/>
    <w:rsid w:val="20E411AA"/>
    <w:rsid w:val="20E424AA"/>
    <w:rsid w:val="20E50D7C"/>
    <w:rsid w:val="20E51D80"/>
    <w:rsid w:val="20E56222"/>
    <w:rsid w:val="20E60919"/>
    <w:rsid w:val="20E61709"/>
    <w:rsid w:val="20E64474"/>
    <w:rsid w:val="20E701EC"/>
    <w:rsid w:val="20E73D48"/>
    <w:rsid w:val="20E74192"/>
    <w:rsid w:val="20E74DDD"/>
    <w:rsid w:val="20E80CE2"/>
    <w:rsid w:val="20E82650"/>
    <w:rsid w:val="20E922CE"/>
    <w:rsid w:val="20E93F65"/>
    <w:rsid w:val="20E95D13"/>
    <w:rsid w:val="20E976FD"/>
    <w:rsid w:val="20E97AC1"/>
    <w:rsid w:val="20EA1A41"/>
    <w:rsid w:val="20EA2A65"/>
    <w:rsid w:val="20EA3839"/>
    <w:rsid w:val="20EA55E7"/>
    <w:rsid w:val="20EA5E06"/>
    <w:rsid w:val="20EA5EE4"/>
    <w:rsid w:val="20EA68E4"/>
    <w:rsid w:val="20EA713E"/>
    <w:rsid w:val="20EB2829"/>
    <w:rsid w:val="20EB4BEE"/>
    <w:rsid w:val="20EB574C"/>
    <w:rsid w:val="20EB5A13"/>
    <w:rsid w:val="20EB6EAE"/>
    <w:rsid w:val="20EB7358"/>
    <w:rsid w:val="20EC1616"/>
    <w:rsid w:val="20EC22DE"/>
    <w:rsid w:val="20EC5803"/>
    <w:rsid w:val="20EC5ACC"/>
    <w:rsid w:val="20EC794F"/>
    <w:rsid w:val="20ED19C7"/>
    <w:rsid w:val="20ED1B43"/>
    <w:rsid w:val="20ED7EFF"/>
    <w:rsid w:val="20EE157B"/>
    <w:rsid w:val="20EF0E4F"/>
    <w:rsid w:val="20EF2BFD"/>
    <w:rsid w:val="20EF6140"/>
    <w:rsid w:val="20F055B7"/>
    <w:rsid w:val="20F06D17"/>
    <w:rsid w:val="20F077E9"/>
    <w:rsid w:val="20F12E19"/>
    <w:rsid w:val="20F14BC7"/>
    <w:rsid w:val="20F2115F"/>
    <w:rsid w:val="20F24AC1"/>
    <w:rsid w:val="20F326ED"/>
    <w:rsid w:val="20F33380"/>
    <w:rsid w:val="20F33BFB"/>
    <w:rsid w:val="20F35104"/>
    <w:rsid w:val="20F43A19"/>
    <w:rsid w:val="20F46465"/>
    <w:rsid w:val="20F473E1"/>
    <w:rsid w:val="20F50871"/>
    <w:rsid w:val="20F54406"/>
    <w:rsid w:val="20F546B7"/>
    <w:rsid w:val="20F6042F"/>
    <w:rsid w:val="20F616B2"/>
    <w:rsid w:val="20F621DE"/>
    <w:rsid w:val="20F63442"/>
    <w:rsid w:val="20F748D2"/>
    <w:rsid w:val="20F823F0"/>
    <w:rsid w:val="20F841A8"/>
    <w:rsid w:val="20F85C82"/>
    <w:rsid w:val="20F876CC"/>
    <w:rsid w:val="20F90ADD"/>
    <w:rsid w:val="20FA116C"/>
    <w:rsid w:val="20FA1CCE"/>
    <w:rsid w:val="20FA3253"/>
    <w:rsid w:val="20FA3A7C"/>
    <w:rsid w:val="20FA7627"/>
    <w:rsid w:val="20FB4A47"/>
    <w:rsid w:val="20FB5A46"/>
    <w:rsid w:val="20FC0744"/>
    <w:rsid w:val="20FC69FD"/>
    <w:rsid w:val="20FD094E"/>
    <w:rsid w:val="20FD2C47"/>
    <w:rsid w:val="20FD356C"/>
    <w:rsid w:val="20FD3C56"/>
    <w:rsid w:val="20FD531A"/>
    <w:rsid w:val="20FE0C1C"/>
    <w:rsid w:val="20FF1092"/>
    <w:rsid w:val="20FF5038"/>
    <w:rsid w:val="20FF5536"/>
    <w:rsid w:val="20FF72E4"/>
    <w:rsid w:val="2100305C"/>
    <w:rsid w:val="21004E0A"/>
    <w:rsid w:val="21005984"/>
    <w:rsid w:val="21007A18"/>
    <w:rsid w:val="21010555"/>
    <w:rsid w:val="210112AE"/>
    <w:rsid w:val="21016E14"/>
    <w:rsid w:val="21022930"/>
    <w:rsid w:val="2102352F"/>
    <w:rsid w:val="21026DD4"/>
    <w:rsid w:val="21027031"/>
    <w:rsid w:val="21042B4C"/>
    <w:rsid w:val="210448FA"/>
    <w:rsid w:val="210466A8"/>
    <w:rsid w:val="21050673"/>
    <w:rsid w:val="21051455"/>
    <w:rsid w:val="21056DDA"/>
    <w:rsid w:val="210617F6"/>
    <w:rsid w:val="21064A21"/>
    <w:rsid w:val="21066D51"/>
    <w:rsid w:val="21072BF9"/>
    <w:rsid w:val="210743EB"/>
    <w:rsid w:val="21076199"/>
    <w:rsid w:val="2107657B"/>
    <w:rsid w:val="21077565"/>
    <w:rsid w:val="210804F6"/>
    <w:rsid w:val="21080AD4"/>
    <w:rsid w:val="21090163"/>
    <w:rsid w:val="21090177"/>
    <w:rsid w:val="21091F11"/>
    <w:rsid w:val="21093CBF"/>
    <w:rsid w:val="21094E58"/>
    <w:rsid w:val="210A1607"/>
    <w:rsid w:val="210A7A37"/>
    <w:rsid w:val="210B3EDB"/>
    <w:rsid w:val="210C1A01"/>
    <w:rsid w:val="210C371F"/>
    <w:rsid w:val="210C5668"/>
    <w:rsid w:val="210C6EE3"/>
    <w:rsid w:val="210C78BE"/>
    <w:rsid w:val="210D16C9"/>
    <w:rsid w:val="210E2B59"/>
    <w:rsid w:val="210E5779"/>
    <w:rsid w:val="210E70E0"/>
    <w:rsid w:val="210E7527"/>
    <w:rsid w:val="210E7F88"/>
    <w:rsid w:val="210F1F55"/>
    <w:rsid w:val="210F2C8F"/>
    <w:rsid w:val="210F3F89"/>
    <w:rsid w:val="210F504D"/>
    <w:rsid w:val="210F6F63"/>
    <w:rsid w:val="211014F1"/>
    <w:rsid w:val="21102D93"/>
    <w:rsid w:val="21104ABE"/>
    <w:rsid w:val="21105108"/>
    <w:rsid w:val="21107582"/>
    <w:rsid w:val="21110DC5"/>
    <w:rsid w:val="21115269"/>
    <w:rsid w:val="211156FF"/>
    <w:rsid w:val="21117017"/>
    <w:rsid w:val="21120767"/>
    <w:rsid w:val="21122BBE"/>
    <w:rsid w:val="2112446B"/>
    <w:rsid w:val="21124EAE"/>
    <w:rsid w:val="21125DCE"/>
    <w:rsid w:val="211262ED"/>
    <w:rsid w:val="21130FE1"/>
    <w:rsid w:val="21132D8F"/>
    <w:rsid w:val="21132EE8"/>
    <w:rsid w:val="21133DFA"/>
    <w:rsid w:val="21134B3E"/>
    <w:rsid w:val="21137A4A"/>
    <w:rsid w:val="211422E8"/>
    <w:rsid w:val="211431D7"/>
    <w:rsid w:val="21152AF1"/>
    <w:rsid w:val="21154D5A"/>
    <w:rsid w:val="2115623E"/>
    <w:rsid w:val="21162880"/>
    <w:rsid w:val="21170CAE"/>
    <w:rsid w:val="21170D43"/>
    <w:rsid w:val="21180095"/>
    <w:rsid w:val="2118037E"/>
    <w:rsid w:val="211803A6"/>
    <w:rsid w:val="2118076D"/>
    <w:rsid w:val="21180F60"/>
    <w:rsid w:val="21182154"/>
    <w:rsid w:val="21183C0B"/>
    <w:rsid w:val="21183C64"/>
    <w:rsid w:val="2118531C"/>
    <w:rsid w:val="2118585A"/>
    <w:rsid w:val="211865F8"/>
    <w:rsid w:val="211867DC"/>
    <w:rsid w:val="21186EF7"/>
    <w:rsid w:val="21187826"/>
    <w:rsid w:val="21190011"/>
    <w:rsid w:val="21192572"/>
    <w:rsid w:val="211A411E"/>
    <w:rsid w:val="211A62D4"/>
    <w:rsid w:val="211B1C44"/>
    <w:rsid w:val="211B39F2"/>
    <w:rsid w:val="211B62B4"/>
    <w:rsid w:val="211C2AD5"/>
    <w:rsid w:val="211C515D"/>
    <w:rsid w:val="211C60E8"/>
    <w:rsid w:val="211C6679"/>
    <w:rsid w:val="211C7E84"/>
    <w:rsid w:val="211D2CCE"/>
    <w:rsid w:val="211D2FA2"/>
    <w:rsid w:val="211D3C0E"/>
    <w:rsid w:val="211D4C01"/>
    <w:rsid w:val="211D6CC1"/>
    <w:rsid w:val="211D6F29"/>
    <w:rsid w:val="211E0F0D"/>
    <w:rsid w:val="211E23D3"/>
    <w:rsid w:val="211E5DCE"/>
    <w:rsid w:val="211F1734"/>
    <w:rsid w:val="21205EB9"/>
    <w:rsid w:val="21207A5E"/>
    <w:rsid w:val="212136FE"/>
    <w:rsid w:val="21214847"/>
    <w:rsid w:val="21221B4A"/>
    <w:rsid w:val="21224D81"/>
    <w:rsid w:val="2122742B"/>
    <w:rsid w:val="21230D1E"/>
    <w:rsid w:val="2123321B"/>
    <w:rsid w:val="212338EF"/>
    <w:rsid w:val="21235149"/>
    <w:rsid w:val="2124157C"/>
    <w:rsid w:val="21244D7F"/>
    <w:rsid w:val="21246401"/>
    <w:rsid w:val="2126035D"/>
    <w:rsid w:val="21266726"/>
    <w:rsid w:val="21272270"/>
    <w:rsid w:val="2127363D"/>
    <w:rsid w:val="2127467F"/>
    <w:rsid w:val="21274A8D"/>
    <w:rsid w:val="2127683B"/>
    <w:rsid w:val="212810D7"/>
    <w:rsid w:val="21290029"/>
    <w:rsid w:val="212925B3"/>
    <w:rsid w:val="21294361"/>
    <w:rsid w:val="2129610F"/>
    <w:rsid w:val="212A1E87"/>
    <w:rsid w:val="212A3C0D"/>
    <w:rsid w:val="212A6A7B"/>
    <w:rsid w:val="212A7E4C"/>
    <w:rsid w:val="212B00D9"/>
    <w:rsid w:val="212B632B"/>
    <w:rsid w:val="212C3222"/>
    <w:rsid w:val="212C3E51"/>
    <w:rsid w:val="212C4C52"/>
    <w:rsid w:val="212C5BFF"/>
    <w:rsid w:val="212D28F4"/>
    <w:rsid w:val="212D2AB8"/>
    <w:rsid w:val="212D4F3B"/>
    <w:rsid w:val="212D7038"/>
    <w:rsid w:val="212D7572"/>
    <w:rsid w:val="212E3725"/>
    <w:rsid w:val="212E5E1B"/>
    <w:rsid w:val="212F75DD"/>
    <w:rsid w:val="21303941"/>
    <w:rsid w:val="213056EF"/>
    <w:rsid w:val="21305AE2"/>
    <w:rsid w:val="2130749E"/>
    <w:rsid w:val="21313216"/>
    <w:rsid w:val="213136D4"/>
    <w:rsid w:val="21313FB2"/>
    <w:rsid w:val="213157A2"/>
    <w:rsid w:val="21315EF3"/>
    <w:rsid w:val="2132135A"/>
    <w:rsid w:val="2132633C"/>
    <w:rsid w:val="21327383"/>
    <w:rsid w:val="213274AB"/>
    <w:rsid w:val="213276BA"/>
    <w:rsid w:val="21330813"/>
    <w:rsid w:val="213315F2"/>
    <w:rsid w:val="213351E0"/>
    <w:rsid w:val="21335A88"/>
    <w:rsid w:val="2133779E"/>
    <w:rsid w:val="21340F55"/>
    <w:rsid w:val="21343328"/>
    <w:rsid w:val="21350851"/>
    <w:rsid w:val="21352D06"/>
    <w:rsid w:val="21353243"/>
    <w:rsid w:val="21354AB4"/>
    <w:rsid w:val="213571AA"/>
    <w:rsid w:val="2136082C"/>
    <w:rsid w:val="2136500C"/>
    <w:rsid w:val="21371494"/>
    <w:rsid w:val="213760C2"/>
    <w:rsid w:val="213762C4"/>
    <w:rsid w:val="21380A48"/>
    <w:rsid w:val="213827F6"/>
    <w:rsid w:val="213845A4"/>
    <w:rsid w:val="21385F34"/>
    <w:rsid w:val="21386DF3"/>
    <w:rsid w:val="21387D2A"/>
    <w:rsid w:val="21395B15"/>
    <w:rsid w:val="213A031C"/>
    <w:rsid w:val="213A47C0"/>
    <w:rsid w:val="213A747F"/>
    <w:rsid w:val="213B4094"/>
    <w:rsid w:val="213B74B1"/>
    <w:rsid w:val="213C0ED8"/>
    <w:rsid w:val="213C22E6"/>
    <w:rsid w:val="213D1BBA"/>
    <w:rsid w:val="213D5465"/>
    <w:rsid w:val="213D57CB"/>
    <w:rsid w:val="213D605E"/>
    <w:rsid w:val="213D764D"/>
    <w:rsid w:val="213E279A"/>
    <w:rsid w:val="213E7A82"/>
    <w:rsid w:val="213F1987"/>
    <w:rsid w:val="213F1DD6"/>
    <w:rsid w:val="213F5933"/>
    <w:rsid w:val="21401420"/>
    <w:rsid w:val="214037E5"/>
    <w:rsid w:val="21405039"/>
    <w:rsid w:val="2140670A"/>
    <w:rsid w:val="214116AB"/>
    <w:rsid w:val="214142A7"/>
    <w:rsid w:val="2141536D"/>
    <w:rsid w:val="21415B4F"/>
    <w:rsid w:val="21417877"/>
    <w:rsid w:val="214178FD"/>
    <w:rsid w:val="21424A7E"/>
    <w:rsid w:val="21425898"/>
    <w:rsid w:val="21426520"/>
    <w:rsid w:val="214271D1"/>
    <w:rsid w:val="21431371"/>
    <w:rsid w:val="21432ED9"/>
    <w:rsid w:val="21433B0C"/>
    <w:rsid w:val="2143444D"/>
    <w:rsid w:val="2144119B"/>
    <w:rsid w:val="21442C28"/>
    <w:rsid w:val="21442F49"/>
    <w:rsid w:val="21447AE5"/>
    <w:rsid w:val="2145625A"/>
    <w:rsid w:val="21464F13"/>
    <w:rsid w:val="21466C89"/>
    <w:rsid w:val="21470119"/>
    <w:rsid w:val="21470C8B"/>
    <w:rsid w:val="21472CE9"/>
    <w:rsid w:val="214747E7"/>
    <w:rsid w:val="21477FCA"/>
    <w:rsid w:val="2149055F"/>
    <w:rsid w:val="21494A03"/>
    <w:rsid w:val="21495609"/>
    <w:rsid w:val="21495670"/>
    <w:rsid w:val="214B03E8"/>
    <w:rsid w:val="214B077B"/>
    <w:rsid w:val="214B2529"/>
    <w:rsid w:val="214B42D7"/>
    <w:rsid w:val="214B7F32"/>
    <w:rsid w:val="214C004F"/>
    <w:rsid w:val="214C62A1"/>
    <w:rsid w:val="214D3C2D"/>
    <w:rsid w:val="214D4C03"/>
    <w:rsid w:val="214D6A87"/>
    <w:rsid w:val="214E117C"/>
    <w:rsid w:val="214E201A"/>
    <w:rsid w:val="214E39D9"/>
    <w:rsid w:val="214E541A"/>
    <w:rsid w:val="214F19B1"/>
    <w:rsid w:val="214F6F9D"/>
    <w:rsid w:val="214F7D3A"/>
    <w:rsid w:val="21506DAC"/>
    <w:rsid w:val="21507B40"/>
    <w:rsid w:val="21513D9B"/>
    <w:rsid w:val="21515666"/>
    <w:rsid w:val="2151654D"/>
    <w:rsid w:val="2152133A"/>
    <w:rsid w:val="21521B0A"/>
    <w:rsid w:val="21522262"/>
    <w:rsid w:val="215238B8"/>
    <w:rsid w:val="21534A92"/>
    <w:rsid w:val="21534B33"/>
    <w:rsid w:val="21534BB8"/>
    <w:rsid w:val="21535882"/>
    <w:rsid w:val="215373B5"/>
    <w:rsid w:val="21537630"/>
    <w:rsid w:val="21551108"/>
    <w:rsid w:val="21555156"/>
    <w:rsid w:val="215552ED"/>
    <w:rsid w:val="21556F04"/>
    <w:rsid w:val="21562C7C"/>
    <w:rsid w:val="21562FAF"/>
    <w:rsid w:val="2156677D"/>
    <w:rsid w:val="215674A9"/>
    <w:rsid w:val="2157060A"/>
    <w:rsid w:val="21570ECE"/>
    <w:rsid w:val="21571AD7"/>
    <w:rsid w:val="21577120"/>
    <w:rsid w:val="2158070A"/>
    <w:rsid w:val="21582E98"/>
    <w:rsid w:val="21584C46"/>
    <w:rsid w:val="215869F4"/>
    <w:rsid w:val="215950FE"/>
    <w:rsid w:val="2159718F"/>
    <w:rsid w:val="215A0430"/>
    <w:rsid w:val="215A09BE"/>
    <w:rsid w:val="215A2310"/>
    <w:rsid w:val="215A2592"/>
    <w:rsid w:val="215A291F"/>
    <w:rsid w:val="215A3097"/>
    <w:rsid w:val="215A451A"/>
    <w:rsid w:val="215A475A"/>
    <w:rsid w:val="215A658E"/>
    <w:rsid w:val="215A6C10"/>
    <w:rsid w:val="215C1096"/>
    <w:rsid w:val="215C4736"/>
    <w:rsid w:val="215C4E0D"/>
    <w:rsid w:val="215C64E4"/>
    <w:rsid w:val="215C7CDE"/>
    <w:rsid w:val="215D04AF"/>
    <w:rsid w:val="215D0D52"/>
    <w:rsid w:val="215D18EC"/>
    <w:rsid w:val="215D225D"/>
    <w:rsid w:val="215D233E"/>
    <w:rsid w:val="215D400B"/>
    <w:rsid w:val="215D5774"/>
    <w:rsid w:val="215D72BB"/>
    <w:rsid w:val="215E7AE0"/>
    <w:rsid w:val="215F0F70"/>
    <w:rsid w:val="215F4227"/>
    <w:rsid w:val="215F5FD5"/>
    <w:rsid w:val="215F709E"/>
    <w:rsid w:val="21605D66"/>
    <w:rsid w:val="21611D4D"/>
    <w:rsid w:val="21613AFB"/>
    <w:rsid w:val="21616458"/>
    <w:rsid w:val="21617836"/>
    <w:rsid w:val="21617F9F"/>
    <w:rsid w:val="21621431"/>
    <w:rsid w:val="21621621"/>
    <w:rsid w:val="21624696"/>
    <w:rsid w:val="21627838"/>
    <w:rsid w:val="21627873"/>
    <w:rsid w:val="216278F1"/>
    <w:rsid w:val="21631505"/>
    <w:rsid w:val="21635AC5"/>
    <w:rsid w:val="21636259"/>
    <w:rsid w:val="2164183D"/>
    <w:rsid w:val="21642211"/>
    <w:rsid w:val="216435EB"/>
    <w:rsid w:val="2165164A"/>
    <w:rsid w:val="21654D7A"/>
    <w:rsid w:val="21655700"/>
    <w:rsid w:val="21655BB1"/>
    <w:rsid w:val="216600BB"/>
    <w:rsid w:val="21661111"/>
    <w:rsid w:val="216655B5"/>
    <w:rsid w:val="21675FC1"/>
    <w:rsid w:val="21676C37"/>
    <w:rsid w:val="21680B92"/>
    <w:rsid w:val="21680FDF"/>
    <w:rsid w:val="21692022"/>
    <w:rsid w:val="216929AF"/>
    <w:rsid w:val="216940ED"/>
    <w:rsid w:val="21696E53"/>
    <w:rsid w:val="216A323B"/>
    <w:rsid w:val="216A6083"/>
    <w:rsid w:val="216B02BD"/>
    <w:rsid w:val="216B1CE4"/>
    <w:rsid w:val="216B500D"/>
    <w:rsid w:val="216B551D"/>
    <w:rsid w:val="216C3C7F"/>
    <w:rsid w:val="216C556D"/>
    <w:rsid w:val="216C7072"/>
    <w:rsid w:val="216C7F09"/>
    <w:rsid w:val="216D3574"/>
    <w:rsid w:val="216D4A04"/>
    <w:rsid w:val="216D6944"/>
    <w:rsid w:val="216D7A19"/>
    <w:rsid w:val="216E32C3"/>
    <w:rsid w:val="216E446A"/>
    <w:rsid w:val="216E6218"/>
    <w:rsid w:val="216F2348"/>
    <w:rsid w:val="216F4B4A"/>
    <w:rsid w:val="216F5F71"/>
    <w:rsid w:val="217007B4"/>
    <w:rsid w:val="21701F90"/>
    <w:rsid w:val="21703D3E"/>
    <w:rsid w:val="21706052"/>
    <w:rsid w:val="21713385"/>
    <w:rsid w:val="21713CFB"/>
    <w:rsid w:val="21715D40"/>
    <w:rsid w:val="21717B2E"/>
    <w:rsid w:val="21723F5A"/>
    <w:rsid w:val="21724024"/>
    <w:rsid w:val="21724815"/>
    <w:rsid w:val="21725D08"/>
    <w:rsid w:val="21727D80"/>
    <w:rsid w:val="21731A80"/>
    <w:rsid w:val="21732E92"/>
    <w:rsid w:val="2173382E"/>
    <w:rsid w:val="217355DC"/>
    <w:rsid w:val="21735CA5"/>
    <w:rsid w:val="21736F40"/>
    <w:rsid w:val="21742705"/>
    <w:rsid w:val="2174620A"/>
    <w:rsid w:val="21747135"/>
    <w:rsid w:val="21747CD2"/>
    <w:rsid w:val="217505C5"/>
    <w:rsid w:val="217553E2"/>
    <w:rsid w:val="217575A6"/>
    <w:rsid w:val="2175763B"/>
    <w:rsid w:val="217605A2"/>
    <w:rsid w:val="21761FCB"/>
    <w:rsid w:val="21762D01"/>
    <w:rsid w:val="21767881"/>
    <w:rsid w:val="21771570"/>
    <w:rsid w:val="2177331E"/>
    <w:rsid w:val="21775AB6"/>
    <w:rsid w:val="21780E44"/>
    <w:rsid w:val="21783778"/>
    <w:rsid w:val="21787758"/>
    <w:rsid w:val="217952E8"/>
    <w:rsid w:val="217953A0"/>
    <w:rsid w:val="2179563C"/>
    <w:rsid w:val="217961A0"/>
    <w:rsid w:val="2179624A"/>
    <w:rsid w:val="217A2E0F"/>
    <w:rsid w:val="217A33F8"/>
    <w:rsid w:val="217A4BBD"/>
    <w:rsid w:val="217B0E7A"/>
    <w:rsid w:val="217B16B2"/>
    <w:rsid w:val="217C0935"/>
    <w:rsid w:val="217D1928"/>
    <w:rsid w:val="217D3D7E"/>
    <w:rsid w:val="217D4371"/>
    <w:rsid w:val="217D46AD"/>
    <w:rsid w:val="217D6697"/>
    <w:rsid w:val="217E28FF"/>
    <w:rsid w:val="217E2DB8"/>
    <w:rsid w:val="217E4497"/>
    <w:rsid w:val="217E5989"/>
    <w:rsid w:val="217F0729"/>
    <w:rsid w:val="217F2120"/>
    <w:rsid w:val="217F21D3"/>
    <w:rsid w:val="217F30C7"/>
    <w:rsid w:val="218003A4"/>
    <w:rsid w:val="21811739"/>
    <w:rsid w:val="218125A1"/>
    <w:rsid w:val="2181419D"/>
    <w:rsid w:val="21817CF9"/>
    <w:rsid w:val="21821CC3"/>
    <w:rsid w:val="21822ADA"/>
    <w:rsid w:val="21823A71"/>
    <w:rsid w:val="21832B8D"/>
    <w:rsid w:val="218332CE"/>
    <w:rsid w:val="21833821"/>
    <w:rsid w:val="21833993"/>
    <w:rsid w:val="218400BA"/>
    <w:rsid w:val="21843C8D"/>
    <w:rsid w:val="218454ED"/>
    <w:rsid w:val="21845A3B"/>
    <w:rsid w:val="21850130"/>
    <w:rsid w:val="21853B4D"/>
    <w:rsid w:val="21863561"/>
    <w:rsid w:val="218705D8"/>
    <w:rsid w:val="21871088"/>
    <w:rsid w:val="21871145"/>
    <w:rsid w:val="2187228F"/>
    <w:rsid w:val="21877B70"/>
    <w:rsid w:val="218802D5"/>
    <w:rsid w:val="2188053F"/>
    <w:rsid w:val="218826E5"/>
    <w:rsid w:val="21884874"/>
    <w:rsid w:val="2188552B"/>
    <w:rsid w:val="21886A3B"/>
    <w:rsid w:val="21892D14"/>
    <w:rsid w:val="2189381D"/>
    <w:rsid w:val="218A3A0E"/>
    <w:rsid w:val="218B0B78"/>
    <w:rsid w:val="218B501C"/>
    <w:rsid w:val="218B62E9"/>
    <w:rsid w:val="218B6AFD"/>
    <w:rsid w:val="218C6BD3"/>
    <w:rsid w:val="218C7739"/>
    <w:rsid w:val="218D2B42"/>
    <w:rsid w:val="218D4927"/>
    <w:rsid w:val="218E2416"/>
    <w:rsid w:val="218F339D"/>
    <w:rsid w:val="218F3D3D"/>
    <w:rsid w:val="218F4AAF"/>
    <w:rsid w:val="219043E0"/>
    <w:rsid w:val="219051CD"/>
    <w:rsid w:val="2190618E"/>
    <w:rsid w:val="219062E0"/>
    <w:rsid w:val="2191122E"/>
    <w:rsid w:val="21913598"/>
    <w:rsid w:val="21913937"/>
    <w:rsid w:val="2191623E"/>
    <w:rsid w:val="21921F06"/>
    <w:rsid w:val="2192499C"/>
    <w:rsid w:val="21925323"/>
    <w:rsid w:val="21930481"/>
    <w:rsid w:val="21932C04"/>
    <w:rsid w:val="21933ED0"/>
    <w:rsid w:val="21934186"/>
    <w:rsid w:val="21934EB6"/>
    <w:rsid w:val="21935C7E"/>
    <w:rsid w:val="219365FF"/>
    <w:rsid w:val="2193671F"/>
    <w:rsid w:val="21945185"/>
    <w:rsid w:val="2194572D"/>
    <w:rsid w:val="2195103F"/>
    <w:rsid w:val="21951666"/>
    <w:rsid w:val="219519F6"/>
    <w:rsid w:val="2195301A"/>
    <w:rsid w:val="219530A8"/>
    <w:rsid w:val="219536BB"/>
    <w:rsid w:val="21957C48"/>
    <w:rsid w:val="219624CF"/>
    <w:rsid w:val="21962EE4"/>
    <w:rsid w:val="2197576F"/>
    <w:rsid w:val="2197751D"/>
    <w:rsid w:val="21981101"/>
    <w:rsid w:val="21986850"/>
    <w:rsid w:val="219914E7"/>
    <w:rsid w:val="21992591"/>
    <w:rsid w:val="21992D5D"/>
    <w:rsid w:val="21993A30"/>
    <w:rsid w:val="21994065"/>
    <w:rsid w:val="21996A45"/>
    <w:rsid w:val="21997739"/>
    <w:rsid w:val="219A3A21"/>
    <w:rsid w:val="219A525F"/>
    <w:rsid w:val="219A57D9"/>
    <w:rsid w:val="219A700D"/>
    <w:rsid w:val="219B0F11"/>
    <w:rsid w:val="219B527C"/>
    <w:rsid w:val="219C2D85"/>
    <w:rsid w:val="219C4B33"/>
    <w:rsid w:val="219C6341"/>
    <w:rsid w:val="219D08AB"/>
    <w:rsid w:val="219D4853"/>
    <w:rsid w:val="219E0C7B"/>
    <w:rsid w:val="219E2A00"/>
    <w:rsid w:val="219E4D4F"/>
    <w:rsid w:val="219F0AC7"/>
    <w:rsid w:val="219F1CE3"/>
    <w:rsid w:val="219F426A"/>
    <w:rsid w:val="219F4623"/>
    <w:rsid w:val="219F63D1"/>
    <w:rsid w:val="219F6400"/>
    <w:rsid w:val="21A0497B"/>
    <w:rsid w:val="21A1168B"/>
    <w:rsid w:val="21A12149"/>
    <w:rsid w:val="21A1249A"/>
    <w:rsid w:val="21A165ED"/>
    <w:rsid w:val="21A22604"/>
    <w:rsid w:val="21A22F19"/>
    <w:rsid w:val="21A25EC1"/>
    <w:rsid w:val="21A32365"/>
    <w:rsid w:val="21A34113"/>
    <w:rsid w:val="21A35A6C"/>
    <w:rsid w:val="21A44AD3"/>
    <w:rsid w:val="21A460DD"/>
    <w:rsid w:val="21A47E8B"/>
    <w:rsid w:val="21A502FB"/>
    <w:rsid w:val="21A50B34"/>
    <w:rsid w:val="21A63705"/>
    <w:rsid w:val="21A63C04"/>
    <w:rsid w:val="21A659B2"/>
    <w:rsid w:val="21A67760"/>
    <w:rsid w:val="21A7594B"/>
    <w:rsid w:val="21A771C1"/>
    <w:rsid w:val="21A8172A"/>
    <w:rsid w:val="21A8797C"/>
    <w:rsid w:val="21A954A2"/>
    <w:rsid w:val="21A97250"/>
    <w:rsid w:val="21A97696"/>
    <w:rsid w:val="21AA19C9"/>
    <w:rsid w:val="21AA3516"/>
    <w:rsid w:val="21AA36F4"/>
    <w:rsid w:val="21AA3700"/>
    <w:rsid w:val="21AB121A"/>
    <w:rsid w:val="21AB1710"/>
    <w:rsid w:val="21AB2FC8"/>
    <w:rsid w:val="21AB746C"/>
    <w:rsid w:val="21AC5E36"/>
    <w:rsid w:val="21AD0AEE"/>
    <w:rsid w:val="21AD4F92"/>
    <w:rsid w:val="21AD63CE"/>
    <w:rsid w:val="21AD6D40"/>
    <w:rsid w:val="21AE1E97"/>
    <w:rsid w:val="21AE2AB8"/>
    <w:rsid w:val="21AE4866"/>
    <w:rsid w:val="21AF0D0A"/>
    <w:rsid w:val="21AF59CF"/>
    <w:rsid w:val="21AF6A69"/>
    <w:rsid w:val="21B04A82"/>
    <w:rsid w:val="21B05C47"/>
    <w:rsid w:val="21B06830"/>
    <w:rsid w:val="21B07388"/>
    <w:rsid w:val="21B115E6"/>
    <w:rsid w:val="21B170D7"/>
    <w:rsid w:val="21B207FA"/>
    <w:rsid w:val="21B225A8"/>
    <w:rsid w:val="21B24356"/>
    <w:rsid w:val="21B26104"/>
    <w:rsid w:val="21B26EA7"/>
    <w:rsid w:val="21B31E7D"/>
    <w:rsid w:val="21B32569"/>
    <w:rsid w:val="21B33A59"/>
    <w:rsid w:val="21B42009"/>
    <w:rsid w:val="21B43978"/>
    <w:rsid w:val="21B45880"/>
    <w:rsid w:val="21B45A7D"/>
    <w:rsid w:val="21B46321"/>
    <w:rsid w:val="21B7196D"/>
    <w:rsid w:val="21B75E11"/>
    <w:rsid w:val="21B764BA"/>
    <w:rsid w:val="21B77BBF"/>
    <w:rsid w:val="21B81511"/>
    <w:rsid w:val="21B856E5"/>
    <w:rsid w:val="21B87493"/>
    <w:rsid w:val="21B91B40"/>
    <w:rsid w:val="21B92ABB"/>
    <w:rsid w:val="21B93339"/>
    <w:rsid w:val="21B97BDA"/>
    <w:rsid w:val="21BA145D"/>
    <w:rsid w:val="21BA76AF"/>
    <w:rsid w:val="21BB02FB"/>
    <w:rsid w:val="21BC3427"/>
    <w:rsid w:val="21BC51D5"/>
    <w:rsid w:val="21BC592B"/>
    <w:rsid w:val="21BC5949"/>
    <w:rsid w:val="21BC677A"/>
    <w:rsid w:val="21BC6F83"/>
    <w:rsid w:val="21BD3E4B"/>
    <w:rsid w:val="21BD58BA"/>
    <w:rsid w:val="21BD66B9"/>
    <w:rsid w:val="21BD7368"/>
    <w:rsid w:val="21BD75D2"/>
    <w:rsid w:val="21BE0F4D"/>
    <w:rsid w:val="21BE2CFB"/>
    <w:rsid w:val="21BE2E1C"/>
    <w:rsid w:val="21BE719F"/>
    <w:rsid w:val="21BF0856"/>
    <w:rsid w:val="21BF23CF"/>
    <w:rsid w:val="21BF4A89"/>
    <w:rsid w:val="21BF4CC5"/>
    <w:rsid w:val="21BF5804"/>
    <w:rsid w:val="21BF7911"/>
    <w:rsid w:val="21C01F8C"/>
    <w:rsid w:val="21C06266"/>
    <w:rsid w:val="21C07A42"/>
    <w:rsid w:val="21C1113B"/>
    <w:rsid w:val="21C1459A"/>
    <w:rsid w:val="21C26275"/>
    <w:rsid w:val="21C278B0"/>
    <w:rsid w:val="21C27EA7"/>
    <w:rsid w:val="21C30312"/>
    <w:rsid w:val="21C317BD"/>
    <w:rsid w:val="21C347B6"/>
    <w:rsid w:val="21C359FD"/>
    <w:rsid w:val="21C36564"/>
    <w:rsid w:val="21C370CD"/>
    <w:rsid w:val="21C422DC"/>
    <w:rsid w:val="21C4408A"/>
    <w:rsid w:val="21C4681B"/>
    <w:rsid w:val="21C5554D"/>
    <w:rsid w:val="21C6401B"/>
    <w:rsid w:val="21C66054"/>
    <w:rsid w:val="21C665E1"/>
    <w:rsid w:val="21C67E02"/>
    <w:rsid w:val="21C709E5"/>
    <w:rsid w:val="21C72A3E"/>
    <w:rsid w:val="21C75F73"/>
    <w:rsid w:val="21C76D7B"/>
    <w:rsid w:val="21C80E27"/>
    <w:rsid w:val="21C80E83"/>
    <w:rsid w:val="21C83455"/>
    <w:rsid w:val="21C916A0"/>
    <w:rsid w:val="21C9535E"/>
    <w:rsid w:val="21C978F2"/>
    <w:rsid w:val="21CA5B44"/>
    <w:rsid w:val="21CB284F"/>
    <w:rsid w:val="21CB366A"/>
    <w:rsid w:val="21CB5418"/>
    <w:rsid w:val="21CB71C6"/>
    <w:rsid w:val="21CE0AA4"/>
    <w:rsid w:val="21CE1695"/>
    <w:rsid w:val="21CE4B81"/>
    <w:rsid w:val="21CE5A42"/>
    <w:rsid w:val="21CE62D5"/>
    <w:rsid w:val="21CF11D0"/>
    <w:rsid w:val="21CF271E"/>
    <w:rsid w:val="21CF315A"/>
    <w:rsid w:val="21CF4A58"/>
    <w:rsid w:val="21CF4F08"/>
    <w:rsid w:val="21CF55C0"/>
    <w:rsid w:val="21D02660"/>
    <w:rsid w:val="21D02A2F"/>
    <w:rsid w:val="21D06224"/>
    <w:rsid w:val="21D10A55"/>
    <w:rsid w:val="21D14AB0"/>
    <w:rsid w:val="21D20555"/>
    <w:rsid w:val="21D3094F"/>
    <w:rsid w:val="21D342CD"/>
    <w:rsid w:val="21D34E7A"/>
    <w:rsid w:val="21D34ECD"/>
    <w:rsid w:val="21D36222"/>
    <w:rsid w:val="21D365DE"/>
    <w:rsid w:val="21D50045"/>
    <w:rsid w:val="21D52124"/>
    <w:rsid w:val="21D54C21"/>
    <w:rsid w:val="21D56297"/>
    <w:rsid w:val="21D57263"/>
    <w:rsid w:val="21D64782"/>
    <w:rsid w:val="21D70261"/>
    <w:rsid w:val="21D70DF2"/>
    <w:rsid w:val="21D72FF7"/>
    <w:rsid w:val="21D7311F"/>
    <w:rsid w:val="21D73DBD"/>
    <w:rsid w:val="21D744CA"/>
    <w:rsid w:val="21D934E8"/>
    <w:rsid w:val="21D95D87"/>
    <w:rsid w:val="21DA1AFF"/>
    <w:rsid w:val="21DA38AD"/>
    <w:rsid w:val="21DA565B"/>
    <w:rsid w:val="21DA62E3"/>
    <w:rsid w:val="21DA63BD"/>
    <w:rsid w:val="21DA73FB"/>
    <w:rsid w:val="21DB2344"/>
    <w:rsid w:val="21DB7773"/>
    <w:rsid w:val="21DC5877"/>
    <w:rsid w:val="21DC7625"/>
    <w:rsid w:val="21DC7840"/>
    <w:rsid w:val="21DD0B6E"/>
    <w:rsid w:val="21DD116A"/>
    <w:rsid w:val="21DE15EF"/>
    <w:rsid w:val="21DE318A"/>
    <w:rsid w:val="21DE339D"/>
    <w:rsid w:val="21DE44CE"/>
    <w:rsid w:val="21DE514B"/>
    <w:rsid w:val="21DE7835"/>
    <w:rsid w:val="21DF2C72"/>
    <w:rsid w:val="21DF374C"/>
    <w:rsid w:val="21DF3896"/>
    <w:rsid w:val="21E01462"/>
    <w:rsid w:val="21E0244A"/>
    <w:rsid w:val="21E0307B"/>
    <w:rsid w:val="21E040E6"/>
    <w:rsid w:val="21E07116"/>
    <w:rsid w:val="21E075A7"/>
    <w:rsid w:val="21E11163"/>
    <w:rsid w:val="21E12E8E"/>
    <w:rsid w:val="21E14A75"/>
    <w:rsid w:val="21E15391"/>
    <w:rsid w:val="21E21C07"/>
    <w:rsid w:val="21E22735"/>
    <w:rsid w:val="21E309B4"/>
    <w:rsid w:val="21E30AD6"/>
    <w:rsid w:val="21E332A1"/>
    <w:rsid w:val="21E336A7"/>
    <w:rsid w:val="21E41A30"/>
    <w:rsid w:val="21E457BF"/>
    <w:rsid w:val="21E4596C"/>
    <w:rsid w:val="21E46311"/>
    <w:rsid w:val="21E50699"/>
    <w:rsid w:val="21E533F6"/>
    <w:rsid w:val="21E5472C"/>
    <w:rsid w:val="21E55FC7"/>
    <w:rsid w:val="21E604A4"/>
    <w:rsid w:val="21E62252"/>
    <w:rsid w:val="21E64000"/>
    <w:rsid w:val="21E64897"/>
    <w:rsid w:val="21E70203"/>
    <w:rsid w:val="21E72028"/>
    <w:rsid w:val="21E81D77"/>
    <w:rsid w:val="21E834B8"/>
    <w:rsid w:val="21E8421C"/>
    <w:rsid w:val="21E85FCA"/>
    <w:rsid w:val="21E87D78"/>
    <w:rsid w:val="21E92B41"/>
    <w:rsid w:val="21E949C3"/>
    <w:rsid w:val="21E96E3C"/>
    <w:rsid w:val="21E9722F"/>
    <w:rsid w:val="21EA09A9"/>
    <w:rsid w:val="21EA0E4D"/>
    <w:rsid w:val="21EA18AD"/>
    <w:rsid w:val="21EA1C0A"/>
    <w:rsid w:val="21EA1D42"/>
    <w:rsid w:val="21EA47D1"/>
    <w:rsid w:val="21EB1616"/>
    <w:rsid w:val="21EB1C9F"/>
    <w:rsid w:val="21EB3785"/>
    <w:rsid w:val="21EB3CD2"/>
    <w:rsid w:val="21EB5ABA"/>
    <w:rsid w:val="21EB5EAC"/>
    <w:rsid w:val="21EC2233"/>
    <w:rsid w:val="21EC32C9"/>
    <w:rsid w:val="21ED1832"/>
    <w:rsid w:val="21ED35E0"/>
    <w:rsid w:val="21ED3E28"/>
    <w:rsid w:val="21ED4759"/>
    <w:rsid w:val="21EE1107"/>
    <w:rsid w:val="21EE3754"/>
    <w:rsid w:val="21EE5BE9"/>
    <w:rsid w:val="21EF407C"/>
    <w:rsid w:val="21EF4232"/>
    <w:rsid w:val="21EF55AB"/>
    <w:rsid w:val="21EF5B80"/>
    <w:rsid w:val="21F02FD9"/>
    <w:rsid w:val="21F030D1"/>
    <w:rsid w:val="21F030F9"/>
    <w:rsid w:val="21F04BD0"/>
    <w:rsid w:val="21F05E3F"/>
    <w:rsid w:val="21F135D0"/>
    <w:rsid w:val="21F20BF7"/>
    <w:rsid w:val="21F229A5"/>
    <w:rsid w:val="21F23D4A"/>
    <w:rsid w:val="21F25750"/>
    <w:rsid w:val="21F259FA"/>
    <w:rsid w:val="21F26040"/>
    <w:rsid w:val="21F26E49"/>
    <w:rsid w:val="21F30AC0"/>
    <w:rsid w:val="21F32FE4"/>
    <w:rsid w:val="21F35EBD"/>
    <w:rsid w:val="21F36C2E"/>
    <w:rsid w:val="21F410A8"/>
    <w:rsid w:val="21F4176C"/>
    <w:rsid w:val="21F42F2A"/>
    <w:rsid w:val="21F4331D"/>
    <w:rsid w:val="21F4496F"/>
    <w:rsid w:val="21F506E7"/>
    <w:rsid w:val="21F561B6"/>
    <w:rsid w:val="21F70E9A"/>
    <w:rsid w:val="21F7113B"/>
    <w:rsid w:val="21F71AC8"/>
    <w:rsid w:val="21F72B7B"/>
    <w:rsid w:val="21F7445F"/>
    <w:rsid w:val="21F75899"/>
    <w:rsid w:val="21F7620D"/>
    <w:rsid w:val="21F77FBB"/>
    <w:rsid w:val="21F85B13"/>
    <w:rsid w:val="21F901D7"/>
    <w:rsid w:val="21F9081D"/>
    <w:rsid w:val="21F91F85"/>
    <w:rsid w:val="21F93950"/>
    <w:rsid w:val="21FA01C9"/>
    <w:rsid w:val="21FA022C"/>
    <w:rsid w:val="21FA1F19"/>
    <w:rsid w:val="21FA3F89"/>
    <w:rsid w:val="21FA5CFD"/>
    <w:rsid w:val="21FA71E7"/>
    <w:rsid w:val="21FA7AAB"/>
    <w:rsid w:val="21FB02E8"/>
    <w:rsid w:val="21FB2BEC"/>
    <w:rsid w:val="21FB39B1"/>
    <w:rsid w:val="21FB3F4F"/>
    <w:rsid w:val="21FB5C14"/>
    <w:rsid w:val="21FC3824"/>
    <w:rsid w:val="21FC4843"/>
    <w:rsid w:val="21FD0C6F"/>
    <w:rsid w:val="21FD591D"/>
    <w:rsid w:val="21FD71C6"/>
    <w:rsid w:val="21FE134A"/>
    <w:rsid w:val="21FE33DB"/>
    <w:rsid w:val="21FE3DF5"/>
    <w:rsid w:val="21FE57EE"/>
    <w:rsid w:val="21FE759C"/>
    <w:rsid w:val="21FF5B54"/>
    <w:rsid w:val="22000B33"/>
    <w:rsid w:val="22002BCF"/>
    <w:rsid w:val="22010E3A"/>
    <w:rsid w:val="220113F0"/>
    <w:rsid w:val="22012756"/>
    <w:rsid w:val="2201405F"/>
    <w:rsid w:val="2201740A"/>
    <w:rsid w:val="220210E1"/>
    <w:rsid w:val="220254EF"/>
    <w:rsid w:val="22026C30"/>
    <w:rsid w:val="22031056"/>
    <w:rsid w:val="22032E04"/>
    <w:rsid w:val="22032F8D"/>
    <w:rsid w:val="22034BB2"/>
    <w:rsid w:val="22043CE7"/>
    <w:rsid w:val="22045388"/>
    <w:rsid w:val="2204653F"/>
    <w:rsid w:val="22052944"/>
    <w:rsid w:val="220628F4"/>
    <w:rsid w:val="22066450"/>
    <w:rsid w:val="22066531"/>
    <w:rsid w:val="22066A41"/>
    <w:rsid w:val="220670D9"/>
    <w:rsid w:val="22073C60"/>
    <w:rsid w:val="220837FD"/>
    <w:rsid w:val="2208666C"/>
    <w:rsid w:val="22087C6F"/>
    <w:rsid w:val="22092ECD"/>
    <w:rsid w:val="220953C2"/>
    <w:rsid w:val="220A23E4"/>
    <w:rsid w:val="220A3C81"/>
    <w:rsid w:val="220A4192"/>
    <w:rsid w:val="220A5F40"/>
    <w:rsid w:val="220B1D86"/>
    <w:rsid w:val="220B3A67"/>
    <w:rsid w:val="220B5253"/>
    <w:rsid w:val="220B7F0B"/>
    <w:rsid w:val="220C1172"/>
    <w:rsid w:val="220C57E0"/>
    <w:rsid w:val="220D1CC2"/>
    <w:rsid w:val="220D2D7A"/>
    <w:rsid w:val="220D3C83"/>
    <w:rsid w:val="220D5A31"/>
    <w:rsid w:val="220D77DF"/>
    <w:rsid w:val="220F17A9"/>
    <w:rsid w:val="220F79FB"/>
    <w:rsid w:val="2210107D"/>
    <w:rsid w:val="22101BA0"/>
    <w:rsid w:val="221026C4"/>
    <w:rsid w:val="22106B73"/>
    <w:rsid w:val="22107AF3"/>
    <w:rsid w:val="22113B54"/>
    <w:rsid w:val="2211698F"/>
    <w:rsid w:val="22121299"/>
    <w:rsid w:val="22124DF5"/>
    <w:rsid w:val="22124FE4"/>
    <w:rsid w:val="22133EA1"/>
    <w:rsid w:val="22140999"/>
    <w:rsid w:val="22140B6D"/>
    <w:rsid w:val="2214507F"/>
    <w:rsid w:val="22146DBF"/>
    <w:rsid w:val="22152C0C"/>
    <w:rsid w:val="221548E5"/>
    <w:rsid w:val="22162B37"/>
    <w:rsid w:val="2216323B"/>
    <w:rsid w:val="22164061"/>
    <w:rsid w:val="22166788"/>
    <w:rsid w:val="221674FF"/>
    <w:rsid w:val="22167BA9"/>
    <w:rsid w:val="22171B1D"/>
    <w:rsid w:val="2217369E"/>
    <w:rsid w:val="22176285"/>
    <w:rsid w:val="22182566"/>
    <w:rsid w:val="221871E3"/>
    <w:rsid w:val="22192627"/>
    <w:rsid w:val="221943D6"/>
    <w:rsid w:val="22194943"/>
    <w:rsid w:val="22194949"/>
    <w:rsid w:val="22194F87"/>
    <w:rsid w:val="22196184"/>
    <w:rsid w:val="221A3813"/>
    <w:rsid w:val="221A44BB"/>
    <w:rsid w:val="221A6CAF"/>
    <w:rsid w:val="221B63A0"/>
    <w:rsid w:val="221B718B"/>
    <w:rsid w:val="221B77D7"/>
    <w:rsid w:val="221C0C67"/>
    <w:rsid w:val="221C1D1E"/>
    <w:rsid w:val="221C2118"/>
    <w:rsid w:val="221C4D78"/>
    <w:rsid w:val="221C4F27"/>
    <w:rsid w:val="221C7D69"/>
    <w:rsid w:val="221D181A"/>
    <w:rsid w:val="221D329C"/>
    <w:rsid w:val="221D3C39"/>
    <w:rsid w:val="221D5D7D"/>
    <w:rsid w:val="221E19EC"/>
    <w:rsid w:val="221E2665"/>
    <w:rsid w:val="221E4CC8"/>
    <w:rsid w:val="221E7FA7"/>
    <w:rsid w:val="221F0C35"/>
    <w:rsid w:val="221F7512"/>
    <w:rsid w:val="222039B6"/>
    <w:rsid w:val="222043B9"/>
    <w:rsid w:val="22205764"/>
    <w:rsid w:val="222075E8"/>
    <w:rsid w:val="222114DC"/>
    <w:rsid w:val="222122BA"/>
    <w:rsid w:val="2221328A"/>
    <w:rsid w:val="2221772E"/>
    <w:rsid w:val="22230B3A"/>
    <w:rsid w:val="22230DB0"/>
    <w:rsid w:val="222324C0"/>
    <w:rsid w:val="222334A6"/>
    <w:rsid w:val="22235254"/>
    <w:rsid w:val="22236DE5"/>
    <w:rsid w:val="22244C5B"/>
    <w:rsid w:val="22246C24"/>
    <w:rsid w:val="22250889"/>
    <w:rsid w:val="22253B4C"/>
    <w:rsid w:val="22254C50"/>
    <w:rsid w:val="222556C6"/>
    <w:rsid w:val="222608A0"/>
    <w:rsid w:val="222648EA"/>
    <w:rsid w:val="22266AF2"/>
    <w:rsid w:val="22266E34"/>
    <w:rsid w:val="22266E90"/>
    <w:rsid w:val="22274D44"/>
    <w:rsid w:val="22275D7A"/>
    <w:rsid w:val="22281DE3"/>
    <w:rsid w:val="22282762"/>
    <w:rsid w:val="2228286B"/>
    <w:rsid w:val="22284619"/>
    <w:rsid w:val="22290758"/>
    <w:rsid w:val="222911D9"/>
    <w:rsid w:val="222921D7"/>
    <w:rsid w:val="222946EC"/>
    <w:rsid w:val="22295471"/>
    <w:rsid w:val="222965C2"/>
    <w:rsid w:val="22296857"/>
    <w:rsid w:val="222A0391"/>
    <w:rsid w:val="222A213F"/>
    <w:rsid w:val="222A326B"/>
    <w:rsid w:val="222A3D92"/>
    <w:rsid w:val="222A4875"/>
    <w:rsid w:val="222A65E3"/>
    <w:rsid w:val="222B5EB7"/>
    <w:rsid w:val="222B72CC"/>
    <w:rsid w:val="222C01C5"/>
    <w:rsid w:val="222C075C"/>
    <w:rsid w:val="222C235B"/>
    <w:rsid w:val="222D1BEC"/>
    <w:rsid w:val="222D1C2F"/>
    <w:rsid w:val="222D6B02"/>
    <w:rsid w:val="222D7E81"/>
    <w:rsid w:val="222E2E69"/>
    <w:rsid w:val="222F1E4B"/>
    <w:rsid w:val="222F3BF9"/>
    <w:rsid w:val="2230056D"/>
    <w:rsid w:val="223034CD"/>
    <w:rsid w:val="223119FD"/>
    <w:rsid w:val="2231310E"/>
    <w:rsid w:val="223236E9"/>
    <w:rsid w:val="2232524E"/>
    <w:rsid w:val="22325497"/>
    <w:rsid w:val="2232642A"/>
    <w:rsid w:val="22333AC4"/>
    <w:rsid w:val="22341ABF"/>
    <w:rsid w:val="22342FBD"/>
    <w:rsid w:val="22346EEE"/>
    <w:rsid w:val="22356D36"/>
    <w:rsid w:val="22360E1D"/>
    <w:rsid w:val="223614B1"/>
    <w:rsid w:val="22363BC8"/>
    <w:rsid w:val="223643DF"/>
    <w:rsid w:val="22364F87"/>
    <w:rsid w:val="2237194C"/>
    <w:rsid w:val="2237485C"/>
    <w:rsid w:val="2238786B"/>
    <w:rsid w:val="223903FC"/>
    <w:rsid w:val="223905D4"/>
    <w:rsid w:val="223918D0"/>
    <w:rsid w:val="22396826"/>
    <w:rsid w:val="223A2D60"/>
    <w:rsid w:val="223B259E"/>
    <w:rsid w:val="223B2978"/>
    <w:rsid w:val="223B434C"/>
    <w:rsid w:val="223B54DF"/>
    <w:rsid w:val="223B5680"/>
    <w:rsid w:val="223C1E72"/>
    <w:rsid w:val="223C6B10"/>
    <w:rsid w:val="223C763B"/>
    <w:rsid w:val="223D0FAA"/>
    <w:rsid w:val="223D16E1"/>
    <w:rsid w:val="223D1FC4"/>
    <w:rsid w:val="223E05AA"/>
    <w:rsid w:val="223E11A4"/>
    <w:rsid w:val="223E140F"/>
    <w:rsid w:val="223E1D90"/>
    <w:rsid w:val="223E3EBD"/>
    <w:rsid w:val="223E5BEA"/>
    <w:rsid w:val="223F1AF3"/>
    <w:rsid w:val="223F3975"/>
    <w:rsid w:val="223F3F39"/>
    <w:rsid w:val="223F6BD2"/>
    <w:rsid w:val="223F7324"/>
    <w:rsid w:val="22401962"/>
    <w:rsid w:val="22405491"/>
    <w:rsid w:val="22405E06"/>
    <w:rsid w:val="22407560"/>
    <w:rsid w:val="22407BB4"/>
    <w:rsid w:val="22411B47"/>
    <w:rsid w:val="2241392C"/>
    <w:rsid w:val="224145BE"/>
    <w:rsid w:val="224156DA"/>
    <w:rsid w:val="22417039"/>
    <w:rsid w:val="2242144D"/>
    <w:rsid w:val="22421B7E"/>
    <w:rsid w:val="22422982"/>
    <w:rsid w:val="22422D80"/>
    <w:rsid w:val="22433200"/>
    <w:rsid w:val="22433F97"/>
    <w:rsid w:val="22435553"/>
    <w:rsid w:val="2245341D"/>
    <w:rsid w:val="224551CB"/>
    <w:rsid w:val="22457E73"/>
    <w:rsid w:val="22460F43"/>
    <w:rsid w:val="22461303"/>
    <w:rsid w:val="22462793"/>
    <w:rsid w:val="22463ED4"/>
    <w:rsid w:val="22467EF6"/>
    <w:rsid w:val="22470981"/>
    <w:rsid w:val="2248030A"/>
    <w:rsid w:val="22480CF7"/>
    <w:rsid w:val="22482F0D"/>
    <w:rsid w:val="22486A69"/>
    <w:rsid w:val="22486DF5"/>
    <w:rsid w:val="22490EC1"/>
    <w:rsid w:val="22496632"/>
    <w:rsid w:val="22496E75"/>
    <w:rsid w:val="22497C84"/>
    <w:rsid w:val="224A005A"/>
    <w:rsid w:val="224A0A33"/>
    <w:rsid w:val="224A1114"/>
    <w:rsid w:val="224A27E1"/>
    <w:rsid w:val="224A34FE"/>
    <w:rsid w:val="224A3AD1"/>
    <w:rsid w:val="224A3D5E"/>
    <w:rsid w:val="224A3FBB"/>
    <w:rsid w:val="224A458F"/>
    <w:rsid w:val="224B0307"/>
    <w:rsid w:val="224B4799"/>
    <w:rsid w:val="224C12BE"/>
    <w:rsid w:val="224C2ACA"/>
    <w:rsid w:val="224C2F91"/>
    <w:rsid w:val="224C3750"/>
    <w:rsid w:val="224C6605"/>
    <w:rsid w:val="224C6FD4"/>
    <w:rsid w:val="224C7902"/>
    <w:rsid w:val="224C7D46"/>
    <w:rsid w:val="224D0523"/>
    <w:rsid w:val="224D0AFC"/>
    <w:rsid w:val="224D22D1"/>
    <w:rsid w:val="224D407F"/>
    <w:rsid w:val="224D67B5"/>
    <w:rsid w:val="224E4D71"/>
    <w:rsid w:val="224E5C78"/>
    <w:rsid w:val="224F1BA5"/>
    <w:rsid w:val="224F429B"/>
    <w:rsid w:val="224F6049"/>
    <w:rsid w:val="224F66C7"/>
    <w:rsid w:val="225035B1"/>
    <w:rsid w:val="22504F86"/>
    <w:rsid w:val="22510FE7"/>
    <w:rsid w:val="22512D93"/>
    <w:rsid w:val="22513887"/>
    <w:rsid w:val="22513B6F"/>
    <w:rsid w:val="22516221"/>
    <w:rsid w:val="22525B39"/>
    <w:rsid w:val="225278E7"/>
    <w:rsid w:val="22532499"/>
    <w:rsid w:val="22533907"/>
    <w:rsid w:val="22535F44"/>
    <w:rsid w:val="22544D97"/>
    <w:rsid w:val="2254540E"/>
    <w:rsid w:val="22552F34"/>
    <w:rsid w:val="2255395F"/>
    <w:rsid w:val="225551E9"/>
    <w:rsid w:val="225673D8"/>
    <w:rsid w:val="22571B1C"/>
    <w:rsid w:val="22573150"/>
    <w:rsid w:val="22574EFE"/>
    <w:rsid w:val="22576990"/>
    <w:rsid w:val="22585FDB"/>
    <w:rsid w:val="225862E9"/>
    <w:rsid w:val="22592A24"/>
    <w:rsid w:val="22597779"/>
    <w:rsid w:val="22597E34"/>
    <w:rsid w:val="225A323F"/>
    <w:rsid w:val="225A482A"/>
    <w:rsid w:val="225B0AD7"/>
    <w:rsid w:val="225B2C40"/>
    <w:rsid w:val="225B3B4D"/>
    <w:rsid w:val="225B3B4F"/>
    <w:rsid w:val="225B49EE"/>
    <w:rsid w:val="225B4C6A"/>
    <w:rsid w:val="225C20EF"/>
    <w:rsid w:val="225C42C2"/>
    <w:rsid w:val="225C7C4B"/>
    <w:rsid w:val="225D0766"/>
    <w:rsid w:val="225D0CCB"/>
    <w:rsid w:val="225D758A"/>
    <w:rsid w:val="225E008D"/>
    <w:rsid w:val="225E08CC"/>
    <w:rsid w:val="225E44DE"/>
    <w:rsid w:val="225E628C"/>
    <w:rsid w:val="225F3D71"/>
    <w:rsid w:val="225F4EC3"/>
    <w:rsid w:val="22600026"/>
    <w:rsid w:val="22600256"/>
    <w:rsid w:val="22603DB2"/>
    <w:rsid w:val="22610ADC"/>
    <w:rsid w:val="226118D9"/>
    <w:rsid w:val="22615F0B"/>
    <w:rsid w:val="22617B2B"/>
    <w:rsid w:val="2262082B"/>
    <w:rsid w:val="22623FCE"/>
    <w:rsid w:val="22625D7D"/>
    <w:rsid w:val="22626661"/>
    <w:rsid w:val="22627437"/>
    <w:rsid w:val="226313BF"/>
    <w:rsid w:val="22631AF5"/>
    <w:rsid w:val="22637523"/>
    <w:rsid w:val="226378A8"/>
    <w:rsid w:val="226513C9"/>
    <w:rsid w:val="22654D47"/>
    <w:rsid w:val="2265586D"/>
    <w:rsid w:val="22665141"/>
    <w:rsid w:val="22670ED9"/>
    <w:rsid w:val="226715E5"/>
    <w:rsid w:val="22673393"/>
    <w:rsid w:val="22674648"/>
    <w:rsid w:val="22676592"/>
    <w:rsid w:val="22680EB9"/>
    <w:rsid w:val="22682C67"/>
    <w:rsid w:val="2268469D"/>
    <w:rsid w:val="2268710B"/>
    <w:rsid w:val="226971BB"/>
    <w:rsid w:val="226A166A"/>
    <w:rsid w:val="226A2E83"/>
    <w:rsid w:val="226A32CF"/>
    <w:rsid w:val="226A4C31"/>
    <w:rsid w:val="226A7D59"/>
    <w:rsid w:val="226B0733"/>
    <w:rsid w:val="226B1251"/>
    <w:rsid w:val="226B25DA"/>
    <w:rsid w:val="226B2757"/>
    <w:rsid w:val="226B6612"/>
    <w:rsid w:val="226B7536"/>
    <w:rsid w:val="226C09A9"/>
    <w:rsid w:val="226C25E6"/>
    <w:rsid w:val="226C301E"/>
    <w:rsid w:val="226C44AE"/>
    <w:rsid w:val="226C5BEF"/>
    <w:rsid w:val="226C6BFB"/>
    <w:rsid w:val="226D41DE"/>
    <w:rsid w:val="226D4721"/>
    <w:rsid w:val="226D64CF"/>
    <w:rsid w:val="226E089E"/>
    <w:rsid w:val="226E415E"/>
    <w:rsid w:val="226F0499"/>
    <w:rsid w:val="226F199F"/>
    <w:rsid w:val="226F1B0F"/>
    <w:rsid w:val="226F2247"/>
    <w:rsid w:val="22702E2F"/>
    <w:rsid w:val="22704C12"/>
    <w:rsid w:val="2270529F"/>
    <w:rsid w:val="227117A8"/>
    <w:rsid w:val="2271258C"/>
    <w:rsid w:val="227143BA"/>
    <w:rsid w:val="22714AF6"/>
    <w:rsid w:val="22715CC4"/>
    <w:rsid w:val="22716E90"/>
    <w:rsid w:val="22721D38"/>
    <w:rsid w:val="227232EB"/>
    <w:rsid w:val="2272371A"/>
    <w:rsid w:val="22737F8A"/>
    <w:rsid w:val="227410C5"/>
    <w:rsid w:val="22743D02"/>
    <w:rsid w:val="22744312"/>
    <w:rsid w:val="22744381"/>
    <w:rsid w:val="22745AB0"/>
    <w:rsid w:val="2274785E"/>
    <w:rsid w:val="22747AED"/>
    <w:rsid w:val="227503E2"/>
    <w:rsid w:val="22750C92"/>
    <w:rsid w:val="22757537"/>
    <w:rsid w:val="227635D6"/>
    <w:rsid w:val="22763833"/>
    <w:rsid w:val="22765384"/>
    <w:rsid w:val="22766CA1"/>
    <w:rsid w:val="227679FA"/>
    <w:rsid w:val="22770131"/>
    <w:rsid w:val="227710FC"/>
    <w:rsid w:val="2277734E"/>
    <w:rsid w:val="22783A51"/>
    <w:rsid w:val="22784192"/>
    <w:rsid w:val="22791318"/>
    <w:rsid w:val="22797DB7"/>
    <w:rsid w:val="227A01F3"/>
    <w:rsid w:val="227A1485"/>
    <w:rsid w:val="227A6AB2"/>
    <w:rsid w:val="227B0BEC"/>
    <w:rsid w:val="227B4222"/>
    <w:rsid w:val="227B5090"/>
    <w:rsid w:val="227B5B3E"/>
    <w:rsid w:val="227B69C9"/>
    <w:rsid w:val="227B6E3E"/>
    <w:rsid w:val="227C0C9A"/>
    <w:rsid w:val="227C1DE0"/>
    <w:rsid w:val="227C2D75"/>
    <w:rsid w:val="227C2F06"/>
    <w:rsid w:val="227C4964"/>
    <w:rsid w:val="227D2BB6"/>
    <w:rsid w:val="227D7E1D"/>
    <w:rsid w:val="227E0610"/>
    <w:rsid w:val="227E06DD"/>
    <w:rsid w:val="227E248B"/>
    <w:rsid w:val="227F1F30"/>
    <w:rsid w:val="227F4065"/>
    <w:rsid w:val="227F6592"/>
    <w:rsid w:val="228026A7"/>
    <w:rsid w:val="22802924"/>
    <w:rsid w:val="228043A6"/>
    <w:rsid w:val="22804455"/>
    <w:rsid w:val="22813CB8"/>
    <w:rsid w:val="22816411"/>
    <w:rsid w:val="2281775C"/>
    <w:rsid w:val="22817846"/>
    <w:rsid w:val="228312A5"/>
    <w:rsid w:val="22832ED4"/>
    <w:rsid w:val="22833F45"/>
    <w:rsid w:val="22835CF3"/>
    <w:rsid w:val="22842644"/>
    <w:rsid w:val="228435DF"/>
    <w:rsid w:val="22850E66"/>
    <w:rsid w:val="22853819"/>
    <w:rsid w:val="22857CBD"/>
    <w:rsid w:val="22860272"/>
    <w:rsid w:val="22861AB5"/>
    <w:rsid w:val="22866796"/>
    <w:rsid w:val="22867E03"/>
    <w:rsid w:val="228710B6"/>
    <w:rsid w:val="22872693"/>
    <w:rsid w:val="22872B48"/>
    <w:rsid w:val="228736BD"/>
    <w:rsid w:val="22873A35"/>
    <w:rsid w:val="22873C4F"/>
    <w:rsid w:val="2287472B"/>
    <w:rsid w:val="228757E3"/>
    <w:rsid w:val="228768B2"/>
    <w:rsid w:val="22877591"/>
    <w:rsid w:val="22883434"/>
    <w:rsid w:val="22883ECC"/>
    <w:rsid w:val="2288435D"/>
    <w:rsid w:val="2288532F"/>
    <w:rsid w:val="22890736"/>
    <w:rsid w:val="22892FBC"/>
    <w:rsid w:val="22895117"/>
    <w:rsid w:val="22897F2E"/>
    <w:rsid w:val="228A0E2F"/>
    <w:rsid w:val="228A1214"/>
    <w:rsid w:val="228A52D3"/>
    <w:rsid w:val="228A65A7"/>
    <w:rsid w:val="228A7081"/>
    <w:rsid w:val="228A7F53"/>
    <w:rsid w:val="228B1B14"/>
    <w:rsid w:val="228C104B"/>
    <w:rsid w:val="228C2DF9"/>
    <w:rsid w:val="228C4BA7"/>
    <w:rsid w:val="228C599D"/>
    <w:rsid w:val="228D0920"/>
    <w:rsid w:val="228D26CE"/>
    <w:rsid w:val="228D4F28"/>
    <w:rsid w:val="228D5DB4"/>
    <w:rsid w:val="228E1B8D"/>
    <w:rsid w:val="228E4DC3"/>
    <w:rsid w:val="228E4FC1"/>
    <w:rsid w:val="228E7279"/>
    <w:rsid w:val="228F0F89"/>
    <w:rsid w:val="228F28EA"/>
    <w:rsid w:val="228F4698"/>
    <w:rsid w:val="22906C1A"/>
    <w:rsid w:val="229121BE"/>
    <w:rsid w:val="229214E1"/>
    <w:rsid w:val="229254B9"/>
    <w:rsid w:val="2292790A"/>
    <w:rsid w:val="22927FCB"/>
    <w:rsid w:val="22934EEF"/>
    <w:rsid w:val="229352AF"/>
    <w:rsid w:val="22940F07"/>
    <w:rsid w:val="22941CAE"/>
    <w:rsid w:val="2294222A"/>
    <w:rsid w:val="22942FD8"/>
    <w:rsid w:val="2294396B"/>
    <w:rsid w:val="22943A5C"/>
    <w:rsid w:val="22945B6B"/>
    <w:rsid w:val="22947141"/>
    <w:rsid w:val="22947F00"/>
    <w:rsid w:val="229551C0"/>
    <w:rsid w:val="22963B3C"/>
    <w:rsid w:val="22963C78"/>
    <w:rsid w:val="22965A26"/>
    <w:rsid w:val="22965DA5"/>
    <w:rsid w:val="2296771B"/>
    <w:rsid w:val="229677D4"/>
    <w:rsid w:val="22967C38"/>
    <w:rsid w:val="229722EC"/>
    <w:rsid w:val="22974E00"/>
    <w:rsid w:val="22975836"/>
    <w:rsid w:val="2298179E"/>
    <w:rsid w:val="22981C8A"/>
    <w:rsid w:val="22982F20"/>
    <w:rsid w:val="2298377C"/>
    <w:rsid w:val="229879F0"/>
    <w:rsid w:val="229903FF"/>
    <w:rsid w:val="229916C0"/>
    <w:rsid w:val="22991C34"/>
    <w:rsid w:val="22991C66"/>
    <w:rsid w:val="22993768"/>
    <w:rsid w:val="22994063"/>
    <w:rsid w:val="22995516"/>
    <w:rsid w:val="229972C4"/>
    <w:rsid w:val="229A0FED"/>
    <w:rsid w:val="229A609C"/>
    <w:rsid w:val="229B128E"/>
    <w:rsid w:val="229B4DEB"/>
    <w:rsid w:val="229C0B63"/>
    <w:rsid w:val="229C358D"/>
    <w:rsid w:val="229D0946"/>
    <w:rsid w:val="229D423F"/>
    <w:rsid w:val="229D4C42"/>
    <w:rsid w:val="229D5007"/>
    <w:rsid w:val="229D6DB5"/>
    <w:rsid w:val="229E2B2D"/>
    <w:rsid w:val="229E3576"/>
    <w:rsid w:val="229E48DB"/>
    <w:rsid w:val="229E631A"/>
    <w:rsid w:val="229F1B2B"/>
    <w:rsid w:val="229F2CE2"/>
    <w:rsid w:val="229F3FA5"/>
    <w:rsid w:val="22A018BA"/>
    <w:rsid w:val="22A02719"/>
    <w:rsid w:val="22A02D28"/>
    <w:rsid w:val="22A03DBF"/>
    <w:rsid w:val="22A04AF7"/>
    <w:rsid w:val="22A0641E"/>
    <w:rsid w:val="22A068A5"/>
    <w:rsid w:val="22A10069"/>
    <w:rsid w:val="22A10C9C"/>
    <w:rsid w:val="22A13DF7"/>
    <w:rsid w:val="22A16179"/>
    <w:rsid w:val="22A169EB"/>
    <w:rsid w:val="22A201E4"/>
    <w:rsid w:val="22A203A0"/>
    <w:rsid w:val="22A213EB"/>
    <w:rsid w:val="22A243CB"/>
    <w:rsid w:val="22A27603"/>
    <w:rsid w:val="22A30143"/>
    <w:rsid w:val="22A316B7"/>
    <w:rsid w:val="22A31E55"/>
    <w:rsid w:val="22A32073"/>
    <w:rsid w:val="22A4060D"/>
    <w:rsid w:val="22A46395"/>
    <w:rsid w:val="22A4734F"/>
    <w:rsid w:val="22A47F40"/>
    <w:rsid w:val="22A5210D"/>
    <w:rsid w:val="22A52EE6"/>
    <w:rsid w:val="22A53EBB"/>
    <w:rsid w:val="22A6087B"/>
    <w:rsid w:val="22A6327C"/>
    <w:rsid w:val="22A638EF"/>
    <w:rsid w:val="22A6463F"/>
    <w:rsid w:val="22A67075"/>
    <w:rsid w:val="22A719E1"/>
    <w:rsid w:val="22A748BB"/>
    <w:rsid w:val="22A75E85"/>
    <w:rsid w:val="22A85759"/>
    <w:rsid w:val="22A87507"/>
    <w:rsid w:val="22A90801"/>
    <w:rsid w:val="22A945AB"/>
    <w:rsid w:val="22AA14D2"/>
    <w:rsid w:val="22AA3280"/>
    <w:rsid w:val="22AA3821"/>
    <w:rsid w:val="22AA7723"/>
    <w:rsid w:val="22AB06E9"/>
    <w:rsid w:val="22AB1BF2"/>
    <w:rsid w:val="22AB6FED"/>
    <w:rsid w:val="22AC2323"/>
    <w:rsid w:val="22AC27F1"/>
    <w:rsid w:val="22AC2DFF"/>
    <w:rsid w:val="22AC6735"/>
    <w:rsid w:val="22AC7C48"/>
    <w:rsid w:val="22AD085E"/>
    <w:rsid w:val="22AD2D70"/>
    <w:rsid w:val="22AD4512"/>
    <w:rsid w:val="22AD4B1E"/>
    <w:rsid w:val="22AD54C3"/>
    <w:rsid w:val="22AF0573"/>
    <w:rsid w:val="22AF4D3A"/>
    <w:rsid w:val="22AF6AE8"/>
    <w:rsid w:val="22AF6E32"/>
    <w:rsid w:val="22B02E93"/>
    <w:rsid w:val="22B02FD8"/>
    <w:rsid w:val="22B052A0"/>
    <w:rsid w:val="22B06FCC"/>
    <w:rsid w:val="22B12048"/>
    <w:rsid w:val="22B12634"/>
    <w:rsid w:val="22B12860"/>
    <w:rsid w:val="22B135B1"/>
    <w:rsid w:val="22B1460E"/>
    <w:rsid w:val="22B20386"/>
    <w:rsid w:val="22B242BA"/>
    <w:rsid w:val="22B257B3"/>
    <w:rsid w:val="22B26EF4"/>
    <w:rsid w:val="22B279B0"/>
    <w:rsid w:val="22B3482A"/>
    <w:rsid w:val="22B365D8"/>
    <w:rsid w:val="22B41814"/>
    <w:rsid w:val="22B440FE"/>
    <w:rsid w:val="22B453D8"/>
    <w:rsid w:val="22B46246"/>
    <w:rsid w:val="22B51882"/>
    <w:rsid w:val="22B52113"/>
    <w:rsid w:val="22B5218C"/>
    <w:rsid w:val="22B52CA4"/>
    <w:rsid w:val="22B53579"/>
    <w:rsid w:val="22B55875"/>
    <w:rsid w:val="22B573FA"/>
    <w:rsid w:val="22B57CB9"/>
    <w:rsid w:val="22B629AE"/>
    <w:rsid w:val="22B63A87"/>
    <w:rsid w:val="22B64EE9"/>
    <w:rsid w:val="22B65E4C"/>
    <w:rsid w:val="22B660C8"/>
    <w:rsid w:val="22B671CE"/>
    <w:rsid w:val="22B67E76"/>
    <w:rsid w:val="22B70195"/>
    <w:rsid w:val="22B73A65"/>
    <w:rsid w:val="22B83BEE"/>
    <w:rsid w:val="22B91715"/>
    <w:rsid w:val="22B934C3"/>
    <w:rsid w:val="22B97967"/>
    <w:rsid w:val="22BA533A"/>
    <w:rsid w:val="22BA78FE"/>
    <w:rsid w:val="22BB548D"/>
    <w:rsid w:val="22BB6B16"/>
    <w:rsid w:val="22BB723B"/>
    <w:rsid w:val="22BC3AAB"/>
    <w:rsid w:val="22BC6389"/>
    <w:rsid w:val="22BD1205"/>
    <w:rsid w:val="22BD28C6"/>
    <w:rsid w:val="22BD2FB3"/>
    <w:rsid w:val="22BD4007"/>
    <w:rsid w:val="22BD5BC8"/>
    <w:rsid w:val="22BE02E1"/>
    <w:rsid w:val="22BE1BCC"/>
    <w:rsid w:val="22BE3845"/>
    <w:rsid w:val="22BE4F7D"/>
    <w:rsid w:val="22BE5497"/>
    <w:rsid w:val="22BE5AA8"/>
    <w:rsid w:val="22BE6D2B"/>
    <w:rsid w:val="22BE7E7A"/>
    <w:rsid w:val="22BF1DDF"/>
    <w:rsid w:val="22BF31CF"/>
    <w:rsid w:val="22C00CF5"/>
    <w:rsid w:val="22C03AF4"/>
    <w:rsid w:val="22C04851"/>
    <w:rsid w:val="22C06A2F"/>
    <w:rsid w:val="22C11246"/>
    <w:rsid w:val="22C13E17"/>
    <w:rsid w:val="22C239D3"/>
    <w:rsid w:val="22C2681B"/>
    <w:rsid w:val="22C32593"/>
    <w:rsid w:val="22C34341"/>
    <w:rsid w:val="22C357EB"/>
    <w:rsid w:val="22C37100"/>
    <w:rsid w:val="22C37E78"/>
    <w:rsid w:val="22C4036A"/>
    <w:rsid w:val="22C407E5"/>
    <w:rsid w:val="22C41308"/>
    <w:rsid w:val="22C41787"/>
    <w:rsid w:val="22C45A5A"/>
    <w:rsid w:val="22C52798"/>
    <w:rsid w:val="22C5630B"/>
    <w:rsid w:val="22C57C45"/>
    <w:rsid w:val="22C63C28"/>
    <w:rsid w:val="22C73E32"/>
    <w:rsid w:val="22C750B8"/>
    <w:rsid w:val="22C75BE0"/>
    <w:rsid w:val="22C81958"/>
    <w:rsid w:val="22C92894"/>
    <w:rsid w:val="22C9291E"/>
    <w:rsid w:val="22C95DFC"/>
    <w:rsid w:val="22CA1600"/>
    <w:rsid w:val="22CA1B74"/>
    <w:rsid w:val="22CA3A39"/>
    <w:rsid w:val="22CA517A"/>
    <w:rsid w:val="22CA56D0"/>
    <w:rsid w:val="22CA76EB"/>
    <w:rsid w:val="22CB58FB"/>
    <w:rsid w:val="22CB660A"/>
    <w:rsid w:val="22CC036B"/>
    <w:rsid w:val="22CC0DAF"/>
    <w:rsid w:val="22CC31F6"/>
    <w:rsid w:val="22CC6838"/>
    <w:rsid w:val="22CC769A"/>
    <w:rsid w:val="22CD6AE0"/>
    <w:rsid w:val="22CD74AF"/>
    <w:rsid w:val="22CE1F27"/>
    <w:rsid w:val="22CE51C0"/>
    <w:rsid w:val="22CF646D"/>
    <w:rsid w:val="22CF6F17"/>
    <w:rsid w:val="22CF718A"/>
    <w:rsid w:val="22D030C2"/>
    <w:rsid w:val="22D12F02"/>
    <w:rsid w:val="22D14FE7"/>
    <w:rsid w:val="22D16A5E"/>
    <w:rsid w:val="22D30A28"/>
    <w:rsid w:val="22D327D6"/>
    <w:rsid w:val="22D36C7A"/>
    <w:rsid w:val="22D4654E"/>
    <w:rsid w:val="22D518A9"/>
    <w:rsid w:val="22D52341"/>
    <w:rsid w:val="22D534C5"/>
    <w:rsid w:val="22D60519"/>
    <w:rsid w:val="22D622C7"/>
    <w:rsid w:val="22D63328"/>
    <w:rsid w:val="22D71C21"/>
    <w:rsid w:val="22D77A01"/>
    <w:rsid w:val="22D8100F"/>
    <w:rsid w:val="22D84291"/>
    <w:rsid w:val="22D84C1F"/>
    <w:rsid w:val="22D86743"/>
    <w:rsid w:val="22D91657"/>
    <w:rsid w:val="22D93B65"/>
    <w:rsid w:val="22D95913"/>
    <w:rsid w:val="22D973CB"/>
    <w:rsid w:val="22DA1DB7"/>
    <w:rsid w:val="22DA20BB"/>
    <w:rsid w:val="22DA2789"/>
    <w:rsid w:val="22DB168B"/>
    <w:rsid w:val="22DB1AD2"/>
    <w:rsid w:val="22DB48AD"/>
    <w:rsid w:val="22DB758F"/>
    <w:rsid w:val="22DB78DD"/>
    <w:rsid w:val="22DC0A1F"/>
    <w:rsid w:val="22DC6444"/>
    <w:rsid w:val="22DD0C7B"/>
    <w:rsid w:val="22DD5403"/>
    <w:rsid w:val="22DD64F3"/>
    <w:rsid w:val="22DD6545"/>
    <w:rsid w:val="22DE117B"/>
    <w:rsid w:val="22DE22BE"/>
    <w:rsid w:val="22DE2ECD"/>
    <w:rsid w:val="22DE333F"/>
    <w:rsid w:val="22DE4A80"/>
    <w:rsid w:val="22DF561F"/>
    <w:rsid w:val="22DF6273"/>
    <w:rsid w:val="22E024C5"/>
    <w:rsid w:val="22E02553"/>
    <w:rsid w:val="22E04EF3"/>
    <w:rsid w:val="22E073A0"/>
    <w:rsid w:val="22E10B03"/>
    <w:rsid w:val="22E13401"/>
    <w:rsid w:val="22E15D96"/>
    <w:rsid w:val="22E16A62"/>
    <w:rsid w:val="22E20981"/>
    <w:rsid w:val="22E22A19"/>
    <w:rsid w:val="22E23150"/>
    <w:rsid w:val="22E26EBD"/>
    <w:rsid w:val="22E30BB5"/>
    <w:rsid w:val="22E320C7"/>
    <w:rsid w:val="22E362F8"/>
    <w:rsid w:val="22E36792"/>
    <w:rsid w:val="22E405B5"/>
    <w:rsid w:val="22E4175C"/>
    <w:rsid w:val="22E449E3"/>
    <w:rsid w:val="22E5030E"/>
    <w:rsid w:val="22E5075C"/>
    <w:rsid w:val="22E526F0"/>
    <w:rsid w:val="22E542B8"/>
    <w:rsid w:val="22E55FC1"/>
    <w:rsid w:val="22E569AE"/>
    <w:rsid w:val="22E61AD1"/>
    <w:rsid w:val="22E62B4F"/>
    <w:rsid w:val="22E646A2"/>
    <w:rsid w:val="22E661DA"/>
    <w:rsid w:val="22E70030"/>
    <w:rsid w:val="22E744D4"/>
    <w:rsid w:val="22E770E1"/>
    <w:rsid w:val="22E7730A"/>
    <w:rsid w:val="22E80103"/>
    <w:rsid w:val="22E813DE"/>
    <w:rsid w:val="22E83907"/>
    <w:rsid w:val="22E83DA8"/>
    <w:rsid w:val="22E85DAF"/>
    <w:rsid w:val="22E86FC2"/>
    <w:rsid w:val="22E9024C"/>
    <w:rsid w:val="22E91835"/>
    <w:rsid w:val="22E91B93"/>
    <w:rsid w:val="22E91E61"/>
    <w:rsid w:val="22E91FFA"/>
    <w:rsid w:val="22EA03CB"/>
    <w:rsid w:val="22EA3023"/>
    <w:rsid w:val="22EA4E5A"/>
    <w:rsid w:val="22EA5D72"/>
    <w:rsid w:val="22EA7B20"/>
    <w:rsid w:val="22EB411E"/>
    <w:rsid w:val="22EB5E41"/>
    <w:rsid w:val="22EB7084"/>
    <w:rsid w:val="22EC0FC2"/>
    <w:rsid w:val="22EC3898"/>
    <w:rsid w:val="22EC5858"/>
    <w:rsid w:val="22EC6EE7"/>
    <w:rsid w:val="22ED7C9F"/>
    <w:rsid w:val="22EE13BE"/>
    <w:rsid w:val="22EE24C7"/>
    <w:rsid w:val="22EE4221"/>
    <w:rsid w:val="22EE5862"/>
    <w:rsid w:val="22EF1233"/>
    <w:rsid w:val="22EF3388"/>
    <w:rsid w:val="22EF4F37"/>
    <w:rsid w:val="22EF5136"/>
    <w:rsid w:val="22EF5A05"/>
    <w:rsid w:val="22EF61DC"/>
    <w:rsid w:val="22F015DA"/>
    <w:rsid w:val="22F036AC"/>
    <w:rsid w:val="22F03CE2"/>
    <w:rsid w:val="22F06E95"/>
    <w:rsid w:val="22F12418"/>
    <w:rsid w:val="22F133E6"/>
    <w:rsid w:val="22F15352"/>
    <w:rsid w:val="22F15C66"/>
    <w:rsid w:val="22F1611C"/>
    <w:rsid w:val="22F17100"/>
    <w:rsid w:val="22F1771B"/>
    <w:rsid w:val="22F2262E"/>
    <w:rsid w:val="22F22FE5"/>
    <w:rsid w:val="22F24386"/>
    <w:rsid w:val="22F25CAA"/>
    <w:rsid w:val="22F26581"/>
    <w:rsid w:val="22F32E79"/>
    <w:rsid w:val="22F34C27"/>
    <w:rsid w:val="22F35088"/>
    <w:rsid w:val="22F36574"/>
    <w:rsid w:val="22F3720D"/>
    <w:rsid w:val="22F37301"/>
    <w:rsid w:val="22F37619"/>
    <w:rsid w:val="22F4126A"/>
    <w:rsid w:val="22F416F4"/>
    <w:rsid w:val="22F4274D"/>
    <w:rsid w:val="22F444A7"/>
    <w:rsid w:val="22F45565"/>
    <w:rsid w:val="22F47480"/>
    <w:rsid w:val="22F51BED"/>
    <w:rsid w:val="22F51FF0"/>
    <w:rsid w:val="22F56901"/>
    <w:rsid w:val="22F56BF1"/>
    <w:rsid w:val="22F60C69"/>
    <w:rsid w:val="22F61887"/>
    <w:rsid w:val="22F62969"/>
    <w:rsid w:val="22F653D0"/>
    <w:rsid w:val="22F65750"/>
    <w:rsid w:val="22F677FE"/>
    <w:rsid w:val="22F67FFE"/>
    <w:rsid w:val="22F71194"/>
    <w:rsid w:val="22F71CC2"/>
    <w:rsid w:val="22F72FB9"/>
    <w:rsid w:val="22F73B45"/>
    <w:rsid w:val="22F75627"/>
    <w:rsid w:val="22F8048F"/>
    <w:rsid w:val="22F8223D"/>
    <w:rsid w:val="22F823A0"/>
    <w:rsid w:val="22F83FEB"/>
    <w:rsid w:val="22F8413B"/>
    <w:rsid w:val="22F866E1"/>
    <w:rsid w:val="22F870EC"/>
    <w:rsid w:val="22F91688"/>
    <w:rsid w:val="22F97D63"/>
    <w:rsid w:val="22FA4207"/>
    <w:rsid w:val="22FA779A"/>
    <w:rsid w:val="22FB1D2D"/>
    <w:rsid w:val="22FB3ADB"/>
    <w:rsid w:val="22FB3FA8"/>
    <w:rsid w:val="22FD3CF7"/>
    <w:rsid w:val="22FD5AA5"/>
    <w:rsid w:val="22FD610A"/>
    <w:rsid w:val="22FD7397"/>
    <w:rsid w:val="22FE11E8"/>
    <w:rsid w:val="22FE4C82"/>
    <w:rsid w:val="22FF181D"/>
    <w:rsid w:val="22FF35CB"/>
    <w:rsid w:val="230010F2"/>
    <w:rsid w:val="230052ED"/>
    <w:rsid w:val="23011DCB"/>
    <w:rsid w:val="23024E6A"/>
    <w:rsid w:val="2302660E"/>
    <w:rsid w:val="230275B5"/>
    <w:rsid w:val="23027B69"/>
    <w:rsid w:val="23030B29"/>
    <w:rsid w:val="23035E73"/>
    <w:rsid w:val="23040BE2"/>
    <w:rsid w:val="2304505A"/>
    <w:rsid w:val="23046121"/>
    <w:rsid w:val="2304679B"/>
    <w:rsid w:val="23046E34"/>
    <w:rsid w:val="230473E9"/>
    <w:rsid w:val="2305495A"/>
    <w:rsid w:val="23056708"/>
    <w:rsid w:val="23057C2B"/>
    <w:rsid w:val="23063A86"/>
    <w:rsid w:val="230648F3"/>
    <w:rsid w:val="23072480"/>
    <w:rsid w:val="2307368E"/>
    <w:rsid w:val="23077290"/>
    <w:rsid w:val="23077E3B"/>
    <w:rsid w:val="230824DE"/>
    <w:rsid w:val="230839DB"/>
    <w:rsid w:val="23085524"/>
    <w:rsid w:val="23087526"/>
    <w:rsid w:val="23091C40"/>
    <w:rsid w:val="230957E4"/>
    <w:rsid w:val="230961F8"/>
    <w:rsid w:val="230A0ECC"/>
    <w:rsid w:val="230A413B"/>
    <w:rsid w:val="230A444A"/>
    <w:rsid w:val="230A4A59"/>
    <w:rsid w:val="230B1774"/>
    <w:rsid w:val="230B4AB0"/>
    <w:rsid w:val="230B4F2D"/>
    <w:rsid w:val="230B6414"/>
    <w:rsid w:val="230B683A"/>
    <w:rsid w:val="230D298A"/>
    <w:rsid w:val="230D4226"/>
    <w:rsid w:val="230D52E5"/>
    <w:rsid w:val="230D7D07"/>
    <w:rsid w:val="230E15AE"/>
    <w:rsid w:val="230E1A60"/>
    <w:rsid w:val="230E316B"/>
    <w:rsid w:val="230E485F"/>
    <w:rsid w:val="230F38AE"/>
    <w:rsid w:val="230F63B4"/>
    <w:rsid w:val="230F7587"/>
    <w:rsid w:val="23102EB4"/>
    <w:rsid w:val="231057D9"/>
    <w:rsid w:val="23111551"/>
    <w:rsid w:val="231132FF"/>
    <w:rsid w:val="231150AD"/>
    <w:rsid w:val="231161CE"/>
    <w:rsid w:val="231177A3"/>
    <w:rsid w:val="23121440"/>
    <w:rsid w:val="231227F8"/>
    <w:rsid w:val="23130100"/>
    <w:rsid w:val="23130E25"/>
    <w:rsid w:val="23131CCD"/>
    <w:rsid w:val="23131DB1"/>
    <w:rsid w:val="23137077"/>
    <w:rsid w:val="23137110"/>
    <w:rsid w:val="231401EA"/>
    <w:rsid w:val="23144B4F"/>
    <w:rsid w:val="23152DEF"/>
    <w:rsid w:val="23155FDF"/>
    <w:rsid w:val="23157720"/>
    <w:rsid w:val="23160915"/>
    <w:rsid w:val="23162DCF"/>
    <w:rsid w:val="2316317B"/>
    <w:rsid w:val="2316320E"/>
    <w:rsid w:val="23164DB9"/>
    <w:rsid w:val="23166B67"/>
    <w:rsid w:val="23166D34"/>
    <w:rsid w:val="23167A6F"/>
    <w:rsid w:val="231710FF"/>
    <w:rsid w:val="23171276"/>
    <w:rsid w:val="23171A19"/>
    <w:rsid w:val="23172410"/>
    <w:rsid w:val="2317411E"/>
    <w:rsid w:val="23174EDD"/>
    <w:rsid w:val="231828DF"/>
    <w:rsid w:val="2318468D"/>
    <w:rsid w:val="23184960"/>
    <w:rsid w:val="231921B3"/>
    <w:rsid w:val="231949E5"/>
    <w:rsid w:val="23197531"/>
    <w:rsid w:val="231A0405"/>
    <w:rsid w:val="231A09C1"/>
    <w:rsid w:val="231A2593"/>
    <w:rsid w:val="231A4A0C"/>
    <w:rsid w:val="231A5F07"/>
    <w:rsid w:val="231A72BE"/>
    <w:rsid w:val="231B1E43"/>
    <w:rsid w:val="231B1E51"/>
    <w:rsid w:val="231B23CF"/>
    <w:rsid w:val="231B417D"/>
    <w:rsid w:val="231C015F"/>
    <w:rsid w:val="231C32E1"/>
    <w:rsid w:val="231C42BB"/>
    <w:rsid w:val="231C657D"/>
    <w:rsid w:val="231D1CA3"/>
    <w:rsid w:val="231D1EEC"/>
    <w:rsid w:val="231D3230"/>
    <w:rsid w:val="231D6147"/>
    <w:rsid w:val="231E67DF"/>
    <w:rsid w:val="231F33A3"/>
    <w:rsid w:val="231F3C6E"/>
    <w:rsid w:val="231F5A1C"/>
    <w:rsid w:val="23203542"/>
    <w:rsid w:val="23215CC3"/>
    <w:rsid w:val="2322375E"/>
    <w:rsid w:val="23224EA4"/>
    <w:rsid w:val="2322550C"/>
    <w:rsid w:val="23225C2D"/>
    <w:rsid w:val="23231797"/>
    <w:rsid w:val="232329AD"/>
    <w:rsid w:val="23233F9F"/>
    <w:rsid w:val="23234FFC"/>
    <w:rsid w:val="23244DE0"/>
    <w:rsid w:val="2324723B"/>
    <w:rsid w:val="232474D6"/>
    <w:rsid w:val="23250B58"/>
    <w:rsid w:val="23251BD8"/>
    <w:rsid w:val="23254DF5"/>
    <w:rsid w:val="23256DAA"/>
    <w:rsid w:val="23261B35"/>
    <w:rsid w:val="23264FFC"/>
    <w:rsid w:val="23265579"/>
    <w:rsid w:val="23267848"/>
    <w:rsid w:val="23267A27"/>
    <w:rsid w:val="232703F4"/>
    <w:rsid w:val="23270D74"/>
    <w:rsid w:val="23272B22"/>
    <w:rsid w:val="23273348"/>
    <w:rsid w:val="232748D0"/>
    <w:rsid w:val="23284455"/>
    <w:rsid w:val="23287981"/>
    <w:rsid w:val="23290648"/>
    <w:rsid w:val="23294AEC"/>
    <w:rsid w:val="2329689A"/>
    <w:rsid w:val="232A142B"/>
    <w:rsid w:val="232A3179"/>
    <w:rsid w:val="232A3B63"/>
    <w:rsid w:val="232A43C0"/>
    <w:rsid w:val="232A616E"/>
    <w:rsid w:val="232A6D75"/>
    <w:rsid w:val="232A7663"/>
    <w:rsid w:val="232B147F"/>
    <w:rsid w:val="232B2612"/>
    <w:rsid w:val="232B3A0B"/>
    <w:rsid w:val="232C0139"/>
    <w:rsid w:val="232C2037"/>
    <w:rsid w:val="232C2DD6"/>
    <w:rsid w:val="232C59A7"/>
    <w:rsid w:val="232C638A"/>
    <w:rsid w:val="232C7CCA"/>
    <w:rsid w:val="232D6E37"/>
    <w:rsid w:val="232D7E58"/>
    <w:rsid w:val="232E02C7"/>
    <w:rsid w:val="232E2009"/>
    <w:rsid w:val="232E2103"/>
    <w:rsid w:val="232E3EB1"/>
    <w:rsid w:val="232E4E2E"/>
    <w:rsid w:val="232E56F6"/>
    <w:rsid w:val="232E5A1F"/>
    <w:rsid w:val="232E7A65"/>
    <w:rsid w:val="232F151C"/>
    <w:rsid w:val="232F19D7"/>
    <w:rsid w:val="232F71A8"/>
    <w:rsid w:val="232F7A4C"/>
    <w:rsid w:val="23302E78"/>
    <w:rsid w:val="233035C8"/>
    <w:rsid w:val="23312EF1"/>
    <w:rsid w:val="233139A1"/>
    <w:rsid w:val="2331574F"/>
    <w:rsid w:val="23316C48"/>
    <w:rsid w:val="233174FD"/>
    <w:rsid w:val="233314C7"/>
    <w:rsid w:val="23331568"/>
    <w:rsid w:val="23333275"/>
    <w:rsid w:val="233444F5"/>
    <w:rsid w:val="23344885"/>
    <w:rsid w:val="23345B43"/>
    <w:rsid w:val="23346F67"/>
    <w:rsid w:val="23353C0B"/>
    <w:rsid w:val="23360FB7"/>
    <w:rsid w:val="23362D65"/>
    <w:rsid w:val="23367EF4"/>
    <w:rsid w:val="23371F11"/>
    <w:rsid w:val="23376CAD"/>
    <w:rsid w:val="23377EE9"/>
    <w:rsid w:val="23383F4A"/>
    <w:rsid w:val="23386ADD"/>
    <w:rsid w:val="2338762A"/>
    <w:rsid w:val="23395BAF"/>
    <w:rsid w:val="233A4603"/>
    <w:rsid w:val="233B037C"/>
    <w:rsid w:val="233B0D40"/>
    <w:rsid w:val="233B157D"/>
    <w:rsid w:val="233B57DA"/>
    <w:rsid w:val="233B65CE"/>
    <w:rsid w:val="233C03FA"/>
    <w:rsid w:val="233C28CB"/>
    <w:rsid w:val="233C2C53"/>
    <w:rsid w:val="233C42B1"/>
    <w:rsid w:val="233D0598"/>
    <w:rsid w:val="233D1441"/>
    <w:rsid w:val="233D2346"/>
    <w:rsid w:val="233D4342"/>
    <w:rsid w:val="233D4A23"/>
    <w:rsid w:val="233D5994"/>
    <w:rsid w:val="233D5EA2"/>
    <w:rsid w:val="233E0016"/>
    <w:rsid w:val="233E7DBC"/>
    <w:rsid w:val="233F1C1A"/>
    <w:rsid w:val="233F39AC"/>
    <w:rsid w:val="233F4FE5"/>
    <w:rsid w:val="233F6FAA"/>
    <w:rsid w:val="233F75F6"/>
    <w:rsid w:val="233F7E6C"/>
    <w:rsid w:val="234026DC"/>
    <w:rsid w:val="23402943"/>
    <w:rsid w:val="23403315"/>
    <w:rsid w:val="23403BE4"/>
    <w:rsid w:val="23403D8B"/>
    <w:rsid w:val="23410463"/>
    <w:rsid w:val="23411EA5"/>
    <w:rsid w:val="23412D55"/>
    <w:rsid w:val="23422FB2"/>
    <w:rsid w:val="23425BAE"/>
    <w:rsid w:val="2342795C"/>
    <w:rsid w:val="23430A9A"/>
    <w:rsid w:val="2343105D"/>
    <w:rsid w:val="23437EA5"/>
    <w:rsid w:val="234436D4"/>
    <w:rsid w:val="23443D08"/>
    <w:rsid w:val="23445482"/>
    <w:rsid w:val="23447230"/>
    <w:rsid w:val="2345397D"/>
    <w:rsid w:val="234550BE"/>
    <w:rsid w:val="23455200"/>
    <w:rsid w:val="23457A9C"/>
    <w:rsid w:val="234611FA"/>
    <w:rsid w:val="234623F1"/>
    <w:rsid w:val="23463F15"/>
    <w:rsid w:val="23464D26"/>
    <w:rsid w:val="2346654E"/>
    <w:rsid w:val="2346744C"/>
    <w:rsid w:val="234731C4"/>
    <w:rsid w:val="234751B6"/>
    <w:rsid w:val="23482267"/>
    <w:rsid w:val="23490CEA"/>
    <w:rsid w:val="23494ECF"/>
    <w:rsid w:val="234965C1"/>
    <w:rsid w:val="23496F3C"/>
    <w:rsid w:val="234A05BF"/>
    <w:rsid w:val="234A635F"/>
    <w:rsid w:val="234B4A63"/>
    <w:rsid w:val="234B6811"/>
    <w:rsid w:val="234B77EF"/>
    <w:rsid w:val="234C3850"/>
    <w:rsid w:val="234C4337"/>
    <w:rsid w:val="234C4621"/>
    <w:rsid w:val="234C7156"/>
    <w:rsid w:val="234D1354"/>
    <w:rsid w:val="234D23D0"/>
    <w:rsid w:val="234D2E95"/>
    <w:rsid w:val="234D33B5"/>
    <w:rsid w:val="234D6204"/>
    <w:rsid w:val="234E00AF"/>
    <w:rsid w:val="234E4553"/>
    <w:rsid w:val="234E4D5F"/>
    <w:rsid w:val="234E6170"/>
    <w:rsid w:val="234F09B4"/>
    <w:rsid w:val="234F1F97"/>
    <w:rsid w:val="234F5BD5"/>
    <w:rsid w:val="234F79E0"/>
    <w:rsid w:val="23502079"/>
    <w:rsid w:val="235021D1"/>
    <w:rsid w:val="23503E27"/>
    <w:rsid w:val="235042D2"/>
    <w:rsid w:val="235056E3"/>
    <w:rsid w:val="23506070"/>
    <w:rsid w:val="23507B91"/>
    <w:rsid w:val="23513661"/>
    <w:rsid w:val="23513C34"/>
    <w:rsid w:val="23515643"/>
    <w:rsid w:val="235174BE"/>
    <w:rsid w:val="23517B9F"/>
    <w:rsid w:val="2352122E"/>
    <w:rsid w:val="23527A67"/>
    <w:rsid w:val="23530B52"/>
    <w:rsid w:val="235356C5"/>
    <w:rsid w:val="2354369B"/>
    <w:rsid w:val="23544746"/>
    <w:rsid w:val="23544E06"/>
    <w:rsid w:val="2355143D"/>
    <w:rsid w:val="23551A56"/>
    <w:rsid w:val="235558E1"/>
    <w:rsid w:val="2355768F"/>
    <w:rsid w:val="23562D09"/>
    <w:rsid w:val="23563407"/>
    <w:rsid w:val="2356451C"/>
    <w:rsid w:val="23566F63"/>
    <w:rsid w:val="23571659"/>
    <w:rsid w:val="23581391"/>
    <w:rsid w:val="23581DF3"/>
    <w:rsid w:val="23582CDC"/>
    <w:rsid w:val="2358717F"/>
    <w:rsid w:val="2359200C"/>
    <w:rsid w:val="235A2EF8"/>
    <w:rsid w:val="235A33CD"/>
    <w:rsid w:val="235A4CA6"/>
    <w:rsid w:val="235A78FF"/>
    <w:rsid w:val="235A7987"/>
    <w:rsid w:val="235B12EC"/>
    <w:rsid w:val="235B53C5"/>
    <w:rsid w:val="235B5D48"/>
    <w:rsid w:val="235B7191"/>
    <w:rsid w:val="235C0A1E"/>
    <w:rsid w:val="235C6C70"/>
    <w:rsid w:val="235D4796"/>
    <w:rsid w:val="235D6544"/>
    <w:rsid w:val="235E3DED"/>
    <w:rsid w:val="235F050E"/>
    <w:rsid w:val="235F0D81"/>
    <w:rsid w:val="235F406A"/>
    <w:rsid w:val="235F6687"/>
    <w:rsid w:val="23600585"/>
    <w:rsid w:val="23604207"/>
    <w:rsid w:val="23613156"/>
    <w:rsid w:val="23614286"/>
    <w:rsid w:val="23616034"/>
    <w:rsid w:val="23621DAC"/>
    <w:rsid w:val="236245E6"/>
    <w:rsid w:val="23626E91"/>
    <w:rsid w:val="23626F93"/>
    <w:rsid w:val="23627FFE"/>
    <w:rsid w:val="236317C0"/>
    <w:rsid w:val="236336A4"/>
    <w:rsid w:val="236339A5"/>
    <w:rsid w:val="23635A76"/>
    <w:rsid w:val="23636F06"/>
    <w:rsid w:val="23643B7B"/>
    <w:rsid w:val="23645B24"/>
    <w:rsid w:val="23651AF0"/>
    <w:rsid w:val="236538B9"/>
    <w:rsid w:val="2366189C"/>
    <w:rsid w:val="2366364A"/>
    <w:rsid w:val="23665B38"/>
    <w:rsid w:val="23672234"/>
    <w:rsid w:val="23675887"/>
    <w:rsid w:val="236812D2"/>
    <w:rsid w:val="2369071C"/>
    <w:rsid w:val="2369138D"/>
    <w:rsid w:val="2369313B"/>
    <w:rsid w:val="23693C6E"/>
    <w:rsid w:val="23694C50"/>
    <w:rsid w:val="23696C97"/>
    <w:rsid w:val="236A6589"/>
    <w:rsid w:val="236A722B"/>
    <w:rsid w:val="236A7B6D"/>
    <w:rsid w:val="236A7C99"/>
    <w:rsid w:val="236B0A7D"/>
    <w:rsid w:val="236B0C61"/>
    <w:rsid w:val="236B2A0F"/>
    <w:rsid w:val="236B6DD9"/>
    <w:rsid w:val="236B7B73"/>
    <w:rsid w:val="236C49D9"/>
    <w:rsid w:val="236C6787"/>
    <w:rsid w:val="236E0751"/>
    <w:rsid w:val="236E24FF"/>
    <w:rsid w:val="236F1622"/>
    <w:rsid w:val="236F1A45"/>
    <w:rsid w:val="236F202C"/>
    <w:rsid w:val="236F25AE"/>
    <w:rsid w:val="23700025"/>
    <w:rsid w:val="2370223B"/>
    <w:rsid w:val="23706277"/>
    <w:rsid w:val="23711FEF"/>
    <w:rsid w:val="237176C2"/>
    <w:rsid w:val="23720241"/>
    <w:rsid w:val="23721086"/>
    <w:rsid w:val="237224E0"/>
    <w:rsid w:val="2372299A"/>
    <w:rsid w:val="23727B8C"/>
    <w:rsid w:val="2373013C"/>
    <w:rsid w:val="23731EDA"/>
    <w:rsid w:val="23735D67"/>
    <w:rsid w:val="237361FE"/>
    <w:rsid w:val="23736C25"/>
    <w:rsid w:val="23737B15"/>
    <w:rsid w:val="237415CC"/>
    <w:rsid w:val="23752A5C"/>
    <w:rsid w:val="23757C61"/>
    <w:rsid w:val="23757D31"/>
    <w:rsid w:val="237613B4"/>
    <w:rsid w:val="23766ABD"/>
    <w:rsid w:val="23767606"/>
    <w:rsid w:val="237737AA"/>
    <w:rsid w:val="2377537C"/>
    <w:rsid w:val="23775858"/>
    <w:rsid w:val="23777C67"/>
    <w:rsid w:val="237815D0"/>
    <w:rsid w:val="2378337E"/>
    <w:rsid w:val="23784F3B"/>
    <w:rsid w:val="23785419"/>
    <w:rsid w:val="237856E2"/>
    <w:rsid w:val="237868DC"/>
    <w:rsid w:val="23787B5B"/>
    <w:rsid w:val="23791DFB"/>
    <w:rsid w:val="23793ADB"/>
    <w:rsid w:val="23797599"/>
    <w:rsid w:val="237A0EA4"/>
    <w:rsid w:val="237A4A44"/>
    <w:rsid w:val="237A503B"/>
    <w:rsid w:val="237A5348"/>
    <w:rsid w:val="237A65BE"/>
    <w:rsid w:val="237A6EBD"/>
    <w:rsid w:val="237B1DA9"/>
    <w:rsid w:val="237B4DA0"/>
    <w:rsid w:val="237B518D"/>
    <w:rsid w:val="237B5992"/>
    <w:rsid w:val="237C10C0"/>
    <w:rsid w:val="237C18C4"/>
    <w:rsid w:val="237C2E6E"/>
    <w:rsid w:val="237C4C1C"/>
    <w:rsid w:val="237C7AAB"/>
    <w:rsid w:val="237D090B"/>
    <w:rsid w:val="237D0994"/>
    <w:rsid w:val="237D11EE"/>
    <w:rsid w:val="237D2742"/>
    <w:rsid w:val="237D6BE6"/>
    <w:rsid w:val="237E0765"/>
    <w:rsid w:val="237E2F2D"/>
    <w:rsid w:val="237E49F4"/>
    <w:rsid w:val="237F21BD"/>
    <w:rsid w:val="237F312B"/>
    <w:rsid w:val="237F4744"/>
    <w:rsid w:val="237F4F9E"/>
    <w:rsid w:val="237F5607"/>
    <w:rsid w:val="237F64BA"/>
    <w:rsid w:val="2380250D"/>
    <w:rsid w:val="23805B67"/>
    <w:rsid w:val="23807B6F"/>
    <w:rsid w:val="23810484"/>
    <w:rsid w:val="23810FFF"/>
    <w:rsid w:val="23812232"/>
    <w:rsid w:val="2381228C"/>
    <w:rsid w:val="23813BD0"/>
    <w:rsid w:val="23814D41"/>
    <w:rsid w:val="23815D4C"/>
    <w:rsid w:val="2381607B"/>
    <w:rsid w:val="238209A8"/>
    <w:rsid w:val="238241FC"/>
    <w:rsid w:val="2382592A"/>
    <w:rsid w:val="23825FAA"/>
    <w:rsid w:val="23826F3B"/>
    <w:rsid w:val="23827D58"/>
    <w:rsid w:val="2383244E"/>
    <w:rsid w:val="23834CE9"/>
    <w:rsid w:val="23847980"/>
    <w:rsid w:val="23852551"/>
    <w:rsid w:val="23860F70"/>
    <w:rsid w:val="23863CED"/>
    <w:rsid w:val="238665D1"/>
    <w:rsid w:val="23871813"/>
    <w:rsid w:val="23874C53"/>
    <w:rsid w:val="238762A5"/>
    <w:rsid w:val="238869EC"/>
    <w:rsid w:val="23887E17"/>
    <w:rsid w:val="23890C21"/>
    <w:rsid w:val="23894BE4"/>
    <w:rsid w:val="2389558B"/>
    <w:rsid w:val="23897339"/>
    <w:rsid w:val="238A37F2"/>
    <w:rsid w:val="238A4DDF"/>
    <w:rsid w:val="238B1303"/>
    <w:rsid w:val="238B30B1"/>
    <w:rsid w:val="238C0BD7"/>
    <w:rsid w:val="238C41FE"/>
    <w:rsid w:val="238C6112"/>
    <w:rsid w:val="238C7853"/>
    <w:rsid w:val="238D675B"/>
    <w:rsid w:val="238E0DF3"/>
    <w:rsid w:val="238E1BDE"/>
    <w:rsid w:val="238E494F"/>
    <w:rsid w:val="238F2921"/>
    <w:rsid w:val="238F4A93"/>
    <w:rsid w:val="238F61D4"/>
    <w:rsid w:val="238F7AE0"/>
    <w:rsid w:val="23905F23"/>
    <w:rsid w:val="23906919"/>
    <w:rsid w:val="23906FA0"/>
    <w:rsid w:val="239072E6"/>
    <w:rsid w:val="23914961"/>
    <w:rsid w:val="239161EE"/>
    <w:rsid w:val="239202E0"/>
    <w:rsid w:val="239221F2"/>
    <w:rsid w:val="23922691"/>
    <w:rsid w:val="23924B55"/>
    <w:rsid w:val="23930C1F"/>
    <w:rsid w:val="23932557"/>
    <w:rsid w:val="2393471F"/>
    <w:rsid w:val="2393640A"/>
    <w:rsid w:val="23947504"/>
    <w:rsid w:val="239506C2"/>
    <w:rsid w:val="23952182"/>
    <w:rsid w:val="23953040"/>
    <w:rsid w:val="23953F30"/>
    <w:rsid w:val="23955CDE"/>
    <w:rsid w:val="23957A8C"/>
    <w:rsid w:val="23963804"/>
    <w:rsid w:val="239674A8"/>
    <w:rsid w:val="23973225"/>
    <w:rsid w:val="23977CA8"/>
    <w:rsid w:val="23984C30"/>
    <w:rsid w:val="239857CE"/>
    <w:rsid w:val="23985DF6"/>
    <w:rsid w:val="23990716"/>
    <w:rsid w:val="2399524F"/>
    <w:rsid w:val="239A1546"/>
    <w:rsid w:val="239A32E7"/>
    <w:rsid w:val="239A32F4"/>
    <w:rsid w:val="239B5A21"/>
    <w:rsid w:val="239C07D8"/>
    <w:rsid w:val="239C0EDA"/>
    <w:rsid w:val="239C3833"/>
    <w:rsid w:val="239C46B7"/>
    <w:rsid w:val="239C52BE"/>
    <w:rsid w:val="239D2DE4"/>
    <w:rsid w:val="239D4B92"/>
    <w:rsid w:val="239D4C6A"/>
    <w:rsid w:val="239D7097"/>
    <w:rsid w:val="239D778E"/>
    <w:rsid w:val="239E0527"/>
    <w:rsid w:val="239E13A3"/>
    <w:rsid w:val="239E4078"/>
    <w:rsid w:val="239E4EE9"/>
    <w:rsid w:val="239E6BF2"/>
    <w:rsid w:val="239E7F8B"/>
    <w:rsid w:val="239F090A"/>
    <w:rsid w:val="239F2441"/>
    <w:rsid w:val="239F2CF3"/>
    <w:rsid w:val="239F6B5C"/>
    <w:rsid w:val="23A0428C"/>
    <w:rsid w:val="23A05A18"/>
    <w:rsid w:val="23A107AC"/>
    <w:rsid w:val="23A11B58"/>
    <w:rsid w:val="23A128D5"/>
    <w:rsid w:val="23A14683"/>
    <w:rsid w:val="23A14F0C"/>
    <w:rsid w:val="23A16C40"/>
    <w:rsid w:val="23A221A9"/>
    <w:rsid w:val="23A27E04"/>
    <w:rsid w:val="23A30EBB"/>
    <w:rsid w:val="23A32D3D"/>
    <w:rsid w:val="23A3664D"/>
    <w:rsid w:val="23A40072"/>
    <w:rsid w:val="23A40321"/>
    <w:rsid w:val="23A44173"/>
    <w:rsid w:val="23A45829"/>
    <w:rsid w:val="23A45F21"/>
    <w:rsid w:val="23A503FA"/>
    <w:rsid w:val="23A52CF7"/>
    <w:rsid w:val="23A6031B"/>
    <w:rsid w:val="23A61C99"/>
    <w:rsid w:val="23A6613D"/>
    <w:rsid w:val="23A70596"/>
    <w:rsid w:val="23A711B6"/>
    <w:rsid w:val="23A72D1A"/>
    <w:rsid w:val="23A73CF3"/>
    <w:rsid w:val="23A75A11"/>
    <w:rsid w:val="23A77962"/>
    <w:rsid w:val="23A83C63"/>
    <w:rsid w:val="23A83E72"/>
    <w:rsid w:val="23A83F33"/>
    <w:rsid w:val="23A91789"/>
    <w:rsid w:val="23A925E7"/>
    <w:rsid w:val="23A929AA"/>
    <w:rsid w:val="23A93537"/>
    <w:rsid w:val="23AA2DDC"/>
    <w:rsid w:val="23AA7E0D"/>
    <w:rsid w:val="23AB0D52"/>
    <w:rsid w:val="23AB23C9"/>
    <w:rsid w:val="23AB2B2B"/>
    <w:rsid w:val="23AB426C"/>
    <w:rsid w:val="23AC3027"/>
    <w:rsid w:val="23AC5FEC"/>
    <w:rsid w:val="23AD7B35"/>
    <w:rsid w:val="23AE0B4E"/>
    <w:rsid w:val="23AE4FF1"/>
    <w:rsid w:val="23AE6990"/>
    <w:rsid w:val="23AF14AC"/>
    <w:rsid w:val="23AF245C"/>
    <w:rsid w:val="23AF3398"/>
    <w:rsid w:val="23AF6323"/>
    <w:rsid w:val="23B00D6A"/>
    <w:rsid w:val="23B02B18"/>
    <w:rsid w:val="23B04775"/>
    <w:rsid w:val="23B048B1"/>
    <w:rsid w:val="23B048C6"/>
    <w:rsid w:val="23B07801"/>
    <w:rsid w:val="23B100DE"/>
    <w:rsid w:val="23B2156E"/>
    <w:rsid w:val="23B229FE"/>
    <w:rsid w:val="23B24AE2"/>
    <w:rsid w:val="23B24D6E"/>
    <w:rsid w:val="23B31FBC"/>
    <w:rsid w:val="23B343B6"/>
    <w:rsid w:val="23B3515A"/>
    <w:rsid w:val="23B44B6D"/>
    <w:rsid w:val="23B4531E"/>
    <w:rsid w:val="23B45F70"/>
    <w:rsid w:val="23B5012E"/>
    <w:rsid w:val="23B52198"/>
    <w:rsid w:val="23B56380"/>
    <w:rsid w:val="23B57522"/>
    <w:rsid w:val="23B6137F"/>
    <w:rsid w:val="23B62BED"/>
    <w:rsid w:val="23B720F8"/>
    <w:rsid w:val="23B73EA6"/>
    <w:rsid w:val="23B75C54"/>
    <w:rsid w:val="23B80E02"/>
    <w:rsid w:val="23B81166"/>
    <w:rsid w:val="23B819CC"/>
    <w:rsid w:val="23B83C9F"/>
    <w:rsid w:val="23B86302"/>
    <w:rsid w:val="23B86870"/>
    <w:rsid w:val="23B87AF9"/>
    <w:rsid w:val="23B87C1E"/>
    <w:rsid w:val="23BA3996"/>
    <w:rsid w:val="23BA4C4A"/>
    <w:rsid w:val="23BA5744"/>
    <w:rsid w:val="23BB2B38"/>
    <w:rsid w:val="23BB34F9"/>
    <w:rsid w:val="23BB3D61"/>
    <w:rsid w:val="23BC03CF"/>
    <w:rsid w:val="23BC1AE2"/>
    <w:rsid w:val="23BC3477"/>
    <w:rsid w:val="23BC3AB0"/>
    <w:rsid w:val="23BC770E"/>
    <w:rsid w:val="23BD5235"/>
    <w:rsid w:val="23BD6681"/>
    <w:rsid w:val="23BE0FA1"/>
    <w:rsid w:val="23BE5A1F"/>
    <w:rsid w:val="23BF0FAD"/>
    <w:rsid w:val="23BF1BBE"/>
    <w:rsid w:val="23BF41FB"/>
    <w:rsid w:val="23C00415"/>
    <w:rsid w:val="23C10881"/>
    <w:rsid w:val="23C12F77"/>
    <w:rsid w:val="23C15745"/>
    <w:rsid w:val="23C16492"/>
    <w:rsid w:val="23C21E3A"/>
    <w:rsid w:val="23C224F3"/>
    <w:rsid w:val="23C2284B"/>
    <w:rsid w:val="23C23A15"/>
    <w:rsid w:val="23C25CC9"/>
    <w:rsid w:val="23C30B15"/>
    <w:rsid w:val="23C334D5"/>
    <w:rsid w:val="23C41A5C"/>
    <w:rsid w:val="23C44815"/>
    <w:rsid w:val="23C465C3"/>
    <w:rsid w:val="23C50DFE"/>
    <w:rsid w:val="23C562A3"/>
    <w:rsid w:val="23C6058D"/>
    <w:rsid w:val="23C60E74"/>
    <w:rsid w:val="23C62FBD"/>
    <w:rsid w:val="23C640E9"/>
    <w:rsid w:val="23C6758F"/>
    <w:rsid w:val="23C70C7F"/>
    <w:rsid w:val="23C72304"/>
    <w:rsid w:val="23C734A3"/>
    <w:rsid w:val="23C755F1"/>
    <w:rsid w:val="23C76570"/>
    <w:rsid w:val="23C85900"/>
    <w:rsid w:val="23C86365"/>
    <w:rsid w:val="23C929CA"/>
    <w:rsid w:val="23C93BD9"/>
    <w:rsid w:val="23C94C24"/>
    <w:rsid w:val="23C969CE"/>
    <w:rsid w:val="23C977F5"/>
    <w:rsid w:val="23CA0C85"/>
    <w:rsid w:val="23CB16FF"/>
    <w:rsid w:val="23CB4497"/>
    <w:rsid w:val="23CB4743"/>
    <w:rsid w:val="23CB47D0"/>
    <w:rsid w:val="23CB4D3A"/>
    <w:rsid w:val="23CB5BA3"/>
    <w:rsid w:val="23CB65C5"/>
    <w:rsid w:val="23CB69AD"/>
    <w:rsid w:val="23CB6BBC"/>
    <w:rsid w:val="23CB77BA"/>
    <w:rsid w:val="23CB7951"/>
    <w:rsid w:val="23CC162C"/>
    <w:rsid w:val="23CC1F70"/>
    <w:rsid w:val="23CC456F"/>
    <w:rsid w:val="23CC4CE6"/>
    <w:rsid w:val="23CD191B"/>
    <w:rsid w:val="23CD304C"/>
    <w:rsid w:val="23CD36CA"/>
    <w:rsid w:val="23CD5478"/>
    <w:rsid w:val="23CD77C3"/>
    <w:rsid w:val="23CE155A"/>
    <w:rsid w:val="23CE2F9E"/>
    <w:rsid w:val="23CF04B6"/>
    <w:rsid w:val="23CF0B19"/>
    <w:rsid w:val="23CF2712"/>
    <w:rsid w:val="23CF72BD"/>
    <w:rsid w:val="23D02D31"/>
    <w:rsid w:val="23D031BA"/>
    <w:rsid w:val="23D04F68"/>
    <w:rsid w:val="23D05282"/>
    <w:rsid w:val="23D06D16"/>
    <w:rsid w:val="23D15728"/>
    <w:rsid w:val="23D15E6F"/>
    <w:rsid w:val="23D16A12"/>
    <w:rsid w:val="23D16F16"/>
    <w:rsid w:val="23D20B18"/>
    <w:rsid w:val="23D20CE0"/>
    <w:rsid w:val="23D23256"/>
    <w:rsid w:val="23D23F7E"/>
    <w:rsid w:val="23D305B4"/>
    <w:rsid w:val="23D30ED7"/>
    <w:rsid w:val="23D3133D"/>
    <w:rsid w:val="23D36811"/>
    <w:rsid w:val="23D370D1"/>
    <w:rsid w:val="23D41BB8"/>
    <w:rsid w:val="23D42CAA"/>
    <w:rsid w:val="23D457C9"/>
    <w:rsid w:val="23D50239"/>
    <w:rsid w:val="23D5158E"/>
    <w:rsid w:val="23D55D98"/>
    <w:rsid w:val="23D55E5B"/>
    <w:rsid w:val="23D613D8"/>
    <w:rsid w:val="23D6170C"/>
    <w:rsid w:val="23D63C5E"/>
    <w:rsid w:val="23D671A6"/>
    <w:rsid w:val="23D700A4"/>
    <w:rsid w:val="23D74548"/>
    <w:rsid w:val="23D808C2"/>
    <w:rsid w:val="23D83E1C"/>
    <w:rsid w:val="23D902C0"/>
    <w:rsid w:val="23D96B4E"/>
    <w:rsid w:val="23DA1DD3"/>
    <w:rsid w:val="23DA58AD"/>
    <w:rsid w:val="23DA5DE6"/>
    <w:rsid w:val="23DA7B95"/>
    <w:rsid w:val="23DB1EE7"/>
    <w:rsid w:val="23DB41D1"/>
    <w:rsid w:val="23DB4957"/>
    <w:rsid w:val="23DB7146"/>
    <w:rsid w:val="23DC1B5F"/>
    <w:rsid w:val="23DC1E90"/>
    <w:rsid w:val="23DC390D"/>
    <w:rsid w:val="23DC4E0C"/>
    <w:rsid w:val="23DC5C6B"/>
    <w:rsid w:val="23DD1433"/>
    <w:rsid w:val="23DD452A"/>
    <w:rsid w:val="23DD70FB"/>
    <w:rsid w:val="23DE1C48"/>
    <w:rsid w:val="23DE2F0E"/>
    <w:rsid w:val="23DE58D7"/>
    <w:rsid w:val="23DE5A83"/>
    <w:rsid w:val="23DF164F"/>
    <w:rsid w:val="23DF295E"/>
    <w:rsid w:val="23DF33FD"/>
    <w:rsid w:val="23DF51AB"/>
    <w:rsid w:val="23E00285"/>
    <w:rsid w:val="23E01B49"/>
    <w:rsid w:val="23E031DB"/>
    <w:rsid w:val="23E05CF4"/>
    <w:rsid w:val="23E141BE"/>
    <w:rsid w:val="23E15A7C"/>
    <w:rsid w:val="23E26A49"/>
    <w:rsid w:val="23E31058"/>
    <w:rsid w:val="23E32F6D"/>
    <w:rsid w:val="23E356EC"/>
    <w:rsid w:val="23E40A13"/>
    <w:rsid w:val="23E40B36"/>
    <w:rsid w:val="23E42CBC"/>
    <w:rsid w:val="23E443FD"/>
    <w:rsid w:val="23E46C65"/>
    <w:rsid w:val="23E57478"/>
    <w:rsid w:val="23E57F40"/>
    <w:rsid w:val="23E6129C"/>
    <w:rsid w:val="23E63432"/>
    <w:rsid w:val="23E6478B"/>
    <w:rsid w:val="23E701AD"/>
    <w:rsid w:val="23E718EE"/>
    <w:rsid w:val="23E72982"/>
    <w:rsid w:val="23E72D7E"/>
    <w:rsid w:val="23E7405F"/>
    <w:rsid w:val="23E80503"/>
    <w:rsid w:val="23E813A3"/>
    <w:rsid w:val="23E822B1"/>
    <w:rsid w:val="23E97DD8"/>
    <w:rsid w:val="23EA026F"/>
    <w:rsid w:val="23EA427B"/>
    <w:rsid w:val="23EA6B2E"/>
    <w:rsid w:val="23EB0A99"/>
    <w:rsid w:val="23EB1DA2"/>
    <w:rsid w:val="23EB3B50"/>
    <w:rsid w:val="23EB3B87"/>
    <w:rsid w:val="23EB73A9"/>
    <w:rsid w:val="23EB7FF4"/>
    <w:rsid w:val="23EC1509"/>
    <w:rsid w:val="23EC3090"/>
    <w:rsid w:val="23EC420C"/>
    <w:rsid w:val="23EC7600"/>
    <w:rsid w:val="23ED1676"/>
    <w:rsid w:val="23ED396D"/>
    <w:rsid w:val="23ED46EB"/>
    <w:rsid w:val="23ED5B1A"/>
    <w:rsid w:val="23EE2706"/>
    <w:rsid w:val="23EE3640"/>
    <w:rsid w:val="23EE53EE"/>
    <w:rsid w:val="23EF1510"/>
    <w:rsid w:val="23EF1892"/>
    <w:rsid w:val="23EF1939"/>
    <w:rsid w:val="23F01166"/>
    <w:rsid w:val="23F0560A"/>
    <w:rsid w:val="23F15571"/>
    <w:rsid w:val="23F175D8"/>
    <w:rsid w:val="23F17782"/>
    <w:rsid w:val="23F23130"/>
    <w:rsid w:val="23F24EDE"/>
    <w:rsid w:val="23F32A04"/>
    <w:rsid w:val="23F35236"/>
    <w:rsid w:val="23F44CC2"/>
    <w:rsid w:val="23F50DC1"/>
    <w:rsid w:val="23F517A7"/>
    <w:rsid w:val="23F52C20"/>
    <w:rsid w:val="23F549CE"/>
    <w:rsid w:val="23F65C81"/>
    <w:rsid w:val="23F70513"/>
    <w:rsid w:val="23F70B0A"/>
    <w:rsid w:val="23F72873"/>
    <w:rsid w:val="23F76998"/>
    <w:rsid w:val="23F8016D"/>
    <w:rsid w:val="23F8076A"/>
    <w:rsid w:val="23F81132"/>
    <w:rsid w:val="23F9357A"/>
    <w:rsid w:val="23F95193"/>
    <w:rsid w:val="23F97302"/>
    <w:rsid w:val="23FA0237"/>
    <w:rsid w:val="23FA2D00"/>
    <w:rsid w:val="23FA3D93"/>
    <w:rsid w:val="23FA6623"/>
    <w:rsid w:val="23FA6C47"/>
    <w:rsid w:val="23FB1052"/>
    <w:rsid w:val="23FB23CB"/>
    <w:rsid w:val="23FB633D"/>
    <w:rsid w:val="23FC34CB"/>
    <w:rsid w:val="23FC5944"/>
    <w:rsid w:val="23FC5D5D"/>
    <w:rsid w:val="23FC6C82"/>
    <w:rsid w:val="23FD1ABA"/>
    <w:rsid w:val="23FD23D3"/>
    <w:rsid w:val="23FD5F3B"/>
    <w:rsid w:val="23FE09AB"/>
    <w:rsid w:val="23FE0CE8"/>
    <w:rsid w:val="23FE188A"/>
    <w:rsid w:val="23FE1AD5"/>
    <w:rsid w:val="23FE3883"/>
    <w:rsid w:val="23FE7D27"/>
    <w:rsid w:val="23FF13A9"/>
    <w:rsid w:val="23FF2D74"/>
    <w:rsid w:val="23FF35A8"/>
    <w:rsid w:val="23FF452C"/>
    <w:rsid w:val="23FF584D"/>
    <w:rsid w:val="23FF5990"/>
    <w:rsid w:val="23FF6CAD"/>
    <w:rsid w:val="23FF7120"/>
    <w:rsid w:val="23FF7543"/>
    <w:rsid w:val="24000D54"/>
    <w:rsid w:val="24002495"/>
    <w:rsid w:val="24003A9F"/>
    <w:rsid w:val="24004006"/>
    <w:rsid w:val="2401106B"/>
    <w:rsid w:val="240115C5"/>
    <w:rsid w:val="24013373"/>
    <w:rsid w:val="24015121"/>
    <w:rsid w:val="24017B8D"/>
    <w:rsid w:val="240210CD"/>
    <w:rsid w:val="240264F6"/>
    <w:rsid w:val="24030E99"/>
    <w:rsid w:val="24030FFE"/>
    <w:rsid w:val="240349F6"/>
    <w:rsid w:val="2403533D"/>
    <w:rsid w:val="24037600"/>
    <w:rsid w:val="24037792"/>
    <w:rsid w:val="24037BE3"/>
    <w:rsid w:val="24041C53"/>
    <w:rsid w:val="24044C11"/>
    <w:rsid w:val="240510B5"/>
    <w:rsid w:val="2405172C"/>
    <w:rsid w:val="240544D6"/>
    <w:rsid w:val="24054C81"/>
    <w:rsid w:val="24056855"/>
    <w:rsid w:val="24056A11"/>
    <w:rsid w:val="240607D0"/>
    <w:rsid w:val="2406098A"/>
    <w:rsid w:val="24060DA7"/>
    <w:rsid w:val="24064BC6"/>
    <w:rsid w:val="24066C85"/>
    <w:rsid w:val="240729FD"/>
    <w:rsid w:val="2407361F"/>
    <w:rsid w:val="240737E6"/>
    <w:rsid w:val="24080473"/>
    <w:rsid w:val="24082954"/>
    <w:rsid w:val="24083684"/>
    <w:rsid w:val="240853F4"/>
    <w:rsid w:val="240861CC"/>
    <w:rsid w:val="2409047A"/>
    <w:rsid w:val="24091B16"/>
    <w:rsid w:val="24094C88"/>
    <w:rsid w:val="24095906"/>
    <w:rsid w:val="24097F11"/>
    <w:rsid w:val="240A3547"/>
    <w:rsid w:val="240A49D7"/>
    <w:rsid w:val="240A66CC"/>
    <w:rsid w:val="240B2444"/>
    <w:rsid w:val="240B41F2"/>
    <w:rsid w:val="240B5FA0"/>
    <w:rsid w:val="240C7DD7"/>
    <w:rsid w:val="240D1079"/>
    <w:rsid w:val="240D1D18"/>
    <w:rsid w:val="240F21AB"/>
    <w:rsid w:val="240F5A90"/>
    <w:rsid w:val="241006B3"/>
    <w:rsid w:val="24100849"/>
    <w:rsid w:val="24102138"/>
    <w:rsid w:val="241067BA"/>
    <w:rsid w:val="24107B4C"/>
    <w:rsid w:val="241124F1"/>
    <w:rsid w:val="24115A88"/>
    <w:rsid w:val="2411700A"/>
    <w:rsid w:val="241237D2"/>
    <w:rsid w:val="24124D7F"/>
    <w:rsid w:val="24125580"/>
    <w:rsid w:val="24132953"/>
    <w:rsid w:val="24134E54"/>
    <w:rsid w:val="241412F8"/>
    <w:rsid w:val="24146C39"/>
    <w:rsid w:val="2415065A"/>
    <w:rsid w:val="2415200F"/>
    <w:rsid w:val="24155071"/>
    <w:rsid w:val="2416438A"/>
    <w:rsid w:val="241659F9"/>
    <w:rsid w:val="24172A1B"/>
    <w:rsid w:val="2417728C"/>
    <w:rsid w:val="2418071C"/>
    <w:rsid w:val="24180CBD"/>
    <w:rsid w:val="24181984"/>
    <w:rsid w:val="2418246B"/>
    <w:rsid w:val="24185E45"/>
    <w:rsid w:val="24186FDB"/>
    <w:rsid w:val="241906BD"/>
    <w:rsid w:val="24194B61"/>
    <w:rsid w:val="2419690F"/>
    <w:rsid w:val="241A2687"/>
    <w:rsid w:val="241A2DD3"/>
    <w:rsid w:val="241A44CC"/>
    <w:rsid w:val="241A7148"/>
    <w:rsid w:val="241B595C"/>
    <w:rsid w:val="241C1F5B"/>
    <w:rsid w:val="241C5C3D"/>
    <w:rsid w:val="241C67DD"/>
    <w:rsid w:val="241D19BD"/>
    <w:rsid w:val="241D2C4B"/>
    <w:rsid w:val="241E2177"/>
    <w:rsid w:val="241E2E4D"/>
    <w:rsid w:val="241E3D49"/>
    <w:rsid w:val="241E5A1E"/>
    <w:rsid w:val="241E5CD3"/>
    <w:rsid w:val="241E5D9A"/>
    <w:rsid w:val="241F1A4B"/>
    <w:rsid w:val="241F37F9"/>
    <w:rsid w:val="241F3DFA"/>
    <w:rsid w:val="241F4392"/>
    <w:rsid w:val="241F799A"/>
    <w:rsid w:val="2420033E"/>
    <w:rsid w:val="2420217D"/>
    <w:rsid w:val="242023D2"/>
    <w:rsid w:val="2420680B"/>
    <w:rsid w:val="24206C18"/>
    <w:rsid w:val="24206E02"/>
    <w:rsid w:val="24207C9D"/>
    <w:rsid w:val="242136F5"/>
    <w:rsid w:val="242157C3"/>
    <w:rsid w:val="242173F9"/>
    <w:rsid w:val="242202A4"/>
    <w:rsid w:val="2422439F"/>
    <w:rsid w:val="24226165"/>
    <w:rsid w:val="242305DE"/>
    <w:rsid w:val="2423153B"/>
    <w:rsid w:val="2423386F"/>
    <w:rsid w:val="24234632"/>
    <w:rsid w:val="2423778D"/>
    <w:rsid w:val="242411CC"/>
    <w:rsid w:val="24244D9A"/>
    <w:rsid w:val="2425014F"/>
    <w:rsid w:val="24253506"/>
    <w:rsid w:val="24253C3D"/>
    <w:rsid w:val="242552B4"/>
    <w:rsid w:val="2425650F"/>
    <w:rsid w:val="2426102C"/>
    <w:rsid w:val="24262DDA"/>
    <w:rsid w:val="242641B0"/>
    <w:rsid w:val="242660B6"/>
    <w:rsid w:val="2427341B"/>
    <w:rsid w:val="242735EE"/>
    <w:rsid w:val="24276354"/>
    <w:rsid w:val="242766AD"/>
    <w:rsid w:val="24280900"/>
    <w:rsid w:val="2428336C"/>
    <w:rsid w:val="2428486F"/>
    <w:rsid w:val="24284949"/>
    <w:rsid w:val="24284DA4"/>
    <w:rsid w:val="24285695"/>
    <w:rsid w:val="24286B52"/>
    <w:rsid w:val="24293423"/>
    <w:rsid w:val="24294678"/>
    <w:rsid w:val="24297F60"/>
    <w:rsid w:val="242A0B1C"/>
    <w:rsid w:val="242A28CA"/>
    <w:rsid w:val="242A3FC1"/>
    <w:rsid w:val="242B03F0"/>
    <w:rsid w:val="242B18E6"/>
    <w:rsid w:val="242B1E47"/>
    <w:rsid w:val="242B219E"/>
    <w:rsid w:val="242C16EC"/>
    <w:rsid w:val="242C6DFF"/>
    <w:rsid w:val="242D23BA"/>
    <w:rsid w:val="242D5F16"/>
    <w:rsid w:val="242E1BAC"/>
    <w:rsid w:val="242E2942"/>
    <w:rsid w:val="242F4D8B"/>
    <w:rsid w:val="242F67D5"/>
    <w:rsid w:val="242F69A3"/>
    <w:rsid w:val="24301E0F"/>
    <w:rsid w:val="24303C58"/>
    <w:rsid w:val="243050F2"/>
    <w:rsid w:val="24306B58"/>
    <w:rsid w:val="243112C3"/>
    <w:rsid w:val="24311EAA"/>
    <w:rsid w:val="24320144"/>
    <w:rsid w:val="24320BF2"/>
    <w:rsid w:val="2432352D"/>
    <w:rsid w:val="24326AE6"/>
    <w:rsid w:val="243279D1"/>
    <w:rsid w:val="24333CAB"/>
    <w:rsid w:val="24335324"/>
    <w:rsid w:val="24343533"/>
    <w:rsid w:val="243454F7"/>
    <w:rsid w:val="243472A5"/>
    <w:rsid w:val="2435360E"/>
    <w:rsid w:val="24364810"/>
    <w:rsid w:val="243674C1"/>
    <w:rsid w:val="24372971"/>
    <w:rsid w:val="24373239"/>
    <w:rsid w:val="24373C1E"/>
    <w:rsid w:val="24374FE7"/>
    <w:rsid w:val="243763C9"/>
    <w:rsid w:val="243807CB"/>
    <w:rsid w:val="2438146A"/>
    <w:rsid w:val="243865C5"/>
    <w:rsid w:val="24390D5F"/>
    <w:rsid w:val="24392B0D"/>
    <w:rsid w:val="243948BB"/>
    <w:rsid w:val="2439706A"/>
    <w:rsid w:val="24397AB2"/>
    <w:rsid w:val="243A34A9"/>
    <w:rsid w:val="243A6885"/>
    <w:rsid w:val="243A7A59"/>
    <w:rsid w:val="243B00F9"/>
    <w:rsid w:val="243B1A1F"/>
    <w:rsid w:val="243B4AD7"/>
    <w:rsid w:val="243B4F45"/>
    <w:rsid w:val="243C084F"/>
    <w:rsid w:val="243C25FD"/>
    <w:rsid w:val="243C43AB"/>
    <w:rsid w:val="243E0123"/>
    <w:rsid w:val="243E45C7"/>
    <w:rsid w:val="243E6375"/>
    <w:rsid w:val="243F5C4A"/>
    <w:rsid w:val="244035FB"/>
    <w:rsid w:val="24405610"/>
    <w:rsid w:val="244119C2"/>
    <w:rsid w:val="24413553"/>
    <w:rsid w:val="24416F07"/>
    <w:rsid w:val="24417C14"/>
    <w:rsid w:val="24422C3A"/>
    <w:rsid w:val="24424E18"/>
    <w:rsid w:val="24432AED"/>
    <w:rsid w:val="24435FDA"/>
    <w:rsid w:val="24442B3D"/>
    <w:rsid w:val="24443260"/>
    <w:rsid w:val="24445438"/>
    <w:rsid w:val="24447738"/>
    <w:rsid w:val="24455956"/>
    <w:rsid w:val="24457704"/>
    <w:rsid w:val="24460E5F"/>
    <w:rsid w:val="24462058"/>
    <w:rsid w:val="2446522A"/>
    <w:rsid w:val="24466A0F"/>
    <w:rsid w:val="24473779"/>
    <w:rsid w:val="24480FA2"/>
    <w:rsid w:val="24482291"/>
    <w:rsid w:val="244860B9"/>
    <w:rsid w:val="244871F4"/>
    <w:rsid w:val="24487692"/>
    <w:rsid w:val="2449211A"/>
    <w:rsid w:val="244A1B0D"/>
    <w:rsid w:val="244A2F6C"/>
    <w:rsid w:val="244B0A92"/>
    <w:rsid w:val="244B2840"/>
    <w:rsid w:val="244B45EE"/>
    <w:rsid w:val="244B7021"/>
    <w:rsid w:val="244B7CEF"/>
    <w:rsid w:val="244C43F5"/>
    <w:rsid w:val="244C5ECA"/>
    <w:rsid w:val="244D0366"/>
    <w:rsid w:val="244D0A9B"/>
    <w:rsid w:val="244D65B8"/>
    <w:rsid w:val="244D6CC6"/>
    <w:rsid w:val="244D74C5"/>
    <w:rsid w:val="244E07EA"/>
    <w:rsid w:val="244E1F2B"/>
    <w:rsid w:val="244E32A7"/>
    <w:rsid w:val="244E793D"/>
    <w:rsid w:val="244F0582"/>
    <w:rsid w:val="244F0CD7"/>
    <w:rsid w:val="244F2331"/>
    <w:rsid w:val="244F252C"/>
    <w:rsid w:val="244F5A79"/>
    <w:rsid w:val="244F6D8A"/>
    <w:rsid w:val="24503469"/>
    <w:rsid w:val="2450363A"/>
    <w:rsid w:val="24505CDB"/>
    <w:rsid w:val="245060A9"/>
    <w:rsid w:val="245069C9"/>
    <w:rsid w:val="2450741C"/>
    <w:rsid w:val="24507E57"/>
    <w:rsid w:val="24513CB5"/>
    <w:rsid w:val="24513CEA"/>
    <w:rsid w:val="245142FB"/>
    <w:rsid w:val="245143AD"/>
    <w:rsid w:val="245177B4"/>
    <w:rsid w:val="245178E2"/>
    <w:rsid w:val="24523BCF"/>
    <w:rsid w:val="2452597D"/>
    <w:rsid w:val="24526729"/>
    <w:rsid w:val="24537E8A"/>
    <w:rsid w:val="245416F5"/>
    <w:rsid w:val="2454306B"/>
    <w:rsid w:val="24547947"/>
    <w:rsid w:val="245506BD"/>
    <w:rsid w:val="2455546D"/>
    <w:rsid w:val="24555ADB"/>
    <w:rsid w:val="2455795D"/>
    <w:rsid w:val="2456072D"/>
    <w:rsid w:val="24561911"/>
    <w:rsid w:val="245636BF"/>
    <w:rsid w:val="24572F93"/>
    <w:rsid w:val="245731AB"/>
    <w:rsid w:val="245739FD"/>
    <w:rsid w:val="2457471E"/>
    <w:rsid w:val="245748E0"/>
    <w:rsid w:val="2457550E"/>
    <w:rsid w:val="2458446D"/>
    <w:rsid w:val="24585BAE"/>
    <w:rsid w:val="245872B7"/>
    <w:rsid w:val="245931AF"/>
    <w:rsid w:val="24594F5D"/>
    <w:rsid w:val="24596D0B"/>
    <w:rsid w:val="245A6B46"/>
    <w:rsid w:val="245B2AA2"/>
    <w:rsid w:val="245B2DEE"/>
    <w:rsid w:val="245B4119"/>
    <w:rsid w:val="245B61C4"/>
    <w:rsid w:val="245B6F27"/>
    <w:rsid w:val="245C2357"/>
    <w:rsid w:val="245C2C9F"/>
    <w:rsid w:val="245C4A4D"/>
    <w:rsid w:val="245C5E57"/>
    <w:rsid w:val="245C6C04"/>
    <w:rsid w:val="245D000B"/>
    <w:rsid w:val="245E07C6"/>
    <w:rsid w:val="245E2574"/>
    <w:rsid w:val="245E2E5F"/>
    <w:rsid w:val="245E4322"/>
    <w:rsid w:val="245F0EEB"/>
    <w:rsid w:val="245F4681"/>
    <w:rsid w:val="245F66E0"/>
    <w:rsid w:val="2460453E"/>
    <w:rsid w:val="246052F7"/>
    <w:rsid w:val="24612064"/>
    <w:rsid w:val="24613E12"/>
    <w:rsid w:val="24616C60"/>
    <w:rsid w:val="24621EC0"/>
    <w:rsid w:val="24624982"/>
    <w:rsid w:val="24635DDC"/>
    <w:rsid w:val="24642A53"/>
    <w:rsid w:val="24646D22"/>
    <w:rsid w:val="24651B54"/>
    <w:rsid w:val="24652FBD"/>
    <w:rsid w:val="2465328A"/>
    <w:rsid w:val="24653902"/>
    <w:rsid w:val="24665940"/>
    <w:rsid w:val="24672836"/>
    <w:rsid w:val="246758CC"/>
    <w:rsid w:val="24681644"/>
    <w:rsid w:val="246833F2"/>
    <w:rsid w:val="24683BCD"/>
    <w:rsid w:val="246840C4"/>
    <w:rsid w:val="246851A0"/>
    <w:rsid w:val="246853BA"/>
    <w:rsid w:val="246856A3"/>
    <w:rsid w:val="2468605A"/>
    <w:rsid w:val="246905D0"/>
    <w:rsid w:val="246953F2"/>
    <w:rsid w:val="246A1453"/>
    <w:rsid w:val="246A53BC"/>
    <w:rsid w:val="246B28E3"/>
    <w:rsid w:val="246B6A3F"/>
    <w:rsid w:val="246C147E"/>
    <w:rsid w:val="246C3D73"/>
    <w:rsid w:val="246C54B4"/>
    <w:rsid w:val="246C5502"/>
    <w:rsid w:val="246D27B7"/>
    <w:rsid w:val="246D3861"/>
    <w:rsid w:val="246E0168"/>
    <w:rsid w:val="246E0249"/>
    <w:rsid w:val="246E106A"/>
    <w:rsid w:val="246E33EC"/>
    <w:rsid w:val="246E4997"/>
    <w:rsid w:val="246E6609"/>
    <w:rsid w:val="246E7D69"/>
    <w:rsid w:val="246F1264"/>
    <w:rsid w:val="246F29D3"/>
    <w:rsid w:val="246F2A3C"/>
    <w:rsid w:val="246F4B0D"/>
    <w:rsid w:val="246F652F"/>
    <w:rsid w:val="2470008C"/>
    <w:rsid w:val="247022A7"/>
    <w:rsid w:val="24704055"/>
    <w:rsid w:val="247052C5"/>
    <w:rsid w:val="24705813"/>
    <w:rsid w:val="24710AA3"/>
    <w:rsid w:val="24712EC3"/>
    <w:rsid w:val="24721326"/>
    <w:rsid w:val="247234B2"/>
    <w:rsid w:val="24723F26"/>
    <w:rsid w:val="24724271"/>
    <w:rsid w:val="2472495D"/>
    <w:rsid w:val="24726FC7"/>
    <w:rsid w:val="24727DCD"/>
    <w:rsid w:val="24731075"/>
    <w:rsid w:val="24741D97"/>
    <w:rsid w:val="24743B45"/>
    <w:rsid w:val="24747FE9"/>
    <w:rsid w:val="24756566"/>
    <w:rsid w:val="247578BD"/>
    <w:rsid w:val="24757CA7"/>
    <w:rsid w:val="24763D61"/>
    <w:rsid w:val="24765B0F"/>
    <w:rsid w:val="2477022E"/>
    <w:rsid w:val="24770F7C"/>
    <w:rsid w:val="24771887"/>
    <w:rsid w:val="24773635"/>
    <w:rsid w:val="247753E3"/>
    <w:rsid w:val="24775FC4"/>
    <w:rsid w:val="247833D0"/>
    <w:rsid w:val="24785961"/>
    <w:rsid w:val="247862F9"/>
    <w:rsid w:val="2479115B"/>
    <w:rsid w:val="24791413"/>
    <w:rsid w:val="24792817"/>
    <w:rsid w:val="247A388C"/>
    <w:rsid w:val="247A6377"/>
    <w:rsid w:val="247B3126"/>
    <w:rsid w:val="247B4ED4"/>
    <w:rsid w:val="247C0C4C"/>
    <w:rsid w:val="247C5D7F"/>
    <w:rsid w:val="247C68F3"/>
    <w:rsid w:val="247C6E9E"/>
    <w:rsid w:val="247D2F13"/>
    <w:rsid w:val="247D33FB"/>
    <w:rsid w:val="247D49BE"/>
    <w:rsid w:val="247D50F0"/>
    <w:rsid w:val="247E480D"/>
    <w:rsid w:val="247E49C4"/>
    <w:rsid w:val="247E57BC"/>
    <w:rsid w:val="247E651F"/>
    <w:rsid w:val="247E6772"/>
    <w:rsid w:val="247E7AD8"/>
    <w:rsid w:val="247F06FE"/>
    <w:rsid w:val="247F3158"/>
    <w:rsid w:val="247F392A"/>
    <w:rsid w:val="247F49C1"/>
    <w:rsid w:val="247F6844"/>
    <w:rsid w:val="2480073C"/>
    <w:rsid w:val="2480215C"/>
    <w:rsid w:val="248024EA"/>
    <w:rsid w:val="24803679"/>
    <w:rsid w:val="2480528F"/>
    <w:rsid w:val="24805C6E"/>
    <w:rsid w:val="2480698E"/>
    <w:rsid w:val="24815A71"/>
    <w:rsid w:val="24816CC7"/>
    <w:rsid w:val="24822095"/>
    <w:rsid w:val="24822706"/>
    <w:rsid w:val="24831243"/>
    <w:rsid w:val="24831832"/>
    <w:rsid w:val="248322AB"/>
    <w:rsid w:val="24841378"/>
    <w:rsid w:val="24841FFA"/>
    <w:rsid w:val="24844413"/>
    <w:rsid w:val="248471A4"/>
    <w:rsid w:val="2485348A"/>
    <w:rsid w:val="24853FA4"/>
    <w:rsid w:val="2485792E"/>
    <w:rsid w:val="24861ACA"/>
    <w:rsid w:val="24866D29"/>
    <w:rsid w:val="24870270"/>
    <w:rsid w:val="248741BC"/>
    <w:rsid w:val="24874423"/>
    <w:rsid w:val="24874831"/>
    <w:rsid w:val="248765BF"/>
    <w:rsid w:val="24880887"/>
    <w:rsid w:val="2488352F"/>
    <w:rsid w:val="2488354C"/>
    <w:rsid w:val="24883A75"/>
    <w:rsid w:val="24883A94"/>
    <w:rsid w:val="24885842"/>
    <w:rsid w:val="248875F1"/>
    <w:rsid w:val="2489064F"/>
    <w:rsid w:val="24891ED5"/>
    <w:rsid w:val="248921C0"/>
    <w:rsid w:val="2489439D"/>
    <w:rsid w:val="24896341"/>
    <w:rsid w:val="248975AD"/>
    <w:rsid w:val="248A3369"/>
    <w:rsid w:val="248A5E6C"/>
    <w:rsid w:val="248B1ECD"/>
    <w:rsid w:val="248B63B2"/>
    <w:rsid w:val="248B7965"/>
    <w:rsid w:val="248C335D"/>
    <w:rsid w:val="248C5333"/>
    <w:rsid w:val="248C6B1F"/>
    <w:rsid w:val="248D02B0"/>
    <w:rsid w:val="248D10AB"/>
    <w:rsid w:val="248D2E59"/>
    <w:rsid w:val="248D4C07"/>
    <w:rsid w:val="248E5098"/>
    <w:rsid w:val="248F097F"/>
    <w:rsid w:val="248F4E0C"/>
    <w:rsid w:val="248F4E23"/>
    <w:rsid w:val="248F558F"/>
    <w:rsid w:val="2490316E"/>
    <w:rsid w:val="249037E0"/>
    <w:rsid w:val="24912949"/>
    <w:rsid w:val="2491532A"/>
    <w:rsid w:val="24915D3F"/>
    <w:rsid w:val="2492424B"/>
    <w:rsid w:val="24925A8E"/>
    <w:rsid w:val="249266C1"/>
    <w:rsid w:val="249302D2"/>
    <w:rsid w:val="2493065F"/>
    <w:rsid w:val="24934BD0"/>
    <w:rsid w:val="249366D3"/>
    <w:rsid w:val="24941163"/>
    <w:rsid w:val="249441E7"/>
    <w:rsid w:val="24945F95"/>
    <w:rsid w:val="249509BD"/>
    <w:rsid w:val="24952229"/>
    <w:rsid w:val="24961D0D"/>
    <w:rsid w:val="24962290"/>
    <w:rsid w:val="2496440F"/>
    <w:rsid w:val="249661B1"/>
    <w:rsid w:val="24967E12"/>
    <w:rsid w:val="24967F5F"/>
    <w:rsid w:val="2497247B"/>
    <w:rsid w:val="24973CD7"/>
    <w:rsid w:val="24975A76"/>
    <w:rsid w:val="24975A86"/>
    <w:rsid w:val="24975B38"/>
    <w:rsid w:val="2497667E"/>
    <w:rsid w:val="24977834"/>
    <w:rsid w:val="24980A26"/>
    <w:rsid w:val="24980BC0"/>
    <w:rsid w:val="24981271"/>
    <w:rsid w:val="24991787"/>
    <w:rsid w:val="249917FE"/>
    <w:rsid w:val="249944D1"/>
    <w:rsid w:val="24994742"/>
    <w:rsid w:val="24994A97"/>
    <w:rsid w:val="24997A50"/>
    <w:rsid w:val="249A0C51"/>
    <w:rsid w:val="249A0E95"/>
    <w:rsid w:val="249A0EF7"/>
    <w:rsid w:val="249B16EF"/>
    <w:rsid w:val="249B19C2"/>
    <w:rsid w:val="249B2C9D"/>
    <w:rsid w:val="249B37C8"/>
    <w:rsid w:val="249B7324"/>
    <w:rsid w:val="249C1522"/>
    <w:rsid w:val="249C1C32"/>
    <w:rsid w:val="249C4A19"/>
    <w:rsid w:val="249C4E4A"/>
    <w:rsid w:val="249C6803"/>
    <w:rsid w:val="249C782B"/>
    <w:rsid w:val="249D7540"/>
    <w:rsid w:val="249E0BC2"/>
    <w:rsid w:val="249E2CA0"/>
    <w:rsid w:val="249E5066"/>
    <w:rsid w:val="249E5772"/>
    <w:rsid w:val="249E6E14"/>
    <w:rsid w:val="249F2657"/>
    <w:rsid w:val="249F53F6"/>
    <w:rsid w:val="24A02ABB"/>
    <w:rsid w:val="24A02B8C"/>
    <w:rsid w:val="24A0493A"/>
    <w:rsid w:val="24A106B2"/>
    <w:rsid w:val="24A16714"/>
    <w:rsid w:val="24A17334"/>
    <w:rsid w:val="24A24B56"/>
    <w:rsid w:val="24A25583"/>
    <w:rsid w:val="24A25AA4"/>
    <w:rsid w:val="24A26904"/>
    <w:rsid w:val="24A2753C"/>
    <w:rsid w:val="24A3267C"/>
    <w:rsid w:val="24A33FFE"/>
    <w:rsid w:val="24A3442A"/>
    <w:rsid w:val="24A34F2A"/>
    <w:rsid w:val="24A361D8"/>
    <w:rsid w:val="24A408F0"/>
    <w:rsid w:val="24A415E4"/>
    <w:rsid w:val="24A465FD"/>
    <w:rsid w:val="24A47BD1"/>
    <w:rsid w:val="24A5122F"/>
    <w:rsid w:val="24A52D69"/>
    <w:rsid w:val="24A54BEC"/>
    <w:rsid w:val="24A55645"/>
    <w:rsid w:val="24A575E0"/>
    <w:rsid w:val="24A614DE"/>
    <w:rsid w:val="24A622CF"/>
    <w:rsid w:val="24A63957"/>
    <w:rsid w:val="24A64F52"/>
    <w:rsid w:val="24A65D1A"/>
    <w:rsid w:val="24A66AD5"/>
    <w:rsid w:val="24A7216D"/>
    <w:rsid w:val="24A7286B"/>
    <w:rsid w:val="24A75360"/>
    <w:rsid w:val="24A80AA9"/>
    <w:rsid w:val="24A85EE5"/>
    <w:rsid w:val="24A87C93"/>
    <w:rsid w:val="24A932B1"/>
    <w:rsid w:val="24A939DB"/>
    <w:rsid w:val="24A95456"/>
    <w:rsid w:val="24A96724"/>
    <w:rsid w:val="24AA31AC"/>
    <w:rsid w:val="24AA3A0B"/>
    <w:rsid w:val="24AA68E6"/>
    <w:rsid w:val="24AA7099"/>
    <w:rsid w:val="24AA7567"/>
    <w:rsid w:val="24AB2CAD"/>
    <w:rsid w:val="24AB32DF"/>
    <w:rsid w:val="24AB4496"/>
    <w:rsid w:val="24AB6318"/>
    <w:rsid w:val="24AC106B"/>
    <w:rsid w:val="24AC1531"/>
    <w:rsid w:val="24AD3DD7"/>
    <w:rsid w:val="24AD52A9"/>
    <w:rsid w:val="24AE0E9A"/>
    <w:rsid w:val="24AE34FB"/>
    <w:rsid w:val="24AF1021"/>
    <w:rsid w:val="24AF12C8"/>
    <w:rsid w:val="24AF2DCF"/>
    <w:rsid w:val="24AF3183"/>
    <w:rsid w:val="24AF4B7D"/>
    <w:rsid w:val="24AF66F7"/>
    <w:rsid w:val="24AF7273"/>
    <w:rsid w:val="24B00C44"/>
    <w:rsid w:val="24B046AB"/>
    <w:rsid w:val="24B06AE2"/>
    <w:rsid w:val="24B1010E"/>
    <w:rsid w:val="24B107CA"/>
    <w:rsid w:val="24B108F5"/>
    <w:rsid w:val="24B1183B"/>
    <w:rsid w:val="24B13BE8"/>
    <w:rsid w:val="24B166C8"/>
    <w:rsid w:val="24B16B47"/>
    <w:rsid w:val="24B228BF"/>
    <w:rsid w:val="24B34642"/>
    <w:rsid w:val="24B403E6"/>
    <w:rsid w:val="24B4543E"/>
    <w:rsid w:val="24B45F55"/>
    <w:rsid w:val="24B46637"/>
    <w:rsid w:val="24B50519"/>
    <w:rsid w:val="24B623B0"/>
    <w:rsid w:val="24B6415E"/>
    <w:rsid w:val="24B6591B"/>
    <w:rsid w:val="24B65F0C"/>
    <w:rsid w:val="24B71C84"/>
    <w:rsid w:val="24B740BF"/>
    <w:rsid w:val="24B774FB"/>
    <w:rsid w:val="24B77ED6"/>
    <w:rsid w:val="24B80EEA"/>
    <w:rsid w:val="24B83315"/>
    <w:rsid w:val="24B84555"/>
    <w:rsid w:val="24B86128"/>
    <w:rsid w:val="24B91939"/>
    <w:rsid w:val="24B93C4E"/>
    <w:rsid w:val="24B94C4F"/>
    <w:rsid w:val="24B94F4B"/>
    <w:rsid w:val="24B96126"/>
    <w:rsid w:val="24B96F50"/>
    <w:rsid w:val="24BA4B4F"/>
    <w:rsid w:val="24BA5D18"/>
    <w:rsid w:val="24BA63DB"/>
    <w:rsid w:val="24BB1774"/>
    <w:rsid w:val="24BB37D4"/>
    <w:rsid w:val="24BB3FBB"/>
    <w:rsid w:val="24BB4BCA"/>
    <w:rsid w:val="24BB4C9A"/>
    <w:rsid w:val="24BB5C18"/>
    <w:rsid w:val="24BB77DD"/>
    <w:rsid w:val="24BB786B"/>
    <w:rsid w:val="24BB79C6"/>
    <w:rsid w:val="24BC54EC"/>
    <w:rsid w:val="24BC5D8B"/>
    <w:rsid w:val="24BE3012"/>
    <w:rsid w:val="24BE4D5C"/>
    <w:rsid w:val="24BE74B6"/>
    <w:rsid w:val="24BF09F7"/>
    <w:rsid w:val="24BF0AEA"/>
    <w:rsid w:val="24BF2D29"/>
    <w:rsid w:val="24BF61EC"/>
    <w:rsid w:val="24BF6222"/>
    <w:rsid w:val="24C00B0C"/>
    <w:rsid w:val="24C0224D"/>
    <w:rsid w:val="24C0272A"/>
    <w:rsid w:val="24C063FD"/>
    <w:rsid w:val="24C06D8A"/>
    <w:rsid w:val="24C13568"/>
    <w:rsid w:val="24C1359F"/>
    <w:rsid w:val="24C148B0"/>
    <w:rsid w:val="24C2136D"/>
    <w:rsid w:val="24C22B02"/>
    <w:rsid w:val="24C257C0"/>
    <w:rsid w:val="24C30629"/>
    <w:rsid w:val="24C3089C"/>
    <w:rsid w:val="24C31BF0"/>
    <w:rsid w:val="24C31F83"/>
    <w:rsid w:val="24C3240F"/>
    <w:rsid w:val="24C3312C"/>
    <w:rsid w:val="24C35FFD"/>
    <w:rsid w:val="24C37B5D"/>
    <w:rsid w:val="24C42EE0"/>
    <w:rsid w:val="24C45946"/>
    <w:rsid w:val="24C4697F"/>
    <w:rsid w:val="24C543A1"/>
    <w:rsid w:val="24C57FA9"/>
    <w:rsid w:val="24C630CC"/>
    <w:rsid w:val="24C65372"/>
    <w:rsid w:val="24C66561"/>
    <w:rsid w:val="24C70119"/>
    <w:rsid w:val="24C745BD"/>
    <w:rsid w:val="24C75E0E"/>
    <w:rsid w:val="24C7754F"/>
    <w:rsid w:val="24C81068"/>
    <w:rsid w:val="24C820E3"/>
    <w:rsid w:val="24C83E91"/>
    <w:rsid w:val="24C84B79"/>
    <w:rsid w:val="24C86268"/>
    <w:rsid w:val="24C86644"/>
    <w:rsid w:val="24C8729E"/>
    <w:rsid w:val="24C90335"/>
    <w:rsid w:val="24C92677"/>
    <w:rsid w:val="24CA3262"/>
    <w:rsid w:val="24CA5E5B"/>
    <w:rsid w:val="24CB12EC"/>
    <w:rsid w:val="24CB34B1"/>
    <w:rsid w:val="24CB7360"/>
    <w:rsid w:val="24CC07F0"/>
    <w:rsid w:val="24CC3981"/>
    <w:rsid w:val="24CC572F"/>
    <w:rsid w:val="24CD0A8F"/>
    <w:rsid w:val="24CD14A7"/>
    <w:rsid w:val="24CF19BC"/>
    <w:rsid w:val="24CF3999"/>
    <w:rsid w:val="24CF3AD2"/>
    <w:rsid w:val="24CF4762"/>
    <w:rsid w:val="24CF521F"/>
    <w:rsid w:val="24CF6FCD"/>
    <w:rsid w:val="24D00DA8"/>
    <w:rsid w:val="24D07F8B"/>
    <w:rsid w:val="24D12D46"/>
    <w:rsid w:val="24D1483D"/>
    <w:rsid w:val="24D171E9"/>
    <w:rsid w:val="24D21D46"/>
    <w:rsid w:val="24D24662"/>
    <w:rsid w:val="24D27727"/>
    <w:rsid w:val="24D32F62"/>
    <w:rsid w:val="24D34D10"/>
    <w:rsid w:val="24D373EF"/>
    <w:rsid w:val="24D40A88"/>
    <w:rsid w:val="24D40EDE"/>
    <w:rsid w:val="24D46CDA"/>
    <w:rsid w:val="24D50412"/>
    <w:rsid w:val="24D545CC"/>
    <w:rsid w:val="24D54E6B"/>
    <w:rsid w:val="24D54EEA"/>
    <w:rsid w:val="24D6035C"/>
    <w:rsid w:val="24D64800"/>
    <w:rsid w:val="24D665AE"/>
    <w:rsid w:val="24D67B63"/>
    <w:rsid w:val="24D726DF"/>
    <w:rsid w:val="24D739F5"/>
    <w:rsid w:val="24D740D4"/>
    <w:rsid w:val="24D740FF"/>
    <w:rsid w:val="24D749CA"/>
    <w:rsid w:val="24D804D4"/>
    <w:rsid w:val="24D80578"/>
    <w:rsid w:val="24D87DB1"/>
    <w:rsid w:val="24D87EA8"/>
    <w:rsid w:val="24D90223"/>
    <w:rsid w:val="24D942F0"/>
    <w:rsid w:val="24D9609E"/>
    <w:rsid w:val="24DA2BBE"/>
    <w:rsid w:val="24DA2DF4"/>
    <w:rsid w:val="24DB1E16"/>
    <w:rsid w:val="24DB298B"/>
    <w:rsid w:val="24DB3BC4"/>
    <w:rsid w:val="24DB4284"/>
    <w:rsid w:val="24DB5972"/>
    <w:rsid w:val="24DC7CF1"/>
    <w:rsid w:val="24DD0075"/>
    <w:rsid w:val="24DD00DF"/>
    <w:rsid w:val="24DD2294"/>
    <w:rsid w:val="24DD3289"/>
    <w:rsid w:val="24DD54EC"/>
    <w:rsid w:val="24DD56B0"/>
    <w:rsid w:val="24DD793C"/>
    <w:rsid w:val="24DE0291"/>
    <w:rsid w:val="24DE1906"/>
    <w:rsid w:val="24DE36B4"/>
    <w:rsid w:val="24DE5462"/>
    <w:rsid w:val="24E011DB"/>
    <w:rsid w:val="24E01DC6"/>
    <w:rsid w:val="24E044D2"/>
    <w:rsid w:val="24E0567E"/>
    <w:rsid w:val="24E0742D"/>
    <w:rsid w:val="24E10292"/>
    <w:rsid w:val="24E16D01"/>
    <w:rsid w:val="24E22A16"/>
    <w:rsid w:val="24E231A5"/>
    <w:rsid w:val="24E23B68"/>
    <w:rsid w:val="24E24F53"/>
    <w:rsid w:val="24E30CCB"/>
    <w:rsid w:val="24E32A79"/>
    <w:rsid w:val="24E35063"/>
    <w:rsid w:val="24E40E30"/>
    <w:rsid w:val="24E46F1D"/>
    <w:rsid w:val="24E4735D"/>
    <w:rsid w:val="24E52C95"/>
    <w:rsid w:val="24E54A43"/>
    <w:rsid w:val="24E567F1"/>
    <w:rsid w:val="24E71634"/>
    <w:rsid w:val="24E72569"/>
    <w:rsid w:val="24E72EEB"/>
    <w:rsid w:val="24E733C6"/>
    <w:rsid w:val="24E744EC"/>
    <w:rsid w:val="24E74D78"/>
    <w:rsid w:val="24E753F8"/>
    <w:rsid w:val="24E75BE3"/>
    <w:rsid w:val="24E7671C"/>
    <w:rsid w:val="24E8008F"/>
    <w:rsid w:val="24E8121A"/>
    <w:rsid w:val="24E8332D"/>
    <w:rsid w:val="24E862E1"/>
    <w:rsid w:val="24E87B40"/>
    <w:rsid w:val="24E94533"/>
    <w:rsid w:val="24E95597"/>
    <w:rsid w:val="24E97D18"/>
    <w:rsid w:val="24EA28E9"/>
    <w:rsid w:val="24EA32DC"/>
    <w:rsid w:val="24EA6EC3"/>
    <w:rsid w:val="24EB6C2C"/>
    <w:rsid w:val="24EB6F36"/>
    <w:rsid w:val="24EC4023"/>
    <w:rsid w:val="24EC5DD1"/>
    <w:rsid w:val="24EC7B7F"/>
    <w:rsid w:val="24ED190D"/>
    <w:rsid w:val="24ED2D10"/>
    <w:rsid w:val="24ED38F7"/>
    <w:rsid w:val="24ED45C1"/>
    <w:rsid w:val="24ED56A6"/>
    <w:rsid w:val="24ED7B29"/>
    <w:rsid w:val="24EF2C61"/>
    <w:rsid w:val="24EF58C2"/>
    <w:rsid w:val="24EF7588"/>
    <w:rsid w:val="24EF7670"/>
    <w:rsid w:val="24F02E15"/>
    <w:rsid w:val="24F10D26"/>
    <w:rsid w:val="24F1163A"/>
    <w:rsid w:val="24F1229D"/>
    <w:rsid w:val="24F15196"/>
    <w:rsid w:val="24F2052C"/>
    <w:rsid w:val="24F2280F"/>
    <w:rsid w:val="24F353B2"/>
    <w:rsid w:val="24F37160"/>
    <w:rsid w:val="24F42ED8"/>
    <w:rsid w:val="24F44C86"/>
    <w:rsid w:val="24F44E2B"/>
    <w:rsid w:val="24F4656C"/>
    <w:rsid w:val="24F46A34"/>
    <w:rsid w:val="24F508DE"/>
    <w:rsid w:val="24F5112A"/>
    <w:rsid w:val="24F53F45"/>
    <w:rsid w:val="24F56782"/>
    <w:rsid w:val="24F63A5D"/>
    <w:rsid w:val="24F65CD0"/>
    <w:rsid w:val="24F674E5"/>
    <w:rsid w:val="24F71BF0"/>
    <w:rsid w:val="24F726C5"/>
    <w:rsid w:val="24F72AFC"/>
    <w:rsid w:val="24F74EED"/>
    <w:rsid w:val="24F76B35"/>
    <w:rsid w:val="24F806C0"/>
    <w:rsid w:val="24F80BA9"/>
    <w:rsid w:val="24F828E9"/>
    <w:rsid w:val="24F829C8"/>
    <w:rsid w:val="24F86524"/>
    <w:rsid w:val="24F904EE"/>
    <w:rsid w:val="24F9229C"/>
    <w:rsid w:val="24F9780D"/>
    <w:rsid w:val="24FA0C9D"/>
    <w:rsid w:val="24FA6740"/>
    <w:rsid w:val="24FB212D"/>
    <w:rsid w:val="24FB26C5"/>
    <w:rsid w:val="24FB35A7"/>
    <w:rsid w:val="24FB4266"/>
    <w:rsid w:val="24FB6014"/>
    <w:rsid w:val="24FB7DC2"/>
    <w:rsid w:val="24FC224D"/>
    <w:rsid w:val="24FD1D8D"/>
    <w:rsid w:val="24FD1EF8"/>
    <w:rsid w:val="24FD3288"/>
    <w:rsid w:val="24FD7FDE"/>
    <w:rsid w:val="24FE0AAE"/>
    <w:rsid w:val="24FE537A"/>
    <w:rsid w:val="24FE78B3"/>
    <w:rsid w:val="24FE7E03"/>
    <w:rsid w:val="24FF195F"/>
    <w:rsid w:val="24FF73CB"/>
    <w:rsid w:val="25001901"/>
    <w:rsid w:val="2500245D"/>
    <w:rsid w:val="2500362B"/>
    <w:rsid w:val="25004B0F"/>
    <w:rsid w:val="250052AB"/>
    <w:rsid w:val="25007546"/>
    <w:rsid w:val="25007ACF"/>
    <w:rsid w:val="2501052C"/>
    <w:rsid w:val="25010B70"/>
    <w:rsid w:val="25010FCF"/>
    <w:rsid w:val="25011C53"/>
    <w:rsid w:val="250208BF"/>
    <w:rsid w:val="2502111B"/>
    <w:rsid w:val="25021EB4"/>
    <w:rsid w:val="25024C03"/>
    <w:rsid w:val="250255F5"/>
    <w:rsid w:val="250273A3"/>
    <w:rsid w:val="25030331"/>
    <w:rsid w:val="250318FA"/>
    <w:rsid w:val="2503311B"/>
    <w:rsid w:val="25034EC9"/>
    <w:rsid w:val="25040928"/>
    <w:rsid w:val="2504136D"/>
    <w:rsid w:val="25044C6D"/>
    <w:rsid w:val="25046061"/>
    <w:rsid w:val="25050C41"/>
    <w:rsid w:val="25055DB0"/>
    <w:rsid w:val="25056E93"/>
    <w:rsid w:val="25061E11"/>
    <w:rsid w:val="25062115"/>
    <w:rsid w:val="25063990"/>
    <w:rsid w:val="250665DE"/>
    <w:rsid w:val="25070E5D"/>
    <w:rsid w:val="25072C0B"/>
    <w:rsid w:val="250749B9"/>
    <w:rsid w:val="2507531F"/>
    <w:rsid w:val="25075E65"/>
    <w:rsid w:val="25076767"/>
    <w:rsid w:val="25085E72"/>
    <w:rsid w:val="25086C8D"/>
    <w:rsid w:val="25090731"/>
    <w:rsid w:val="250927FD"/>
    <w:rsid w:val="25094FEB"/>
    <w:rsid w:val="25097302"/>
    <w:rsid w:val="250A108A"/>
    <w:rsid w:val="250A111B"/>
    <w:rsid w:val="250A2633"/>
    <w:rsid w:val="250A3363"/>
    <w:rsid w:val="250A35F8"/>
    <w:rsid w:val="250A426C"/>
    <w:rsid w:val="250A6257"/>
    <w:rsid w:val="250B47F3"/>
    <w:rsid w:val="250C0222"/>
    <w:rsid w:val="250C1FD0"/>
    <w:rsid w:val="250C6474"/>
    <w:rsid w:val="250D3731"/>
    <w:rsid w:val="250D4D13"/>
    <w:rsid w:val="250D7AF6"/>
    <w:rsid w:val="250E05A3"/>
    <w:rsid w:val="250E0B4C"/>
    <w:rsid w:val="250E1CE4"/>
    <w:rsid w:val="250E3F9A"/>
    <w:rsid w:val="250E5D48"/>
    <w:rsid w:val="250E726B"/>
    <w:rsid w:val="250F386E"/>
    <w:rsid w:val="250F5E26"/>
    <w:rsid w:val="250F7D12"/>
    <w:rsid w:val="25104604"/>
    <w:rsid w:val="25110665"/>
    <w:rsid w:val="25112E5F"/>
    <w:rsid w:val="25113A8A"/>
    <w:rsid w:val="25115838"/>
    <w:rsid w:val="25121795"/>
    <w:rsid w:val="251315B0"/>
    <w:rsid w:val="25132F85"/>
    <w:rsid w:val="2513335E"/>
    <w:rsid w:val="2513397F"/>
    <w:rsid w:val="25140E84"/>
    <w:rsid w:val="25145328"/>
    <w:rsid w:val="25145D5F"/>
    <w:rsid w:val="251470D6"/>
    <w:rsid w:val="2515148A"/>
    <w:rsid w:val="2516076E"/>
    <w:rsid w:val="251610A0"/>
    <w:rsid w:val="25162E4E"/>
    <w:rsid w:val="25163E64"/>
    <w:rsid w:val="25164BFC"/>
    <w:rsid w:val="25171955"/>
    <w:rsid w:val="25177A1A"/>
    <w:rsid w:val="25180974"/>
    <w:rsid w:val="25184E18"/>
    <w:rsid w:val="2518625E"/>
    <w:rsid w:val="25186BC6"/>
    <w:rsid w:val="251952CD"/>
    <w:rsid w:val="2519649B"/>
    <w:rsid w:val="25196DF7"/>
    <w:rsid w:val="251A2D39"/>
    <w:rsid w:val="251A2D4A"/>
    <w:rsid w:val="251A3E89"/>
    <w:rsid w:val="251A4A2E"/>
    <w:rsid w:val="251B0400"/>
    <w:rsid w:val="251B0465"/>
    <w:rsid w:val="251B2213"/>
    <w:rsid w:val="251B66B7"/>
    <w:rsid w:val="251B73A3"/>
    <w:rsid w:val="251D242F"/>
    <w:rsid w:val="251D6C08"/>
    <w:rsid w:val="251E2AD6"/>
    <w:rsid w:val="251E3693"/>
    <w:rsid w:val="251E5675"/>
    <w:rsid w:val="251E6B93"/>
    <w:rsid w:val="251F51F6"/>
    <w:rsid w:val="251F57E3"/>
    <w:rsid w:val="251F61A7"/>
    <w:rsid w:val="25201F1F"/>
    <w:rsid w:val="25203CCD"/>
    <w:rsid w:val="2520440C"/>
    <w:rsid w:val="252065D9"/>
    <w:rsid w:val="25207829"/>
    <w:rsid w:val="25210108"/>
    <w:rsid w:val="25227A45"/>
    <w:rsid w:val="25227EA9"/>
    <w:rsid w:val="25231339"/>
    <w:rsid w:val="25233E4C"/>
    <w:rsid w:val="25237319"/>
    <w:rsid w:val="252427C9"/>
    <w:rsid w:val="252437BD"/>
    <w:rsid w:val="25243F0A"/>
    <w:rsid w:val="2524556B"/>
    <w:rsid w:val="25245AA6"/>
    <w:rsid w:val="252512E3"/>
    <w:rsid w:val="25253091"/>
    <w:rsid w:val="2525357A"/>
    <w:rsid w:val="2525539A"/>
    <w:rsid w:val="25256813"/>
    <w:rsid w:val="25256AF7"/>
    <w:rsid w:val="25257535"/>
    <w:rsid w:val="2526030B"/>
    <w:rsid w:val="2526151C"/>
    <w:rsid w:val="25264EFD"/>
    <w:rsid w:val="25277CBA"/>
    <w:rsid w:val="25283070"/>
    <w:rsid w:val="25283750"/>
    <w:rsid w:val="25284930"/>
    <w:rsid w:val="25290DD3"/>
    <w:rsid w:val="25291246"/>
    <w:rsid w:val="25293FDD"/>
    <w:rsid w:val="252950A3"/>
    <w:rsid w:val="252966D9"/>
    <w:rsid w:val="252A0156"/>
    <w:rsid w:val="252A033C"/>
    <w:rsid w:val="252A06A8"/>
    <w:rsid w:val="252A2B2A"/>
    <w:rsid w:val="252A68FA"/>
    <w:rsid w:val="252A7D7C"/>
    <w:rsid w:val="252B269C"/>
    <w:rsid w:val="252B363B"/>
    <w:rsid w:val="252B68D5"/>
    <w:rsid w:val="252C08C4"/>
    <w:rsid w:val="252C0A49"/>
    <w:rsid w:val="252C2672"/>
    <w:rsid w:val="252C4420"/>
    <w:rsid w:val="252D109A"/>
    <w:rsid w:val="252D4FBC"/>
    <w:rsid w:val="252D53FE"/>
    <w:rsid w:val="252D66FD"/>
    <w:rsid w:val="252E0198"/>
    <w:rsid w:val="252E2709"/>
    <w:rsid w:val="252E780F"/>
    <w:rsid w:val="252F0929"/>
    <w:rsid w:val="252F26B7"/>
    <w:rsid w:val="252F3087"/>
    <w:rsid w:val="252F3F10"/>
    <w:rsid w:val="252F4C38"/>
    <w:rsid w:val="252F5CBE"/>
    <w:rsid w:val="25302162"/>
    <w:rsid w:val="25302876"/>
    <w:rsid w:val="25303BE6"/>
    <w:rsid w:val="253046F8"/>
    <w:rsid w:val="2530507E"/>
    <w:rsid w:val="25306B73"/>
    <w:rsid w:val="2531044D"/>
    <w:rsid w:val="2531310B"/>
    <w:rsid w:val="25315EDA"/>
    <w:rsid w:val="2531650E"/>
    <w:rsid w:val="2532799E"/>
    <w:rsid w:val="25331202"/>
    <w:rsid w:val="2533308F"/>
    <w:rsid w:val="25333A00"/>
    <w:rsid w:val="2533461C"/>
    <w:rsid w:val="2533755C"/>
    <w:rsid w:val="253421B0"/>
    <w:rsid w:val="25352B7D"/>
    <w:rsid w:val="253634F0"/>
    <w:rsid w:val="2536529E"/>
    <w:rsid w:val="2536631F"/>
    <w:rsid w:val="2536704D"/>
    <w:rsid w:val="25367417"/>
    <w:rsid w:val="253725AB"/>
    <w:rsid w:val="253773FA"/>
    <w:rsid w:val="25377B02"/>
    <w:rsid w:val="25382DC5"/>
    <w:rsid w:val="25385294"/>
    <w:rsid w:val="25387269"/>
    <w:rsid w:val="253908EB"/>
    <w:rsid w:val="25396B3D"/>
    <w:rsid w:val="25397112"/>
    <w:rsid w:val="253A025D"/>
    <w:rsid w:val="253A6130"/>
    <w:rsid w:val="253B0B07"/>
    <w:rsid w:val="253B2830"/>
    <w:rsid w:val="253B2878"/>
    <w:rsid w:val="253B28B5"/>
    <w:rsid w:val="253B3824"/>
    <w:rsid w:val="253B4663"/>
    <w:rsid w:val="253D03DB"/>
    <w:rsid w:val="253D07AE"/>
    <w:rsid w:val="253D5AEE"/>
    <w:rsid w:val="253F05F7"/>
    <w:rsid w:val="253F4153"/>
    <w:rsid w:val="253F73D1"/>
    <w:rsid w:val="25404172"/>
    <w:rsid w:val="254060AD"/>
    <w:rsid w:val="2540611D"/>
    <w:rsid w:val="25407ECB"/>
    <w:rsid w:val="25413432"/>
    <w:rsid w:val="25413497"/>
    <w:rsid w:val="25422098"/>
    <w:rsid w:val="254256CA"/>
    <w:rsid w:val="25427493"/>
    <w:rsid w:val="2543788F"/>
    <w:rsid w:val="25441769"/>
    <w:rsid w:val="25441DB3"/>
    <w:rsid w:val="254479BB"/>
    <w:rsid w:val="25450940"/>
    <w:rsid w:val="254518DE"/>
    <w:rsid w:val="2545304D"/>
    <w:rsid w:val="25453733"/>
    <w:rsid w:val="254554E2"/>
    <w:rsid w:val="25457290"/>
    <w:rsid w:val="2547125A"/>
    <w:rsid w:val="25472F43"/>
    <w:rsid w:val="25473008"/>
    <w:rsid w:val="254774AC"/>
    <w:rsid w:val="25477544"/>
    <w:rsid w:val="25481BC4"/>
    <w:rsid w:val="25483305"/>
    <w:rsid w:val="25484A9E"/>
    <w:rsid w:val="25487456"/>
    <w:rsid w:val="25493224"/>
    <w:rsid w:val="254933EC"/>
    <w:rsid w:val="254A0D4A"/>
    <w:rsid w:val="254A305F"/>
    <w:rsid w:val="254B1C86"/>
    <w:rsid w:val="254B640F"/>
    <w:rsid w:val="254B6F49"/>
    <w:rsid w:val="254C061E"/>
    <w:rsid w:val="254C2D14"/>
    <w:rsid w:val="254C6870"/>
    <w:rsid w:val="254C6FAD"/>
    <w:rsid w:val="254D3043"/>
    <w:rsid w:val="254D45A6"/>
    <w:rsid w:val="254D4A63"/>
    <w:rsid w:val="254E06EB"/>
    <w:rsid w:val="254E083A"/>
    <w:rsid w:val="254F010E"/>
    <w:rsid w:val="254F41BD"/>
    <w:rsid w:val="25501A97"/>
    <w:rsid w:val="255045B2"/>
    <w:rsid w:val="25506360"/>
    <w:rsid w:val="2551032A"/>
    <w:rsid w:val="25513E86"/>
    <w:rsid w:val="25516854"/>
    <w:rsid w:val="255201FC"/>
    <w:rsid w:val="255209ED"/>
    <w:rsid w:val="2552184A"/>
    <w:rsid w:val="25526F88"/>
    <w:rsid w:val="25535E50"/>
    <w:rsid w:val="25536832"/>
    <w:rsid w:val="25537BFE"/>
    <w:rsid w:val="255445EA"/>
    <w:rsid w:val="25546684"/>
    <w:rsid w:val="25550FED"/>
    <w:rsid w:val="25553977"/>
    <w:rsid w:val="25555F05"/>
    <w:rsid w:val="25560EB4"/>
    <w:rsid w:val="25561215"/>
    <w:rsid w:val="2556149D"/>
    <w:rsid w:val="25565941"/>
    <w:rsid w:val="255676EF"/>
    <w:rsid w:val="25580578"/>
    <w:rsid w:val="2558097B"/>
    <w:rsid w:val="255816B9"/>
    <w:rsid w:val="25583467"/>
    <w:rsid w:val="25585215"/>
    <w:rsid w:val="255869C1"/>
    <w:rsid w:val="255929F1"/>
    <w:rsid w:val="25592D3B"/>
    <w:rsid w:val="25594A65"/>
    <w:rsid w:val="25594F9F"/>
    <w:rsid w:val="25596D92"/>
    <w:rsid w:val="255A0F8D"/>
    <w:rsid w:val="255A175D"/>
    <w:rsid w:val="255A71DF"/>
    <w:rsid w:val="255B2F57"/>
    <w:rsid w:val="255B4CEF"/>
    <w:rsid w:val="255C003A"/>
    <w:rsid w:val="255C24B7"/>
    <w:rsid w:val="255C4BAD"/>
    <w:rsid w:val="255D1541"/>
    <w:rsid w:val="255D2751"/>
    <w:rsid w:val="255D3037"/>
    <w:rsid w:val="255D6CCF"/>
    <w:rsid w:val="255E2196"/>
    <w:rsid w:val="255E552B"/>
    <w:rsid w:val="255F47F5"/>
    <w:rsid w:val="255F65A3"/>
    <w:rsid w:val="255F68A1"/>
    <w:rsid w:val="2560231B"/>
    <w:rsid w:val="25606344"/>
    <w:rsid w:val="25607E4B"/>
    <w:rsid w:val="2561056D"/>
    <w:rsid w:val="2561102C"/>
    <w:rsid w:val="25611D71"/>
    <w:rsid w:val="25613EAC"/>
    <w:rsid w:val="25626093"/>
    <w:rsid w:val="256261AB"/>
    <w:rsid w:val="25627259"/>
    <w:rsid w:val="25627E42"/>
    <w:rsid w:val="2563247C"/>
    <w:rsid w:val="256342BF"/>
    <w:rsid w:val="256367CC"/>
    <w:rsid w:val="2564005E"/>
    <w:rsid w:val="25641112"/>
    <w:rsid w:val="25642005"/>
    <w:rsid w:val="25643BBA"/>
    <w:rsid w:val="25647C5C"/>
    <w:rsid w:val="256516E0"/>
    <w:rsid w:val="256537C5"/>
    <w:rsid w:val="2565387F"/>
    <w:rsid w:val="256736AA"/>
    <w:rsid w:val="256745E4"/>
    <w:rsid w:val="25675458"/>
    <w:rsid w:val="25675748"/>
    <w:rsid w:val="25677D1E"/>
    <w:rsid w:val="256811AE"/>
    <w:rsid w:val="25682745"/>
    <w:rsid w:val="256908D9"/>
    <w:rsid w:val="256911D0"/>
    <w:rsid w:val="25695674"/>
    <w:rsid w:val="25695993"/>
    <w:rsid w:val="25695B17"/>
    <w:rsid w:val="25697422"/>
    <w:rsid w:val="25697998"/>
    <w:rsid w:val="256A244C"/>
    <w:rsid w:val="256A3ACE"/>
    <w:rsid w:val="256A4F48"/>
    <w:rsid w:val="256A61E3"/>
    <w:rsid w:val="256B1D08"/>
    <w:rsid w:val="256B319A"/>
    <w:rsid w:val="256B3540"/>
    <w:rsid w:val="256B669F"/>
    <w:rsid w:val="256B7F46"/>
    <w:rsid w:val="256C0CC0"/>
    <w:rsid w:val="256C506A"/>
    <w:rsid w:val="256C7D65"/>
    <w:rsid w:val="256D201E"/>
    <w:rsid w:val="256D2A5A"/>
    <w:rsid w:val="256D3EE4"/>
    <w:rsid w:val="256D5CC5"/>
    <w:rsid w:val="256E4A38"/>
    <w:rsid w:val="256E4B60"/>
    <w:rsid w:val="256E67E6"/>
    <w:rsid w:val="256E7960"/>
    <w:rsid w:val="256F470B"/>
    <w:rsid w:val="256F64B0"/>
    <w:rsid w:val="257007B0"/>
    <w:rsid w:val="25701708"/>
    <w:rsid w:val="25706A02"/>
    <w:rsid w:val="25711CB0"/>
    <w:rsid w:val="25714529"/>
    <w:rsid w:val="257160DE"/>
    <w:rsid w:val="25722280"/>
    <w:rsid w:val="2572277A"/>
    <w:rsid w:val="25724E31"/>
    <w:rsid w:val="257302A1"/>
    <w:rsid w:val="25745350"/>
    <w:rsid w:val="25747B1E"/>
    <w:rsid w:val="25750BE1"/>
    <w:rsid w:val="25750D2C"/>
    <w:rsid w:val="257531E6"/>
    <w:rsid w:val="257539AC"/>
    <w:rsid w:val="25754019"/>
    <w:rsid w:val="25756071"/>
    <w:rsid w:val="25757B75"/>
    <w:rsid w:val="25761B3F"/>
    <w:rsid w:val="257637B2"/>
    <w:rsid w:val="2576468E"/>
    <w:rsid w:val="25773499"/>
    <w:rsid w:val="257752D1"/>
    <w:rsid w:val="25776A69"/>
    <w:rsid w:val="25776B77"/>
    <w:rsid w:val="25777D91"/>
    <w:rsid w:val="25780CA3"/>
    <w:rsid w:val="25781413"/>
    <w:rsid w:val="257833A7"/>
    <w:rsid w:val="25783B09"/>
    <w:rsid w:val="257842C5"/>
    <w:rsid w:val="257858B7"/>
    <w:rsid w:val="25786102"/>
    <w:rsid w:val="25787562"/>
    <w:rsid w:val="25787665"/>
    <w:rsid w:val="25792133"/>
    <w:rsid w:val="257A162F"/>
    <w:rsid w:val="257B385C"/>
    <w:rsid w:val="257B7155"/>
    <w:rsid w:val="257C0AB4"/>
    <w:rsid w:val="257C2079"/>
    <w:rsid w:val="257C53A7"/>
    <w:rsid w:val="257D111F"/>
    <w:rsid w:val="257D1F44"/>
    <w:rsid w:val="257D2ECD"/>
    <w:rsid w:val="257D4C7B"/>
    <w:rsid w:val="257E33D4"/>
    <w:rsid w:val="257E4755"/>
    <w:rsid w:val="257E748B"/>
    <w:rsid w:val="257F09F3"/>
    <w:rsid w:val="257F27A2"/>
    <w:rsid w:val="257F2DC4"/>
    <w:rsid w:val="257F4864"/>
    <w:rsid w:val="257F4A89"/>
    <w:rsid w:val="257F5FA5"/>
    <w:rsid w:val="257F77D2"/>
    <w:rsid w:val="258016E4"/>
    <w:rsid w:val="25801CC6"/>
    <w:rsid w:val="2580476C"/>
    <w:rsid w:val="2580651A"/>
    <w:rsid w:val="25806D42"/>
    <w:rsid w:val="25807B05"/>
    <w:rsid w:val="258108C5"/>
    <w:rsid w:val="25812575"/>
    <w:rsid w:val="25822292"/>
    <w:rsid w:val="25823163"/>
    <w:rsid w:val="258231E5"/>
    <w:rsid w:val="25826736"/>
    <w:rsid w:val="25832E07"/>
    <w:rsid w:val="258355DC"/>
    <w:rsid w:val="258424AE"/>
    <w:rsid w:val="258425A7"/>
    <w:rsid w:val="2584351E"/>
    <w:rsid w:val="2584425C"/>
    <w:rsid w:val="2584600A"/>
    <w:rsid w:val="2584689F"/>
    <w:rsid w:val="25847708"/>
    <w:rsid w:val="25852DBB"/>
    <w:rsid w:val="25853B30"/>
    <w:rsid w:val="25854B6C"/>
    <w:rsid w:val="25857006"/>
    <w:rsid w:val="25857E7B"/>
    <w:rsid w:val="25861B66"/>
    <w:rsid w:val="25861D82"/>
    <w:rsid w:val="25867FD4"/>
    <w:rsid w:val="25871783"/>
    <w:rsid w:val="258723DB"/>
    <w:rsid w:val="25873000"/>
    <w:rsid w:val="25873345"/>
    <w:rsid w:val="25873D4C"/>
    <w:rsid w:val="25875AFA"/>
    <w:rsid w:val="25876F14"/>
    <w:rsid w:val="2588020F"/>
    <w:rsid w:val="25880594"/>
    <w:rsid w:val="25880798"/>
    <w:rsid w:val="25885131"/>
    <w:rsid w:val="258904E7"/>
    <w:rsid w:val="25890B8B"/>
    <w:rsid w:val="25891872"/>
    <w:rsid w:val="25891C28"/>
    <w:rsid w:val="25893620"/>
    <w:rsid w:val="25895706"/>
    <w:rsid w:val="25896D09"/>
    <w:rsid w:val="258A1146"/>
    <w:rsid w:val="258A1977"/>
    <w:rsid w:val="258B27FF"/>
    <w:rsid w:val="258B3EF0"/>
    <w:rsid w:val="258B55EA"/>
    <w:rsid w:val="258B7398"/>
    <w:rsid w:val="258C1362"/>
    <w:rsid w:val="258D1A39"/>
    <w:rsid w:val="258D24BC"/>
    <w:rsid w:val="258D56DA"/>
    <w:rsid w:val="258E02F8"/>
    <w:rsid w:val="258E0C37"/>
    <w:rsid w:val="258E0E11"/>
    <w:rsid w:val="258E6E89"/>
    <w:rsid w:val="258F4359"/>
    <w:rsid w:val="258F6E4A"/>
    <w:rsid w:val="25900E53"/>
    <w:rsid w:val="25902941"/>
    <w:rsid w:val="259049AF"/>
    <w:rsid w:val="2591055E"/>
    <w:rsid w:val="25910727"/>
    <w:rsid w:val="259124D5"/>
    <w:rsid w:val="25914D4F"/>
    <w:rsid w:val="259167C1"/>
    <w:rsid w:val="25916979"/>
    <w:rsid w:val="25916C79"/>
    <w:rsid w:val="259207B1"/>
    <w:rsid w:val="25921364"/>
    <w:rsid w:val="25923B47"/>
    <w:rsid w:val="259315DE"/>
    <w:rsid w:val="2593416A"/>
    <w:rsid w:val="259358AB"/>
    <w:rsid w:val="2593624D"/>
    <w:rsid w:val="2593660F"/>
    <w:rsid w:val="25937077"/>
    <w:rsid w:val="25940387"/>
    <w:rsid w:val="25944AA9"/>
    <w:rsid w:val="25946B13"/>
    <w:rsid w:val="25946D3B"/>
    <w:rsid w:val="25951FC5"/>
    <w:rsid w:val="25956469"/>
    <w:rsid w:val="25963238"/>
    <w:rsid w:val="2596403B"/>
    <w:rsid w:val="2596422C"/>
    <w:rsid w:val="25965D3D"/>
    <w:rsid w:val="25971900"/>
    <w:rsid w:val="25983276"/>
    <w:rsid w:val="25983F78"/>
    <w:rsid w:val="25987D07"/>
    <w:rsid w:val="25990713"/>
    <w:rsid w:val="2599171D"/>
    <w:rsid w:val="25997DE6"/>
    <w:rsid w:val="259A146C"/>
    <w:rsid w:val="259A3A7F"/>
    <w:rsid w:val="259A519A"/>
    <w:rsid w:val="259A582D"/>
    <w:rsid w:val="259A75DB"/>
    <w:rsid w:val="259B403D"/>
    <w:rsid w:val="259B4462"/>
    <w:rsid w:val="259C15A5"/>
    <w:rsid w:val="259C7AF4"/>
    <w:rsid w:val="259D08E8"/>
    <w:rsid w:val="259D0A97"/>
    <w:rsid w:val="259D3570"/>
    <w:rsid w:val="259D3753"/>
    <w:rsid w:val="259D531E"/>
    <w:rsid w:val="259D5973"/>
    <w:rsid w:val="259D70CC"/>
    <w:rsid w:val="259E20C8"/>
    <w:rsid w:val="259E29BE"/>
    <w:rsid w:val="259F4BF2"/>
    <w:rsid w:val="25A0096A"/>
    <w:rsid w:val="25A0296A"/>
    <w:rsid w:val="25A0633E"/>
    <w:rsid w:val="25A14E0E"/>
    <w:rsid w:val="25A161CA"/>
    <w:rsid w:val="25A16BBC"/>
    <w:rsid w:val="25A20B86"/>
    <w:rsid w:val="25A20E20"/>
    <w:rsid w:val="25A227CF"/>
    <w:rsid w:val="25A22934"/>
    <w:rsid w:val="25A4112A"/>
    <w:rsid w:val="25A43B34"/>
    <w:rsid w:val="25A466AC"/>
    <w:rsid w:val="25A477D9"/>
    <w:rsid w:val="25A50D72"/>
    <w:rsid w:val="25A53741"/>
    <w:rsid w:val="25A548A1"/>
    <w:rsid w:val="25A549AF"/>
    <w:rsid w:val="25A55F80"/>
    <w:rsid w:val="25A6086F"/>
    <w:rsid w:val="25A61150"/>
    <w:rsid w:val="25A6206F"/>
    <w:rsid w:val="25A62FF3"/>
    <w:rsid w:val="25A641D2"/>
    <w:rsid w:val="25A751B1"/>
    <w:rsid w:val="25A76296"/>
    <w:rsid w:val="25A77F4A"/>
    <w:rsid w:val="25A8302D"/>
    <w:rsid w:val="25A83A70"/>
    <w:rsid w:val="25A84F00"/>
    <w:rsid w:val="25A8619C"/>
    <w:rsid w:val="25A9081D"/>
    <w:rsid w:val="25A91F14"/>
    <w:rsid w:val="25A945FB"/>
    <w:rsid w:val="25A95A70"/>
    <w:rsid w:val="25A97AD1"/>
    <w:rsid w:val="25AA7F8B"/>
    <w:rsid w:val="25AB04FD"/>
    <w:rsid w:val="25AB0B9A"/>
    <w:rsid w:val="25AB3597"/>
    <w:rsid w:val="25AB3B32"/>
    <w:rsid w:val="25AB47DA"/>
    <w:rsid w:val="25AB4FC2"/>
    <w:rsid w:val="25AC5561"/>
    <w:rsid w:val="25AC5D4E"/>
    <w:rsid w:val="25AC730F"/>
    <w:rsid w:val="25AD74DE"/>
    <w:rsid w:val="25AE12D9"/>
    <w:rsid w:val="25AE2268"/>
    <w:rsid w:val="25AF3943"/>
    <w:rsid w:val="25AF4181"/>
    <w:rsid w:val="25AF4FA3"/>
    <w:rsid w:val="25AF6769"/>
    <w:rsid w:val="25AF7183"/>
    <w:rsid w:val="25B03E1C"/>
    <w:rsid w:val="25B04413"/>
    <w:rsid w:val="25B05051"/>
    <w:rsid w:val="25B06DFF"/>
    <w:rsid w:val="25B12591"/>
    <w:rsid w:val="25B12B77"/>
    <w:rsid w:val="25B14925"/>
    <w:rsid w:val="25B14F6A"/>
    <w:rsid w:val="25B20DC9"/>
    <w:rsid w:val="25B214B7"/>
    <w:rsid w:val="25B22918"/>
    <w:rsid w:val="25B243B6"/>
    <w:rsid w:val="25B30B82"/>
    <w:rsid w:val="25B34B41"/>
    <w:rsid w:val="25B368EF"/>
    <w:rsid w:val="25B44DBE"/>
    <w:rsid w:val="25B461E6"/>
    <w:rsid w:val="25B508B9"/>
    <w:rsid w:val="25B52667"/>
    <w:rsid w:val="25B5286F"/>
    <w:rsid w:val="25B6018D"/>
    <w:rsid w:val="25B60C44"/>
    <w:rsid w:val="25B65A2A"/>
    <w:rsid w:val="25B71472"/>
    <w:rsid w:val="25B74631"/>
    <w:rsid w:val="25B763DF"/>
    <w:rsid w:val="25B82157"/>
    <w:rsid w:val="25B849F4"/>
    <w:rsid w:val="25B85CB3"/>
    <w:rsid w:val="25B86135"/>
    <w:rsid w:val="25B975C5"/>
    <w:rsid w:val="25BA096E"/>
    <w:rsid w:val="25BA1A2C"/>
    <w:rsid w:val="25BA5ED0"/>
    <w:rsid w:val="25BB1ED6"/>
    <w:rsid w:val="25BB1EE5"/>
    <w:rsid w:val="25BB437F"/>
    <w:rsid w:val="25BB5B26"/>
    <w:rsid w:val="25BB5E41"/>
    <w:rsid w:val="25BC0718"/>
    <w:rsid w:val="25BC3375"/>
    <w:rsid w:val="25BC3478"/>
    <w:rsid w:val="25BC57A4"/>
    <w:rsid w:val="25BC5F46"/>
    <w:rsid w:val="25BD0595"/>
    <w:rsid w:val="25BD151C"/>
    <w:rsid w:val="25BD73D6"/>
    <w:rsid w:val="25BD776E"/>
    <w:rsid w:val="25BE2B87"/>
    <w:rsid w:val="25BF1403"/>
    <w:rsid w:val="25BF395F"/>
    <w:rsid w:val="25BF7042"/>
    <w:rsid w:val="25BF79C0"/>
    <w:rsid w:val="25C02188"/>
    <w:rsid w:val="25C03186"/>
    <w:rsid w:val="25C0542F"/>
    <w:rsid w:val="25C1100C"/>
    <w:rsid w:val="25C12DBA"/>
    <w:rsid w:val="25C15D57"/>
    <w:rsid w:val="25C1725E"/>
    <w:rsid w:val="25C2078C"/>
    <w:rsid w:val="25C21DB8"/>
    <w:rsid w:val="25C2471A"/>
    <w:rsid w:val="25C24D84"/>
    <w:rsid w:val="25C2583D"/>
    <w:rsid w:val="25C26B32"/>
    <w:rsid w:val="25C30F87"/>
    <w:rsid w:val="25C32FD6"/>
    <w:rsid w:val="25C40AFC"/>
    <w:rsid w:val="25C428AA"/>
    <w:rsid w:val="25C42A83"/>
    <w:rsid w:val="25C44658"/>
    <w:rsid w:val="25C46260"/>
    <w:rsid w:val="25C52620"/>
    <w:rsid w:val="25C5343E"/>
    <w:rsid w:val="25C603D0"/>
    <w:rsid w:val="25C61B54"/>
    <w:rsid w:val="25C64874"/>
    <w:rsid w:val="25C670D8"/>
    <w:rsid w:val="25C70429"/>
    <w:rsid w:val="25C718A8"/>
    <w:rsid w:val="25C7239A"/>
    <w:rsid w:val="25C73059"/>
    <w:rsid w:val="25C805EC"/>
    <w:rsid w:val="25C8287A"/>
    <w:rsid w:val="25C844E9"/>
    <w:rsid w:val="25C84BEB"/>
    <w:rsid w:val="25C94365"/>
    <w:rsid w:val="25C95221"/>
    <w:rsid w:val="25C96113"/>
    <w:rsid w:val="25C97EC1"/>
    <w:rsid w:val="25CA2A79"/>
    <w:rsid w:val="25CA3D5E"/>
    <w:rsid w:val="25CA74FD"/>
    <w:rsid w:val="25CB0181"/>
    <w:rsid w:val="25CB19DA"/>
    <w:rsid w:val="25CB1E8B"/>
    <w:rsid w:val="25CB3C39"/>
    <w:rsid w:val="25CB681C"/>
    <w:rsid w:val="25CC2D39"/>
    <w:rsid w:val="25CC3CA9"/>
    <w:rsid w:val="25CD1458"/>
    <w:rsid w:val="25CD22A1"/>
    <w:rsid w:val="25CD79B1"/>
    <w:rsid w:val="25CE197B"/>
    <w:rsid w:val="25CE4BCE"/>
    <w:rsid w:val="25CE54D7"/>
    <w:rsid w:val="25CE7E17"/>
    <w:rsid w:val="25CF13FB"/>
    <w:rsid w:val="25CF17EB"/>
    <w:rsid w:val="25CF6D19"/>
    <w:rsid w:val="25D02C7B"/>
    <w:rsid w:val="25D02FFD"/>
    <w:rsid w:val="25D04A91"/>
    <w:rsid w:val="25D05E7A"/>
    <w:rsid w:val="25D06913"/>
    <w:rsid w:val="25D16D75"/>
    <w:rsid w:val="25D2070A"/>
    <w:rsid w:val="25D23219"/>
    <w:rsid w:val="25D24FC7"/>
    <w:rsid w:val="25D32AED"/>
    <w:rsid w:val="25D32D3D"/>
    <w:rsid w:val="25D36F91"/>
    <w:rsid w:val="25D3781C"/>
    <w:rsid w:val="25D42A8C"/>
    <w:rsid w:val="25D50342"/>
    <w:rsid w:val="25D52D09"/>
    <w:rsid w:val="25D54AB7"/>
    <w:rsid w:val="25D56865"/>
    <w:rsid w:val="25D56FD7"/>
    <w:rsid w:val="25D616BE"/>
    <w:rsid w:val="25D63B72"/>
    <w:rsid w:val="25D6438C"/>
    <w:rsid w:val="25D64C34"/>
    <w:rsid w:val="25D664C0"/>
    <w:rsid w:val="25D66AED"/>
    <w:rsid w:val="25D7082F"/>
    <w:rsid w:val="25D725DE"/>
    <w:rsid w:val="25D7522B"/>
    <w:rsid w:val="25D77156"/>
    <w:rsid w:val="25D77F7D"/>
    <w:rsid w:val="25D83FDE"/>
    <w:rsid w:val="25D93F97"/>
    <w:rsid w:val="25DA0320"/>
    <w:rsid w:val="25DA3763"/>
    <w:rsid w:val="25DA3E7C"/>
    <w:rsid w:val="25DA427B"/>
    <w:rsid w:val="25DA6DC1"/>
    <w:rsid w:val="25DA6FFE"/>
    <w:rsid w:val="25DA7469"/>
    <w:rsid w:val="25DA7899"/>
    <w:rsid w:val="25DB7D8E"/>
    <w:rsid w:val="25DC0129"/>
    <w:rsid w:val="25DC097F"/>
    <w:rsid w:val="25DC4098"/>
    <w:rsid w:val="25DC73F0"/>
    <w:rsid w:val="25DC7BF4"/>
    <w:rsid w:val="25DC7D36"/>
    <w:rsid w:val="25DD02A2"/>
    <w:rsid w:val="25DD265C"/>
    <w:rsid w:val="25DD396C"/>
    <w:rsid w:val="25DD3DEF"/>
    <w:rsid w:val="25DD571A"/>
    <w:rsid w:val="25DD79DB"/>
    <w:rsid w:val="25DE2C53"/>
    <w:rsid w:val="25DE50CD"/>
    <w:rsid w:val="25DF12E0"/>
    <w:rsid w:val="25DF1492"/>
    <w:rsid w:val="25DF397B"/>
    <w:rsid w:val="25DF5936"/>
    <w:rsid w:val="25DF76E4"/>
    <w:rsid w:val="25E010B2"/>
    <w:rsid w:val="25E06519"/>
    <w:rsid w:val="25E1072B"/>
    <w:rsid w:val="25E1096F"/>
    <w:rsid w:val="25E1243F"/>
    <w:rsid w:val="25E1345C"/>
    <w:rsid w:val="25E167D1"/>
    <w:rsid w:val="25E20F82"/>
    <w:rsid w:val="25E22D30"/>
    <w:rsid w:val="25E30E0B"/>
    <w:rsid w:val="25E33EBB"/>
    <w:rsid w:val="25E371D4"/>
    <w:rsid w:val="25E3730F"/>
    <w:rsid w:val="25E4052E"/>
    <w:rsid w:val="25E42F4C"/>
    <w:rsid w:val="25E436E6"/>
    <w:rsid w:val="25E43CC2"/>
    <w:rsid w:val="25E44CFA"/>
    <w:rsid w:val="25E46AA9"/>
    <w:rsid w:val="25E51D67"/>
    <w:rsid w:val="25E531A1"/>
    <w:rsid w:val="25E55152"/>
    <w:rsid w:val="25E60A73"/>
    <w:rsid w:val="25E62821"/>
    <w:rsid w:val="25E7048C"/>
    <w:rsid w:val="25E71D87"/>
    <w:rsid w:val="25E7558E"/>
    <w:rsid w:val="25E80F02"/>
    <w:rsid w:val="25E847EB"/>
    <w:rsid w:val="25E87216"/>
    <w:rsid w:val="25E92311"/>
    <w:rsid w:val="25E92392"/>
    <w:rsid w:val="25E93187"/>
    <w:rsid w:val="25E940BF"/>
    <w:rsid w:val="25EA63F3"/>
    <w:rsid w:val="25EB10BD"/>
    <w:rsid w:val="25EB1622"/>
    <w:rsid w:val="25EB3977"/>
    <w:rsid w:val="25EB3D47"/>
    <w:rsid w:val="25EB7883"/>
    <w:rsid w:val="25EC0D13"/>
    <w:rsid w:val="25EC2D81"/>
    <w:rsid w:val="25EC4439"/>
    <w:rsid w:val="25EE0CCD"/>
    <w:rsid w:val="25EE5B79"/>
    <w:rsid w:val="25EE6204"/>
    <w:rsid w:val="25EE7927"/>
    <w:rsid w:val="25EF6AF4"/>
    <w:rsid w:val="25F018F1"/>
    <w:rsid w:val="25F0232B"/>
    <w:rsid w:val="25F0369F"/>
    <w:rsid w:val="25F04BCC"/>
    <w:rsid w:val="25F0544D"/>
    <w:rsid w:val="25F15F86"/>
    <w:rsid w:val="25F162C6"/>
    <w:rsid w:val="25F200CF"/>
    <w:rsid w:val="25F211C5"/>
    <w:rsid w:val="25F25669"/>
    <w:rsid w:val="25F26F7B"/>
    <w:rsid w:val="25F27417"/>
    <w:rsid w:val="25F27756"/>
    <w:rsid w:val="25F30BE6"/>
    <w:rsid w:val="25F30E53"/>
    <w:rsid w:val="25F31A45"/>
    <w:rsid w:val="25F31E7F"/>
    <w:rsid w:val="25F3318F"/>
    <w:rsid w:val="25F333E4"/>
    <w:rsid w:val="25F34F3E"/>
    <w:rsid w:val="25F413E1"/>
    <w:rsid w:val="25F52A64"/>
    <w:rsid w:val="25F52C11"/>
    <w:rsid w:val="25F56F08"/>
    <w:rsid w:val="25F600BD"/>
    <w:rsid w:val="25F72C80"/>
    <w:rsid w:val="25F74A2E"/>
    <w:rsid w:val="25F767DC"/>
    <w:rsid w:val="25F80884"/>
    <w:rsid w:val="25F809F7"/>
    <w:rsid w:val="25F81C56"/>
    <w:rsid w:val="25F82554"/>
    <w:rsid w:val="25F93B8C"/>
    <w:rsid w:val="25F969F8"/>
    <w:rsid w:val="25FA00A6"/>
    <w:rsid w:val="25FA0251"/>
    <w:rsid w:val="25FA2770"/>
    <w:rsid w:val="25FA451E"/>
    <w:rsid w:val="25FA62CC"/>
    <w:rsid w:val="25FB44EA"/>
    <w:rsid w:val="25FC0296"/>
    <w:rsid w:val="25FC2044"/>
    <w:rsid w:val="25FC3DF2"/>
    <w:rsid w:val="25FC42D7"/>
    <w:rsid w:val="25FD4D49"/>
    <w:rsid w:val="25FD5DBC"/>
    <w:rsid w:val="25FD7B6A"/>
    <w:rsid w:val="25FE06EA"/>
    <w:rsid w:val="25FE3A4B"/>
    <w:rsid w:val="25FE400E"/>
    <w:rsid w:val="25FE4A18"/>
    <w:rsid w:val="25FF38E2"/>
    <w:rsid w:val="25FF7D86"/>
    <w:rsid w:val="260019FC"/>
    <w:rsid w:val="26001D5A"/>
    <w:rsid w:val="26001DB7"/>
    <w:rsid w:val="260025FE"/>
    <w:rsid w:val="260027C8"/>
    <w:rsid w:val="26007228"/>
    <w:rsid w:val="260158AC"/>
    <w:rsid w:val="260225A7"/>
    <w:rsid w:val="26025181"/>
    <w:rsid w:val="26031625"/>
    <w:rsid w:val="26031CEA"/>
    <w:rsid w:val="26035EB0"/>
    <w:rsid w:val="26036CE4"/>
    <w:rsid w:val="26040EF9"/>
    <w:rsid w:val="26041B6B"/>
    <w:rsid w:val="2604539D"/>
    <w:rsid w:val="2604637D"/>
    <w:rsid w:val="26052FFB"/>
    <w:rsid w:val="26057CF0"/>
    <w:rsid w:val="26061115"/>
    <w:rsid w:val="2606448B"/>
    <w:rsid w:val="26064C71"/>
    <w:rsid w:val="260662B7"/>
    <w:rsid w:val="26070023"/>
    <w:rsid w:val="260700C6"/>
    <w:rsid w:val="2607705C"/>
    <w:rsid w:val="2608023E"/>
    <w:rsid w:val="260809E9"/>
    <w:rsid w:val="26082BA5"/>
    <w:rsid w:val="26084E8D"/>
    <w:rsid w:val="26086C3B"/>
    <w:rsid w:val="26092E0C"/>
    <w:rsid w:val="26094761"/>
    <w:rsid w:val="260A14DE"/>
    <w:rsid w:val="260A3F14"/>
    <w:rsid w:val="260A7643"/>
    <w:rsid w:val="260B04D9"/>
    <w:rsid w:val="260B22A5"/>
    <w:rsid w:val="260B65ED"/>
    <w:rsid w:val="260B672B"/>
    <w:rsid w:val="260B6BBB"/>
    <w:rsid w:val="260B6E6D"/>
    <w:rsid w:val="260C4791"/>
    <w:rsid w:val="260C6665"/>
    <w:rsid w:val="260D14E7"/>
    <w:rsid w:val="260D24A3"/>
    <w:rsid w:val="260D2697"/>
    <w:rsid w:val="260D4251"/>
    <w:rsid w:val="260D4E12"/>
    <w:rsid w:val="260D5C5B"/>
    <w:rsid w:val="260D5FFF"/>
    <w:rsid w:val="260E1D77"/>
    <w:rsid w:val="260E2C1D"/>
    <w:rsid w:val="260E3B25"/>
    <w:rsid w:val="260E6D6F"/>
    <w:rsid w:val="260E7FC9"/>
    <w:rsid w:val="260F35F4"/>
    <w:rsid w:val="260F40AD"/>
    <w:rsid w:val="260F621B"/>
    <w:rsid w:val="2610010E"/>
    <w:rsid w:val="2610184F"/>
    <w:rsid w:val="261034D2"/>
    <w:rsid w:val="26103D41"/>
    <w:rsid w:val="26105AEF"/>
    <w:rsid w:val="2610789E"/>
    <w:rsid w:val="26111E0A"/>
    <w:rsid w:val="2611255C"/>
    <w:rsid w:val="26112CDF"/>
    <w:rsid w:val="26112E9C"/>
    <w:rsid w:val="26113BA0"/>
    <w:rsid w:val="26121868"/>
    <w:rsid w:val="26122A2E"/>
    <w:rsid w:val="26123616"/>
    <w:rsid w:val="26124153"/>
    <w:rsid w:val="261255FF"/>
    <w:rsid w:val="26127ABA"/>
    <w:rsid w:val="261343AE"/>
    <w:rsid w:val="26136001"/>
    <w:rsid w:val="2613738E"/>
    <w:rsid w:val="261403D4"/>
    <w:rsid w:val="26140F51"/>
    <w:rsid w:val="26143832"/>
    <w:rsid w:val="26147F1F"/>
    <w:rsid w:val="26151358"/>
    <w:rsid w:val="26152AF0"/>
    <w:rsid w:val="26153106"/>
    <w:rsid w:val="26155BA9"/>
    <w:rsid w:val="26163176"/>
    <w:rsid w:val="261631EE"/>
    <w:rsid w:val="26163F80"/>
    <w:rsid w:val="26164A75"/>
    <w:rsid w:val="261657AB"/>
    <w:rsid w:val="26172DBA"/>
    <w:rsid w:val="26174684"/>
    <w:rsid w:val="26175410"/>
    <w:rsid w:val="26176E7E"/>
    <w:rsid w:val="26177A08"/>
    <w:rsid w:val="261854C9"/>
    <w:rsid w:val="2619025D"/>
    <w:rsid w:val="26190E48"/>
    <w:rsid w:val="26192BF6"/>
    <w:rsid w:val="261A071C"/>
    <w:rsid w:val="261A4BC0"/>
    <w:rsid w:val="261A7BD1"/>
    <w:rsid w:val="261B1912"/>
    <w:rsid w:val="261B23B1"/>
    <w:rsid w:val="261B2DD7"/>
    <w:rsid w:val="261B5221"/>
    <w:rsid w:val="261B5E2B"/>
    <w:rsid w:val="261B6962"/>
    <w:rsid w:val="261C0A8D"/>
    <w:rsid w:val="261C4494"/>
    <w:rsid w:val="261C6242"/>
    <w:rsid w:val="261C69CC"/>
    <w:rsid w:val="261D07A4"/>
    <w:rsid w:val="261D1FBA"/>
    <w:rsid w:val="261D37EF"/>
    <w:rsid w:val="261E020C"/>
    <w:rsid w:val="261E5E0D"/>
    <w:rsid w:val="261F21D6"/>
    <w:rsid w:val="261F3F85"/>
    <w:rsid w:val="262011CB"/>
    <w:rsid w:val="26203922"/>
    <w:rsid w:val="26207C03"/>
    <w:rsid w:val="26211AAB"/>
    <w:rsid w:val="26213859"/>
    <w:rsid w:val="26213C64"/>
    <w:rsid w:val="26217CFD"/>
    <w:rsid w:val="262214E2"/>
    <w:rsid w:val="262250F4"/>
    <w:rsid w:val="26226403"/>
    <w:rsid w:val="262275D1"/>
    <w:rsid w:val="262339B3"/>
    <w:rsid w:val="26233A75"/>
    <w:rsid w:val="26234121"/>
    <w:rsid w:val="26234D89"/>
    <w:rsid w:val="26235823"/>
    <w:rsid w:val="262420F2"/>
    <w:rsid w:val="262422AD"/>
    <w:rsid w:val="26243349"/>
    <w:rsid w:val="262446E1"/>
    <w:rsid w:val="26245A22"/>
    <w:rsid w:val="262477ED"/>
    <w:rsid w:val="262537C6"/>
    <w:rsid w:val="26257FE8"/>
    <w:rsid w:val="26262914"/>
    <w:rsid w:val="26265313"/>
    <w:rsid w:val="262670C1"/>
    <w:rsid w:val="26280F66"/>
    <w:rsid w:val="2628108B"/>
    <w:rsid w:val="26284BE7"/>
    <w:rsid w:val="26291F16"/>
    <w:rsid w:val="26296B8D"/>
    <w:rsid w:val="26296BB1"/>
    <w:rsid w:val="262A4E03"/>
    <w:rsid w:val="262B2929"/>
    <w:rsid w:val="262B2F0B"/>
    <w:rsid w:val="262B46D7"/>
    <w:rsid w:val="262B6CFD"/>
    <w:rsid w:val="262C0632"/>
    <w:rsid w:val="262C10B7"/>
    <w:rsid w:val="262C420B"/>
    <w:rsid w:val="262C5394"/>
    <w:rsid w:val="262C682A"/>
    <w:rsid w:val="262C78E7"/>
    <w:rsid w:val="262D044F"/>
    <w:rsid w:val="262D2207"/>
    <w:rsid w:val="262D48F3"/>
    <w:rsid w:val="262D66A1"/>
    <w:rsid w:val="262D78EB"/>
    <w:rsid w:val="262D7E77"/>
    <w:rsid w:val="262E0EDA"/>
    <w:rsid w:val="262E3DD7"/>
    <w:rsid w:val="262E5F76"/>
    <w:rsid w:val="262F14EE"/>
    <w:rsid w:val="262F241A"/>
    <w:rsid w:val="262F6268"/>
    <w:rsid w:val="262F6908"/>
    <w:rsid w:val="262F71C5"/>
    <w:rsid w:val="26301CEE"/>
    <w:rsid w:val="26306192"/>
    <w:rsid w:val="263162FA"/>
    <w:rsid w:val="26321F0A"/>
    <w:rsid w:val="26323CB8"/>
    <w:rsid w:val="26324BE9"/>
    <w:rsid w:val="26324D1C"/>
    <w:rsid w:val="263317DE"/>
    <w:rsid w:val="26333491"/>
    <w:rsid w:val="26337692"/>
    <w:rsid w:val="263376C3"/>
    <w:rsid w:val="263419A5"/>
    <w:rsid w:val="26344938"/>
    <w:rsid w:val="26345C82"/>
    <w:rsid w:val="26347A30"/>
    <w:rsid w:val="26347D83"/>
    <w:rsid w:val="263537A8"/>
    <w:rsid w:val="26355556"/>
    <w:rsid w:val="2636356A"/>
    <w:rsid w:val="26367BD9"/>
    <w:rsid w:val="26370303"/>
    <w:rsid w:val="2637307C"/>
    <w:rsid w:val="26376000"/>
    <w:rsid w:val="26376791"/>
    <w:rsid w:val="26377520"/>
    <w:rsid w:val="26377824"/>
    <w:rsid w:val="26385E8A"/>
    <w:rsid w:val="263877F8"/>
    <w:rsid w:val="26393298"/>
    <w:rsid w:val="26395046"/>
    <w:rsid w:val="26397485"/>
    <w:rsid w:val="26397917"/>
    <w:rsid w:val="263A1741"/>
    <w:rsid w:val="263A2B6C"/>
    <w:rsid w:val="263A337B"/>
    <w:rsid w:val="263A52EF"/>
    <w:rsid w:val="263B1AB4"/>
    <w:rsid w:val="263B5AF2"/>
    <w:rsid w:val="263B7010"/>
    <w:rsid w:val="263C0693"/>
    <w:rsid w:val="263C4B36"/>
    <w:rsid w:val="263C68E5"/>
    <w:rsid w:val="263C7CAD"/>
    <w:rsid w:val="263D105D"/>
    <w:rsid w:val="263D1C5C"/>
    <w:rsid w:val="263D1CFC"/>
    <w:rsid w:val="263E08AF"/>
    <w:rsid w:val="263E265D"/>
    <w:rsid w:val="263E3E76"/>
    <w:rsid w:val="263E440B"/>
    <w:rsid w:val="263F0183"/>
    <w:rsid w:val="263F14EC"/>
    <w:rsid w:val="263F224F"/>
    <w:rsid w:val="263F461C"/>
    <w:rsid w:val="263F63D5"/>
    <w:rsid w:val="26404627"/>
    <w:rsid w:val="264052DC"/>
    <w:rsid w:val="26405AAC"/>
    <w:rsid w:val="2641214D"/>
    <w:rsid w:val="26415CA9"/>
    <w:rsid w:val="26416A95"/>
    <w:rsid w:val="26421195"/>
    <w:rsid w:val="26421B0D"/>
    <w:rsid w:val="26422509"/>
    <w:rsid w:val="26424155"/>
    <w:rsid w:val="26431A21"/>
    <w:rsid w:val="26433204"/>
    <w:rsid w:val="26435B6E"/>
    <w:rsid w:val="26437C73"/>
    <w:rsid w:val="2644165A"/>
    <w:rsid w:val="26442D7E"/>
    <w:rsid w:val="264439EB"/>
    <w:rsid w:val="2644442D"/>
    <w:rsid w:val="264535B2"/>
    <w:rsid w:val="26462B66"/>
    <w:rsid w:val="264639C2"/>
    <w:rsid w:val="2646427B"/>
    <w:rsid w:val="264659B5"/>
    <w:rsid w:val="26467763"/>
    <w:rsid w:val="26472DAE"/>
    <w:rsid w:val="264744EF"/>
    <w:rsid w:val="26485289"/>
    <w:rsid w:val="26486E0F"/>
    <w:rsid w:val="26487037"/>
    <w:rsid w:val="26492DAF"/>
    <w:rsid w:val="26493DA0"/>
    <w:rsid w:val="2649680B"/>
    <w:rsid w:val="264A1001"/>
    <w:rsid w:val="264A15BB"/>
    <w:rsid w:val="264A4933"/>
    <w:rsid w:val="264A65B4"/>
    <w:rsid w:val="264A7253"/>
    <w:rsid w:val="264B280F"/>
    <w:rsid w:val="264B4D7A"/>
    <w:rsid w:val="264B6B28"/>
    <w:rsid w:val="264D0AF2"/>
    <w:rsid w:val="264D156F"/>
    <w:rsid w:val="264D17F1"/>
    <w:rsid w:val="264D464E"/>
    <w:rsid w:val="264D6D44"/>
    <w:rsid w:val="264F4111"/>
    <w:rsid w:val="264F52E3"/>
    <w:rsid w:val="264F6618"/>
    <w:rsid w:val="264F7989"/>
    <w:rsid w:val="265005E2"/>
    <w:rsid w:val="26502390"/>
    <w:rsid w:val="26503E0F"/>
    <w:rsid w:val="2650413E"/>
    <w:rsid w:val="26510AD9"/>
    <w:rsid w:val="26517A93"/>
    <w:rsid w:val="2652135E"/>
    <w:rsid w:val="2652217A"/>
    <w:rsid w:val="2652435A"/>
    <w:rsid w:val="26526108"/>
    <w:rsid w:val="26527EC1"/>
    <w:rsid w:val="265321BC"/>
    <w:rsid w:val="26532A92"/>
    <w:rsid w:val="26532CE7"/>
    <w:rsid w:val="26533F22"/>
    <w:rsid w:val="265359DC"/>
    <w:rsid w:val="26543C2E"/>
    <w:rsid w:val="26544F07"/>
    <w:rsid w:val="26551754"/>
    <w:rsid w:val="2655616E"/>
    <w:rsid w:val="26556D9C"/>
    <w:rsid w:val="26562AEF"/>
    <w:rsid w:val="26563C73"/>
    <w:rsid w:val="265645F5"/>
    <w:rsid w:val="26564F48"/>
    <w:rsid w:val="26566A86"/>
    <w:rsid w:val="26567AD0"/>
    <w:rsid w:val="26571970"/>
    <w:rsid w:val="265728A3"/>
    <w:rsid w:val="2657371E"/>
    <w:rsid w:val="265740AF"/>
    <w:rsid w:val="265754CC"/>
    <w:rsid w:val="26586DC8"/>
    <w:rsid w:val="26591245"/>
    <w:rsid w:val="265920E0"/>
    <w:rsid w:val="26593477"/>
    <w:rsid w:val="26594A5E"/>
    <w:rsid w:val="26597496"/>
    <w:rsid w:val="26597D94"/>
    <w:rsid w:val="265A29F4"/>
    <w:rsid w:val="265A320F"/>
    <w:rsid w:val="265A4FBD"/>
    <w:rsid w:val="265A6D6B"/>
    <w:rsid w:val="265B30F0"/>
    <w:rsid w:val="265B6D19"/>
    <w:rsid w:val="265C0D35"/>
    <w:rsid w:val="265C2AE3"/>
    <w:rsid w:val="265D403A"/>
    <w:rsid w:val="265D7EFE"/>
    <w:rsid w:val="265E391C"/>
    <w:rsid w:val="265E47A1"/>
    <w:rsid w:val="265E685B"/>
    <w:rsid w:val="26600825"/>
    <w:rsid w:val="26601CD1"/>
    <w:rsid w:val="26605096"/>
    <w:rsid w:val="266059D5"/>
    <w:rsid w:val="26607ACB"/>
    <w:rsid w:val="266100F9"/>
    <w:rsid w:val="2661284D"/>
    <w:rsid w:val="26612A02"/>
    <w:rsid w:val="2661459D"/>
    <w:rsid w:val="2661634B"/>
    <w:rsid w:val="266165C3"/>
    <w:rsid w:val="26622E06"/>
    <w:rsid w:val="26626BBA"/>
    <w:rsid w:val="26627285"/>
    <w:rsid w:val="26630315"/>
    <w:rsid w:val="2663162B"/>
    <w:rsid w:val="26633A17"/>
    <w:rsid w:val="26633E71"/>
    <w:rsid w:val="26635059"/>
    <w:rsid w:val="26636438"/>
    <w:rsid w:val="2664017E"/>
    <w:rsid w:val="2664166E"/>
    <w:rsid w:val="2664209E"/>
    <w:rsid w:val="26642959"/>
    <w:rsid w:val="26644EA7"/>
    <w:rsid w:val="26647BE9"/>
    <w:rsid w:val="2665408D"/>
    <w:rsid w:val="26655E3B"/>
    <w:rsid w:val="26663961"/>
    <w:rsid w:val="2666570F"/>
    <w:rsid w:val="266669EE"/>
    <w:rsid w:val="26667E05"/>
    <w:rsid w:val="26681488"/>
    <w:rsid w:val="26684E72"/>
    <w:rsid w:val="2668592C"/>
    <w:rsid w:val="26687169"/>
    <w:rsid w:val="26690F27"/>
    <w:rsid w:val="2669305E"/>
    <w:rsid w:val="26695200"/>
    <w:rsid w:val="26697889"/>
    <w:rsid w:val="266A16A4"/>
    <w:rsid w:val="266A3CEA"/>
    <w:rsid w:val="266B0F78"/>
    <w:rsid w:val="266B176E"/>
    <w:rsid w:val="266B6B78"/>
    <w:rsid w:val="266B71CA"/>
    <w:rsid w:val="266C1B15"/>
    <w:rsid w:val="266C1C6A"/>
    <w:rsid w:val="266C3639"/>
    <w:rsid w:val="266C380A"/>
    <w:rsid w:val="266D4CF0"/>
    <w:rsid w:val="266D6982"/>
    <w:rsid w:val="266D6A9E"/>
    <w:rsid w:val="266E2CA6"/>
    <w:rsid w:val="266E5FB0"/>
    <w:rsid w:val="266F0A68"/>
    <w:rsid w:val="266F1DA1"/>
    <w:rsid w:val="266F2E08"/>
    <w:rsid w:val="26703D18"/>
    <w:rsid w:val="267047E0"/>
    <w:rsid w:val="26704B8B"/>
    <w:rsid w:val="2670658E"/>
    <w:rsid w:val="26710DE8"/>
    <w:rsid w:val="26712A32"/>
    <w:rsid w:val="26722306"/>
    <w:rsid w:val="26723BCD"/>
    <w:rsid w:val="26723C36"/>
    <w:rsid w:val="267247B8"/>
    <w:rsid w:val="267267AA"/>
    <w:rsid w:val="2673093B"/>
    <w:rsid w:val="26735D21"/>
    <w:rsid w:val="267442D0"/>
    <w:rsid w:val="2674499C"/>
    <w:rsid w:val="267450E2"/>
    <w:rsid w:val="2674607E"/>
    <w:rsid w:val="26751DF6"/>
    <w:rsid w:val="26753BA5"/>
    <w:rsid w:val="267570D2"/>
    <w:rsid w:val="26760048"/>
    <w:rsid w:val="26771E8D"/>
    <w:rsid w:val="26772B1B"/>
    <w:rsid w:val="2678416E"/>
    <w:rsid w:val="267918E7"/>
    <w:rsid w:val="26793695"/>
    <w:rsid w:val="26795443"/>
    <w:rsid w:val="2679746A"/>
    <w:rsid w:val="26797B39"/>
    <w:rsid w:val="267A11BB"/>
    <w:rsid w:val="267A5A56"/>
    <w:rsid w:val="267A740D"/>
    <w:rsid w:val="267A78CA"/>
    <w:rsid w:val="267B1637"/>
    <w:rsid w:val="267B47E5"/>
    <w:rsid w:val="267B565F"/>
    <w:rsid w:val="267B7769"/>
    <w:rsid w:val="267C13D7"/>
    <w:rsid w:val="267C3185"/>
    <w:rsid w:val="267C3ECB"/>
    <w:rsid w:val="267C4F33"/>
    <w:rsid w:val="267C5CFF"/>
    <w:rsid w:val="267D1B27"/>
    <w:rsid w:val="267D5DA7"/>
    <w:rsid w:val="267D718F"/>
    <w:rsid w:val="267D7E99"/>
    <w:rsid w:val="267E0CAB"/>
    <w:rsid w:val="267E514F"/>
    <w:rsid w:val="267E5A4E"/>
    <w:rsid w:val="267E6EFD"/>
    <w:rsid w:val="267F11C6"/>
    <w:rsid w:val="267F38A9"/>
    <w:rsid w:val="267F570C"/>
    <w:rsid w:val="267F5B9A"/>
    <w:rsid w:val="267F65F6"/>
    <w:rsid w:val="26800B2C"/>
    <w:rsid w:val="26804680"/>
    <w:rsid w:val="26804A23"/>
    <w:rsid w:val="26807DDA"/>
    <w:rsid w:val="2681079B"/>
    <w:rsid w:val="268143CF"/>
    <w:rsid w:val="26815B10"/>
    <w:rsid w:val="268169ED"/>
    <w:rsid w:val="26832765"/>
    <w:rsid w:val="2683377C"/>
    <w:rsid w:val="268339C8"/>
    <w:rsid w:val="268362C1"/>
    <w:rsid w:val="268371F8"/>
    <w:rsid w:val="26837C22"/>
    <w:rsid w:val="268445FA"/>
    <w:rsid w:val="26844E74"/>
    <w:rsid w:val="26847829"/>
    <w:rsid w:val="26851DE7"/>
    <w:rsid w:val="26855C00"/>
    <w:rsid w:val="26856A14"/>
    <w:rsid w:val="26857A82"/>
    <w:rsid w:val="26864004"/>
    <w:rsid w:val="26865DB2"/>
    <w:rsid w:val="26867B60"/>
    <w:rsid w:val="26870BCA"/>
    <w:rsid w:val="2687553F"/>
    <w:rsid w:val="26875DD9"/>
    <w:rsid w:val="268853A2"/>
    <w:rsid w:val="26885559"/>
    <w:rsid w:val="268950F8"/>
    <w:rsid w:val="268979D3"/>
    <w:rsid w:val="268A05C0"/>
    <w:rsid w:val="268A58A2"/>
    <w:rsid w:val="268A5BE1"/>
    <w:rsid w:val="268A6BC2"/>
    <w:rsid w:val="268A7650"/>
    <w:rsid w:val="268A7A48"/>
    <w:rsid w:val="268B0B38"/>
    <w:rsid w:val="268B161A"/>
    <w:rsid w:val="268B33C8"/>
    <w:rsid w:val="268C786C"/>
    <w:rsid w:val="268D0EEE"/>
    <w:rsid w:val="268D1D9C"/>
    <w:rsid w:val="268D5392"/>
    <w:rsid w:val="268D6098"/>
    <w:rsid w:val="268D7140"/>
    <w:rsid w:val="268E480D"/>
    <w:rsid w:val="268E681E"/>
    <w:rsid w:val="268F0A8E"/>
    <w:rsid w:val="268F110A"/>
    <w:rsid w:val="268F4733"/>
    <w:rsid w:val="268F4C66"/>
    <w:rsid w:val="268F4E04"/>
    <w:rsid w:val="268F52E3"/>
    <w:rsid w:val="26902A34"/>
    <w:rsid w:val="2690545A"/>
    <w:rsid w:val="269059F2"/>
    <w:rsid w:val="26906C30"/>
    <w:rsid w:val="269119CA"/>
    <w:rsid w:val="2691462A"/>
    <w:rsid w:val="26914E82"/>
    <w:rsid w:val="269229A8"/>
    <w:rsid w:val="26924756"/>
    <w:rsid w:val="26924766"/>
    <w:rsid w:val="26925354"/>
    <w:rsid w:val="269254DA"/>
    <w:rsid w:val="26926505"/>
    <w:rsid w:val="26926A95"/>
    <w:rsid w:val="26937225"/>
    <w:rsid w:val="26942845"/>
    <w:rsid w:val="26946305"/>
    <w:rsid w:val="269508BF"/>
    <w:rsid w:val="269516C8"/>
    <w:rsid w:val="26955FF5"/>
    <w:rsid w:val="269566F2"/>
    <w:rsid w:val="269621FC"/>
    <w:rsid w:val="26962499"/>
    <w:rsid w:val="2696295E"/>
    <w:rsid w:val="269629DC"/>
    <w:rsid w:val="269668A6"/>
    <w:rsid w:val="26972725"/>
    <w:rsid w:val="26977D36"/>
    <w:rsid w:val="26983D97"/>
    <w:rsid w:val="26984D6C"/>
    <w:rsid w:val="26993D37"/>
    <w:rsid w:val="269957F4"/>
    <w:rsid w:val="26995AE5"/>
    <w:rsid w:val="2699711B"/>
    <w:rsid w:val="269A1837"/>
    <w:rsid w:val="269B1288"/>
    <w:rsid w:val="269B185D"/>
    <w:rsid w:val="269B2AE6"/>
    <w:rsid w:val="269B7263"/>
    <w:rsid w:val="269B7AAF"/>
    <w:rsid w:val="269B7B47"/>
    <w:rsid w:val="269C0146"/>
    <w:rsid w:val="269C124E"/>
    <w:rsid w:val="269C2851"/>
    <w:rsid w:val="269C3827"/>
    <w:rsid w:val="269C7383"/>
    <w:rsid w:val="269E52EC"/>
    <w:rsid w:val="269E5B3B"/>
    <w:rsid w:val="269E759F"/>
    <w:rsid w:val="269E7C09"/>
    <w:rsid w:val="269F0C21"/>
    <w:rsid w:val="269F3CA3"/>
    <w:rsid w:val="269F7E5B"/>
    <w:rsid w:val="26A06E73"/>
    <w:rsid w:val="26A12BEB"/>
    <w:rsid w:val="26A139B9"/>
    <w:rsid w:val="26A1499A"/>
    <w:rsid w:val="26A22CAD"/>
    <w:rsid w:val="26A30712"/>
    <w:rsid w:val="26A307CD"/>
    <w:rsid w:val="26A30EAA"/>
    <w:rsid w:val="26A36964"/>
    <w:rsid w:val="26A420F1"/>
    <w:rsid w:val="26A457A4"/>
    <w:rsid w:val="26A50A6A"/>
    <w:rsid w:val="26A526DC"/>
    <w:rsid w:val="26A5448A"/>
    <w:rsid w:val="26A54C67"/>
    <w:rsid w:val="26A54F0B"/>
    <w:rsid w:val="26A60202"/>
    <w:rsid w:val="26A631F3"/>
    <w:rsid w:val="26A64C5A"/>
    <w:rsid w:val="26A64D45"/>
    <w:rsid w:val="26A662B4"/>
    <w:rsid w:val="26A7181B"/>
    <w:rsid w:val="26A73923"/>
    <w:rsid w:val="26A760EA"/>
    <w:rsid w:val="26A7782B"/>
    <w:rsid w:val="26A821CC"/>
    <w:rsid w:val="26A83F7A"/>
    <w:rsid w:val="26A86847"/>
    <w:rsid w:val="26AA1AA0"/>
    <w:rsid w:val="26AA4A6B"/>
    <w:rsid w:val="26AA5F44"/>
    <w:rsid w:val="26AA61AC"/>
    <w:rsid w:val="26AB25E8"/>
    <w:rsid w:val="26AB5818"/>
    <w:rsid w:val="26AB75C6"/>
    <w:rsid w:val="26AC3A6A"/>
    <w:rsid w:val="26AC3B1E"/>
    <w:rsid w:val="26AC477F"/>
    <w:rsid w:val="26AD1590"/>
    <w:rsid w:val="26AD333E"/>
    <w:rsid w:val="26AD6D16"/>
    <w:rsid w:val="26AD77E2"/>
    <w:rsid w:val="26AD7DAB"/>
    <w:rsid w:val="26AE0625"/>
    <w:rsid w:val="26AE33EC"/>
    <w:rsid w:val="26AE4545"/>
    <w:rsid w:val="26AE5FBD"/>
    <w:rsid w:val="26AF5308"/>
    <w:rsid w:val="26AF70B6"/>
    <w:rsid w:val="26B0201E"/>
    <w:rsid w:val="26B025B2"/>
    <w:rsid w:val="26B113D9"/>
    <w:rsid w:val="26B115F0"/>
    <w:rsid w:val="26B1325B"/>
    <w:rsid w:val="26B22148"/>
    <w:rsid w:val="26B2493E"/>
    <w:rsid w:val="26B24DF9"/>
    <w:rsid w:val="26B26BA7"/>
    <w:rsid w:val="26B3046B"/>
    <w:rsid w:val="26B40B71"/>
    <w:rsid w:val="26B43C52"/>
    <w:rsid w:val="26B446CD"/>
    <w:rsid w:val="26B474A7"/>
    <w:rsid w:val="26B50445"/>
    <w:rsid w:val="26B54824"/>
    <w:rsid w:val="26B54902"/>
    <w:rsid w:val="26B6391A"/>
    <w:rsid w:val="26B64344"/>
    <w:rsid w:val="26B648E9"/>
    <w:rsid w:val="26B64F4F"/>
    <w:rsid w:val="26B6662A"/>
    <w:rsid w:val="26B70619"/>
    <w:rsid w:val="26B70D36"/>
    <w:rsid w:val="26B718C0"/>
    <w:rsid w:val="26B71E93"/>
    <w:rsid w:val="26B749D1"/>
    <w:rsid w:val="26B75F6B"/>
    <w:rsid w:val="26B80661"/>
    <w:rsid w:val="26B81276"/>
    <w:rsid w:val="26B86DC0"/>
    <w:rsid w:val="26B87ECC"/>
    <w:rsid w:val="26B91CE3"/>
    <w:rsid w:val="26B9266D"/>
    <w:rsid w:val="26B92E82"/>
    <w:rsid w:val="26B953CA"/>
    <w:rsid w:val="26B96AF1"/>
    <w:rsid w:val="26B96F61"/>
    <w:rsid w:val="26BA3FBB"/>
    <w:rsid w:val="26BB09E3"/>
    <w:rsid w:val="26BB1EFF"/>
    <w:rsid w:val="26BB304D"/>
    <w:rsid w:val="26BB5A5B"/>
    <w:rsid w:val="26BC17D3"/>
    <w:rsid w:val="26BC301B"/>
    <w:rsid w:val="26BC7A25"/>
    <w:rsid w:val="26BD0503"/>
    <w:rsid w:val="26BD063A"/>
    <w:rsid w:val="26BD1A51"/>
    <w:rsid w:val="26BD4622"/>
    <w:rsid w:val="26BD490E"/>
    <w:rsid w:val="26BD7CAA"/>
    <w:rsid w:val="26BE19EF"/>
    <w:rsid w:val="26BE379D"/>
    <w:rsid w:val="26BE554B"/>
    <w:rsid w:val="26BE72FA"/>
    <w:rsid w:val="26BF222E"/>
    <w:rsid w:val="26BF2A05"/>
    <w:rsid w:val="26BF6F42"/>
    <w:rsid w:val="26BF7CDE"/>
    <w:rsid w:val="26C012C4"/>
    <w:rsid w:val="26C03E10"/>
    <w:rsid w:val="26C11C17"/>
    <w:rsid w:val="26C11D23"/>
    <w:rsid w:val="26C1383B"/>
    <w:rsid w:val="26C1503C"/>
    <w:rsid w:val="26C16DEA"/>
    <w:rsid w:val="26C16F44"/>
    <w:rsid w:val="26C21459"/>
    <w:rsid w:val="26C2212C"/>
    <w:rsid w:val="26C2328E"/>
    <w:rsid w:val="26C30DB4"/>
    <w:rsid w:val="26C338D2"/>
    <w:rsid w:val="26C34DB4"/>
    <w:rsid w:val="26C358C3"/>
    <w:rsid w:val="26C37006"/>
    <w:rsid w:val="26C46226"/>
    <w:rsid w:val="26C46D53"/>
    <w:rsid w:val="26C501E3"/>
    <w:rsid w:val="26C50688"/>
    <w:rsid w:val="26C52DB4"/>
    <w:rsid w:val="26C545BB"/>
    <w:rsid w:val="26C568DA"/>
    <w:rsid w:val="26C60C4E"/>
    <w:rsid w:val="26C62652"/>
    <w:rsid w:val="26C64400"/>
    <w:rsid w:val="26C64605"/>
    <w:rsid w:val="26C656E7"/>
    <w:rsid w:val="26C708A4"/>
    <w:rsid w:val="26C81735"/>
    <w:rsid w:val="26C8461C"/>
    <w:rsid w:val="26C848AF"/>
    <w:rsid w:val="26C857B1"/>
    <w:rsid w:val="26C857DD"/>
    <w:rsid w:val="26C863CA"/>
    <w:rsid w:val="26C86B64"/>
    <w:rsid w:val="26C872BD"/>
    <w:rsid w:val="26C909C7"/>
    <w:rsid w:val="26C925E5"/>
    <w:rsid w:val="26C97FF4"/>
    <w:rsid w:val="26CA2142"/>
    <w:rsid w:val="26CA4055"/>
    <w:rsid w:val="26CA483E"/>
    <w:rsid w:val="26CB3A94"/>
    <w:rsid w:val="26CB6C26"/>
    <w:rsid w:val="26CC5EBA"/>
    <w:rsid w:val="26CC7BB9"/>
    <w:rsid w:val="26CD1546"/>
    <w:rsid w:val="26CD1C32"/>
    <w:rsid w:val="26CD23C6"/>
    <w:rsid w:val="26CD578F"/>
    <w:rsid w:val="26CE5111"/>
    <w:rsid w:val="26CF1507"/>
    <w:rsid w:val="26CF21AD"/>
    <w:rsid w:val="26CF59AB"/>
    <w:rsid w:val="26CF7759"/>
    <w:rsid w:val="26D008AE"/>
    <w:rsid w:val="26D018DD"/>
    <w:rsid w:val="26D0702D"/>
    <w:rsid w:val="26D07ADC"/>
    <w:rsid w:val="26D11357"/>
    <w:rsid w:val="26D12FC0"/>
    <w:rsid w:val="26D13174"/>
    <w:rsid w:val="26D134D1"/>
    <w:rsid w:val="26D1527F"/>
    <w:rsid w:val="26D15A11"/>
    <w:rsid w:val="26D219F9"/>
    <w:rsid w:val="26D22DA5"/>
    <w:rsid w:val="26D23F28"/>
    <w:rsid w:val="26D27249"/>
    <w:rsid w:val="26D3351B"/>
    <w:rsid w:val="26D4022A"/>
    <w:rsid w:val="26D42FC1"/>
    <w:rsid w:val="26D46B1D"/>
    <w:rsid w:val="26D47CD8"/>
    <w:rsid w:val="26D579ED"/>
    <w:rsid w:val="26D60AE7"/>
    <w:rsid w:val="26D625F8"/>
    <w:rsid w:val="26D62895"/>
    <w:rsid w:val="26D66D39"/>
    <w:rsid w:val="26D6703A"/>
    <w:rsid w:val="26D677B6"/>
    <w:rsid w:val="26D703BB"/>
    <w:rsid w:val="26D7281C"/>
    <w:rsid w:val="26D7485F"/>
    <w:rsid w:val="26D7660D"/>
    <w:rsid w:val="26D77A4E"/>
    <w:rsid w:val="26D8294B"/>
    <w:rsid w:val="26D829E9"/>
    <w:rsid w:val="26D859C8"/>
    <w:rsid w:val="26D86659"/>
    <w:rsid w:val="26D86BF8"/>
    <w:rsid w:val="26D905D7"/>
    <w:rsid w:val="26D92385"/>
    <w:rsid w:val="26D926BA"/>
    <w:rsid w:val="26DA06A7"/>
    <w:rsid w:val="26DA25CB"/>
    <w:rsid w:val="26DA29BF"/>
    <w:rsid w:val="26DB434F"/>
    <w:rsid w:val="26DB4B7E"/>
    <w:rsid w:val="26DB55D3"/>
    <w:rsid w:val="26DB7EAB"/>
    <w:rsid w:val="26DC08B6"/>
    <w:rsid w:val="26DC2347"/>
    <w:rsid w:val="26DC3466"/>
    <w:rsid w:val="26DC35DF"/>
    <w:rsid w:val="26DC48C5"/>
    <w:rsid w:val="26DC646A"/>
    <w:rsid w:val="26DD00C8"/>
    <w:rsid w:val="26DD084F"/>
    <w:rsid w:val="26DD1E76"/>
    <w:rsid w:val="26DE2DEE"/>
    <w:rsid w:val="26DF638E"/>
    <w:rsid w:val="26DF652C"/>
    <w:rsid w:val="26DF6985"/>
    <w:rsid w:val="26E010E3"/>
    <w:rsid w:val="26E02504"/>
    <w:rsid w:val="26E03714"/>
    <w:rsid w:val="26E07478"/>
    <w:rsid w:val="26E1123A"/>
    <w:rsid w:val="26E17B69"/>
    <w:rsid w:val="26E20160"/>
    <w:rsid w:val="26E21714"/>
    <w:rsid w:val="26E2660B"/>
    <w:rsid w:val="26E2748C"/>
    <w:rsid w:val="26E31456"/>
    <w:rsid w:val="26E34FB2"/>
    <w:rsid w:val="26E37335"/>
    <w:rsid w:val="26E47B75"/>
    <w:rsid w:val="26E51F33"/>
    <w:rsid w:val="26E52AD8"/>
    <w:rsid w:val="26E56F7C"/>
    <w:rsid w:val="26E62B73"/>
    <w:rsid w:val="26E641FB"/>
    <w:rsid w:val="26E66826"/>
    <w:rsid w:val="26E66850"/>
    <w:rsid w:val="26E712EE"/>
    <w:rsid w:val="26E718E0"/>
    <w:rsid w:val="26E72B21"/>
    <w:rsid w:val="26E74AA2"/>
    <w:rsid w:val="26E74BC0"/>
    <w:rsid w:val="26E74F9B"/>
    <w:rsid w:val="26E765DD"/>
    <w:rsid w:val="26E8081A"/>
    <w:rsid w:val="26E8098A"/>
    <w:rsid w:val="26E82C56"/>
    <w:rsid w:val="26E860A8"/>
    <w:rsid w:val="26E86A6C"/>
    <w:rsid w:val="26E91AA5"/>
    <w:rsid w:val="26E93EDC"/>
    <w:rsid w:val="26E975DE"/>
    <w:rsid w:val="26EA00EF"/>
    <w:rsid w:val="26EA27E4"/>
    <w:rsid w:val="26EA363F"/>
    <w:rsid w:val="26EA56B0"/>
    <w:rsid w:val="26EA6341"/>
    <w:rsid w:val="26EB3E67"/>
    <w:rsid w:val="26EC030B"/>
    <w:rsid w:val="26ED0DA0"/>
    <w:rsid w:val="26ED1D1A"/>
    <w:rsid w:val="26ED5E31"/>
    <w:rsid w:val="26EE13D9"/>
    <w:rsid w:val="26EE2F4B"/>
    <w:rsid w:val="26EE793A"/>
    <w:rsid w:val="26EF05EC"/>
    <w:rsid w:val="26EF1BA9"/>
    <w:rsid w:val="26EF48E0"/>
    <w:rsid w:val="26EF759A"/>
    <w:rsid w:val="26EF7DFB"/>
    <w:rsid w:val="26F10A7B"/>
    <w:rsid w:val="26F1147D"/>
    <w:rsid w:val="26F12ADB"/>
    <w:rsid w:val="26F15921"/>
    <w:rsid w:val="26F176CF"/>
    <w:rsid w:val="26F21DE5"/>
    <w:rsid w:val="26F251F5"/>
    <w:rsid w:val="26F253EA"/>
    <w:rsid w:val="26F34E21"/>
    <w:rsid w:val="26F361DC"/>
    <w:rsid w:val="26F40F6D"/>
    <w:rsid w:val="26F421D8"/>
    <w:rsid w:val="26F44E5A"/>
    <w:rsid w:val="26F45411"/>
    <w:rsid w:val="26F45733"/>
    <w:rsid w:val="26F471BF"/>
    <w:rsid w:val="26F521EF"/>
    <w:rsid w:val="26F52461"/>
    <w:rsid w:val="26F56860"/>
    <w:rsid w:val="26F61BE2"/>
    <w:rsid w:val="26F62F37"/>
    <w:rsid w:val="26F64CE5"/>
    <w:rsid w:val="26F70A5D"/>
    <w:rsid w:val="26F71413"/>
    <w:rsid w:val="26F7280B"/>
    <w:rsid w:val="26F85EB9"/>
    <w:rsid w:val="26F86CAF"/>
    <w:rsid w:val="26F929A0"/>
    <w:rsid w:val="26F92A28"/>
    <w:rsid w:val="26F92AB1"/>
    <w:rsid w:val="26F970D3"/>
    <w:rsid w:val="26FA0563"/>
    <w:rsid w:val="26FA19F3"/>
    <w:rsid w:val="26FA3134"/>
    <w:rsid w:val="26FB054E"/>
    <w:rsid w:val="26FB4A31"/>
    <w:rsid w:val="26FC3074"/>
    <w:rsid w:val="26FC559D"/>
    <w:rsid w:val="26FC6074"/>
    <w:rsid w:val="26FC7E22"/>
    <w:rsid w:val="26FD42C6"/>
    <w:rsid w:val="26FD5BC2"/>
    <w:rsid w:val="26FD5FB8"/>
    <w:rsid w:val="26FE0D12"/>
    <w:rsid w:val="26FE1DEC"/>
    <w:rsid w:val="26FE247D"/>
    <w:rsid w:val="26FE3B12"/>
    <w:rsid w:val="26FE3B9A"/>
    <w:rsid w:val="26FF0C86"/>
    <w:rsid w:val="26FF1804"/>
    <w:rsid w:val="26FF791D"/>
    <w:rsid w:val="270005DA"/>
    <w:rsid w:val="27003DB6"/>
    <w:rsid w:val="27005865"/>
    <w:rsid w:val="27007912"/>
    <w:rsid w:val="27017BC1"/>
    <w:rsid w:val="27020DAE"/>
    <w:rsid w:val="270218DC"/>
    <w:rsid w:val="2702368A"/>
    <w:rsid w:val="270253D8"/>
    <w:rsid w:val="27027B2E"/>
    <w:rsid w:val="270311B0"/>
    <w:rsid w:val="27032D56"/>
    <w:rsid w:val="27037402"/>
    <w:rsid w:val="27047274"/>
    <w:rsid w:val="270513CC"/>
    <w:rsid w:val="2705317A"/>
    <w:rsid w:val="27066B06"/>
    <w:rsid w:val="2707406D"/>
    <w:rsid w:val="27074267"/>
    <w:rsid w:val="27075F11"/>
    <w:rsid w:val="27077F58"/>
    <w:rsid w:val="27084A19"/>
    <w:rsid w:val="2708710F"/>
    <w:rsid w:val="27090058"/>
    <w:rsid w:val="27090EBD"/>
    <w:rsid w:val="270928A4"/>
    <w:rsid w:val="2709311A"/>
    <w:rsid w:val="27095487"/>
    <w:rsid w:val="27096287"/>
    <w:rsid w:val="2709648F"/>
    <w:rsid w:val="270970F6"/>
    <w:rsid w:val="270A01FA"/>
    <w:rsid w:val="270A0791"/>
    <w:rsid w:val="270A253F"/>
    <w:rsid w:val="270A34D9"/>
    <w:rsid w:val="270B2978"/>
    <w:rsid w:val="270B6250"/>
    <w:rsid w:val="270C03E2"/>
    <w:rsid w:val="270C0B22"/>
    <w:rsid w:val="270C275B"/>
    <w:rsid w:val="270C4509"/>
    <w:rsid w:val="270C62B7"/>
    <w:rsid w:val="270D0281"/>
    <w:rsid w:val="270D57BC"/>
    <w:rsid w:val="270D763E"/>
    <w:rsid w:val="270E1B1F"/>
    <w:rsid w:val="270E5617"/>
    <w:rsid w:val="270E64D3"/>
    <w:rsid w:val="270E7E69"/>
    <w:rsid w:val="270F224B"/>
    <w:rsid w:val="270F3FF9"/>
    <w:rsid w:val="270F5DA7"/>
    <w:rsid w:val="270F7BF6"/>
    <w:rsid w:val="27103C37"/>
    <w:rsid w:val="2710495C"/>
    <w:rsid w:val="27104B42"/>
    <w:rsid w:val="27111B1F"/>
    <w:rsid w:val="27113153"/>
    <w:rsid w:val="27114611"/>
    <w:rsid w:val="27115187"/>
    <w:rsid w:val="2711570C"/>
    <w:rsid w:val="271177EE"/>
    <w:rsid w:val="27117D71"/>
    <w:rsid w:val="27122C63"/>
    <w:rsid w:val="27126DD3"/>
    <w:rsid w:val="2713110A"/>
    <w:rsid w:val="271311AB"/>
    <w:rsid w:val="2713284B"/>
    <w:rsid w:val="27133AE9"/>
    <w:rsid w:val="27135897"/>
    <w:rsid w:val="271433BD"/>
    <w:rsid w:val="27147861"/>
    <w:rsid w:val="2715029F"/>
    <w:rsid w:val="2715299D"/>
    <w:rsid w:val="27153D5B"/>
    <w:rsid w:val="271635D9"/>
    <w:rsid w:val="27165388"/>
    <w:rsid w:val="27165DF1"/>
    <w:rsid w:val="27165EAB"/>
    <w:rsid w:val="271665F6"/>
    <w:rsid w:val="27167136"/>
    <w:rsid w:val="27174C5C"/>
    <w:rsid w:val="27176B34"/>
    <w:rsid w:val="271810F5"/>
    <w:rsid w:val="27181100"/>
    <w:rsid w:val="27182EAE"/>
    <w:rsid w:val="27183AEC"/>
    <w:rsid w:val="27184F20"/>
    <w:rsid w:val="271909D4"/>
    <w:rsid w:val="27193C93"/>
    <w:rsid w:val="27194E78"/>
    <w:rsid w:val="271A0416"/>
    <w:rsid w:val="271A726D"/>
    <w:rsid w:val="271B246D"/>
    <w:rsid w:val="271B299E"/>
    <w:rsid w:val="271B318F"/>
    <w:rsid w:val="271B3787"/>
    <w:rsid w:val="271B474C"/>
    <w:rsid w:val="271C12F6"/>
    <w:rsid w:val="271C2272"/>
    <w:rsid w:val="271D04C4"/>
    <w:rsid w:val="271D1173"/>
    <w:rsid w:val="271D4B63"/>
    <w:rsid w:val="271E248E"/>
    <w:rsid w:val="271E274A"/>
    <w:rsid w:val="271E423C"/>
    <w:rsid w:val="271E5FEA"/>
    <w:rsid w:val="271E761A"/>
    <w:rsid w:val="271E795E"/>
    <w:rsid w:val="271F694F"/>
    <w:rsid w:val="2720211D"/>
    <w:rsid w:val="2720227E"/>
    <w:rsid w:val="27204802"/>
    <w:rsid w:val="27206206"/>
    <w:rsid w:val="27206337"/>
    <w:rsid w:val="27212DF2"/>
    <w:rsid w:val="27213CBD"/>
    <w:rsid w:val="27217B11"/>
    <w:rsid w:val="27221F7E"/>
    <w:rsid w:val="27223D2C"/>
    <w:rsid w:val="27225ADA"/>
    <w:rsid w:val="27233601"/>
    <w:rsid w:val="272337D0"/>
    <w:rsid w:val="272338CB"/>
    <w:rsid w:val="27235079"/>
    <w:rsid w:val="272357DE"/>
    <w:rsid w:val="27244C60"/>
    <w:rsid w:val="27247AA4"/>
    <w:rsid w:val="272515EF"/>
    <w:rsid w:val="27252C52"/>
    <w:rsid w:val="2725381D"/>
    <w:rsid w:val="272560F0"/>
    <w:rsid w:val="27257379"/>
    <w:rsid w:val="27260CC1"/>
    <w:rsid w:val="27263E01"/>
    <w:rsid w:val="27267580"/>
    <w:rsid w:val="27272151"/>
    <w:rsid w:val="272735B8"/>
    <w:rsid w:val="2727376E"/>
    <w:rsid w:val="27283403"/>
    <w:rsid w:val="272864AD"/>
    <w:rsid w:val="2728659F"/>
    <w:rsid w:val="27286E69"/>
    <w:rsid w:val="272922EB"/>
    <w:rsid w:val="2729330D"/>
    <w:rsid w:val="272950BB"/>
    <w:rsid w:val="272967B6"/>
    <w:rsid w:val="272A0AD1"/>
    <w:rsid w:val="272A0E33"/>
    <w:rsid w:val="272A498F"/>
    <w:rsid w:val="272A5D82"/>
    <w:rsid w:val="272A7058"/>
    <w:rsid w:val="272B290F"/>
    <w:rsid w:val="272C0707"/>
    <w:rsid w:val="272C0820"/>
    <w:rsid w:val="272C4BAB"/>
    <w:rsid w:val="272C6959"/>
    <w:rsid w:val="272C6E61"/>
    <w:rsid w:val="272D7221"/>
    <w:rsid w:val="272E0923"/>
    <w:rsid w:val="272E70DE"/>
    <w:rsid w:val="272F01F7"/>
    <w:rsid w:val="272F45A5"/>
    <w:rsid w:val="272F6449"/>
    <w:rsid w:val="273017C0"/>
    <w:rsid w:val="27305B5F"/>
    <w:rsid w:val="27313F6F"/>
    <w:rsid w:val="27315D1D"/>
    <w:rsid w:val="27321A96"/>
    <w:rsid w:val="27327271"/>
    <w:rsid w:val="27327868"/>
    <w:rsid w:val="273332C4"/>
    <w:rsid w:val="273342ED"/>
    <w:rsid w:val="27335A7A"/>
    <w:rsid w:val="27335F39"/>
    <w:rsid w:val="27340A4D"/>
    <w:rsid w:val="2734580E"/>
    <w:rsid w:val="27351CB2"/>
    <w:rsid w:val="27361586"/>
    <w:rsid w:val="2736163B"/>
    <w:rsid w:val="2736516F"/>
    <w:rsid w:val="27365937"/>
    <w:rsid w:val="27367355"/>
    <w:rsid w:val="273714DE"/>
    <w:rsid w:val="27374C7D"/>
    <w:rsid w:val="273760D5"/>
    <w:rsid w:val="273803E6"/>
    <w:rsid w:val="27381994"/>
    <w:rsid w:val="27382668"/>
    <w:rsid w:val="27383550"/>
    <w:rsid w:val="27383B65"/>
    <w:rsid w:val="27386379"/>
    <w:rsid w:val="27390587"/>
    <w:rsid w:val="2739230E"/>
    <w:rsid w:val="27392A8D"/>
    <w:rsid w:val="27397709"/>
    <w:rsid w:val="273A02F7"/>
    <w:rsid w:val="273A0EC4"/>
    <w:rsid w:val="273A1B83"/>
    <w:rsid w:val="273A7E19"/>
    <w:rsid w:val="273B0315"/>
    <w:rsid w:val="273B08EE"/>
    <w:rsid w:val="273B1A56"/>
    <w:rsid w:val="273B3040"/>
    <w:rsid w:val="273B4BEA"/>
    <w:rsid w:val="273B4DEE"/>
    <w:rsid w:val="273B5DD0"/>
    <w:rsid w:val="273B6968"/>
    <w:rsid w:val="273B6B9C"/>
    <w:rsid w:val="273C266F"/>
    <w:rsid w:val="273D2914"/>
    <w:rsid w:val="273D4376"/>
    <w:rsid w:val="273D57D8"/>
    <w:rsid w:val="273D7373"/>
    <w:rsid w:val="273E03D7"/>
    <w:rsid w:val="273E043A"/>
    <w:rsid w:val="273E17AC"/>
    <w:rsid w:val="273E536D"/>
    <w:rsid w:val="273E5511"/>
    <w:rsid w:val="273E668C"/>
    <w:rsid w:val="273E71E2"/>
    <w:rsid w:val="273F1867"/>
    <w:rsid w:val="273F48DE"/>
    <w:rsid w:val="273F60BC"/>
    <w:rsid w:val="274001D4"/>
    <w:rsid w:val="27400656"/>
    <w:rsid w:val="27403132"/>
    <w:rsid w:val="27403591"/>
    <w:rsid w:val="274041B2"/>
    <w:rsid w:val="27416A3A"/>
    <w:rsid w:val="27417ECD"/>
    <w:rsid w:val="27421CD9"/>
    <w:rsid w:val="274243CE"/>
    <w:rsid w:val="27424408"/>
    <w:rsid w:val="274254B6"/>
    <w:rsid w:val="2742617D"/>
    <w:rsid w:val="27427F2B"/>
    <w:rsid w:val="27432AFF"/>
    <w:rsid w:val="27433332"/>
    <w:rsid w:val="27446632"/>
    <w:rsid w:val="27450589"/>
    <w:rsid w:val="274517C9"/>
    <w:rsid w:val="27453BED"/>
    <w:rsid w:val="27455C6D"/>
    <w:rsid w:val="27457A1B"/>
    <w:rsid w:val="27462A45"/>
    <w:rsid w:val="27463C22"/>
    <w:rsid w:val="274652FD"/>
    <w:rsid w:val="27465BCB"/>
    <w:rsid w:val="27467D9E"/>
    <w:rsid w:val="27475541"/>
    <w:rsid w:val="27477D62"/>
    <w:rsid w:val="27477FF9"/>
    <w:rsid w:val="27482A1B"/>
    <w:rsid w:val="27494C78"/>
    <w:rsid w:val="274952AF"/>
    <w:rsid w:val="2749750B"/>
    <w:rsid w:val="274A177F"/>
    <w:rsid w:val="274A3283"/>
    <w:rsid w:val="274A6DDF"/>
    <w:rsid w:val="274B7E0A"/>
    <w:rsid w:val="274C0DA9"/>
    <w:rsid w:val="274C29DB"/>
    <w:rsid w:val="274C2B57"/>
    <w:rsid w:val="274D7DED"/>
    <w:rsid w:val="274E1D31"/>
    <w:rsid w:val="274E2D73"/>
    <w:rsid w:val="274E4B21"/>
    <w:rsid w:val="274E68CF"/>
    <w:rsid w:val="274E6D7C"/>
    <w:rsid w:val="274E7F46"/>
    <w:rsid w:val="274F0899"/>
    <w:rsid w:val="274F2647"/>
    <w:rsid w:val="274F3A6A"/>
    <w:rsid w:val="274F6A87"/>
    <w:rsid w:val="2750140C"/>
    <w:rsid w:val="27502694"/>
    <w:rsid w:val="27503340"/>
    <w:rsid w:val="2751016E"/>
    <w:rsid w:val="27512402"/>
    <w:rsid w:val="27515B14"/>
    <w:rsid w:val="2752212D"/>
    <w:rsid w:val="2753038A"/>
    <w:rsid w:val="27532138"/>
    <w:rsid w:val="2753659C"/>
    <w:rsid w:val="27536AE7"/>
    <w:rsid w:val="2753702D"/>
    <w:rsid w:val="275413E1"/>
    <w:rsid w:val="27541A0C"/>
    <w:rsid w:val="27545EB0"/>
    <w:rsid w:val="27547A2C"/>
    <w:rsid w:val="27554102"/>
    <w:rsid w:val="275565A8"/>
    <w:rsid w:val="2756033A"/>
    <w:rsid w:val="275615A4"/>
    <w:rsid w:val="27561C28"/>
    <w:rsid w:val="27564F1D"/>
    <w:rsid w:val="27565BD3"/>
    <w:rsid w:val="2756665E"/>
    <w:rsid w:val="27567236"/>
    <w:rsid w:val="275763AD"/>
    <w:rsid w:val="2758671C"/>
    <w:rsid w:val="2759240E"/>
    <w:rsid w:val="27595274"/>
    <w:rsid w:val="275A068B"/>
    <w:rsid w:val="275A1718"/>
    <w:rsid w:val="275A34C6"/>
    <w:rsid w:val="275A5F54"/>
    <w:rsid w:val="275A5F6A"/>
    <w:rsid w:val="275B0FEC"/>
    <w:rsid w:val="275B3DBD"/>
    <w:rsid w:val="275B78FF"/>
    <w:rsid w:val="275C0D8F"/>
    <w:rsid w:val="275D2FB6"/>
    <w:rsid w:val="275D6B12"/>
    <w:rsid w:val="275E0050"/>
    <w:rsid w:val="275E17B6"/>
    <w:rsid w:val="275E25EC"/>
    <w:rsid w:val="275E288B"/>
    <w:rsid w:val="275E36AF"/>
    <w:rsid w:val="275E5052"/>
    <w:rsid w:val="275E645E"/>
    <w:rsid w:val="275E6CDC"/>
    <w:rsid w:val="275E7934"/>
    <w:rsid w:val="275F0ADD"/>
    <w:rsid w:val="275F6D2E"/>
    <w:rsid w:val="275F73A9"/>
    <w:rsid w:val="27600B19"/>
    <w:rsid w:val="27602478"/>
    <w:rsid w:val="27602AA7"/>
    <w:rsid w:val="27606603"/>
    <w:rsid w:val="27610BA0"/>
    <w:rsid w:val="2761249D"/>
    <w:rsid w:val="27613771"/>
    <w:rsid w:val="276151E9"/>
    <w:rsid w:val="27617291"/>
    <w:rsid w:val="276205CD"/>
    <w:rsid w:val="2762237B"/>
    <w:rsid w:val="27624C01"/>
    <w:rsid w:val="276271E1"/>
    <w:rsid w:val="276306C1"/>
    <w:rsid w:val="2763275B"/>
    <w:rsid w:val="27634AAD"/>
    <w:rsid w:val="27640C62"/>
    <w:rsid w:val="27641721"/>
    <w:rsid w:val="276460F3"/>
    <w:rsid w:val="27651E6B"/>
    <w:rsid w:val="27653582"/>
    <w:rsid w:val="27653C19"/>
    <w:rsid w:val="27654C47"/>
    <w:rsid w:val="27660DF3"/>
    <w:rsid w:val="27663AD0"/>
    <w:rsid w:val="27664A12"/>
    <w:rsid w:val="2767173F"/>
    <w:rsid w:val="27672245"/>
    <w:rsid w:val="27675BE3"/>
    <w:rsid w:val="27677991"/>
    <w:rsid w:val="27677D87"/>
    <w:rsid w:val="27683E91"/>
    <w:rsid w:val="27684CB5"/>
    <w:rsid w:val="276866C1"/>
    <w:rsid w:val="27686B38"/>
    <w:rsid w:val="27687332"/>
    <w:rsid w:val="27687F75"/>
    <w:rsid w:val="27691F03"/>
    <w:rsid w:val="2769342A"/>
    <w:rsid w:val="27693709"/>
    <w:rsid w:val="276958A3"/>
    <w:rsid w:val="276A00DF"/>
    <w:rsid w:val="276A0682"/>
    <w:rsid w:val="276A122F"/>
    <w:rsid w:val="276B4995"/>
    <w:rsid w:val="276B56D3"/>
    <w:rsid w:val="276C1440"/>
    <w:rsid w:val="276C4FA7"/>
    <w:rsid w:val="276D133B"/>
    <w:rsid w:val="276D1AA8"/>
    <w:rsid w:val="276D58B8"/>
    <w:rsid w:val="276D762A"/>
    <w:rsid w:val="276D7D75"/>
    <w:rsid w:val="276E0D20"/>
    <w:rsid w:val="276E1EFB"/>
    <w:rsid w:val="276E2ACE"/>
    <w:rsid w:val="276E51C4"/>
    <w:rsid w:val="276F0E52"/>
    <w:rsid w:val="276F67AE"/>
    <w:rsid w:val="27702CEA"/>
    <w:rsid w:val="277057A2"/>
    <w:rsid w:val="27705C24"/>
    <w:rsid w:val="277103FE"/>
    <w:rsid w:val="27713266"/>
    <w:rsid w:val="27716A62"/>
    <w:rsid w:val="27717B18"/>
    <w:rsid w:val="27722EB9"/>
    <w:rsid w:val="27723DF2"/>
    <w:rsid w:val="2772576F"/>
    <w:rsid w:val="27732BED"/>
    <w:rsid w:val="27734588"/>
    <w:rsid w:val="27741BE7"/>
    <w:rsid w:val="277420AE"/>
    <w:rsid w:val="27742132"/>
    <w:rsid w:val="27742350"/>
    <w:rsid w:val="27746A96"/>
    <w:rsid w:val="27750300"/>
    <w:rsid w:val="27761936"/>
    <w:rsid w:val="27762352"/>
    <w:rsid w:val="27765E26"/>
    <w:rsid w:val="27767BD4"/>
    <w:rsid w:val="2777328D"/>
    <w:rsid w:val="27783572"/>
    <w:rsid w:val="2778394C"/>
    <w:rsid w:val="2778678D"/>
    <w:rsid w:val="27787DF0"/>
    <w:rsid w:val="277902B7"/>
    <w:rsid w:val="27790C9C"/>
    <w:rsid w:val="27793942"/>
    <w:rsid w:val="277976C4"/>
    <w:rsid w:val="277A0E4F"/>
    <w:rsid w:val="277A2E88"/>
    <w:rsid w:val="277A343F"/>
    <w:rsid w:val="277A46D2"/>
    <w:rsid w:val="277A5916"/>
    <w:rsid w:val="277B168E"/>
    <w:rsid w:val="277B343D"/>
    <w:rsid w:val="277B51EB"/>
    <w:rsid w:val="277C031A"/>
    <w:rsid w:val="277C0379"/>
    <w:rsid w:val="277C287E"/>
    <w:rsid w:val="277C4693"/>
    <w:rsid w:val="277D0F63"/>
    <w:rsid w:val="277D1809"/>
    <w:rsid w:val="277D3B95"/>
    <w:rsid w:val="277D3D7A"/>
    <w:rsid w:val="277D5634"/>
    <w:rsid w:val="277D642C"/>
    <w:rsid w:val="277E2C99"/>
    <w:rsid w:val="277E34DF"/>
    <w:rsid w:val="277E586A"/>
    <w:rsid w:val="277F0B43"/>
    <w:rsid w:val="277F117F"/>
    <w:rsid w:val="277F4CDB"/>
    <w:rsid w:val="277F60B6"/>
    <w:rsid w:val="27800A53"/>
    <w:rsid w:val="27802801"/>
    <w:rsid w:val="27802FBD"/>
    <w:rsid w:val="278059B9"/>
    <w:rsid w:val="27806CA5"/>
    <w:rsid w:val="27814EF7"/>
    <w:rsid w:val="27816B59"/>
    <w:rsid w:val="27822A1D"/>
    <w:rsid w:val="278241EB"/>
    <w:rsid w:val="278247CB"/>
    <w:rsid w:val="278249CC"/>
    <w:rsid w:val="27826EE1"/>
    <w:rsid w:val="278279C2"/>
    <w:rsid w:val="2783100A"/>
    <w:rsid w:val="27833F3A"/>
    <w:rsid w:val="2783664C"/>
    <w:rsid w:val="27840543"/>
    <w:rsid w:val="278422F1"/>
    <w:rsid w:val="27845C34"/>
    <w:rsid w:val="27846879"/>
    <w:rsid w:val="278542BB"/>
    <w:rsid w:val="27856069"/>
    <w:rsid w:val="27856565"/>
    <w:rsid w:val="278570CA"/>
    <w:rsid w:val="27857AA9"/>
    <w:rsid w:val="2786250D"/>
    <w:rsid w:val="27865F67"/>
    <w:rsid w:val="27867DA4"/>
    <w:rsid w:val="27871DE1"/>
    <w:rsid w:val="27875B71"/>
    <w:rsid w:val="278771B5"/>
    <w:rsid w:val="278836B6"/>
    <w:rsid w:val="27886C6A"/>
    <w:rsid w:val="27886D08"/>
    <w:rsid w:val="278914ED"/>
    <w:rsid w:val="27897907"/>
    <w:rsid w:val="27897DAC"/>
    <w:rsid w:val="278A128A"/>
    <w:rsid w:val="278A18D2"/>
    <w:rsid w:val="278A3E0D"/>
    <w:rsid w:val="278A5DF7"/>
    <w:rsid w:val="278B1881"/>
    <w:rsid w:val="278B3A6A"/>
    <w:rsid w:val="278B3CFB"/>
    <w:rsid w:val="278B4BD4"/>
    <w:rsid w:val="278B5B7D"/>
    <w:rsid w:val="278B7FF6"/>
    <w:rsid w:val="278C389C"/>
    <w:rsid w:val="278C564A"/>
    <w:rsid w:val="278C672D"/>
    <w:rsid w:val="278C7A9D"/>
    <w:rsid w:val="278D00B1"/>
    <w:rsid w:val="278D12FE"/>
    <w:rsid w:val="278D269A"/>
    <w:rsid w:val="278D7BBD"/>
    <w:rsid w:val="278E17D2"/>
    <w:rsid w:val="278E3170"/>
    <w:rsid w:val="278E37C0"/>
    <w:rsid w:val="278E6955"/>
    <w:rsid w:val="278E7359"/>
    <w:rsid w:val="278F0C96"/>
    <w:rsid w:val="278F29AD"/>
    <w:rsid w:val="278F3C1E"/>
    <w:rsid w:val="278F6A47"/>
    <w:rsid w:val="27906EE8"/>
    <w:rsid w:val="2791110F"/>
    <w:rsid w:val="2791133C"/>
    <w:rsid w:val="2791133F"/>
    <w:rsid w:val="27912118"/>
    <w:rsid w:val="27914E30"/>
    <w:rsid w:val="279215BA"/>
    <w:rsid w:val="279222E6"/>
    <w:rsid w:val="2792259F"/>
    <w:rsid w:val="27930786"/>
    <w:rsid w:val="27934C2A"/>
    <w:rsid w:val="2793660C"/>
    <w:rsid w:val="279369D8"/>
    <w:rsid w:val="27941FD7"/>
    <w:rsid w:val="27944EBF"/>
    <w:rsid w:val="27947449"/>
    <w:rsid w:val="27950717"/>
    <w:rsid w:val="27951673"/>
    <w:rsid w:val="27952750"/>
    <w:rsid w:val="279544FE"/>
    <w:rsid w:val="27955F6F"/>
    <w:rsid w:val="27960276"/>
    <w:rsid w:val="2796077F"/>
    <w:rsid w:val="27960F20"/>
    <w:rsid w:val="27962024"/>
    <w:rsid w:val="2796292E"/>
    <w:rsid w:val="27963632"/>
    <w:rsid w:val="27965D1C"/>
    <w:rsid w:val="27965F02"/>
    <w:rsid w:val="27965F66"/>
    <w:rsid w:val="27973758"/>
    <w:rsid w:val="27973840"/>
    <w:rsid w:val="27982240"/>
    <w:rsid w:val="27985494"/>
    <w:rsid w:val="279938C3"/>
    <w:rsid w:val="279976E6"/>
    <w:rsid w:val="279978A1"/>
    <w:rsid w:val="279A0D31"/>
    <w:rsid w:val="279A1B15"/>
    <w:rsid w:val="279A7D67"/>
    <w:rsid w:val="279B3ADF"/>
    <w:rsid w:val="279B763B"/>
    <w:rsid w:val="279C3849"/>
    <w:rsid w:val="279C6222"/>
    <w:rsid w:val="279D1605"/>
    <w:rsid w:val="279D33B3"/>
    <w:rsid w:val="279D5697"/>
    <w:rsid w:val="279D572E"/>
    <w:rsid w:val="279D6C0C"/>
    <w:rsid w:val="279E0B42"/>
    <w:rsid w:val="279E0EF6"/>
    <w:rsid w:val="279E4117"/>
    <w:rsid w:val="279F537D"/>
    <w:rsid w:val="279F5E5B"/>
    <w:rsid w:val="279F7950"/>
    <w:rsid w:val="27A03FA9"/>
    <w:rsid w:val="27A04C51"/>
    <w:rsid w:val="27A12A4E"/>
    <w:rsid w:val="27A16033"/>
    <w:rsid w:val="27A2004A"/>
    <w:rsid w:val="27A204A5"/>
    <w:rsid w:val="27A209C9"/>
    <w:rsid w:val="27A225A9"/>
    <w:rsid w:val="27A24A1A"/>
    <w:rsid w:val="27A24C5F"/>
    <w:rsid w:val="27A24E6D"/>
    <w:rsid w:val="27A26C1B"/>
    <w:rsid w:val="27A333B8"/>
    <w:rsid w:val="27A33524"/>
    <w:rsid w:val="27A368E1"/>
    <w:rsid w:val="27A40BE5"/>
    <w:rsid w:val="27A42993"/>
    <w:rsid w:val="27A44741"/>
    <w:rsid w:val="27A449B4"/>
    <w:rsid w:val="27A504B9"/>
    <w:rsid w:val="27A52D5C"/>
    <w:rsid w:val="27A542E7"/>
    <w:rsid w:val="27A55E44"/>
    <w:rsid w:val="27A566A2"/>
    <w:rsid w:val="27A62C49"/>
    <w:rsid w:val="27A6495D"/>
    <w:rsid w:val="27A65834"/>
    <w:rsid w:val="27A6670B"/>
    <w:rsid w:val="27A74232"/>
    <w:rsid w:val="27A7575A"/>
    <w:rsid w:val="27A757D7"/>
    <w:rsid w:val="27A77EBF"/>
    <w:rsid w:val="27A85789"/>
    <w:rsid w:val="27A85F06"/>
    <w:rsid w:val="27A91D58"/>
    <w:rsid w:val="27A95F90"/>
    <w:rsid w:val="27A97FAA"/>
    <w:rsid w:val="27AA0374"/>
    <w:rsid w:val="27AA0826"/>
    <w:rsid w:val="27AA20E3"/>
    <w:rsid w:val="27AA5AD0"/>
    <w:rsid w:val="27AB0BD5"/>
    <w:rsid w:val="27AB1F74"/>
    <w:rsid w:val="27AB2135"/>
    <w:rsid w:val="27AB3482"/>
    <w:rsid w:val="27AB53B3"/>
    <w:rsid w:val="27AC0A32"/>
    <w:rsid w:val="27AC3146"/>
    <w:rsid w:val="27AC35F6"/>
    <w:rsid w:val="27AC5565"/>
    <w:rsid w:val="27AC5CEC"/>
    <w:rsid w:val="27AC5D68"/>
    <w:rsid w:val="27AC7A9A"/>
    <w:rsid w:val="27AD5B98"/>
    <w:rsid w:val="27AE0637"/>
    <w:rsid w:val="27AE2EFD"/>
    <w:rsid w:val="27AE736E"/>
    <w:rsid w:val="27AF14F6"/>
    <w:rsid w:val="27AF30E6"/>
    <w:rsid w:val="27B00138"/>
    <w:rsid w:val="27B02287"/>
    <w:rsid w:val="27B04BAD"/>
    <w:rsid w:val="27B06C0A"/>
    <w:rsid w:val="27B106F9"/>
    <w:rsid w:val="27B117B5"/>
    <w:rsid w:val="27B150B0"/>
    <w:rsid w:val="27B16E5E"/>
    <w:rsid w:val="27B23302"/>
    <w:rsid w:val="27B272D3"/>
    <w:rsid w:val="27B27EB9"/>
    <w:rsid w:val="27B30E28"/>
    <w:rsid w:val="27B318D8"/>
    <w:rsid w:val="27B32BD6"/>
    <w:rsid w:val="27B33019"/>
    <w:rsid w:val="27B46111"/>
    <w:rsid w:val="27B506FD"/>
    <w:rsid w:val="27B54495"/>
    <w:rsid w:val="27B554D8"/>
    <w:rsid w:val="27B55939"/>
    <w:rsid w:val="27B5694E"/>
    <w:rsid w:val="27B57895"/>
    <w:rsid w:val="27B63751"/>
    <w:rsid w:val="27B64420"/>
    <w:rsid w:val="27B64475"/>
    <w:rsid w:val="27B66415"/>
    <w:rsid w:val="27B66DC9"/>
    <w:rsid w:val="27B674D4"/>
    <w:rsid w:val="27B70259"/>
    <w:rsid w:val="27B72E2A"/>
    <w:rsid w:val="27B74448"/>
    <w:rsid w:val="27B75C48"/>
    <w:rsid w:val="27B842BA"/>
    <w:rsid w:val="27B8643F"/>
    <w:rsid w:val="27B9274C"/>
    <w:rsid w:val="27B92D35"/>
    <w:rsid w:val="27B9780F"/>
    <w:rsid w:val="27BA031B"/>
    <w:rsid w:val="27BA1113"/>
    <w:rsid w:val="27BA21B7"/>
    <w:rsid w:val="27BA3129"/>
    <w:rsid w:val="27BA3F65"/>
    <w:rsid w:val="27BB17AB"/>
    <w:rsid w:val="27BB1A8B"/>
    <w:rsid w:val="27BB437C"/>
    <w:rsid w:val="27BB7CDD"/>
    <w:rsid w:val="27BC1E12"/>
    <w:rsid w:val="27BC4EFE"/>
    <w:rsid w:val="27BC56B8"/>
    <w:rsid w:val="27BC5F2F"/>
    <w:rsid w:val="27BD1CA7"/>
    <w:rsid w:val="27BD3A55"/>
    <w:rsid w:val="27BD54AB"/>
    <w:rsid w:val="27BD555B"/>
    <w:rsid w:val="27BD5B9A"/>
    <w:rsid w:val="27BE012C"/>
    <w:rsid w:val="27BE44A2"/>
    <w:rsid w:val="27BE54B5"/>
    <w:rsid w:val="27BF157B"/>
    <w:rsid w:val="27BF1727"/>
    <w:rsid w:val="27BF2EBD"/>
    <w:rsid w:val="27BF3329"/>
    <w:rsid w:val="27BF39A6"/>
    <w:rsid w:val="27BF418D"/>
    <w:rsid w:val="27BF5A1F"/>
    <w:rsid w:val="27BF61E6"/>
    <w:rsid w:val="27BF7650"/>
    <w:rsid w:val="27C024E0"/>
    <w:rsid w:val="27C02691"/>
    <w:rsid w:val="27C029D3"/>
    <w:rsid w:val="27C02A4C"/>
    <w:rsid w:val="27C04855"/>
    <w:rsid w:val="27C052A1"/>
    <w:rsid w:val="27C070A1"/>
    <w:rsid w:val="27C11BF5"/>
    <w:rsid w:val="27C20411"/>
    <w:rsid w:val="27C2106B"/>
    <w:rsid w:val="27C272BD"/>
    <w:rsid w:val="27C32B0E"/>
    <w:rsid w:val="27C4285D"/>
    <w:rsid w:val="27C431C2"/>
    <w:rsid w:val="27C43F9E"/>
    <w:rsid w:val="27C44DE4"/>
    <w:rsid w:val="27C546B8"/>
    <w:rsid w:val="27C5542E"/>
    <w:rsid w:val="27C6148F"/>
    <w:rsid w:val="27C6290A"/>
    <w:rsid w:val="27C70430"/>
    <w:rsid w:val="27C711DE"/>
    <w:rsid w:val="27C740B3"/>
    <w:rsid w:val="27C748D4"/>
    <w:rsid w:val="27C762F0"/>
    <w:rsid w:val="27C76682"/>
    <w:rsid w:val="27C83DAE"/>
    <w:rsid w:val="27C85E49"/>
    <w:rsid w:val="27C8657A"/>
    <w:rsid w:val="27C90592"/>
    <w:rsid w:val="27C923FA"/>
    <w:rsid w:val="27C949E5"/>
    <w:rsid w:val="27C962A2"/>
    <w:rsid w:val="27C96838"/>
    <w:rsid w:val="27CA2A7A"/>
    <w:rsid w:val="27CA4388"/>
    <w:rsid w:val="27CA68EB"/>
    <w:rsid w:val="27CA7D40"/>
    <w:rsid w:val="27CB1D31"/>
    <w:rsid w:val="27CB6172"/>
    <w:rsid w:val="27CB625A"/>
    <w:rsid w:val="27CB7F77"/>
    <w:rsid w:val="27CC1EEA"/>
    <w:rsid w:val="27CC3BC0"/>
    <w:rsid w:val="27CC5A46"/>
    <w:rsid w:val="27CC767A"/>
    <w:rsid w:val="27CD2F42"/>
    <w:rsid w:val="27CD5B10"/>
    <w:rsid w:val="27CE077E"/>
    <w:rsid w:val="27CE1238"/>
    <w:rsid w:val="27CE17BE"/>
    <w:rsid w:val="27CE7A10"/>
    <w:rsid w:val="27CF4632"/>
    <w:rsid w:val="27CF7E28"/>
    <w:rsid w:val="27D112AE"/>
    <w:rsid w:val="27D16D7A"/>
    <w:rsid w:val="27D17500"/>
    <w:rsid w:val="27D21EB6"/>
    <w:rsid w:val="27D23E71"/>
    <w:rsid w:val="27D2491A"/>
    <w:rsid w:val="27D33279"/>
    <w:rsid w:val="27D35027"/>
    <w:rsid w:val="27D37E16"/>
    <w:rsid w:val="27D4269A"/>
    <w:rsid w:val="27D46175"/>
    <w:rsid w:val="27D50D9F"/>
    <w:rsid w:val="27D52B4D"/>
    <w:rsid w:val="27D537E2"/>
    <w:rsid w:val="27D53B9D"/>
    <w:rsid w:val="27D56FF1"/>
    <w:rsid w:val="27D57C1F"/>
    <w:rsid w:val="27D62829"/>
    <w:rsid w:val="27D663B3"/>
    <w:rsid w:val="27D668C5"/>
    <w:rsid w:val="27D66E7A"/>
    <w:rsid w:val="27D67551"/>
    <w:rsid w:val="27D8088F"/>
    <w:rsid w:val="27D838A4"/>
    <w:rsid w:val="27D843EB"/>
    <w:rsid w:val="27D86AE1"/>
    <w:rsid w:val="27D91D13"/>
    <w:rsid w:val="27DA0C79"/>
    <w:rsid w:val="27DA0D95"/>
    <w:rsid w:val="27DA2094"/>
    <w:rsid w:val="27DA2487"/>
    <w:rsid w:val="27DA25D3"/>
    <w:rsid w:val="27DA61C4"/>
    <w:rsid w:val="27DB2225"/>
    <w:rsid w:val="27DB3DFD"/>
    <w:rsid w:val="27DC037F"/>
    <w:rsid w:val="27DC0AE4"/>
    <w:rsid w:val="27DC212D"/>
    <w:rsid w:val="27DD40F7"/>
    <w:rsid w:val="27DD5EA5"/>
    <w:rsid w:val="27DD7C53"/>
    <w:rsid w:val="27DE362C"/>
    <w:rsid w:val="27DE42AF"/>
    <w:rsid w:val="27DF0CDB"/>
    <w:rsid w:val="27DF1C1D"/>
    <w:rsid w:val="27DF22F9"/>
    <w:rsid w:val="27DF46C2"/>
    <w:rsid w:val="27DF5171"/>
    <w:rsid w:val="27DF5779"/>
    <w:rsid w:val="27DF7465"/>
    <w:rsid w:val="27E0541B"/>
    <w:rsid w:val="27E06749"/>
    <w:rsid w:val="27E1023C"/>
    <w:rsid w:val="27E15995"/>
    <w:rsid w:val="27E16DD7"/>
    <w:rsid w:val="27E21D04"/>
    <w:rsid w:val="27E224E8"/>
    <w:rsid w:val="27E22755"/>
    <w:rsid w:val="27E3072A"/>
    <w:rsid w:val="27E34C79"/>
    <w:rsid w:val="27E36534"/>
    <w:rsid w:val="27E40FE2"/>
    <w:rsid w:val="27E41E47"/>
    <w:rsid w:val="27E43141"/>
    <w:rsid w:val="27E43E92"/>
    <w:rsid w:val="27E47234"/>
    <w:rsid w:val="27E50525"/>
    <w:rsid w:val="27E52BFD"/>
    <w:rsid w:val="27E5301B"/>
    <w:rsid w:val="27E535C9"/>
    <w:rsid w:val="27E560B8"/>
    <w:rsid w:val="27E56B08"/>
    <w:rsid w:val="27E616FD"/>
    <w:rsid w:val="27E62FAC"/>
    <w:rsid w:val="27E67338"/>
    <w:rsid w:val="27E7002E"/>
    <w:rsid w:val="27E700DE"/>
    <w:rsid w:val="27E72880"/>
    <w:rsid w:val="27E81187"/>
    <w:rsid w:val="27E81C58"/>
    <w:rsid w:val="27E92DC7"/>
    <w:rsid w:val="27E937A0"/>
    <w:rsid w:val="27E9484A"/>
    <w:rsid w:val="27E9580F"/>
    <w:rsid w:val="27E96E49"/>
    <w:rsid w:val="27E979DF"/>
    <w:rsid w:val="27EA20ED"/>
    <w:rsid w:val="27EA373C"/>
    <w:rsid w:val="27EA3965"/>
    <w:rsid w:val="27EA5CB9"/>
    <w:rsid w:val="27EB1EB1"/>
    <w:rsid w:val="27EB3867"/>
    <w:rsid w:val="27EB3C35"/>
    <w:rsid w:val="27EB3D33"/>
    <w:rsid w:val="27EC5D72"/>
    <w:rsid w:val="27EC60E8"/>
    <w:rsid w:val="27ED10C0"/>
    <w:rsid w:val="27ED1A69"/>
    <w:rsid w:val="27ED356A"/>
    <w:rsid w:val="27EE00B2"/>
    <w:rsid w:val="27EE1E60"/>
    <w:rsid w:val="27EE292F"/>
    <w:rsid w:val="27EE2F27"/>
    <w:rsid w:val="27EE32ED"/>
    <w:rsid w:val="27EF4262"/>
    <w:rsid w:val="27EF6F53"/>
    <w:rsid w:val="27F0004A"/>
    <w:rsid w:val="27F003EA"/>
    <w:rsid w:val="27F029D2"/>
    <w:rsid w:val="27F03E2A"/>
    <w:rsid w:val="27F0531A"/>
    <w:rsid w:val="27F05BD9"/>
    <w:rsid w:val="27F060A7"/>
    <w:rsid w:val="27F06139"/>
    <w:rsid w:val="27F063B2"/>
    <w:rsid w:val="27F07987"/>
    <w:rsid w:val="27F12038"/>
    <w:rsid w:val="27F12FBB"/>
    <w:rsid w:val="27F136FF"/>
    <w:rsid w:val="27F154AD"/>
    <w:rsid w:val="27F16796"/>
    <w:rsid w:val="27F2194B"/>
    <w:rsid w:val="27F21951"/>
    <w:rsid w:val="27F258DB"/>
    <w:rsid w:val="27F304AC"/>
    <w:rsid w:val="27F31225"/>
    <w:rsid w:val="27F33D12"/>
    <w:rsid w:val="27F356C9"/>
    <w:rsid w:val="27F35747"/>
    <w:rsid w:val="27F37477"/>
    <w:rsid w:val="27F37A0B"/>
    <w:rsid w:val="27F42ED2"/>
    <w:rsid w:val="27F51029"/>
    <w:rsid w:val="27F51441"/>
    <w:rsid w:val="27F5599D"/>
    <w:rsid w:val="27F56217"/>
    <w:rsid w:val="27F60549"/>
    <w:rsid w:val="27F625BE"/>
    <w:rsid w:val="27F6425C"/>
    <w:rsid w:val="27F66E2D"/>
    <w:rsid w:val="27F70690"/>
    <w:rsid w:val="27F80E76"/>
    <w:rsid w:val="27F8174D"/>
    <w:rsid w:val="27F82CDF"/>
    <w:rsid w:val="27F865D1"/>
    <w:rsid w:val="27F90EE9"/>
    <w:rsid w:val="27F9431E"/>
    <w:rsid w:val="27FA2222"/>
    <w:rsid w:val="27FA25B3"/>
    <w:rsid w:val="27FA406D"/>
    <w:rsid w:val="27FA57AE"/>
    <w:rsid w:val="27FA69FC"/>
    <w:rsid w:val="27FA6A57"/>
    <w:rsid w:val="27FA7E2E"/>
    <w:rsid w:val="27FB2FD8"/>
    <w:rsid w:val="27FC27CF"/>
    <w:rsid w:val="27FC2C9F"/>
    <w:rsid w:val="27FC457D"/>
    <w:rsid w:val="27FD02F5"/>
    <w:rsid w:val="27FD20A3"/>
    <w:rsid w:val="27FD29EE"/>
    <w:rsid w:val="27FE26B6"/>
    <w:rsid w:val="27FE5176"/>
    <w:rsid w:val="27FE55BF"/>
    <w:rsid w:val="27FE6262"/>
    <w:rsid w:val="27FE6547"/>
    <w:rsid w:val="27FF406E"/>
    <w:rsid w:val="27FF5E1C"/>
    <w:rsid w:val="27FF6A4F"/>
    <w:rsid w:val="28003B35"/>
    <w:rsid w:val="28007EDF"/>
    <w:rsid w:val="28013942"/>
    <w:rsid w:val="28013F40"/>
    <w:rsid w:val="28017DE6"/>
    <w:rsid w:val="28020BCC"/>
    <w:rsid w:val="2802590C"/>
    <w:rsid w:val="280276BA"/>
    <w:rsid w:val="28030DB3"/>
    <w:rsid w:val="28031A1A"/>
    <w:rsid w:val="28033B5E"/>
    <w:rsid w:val="280358E7"/>
    <w:rsid w:val="28040C42"/>
    <w:rsid w:val="28041431"/>
    <w:rsid w:val="28041684"/>
    <w:rsid w:val="280451E0"/>
    <w:rsid w:val="280478D6"/>
    <w:rsid w:val="28047CF0"/>
    <w:rsid w:val="280528C1"/>
    <w:rsid w:val="28060F58"/>
    <w:rsid w:val="28063AC5"/>
    <w:rsid w:val="280653FC"/>
    <w:rsid w:val="280671AA"/>
    <w:rsid w:val="28074CD0"/>
    <w:rsid w:val="2807533B"/>
    <w:rsid w:val="28087115"/>
    <w:rsid w:val="28087C7A"/>
    <w:rsid w:val="28090A10"/>
    <w:rsid w:val="28091FD9"/>
    <w:rsid w:val="28094EEC"/>
    <w:rsid w:val="28096839"/>
    <w:rsid w:val="280A2717"/>
    <w:rsid w:val="280A3AC2"/>
    <w:rsid w:val="280B1A43"/>
    <w:rsid w:val="280B3E0E"/>
    <w:rsid w:val="280B47C0"/>
    <w:rsid w:val="280B4FF2"/>
    <w:rsid w:val="280B552E"/>
    <w:rsid w:val="280B656E"/>
    <w:rsid w:val="280C1053"/>
    <w:rsid w:val="280C22E7"/>
    <w:rsid w:val="280C6C87"/>
    <w:rsid w:val="280D0539"/>
    <w:rsid w:val="280D086D"/>
    <w:rsid w:val="280D3C24"/>
    <w:rsid w:val="280D4E59"/>
    <w:rsid w:val="280D678A"/>
    <w:rsid w:val="280D6D1A"/>
    <w:rsid w:val="280E21B9"/>
    <w:rsid w:val="280E605F"/>
    <w:rsid w:val="280F3966"/>
    <w:rsid w:val="28100259"/>
    <w:rsid w:val="2810220D"/>
    <w:rsid w:val="281100C9"/>
    <w:rsid w:val="281105E0"/>
    <w:rsid w:val="281164E8"/>
    <w:rsid w:val="2811715A"/>
    <w:rsid w:val="281178FD"/>
    <w:rsid w:val="281222F4"/>
    <w:rsid w:val="2812499E"/>
    <w:rsid w:val="28125B4F"/>
    <w:rsid w:val="281318C7"/>
    <w:rsid w:val="28132A2F"/>
    <w:rsid w:val="28133675"/>
    <w:rsid w:val="28136355"/>
    <w:rsid w:val="281366CC"/>
    <w:rsid w:val="28137B19"/>
    <w:rsid w:val="28150D97"/>
    <w:rsid w:val="28153891"/>
    <w:rsid w:val="28153BB7"/>
    <w:rsid w:val="2815563F"/>
    <w:rsid w:val="281573ED"/>
    <w:rsid w:val="28163807"/>
    <w:rsid w:val="28163846"/>
    <w:rsid w:val="28163DF5"/>
    <w:rsid w:val="28164F13"/>
    <w:rsid w:val="2816568A"/>
    <w:rsid w:val="28165866"/>
    <w:rsid w:val="28165A3A"/>
    <w:rsid w:val="281713B7"/>
    <w:rsid w:val="2817406B"/>
    <w:rsid w:val="28174CD6"/>
    <w:rsid w:val="28175554"/>
    <w:rsid w:val="2817608F"/>
    <w:rsid w:val="28176D96"/>
    <w:rsid w:val="281778A7"/>
    <w:rsid w:val="28180C8B"/>
    <w:rsid w:val="28186EDD"/>
    <w:rsid w:val="28190206"/>
    <w:rsid w:val="281921C7"/>
    <w:rsid w:val="28193161"/>
    <w:rsid w:val="28193534"/>
    <w:rsid w:val="28194FE3"/>
    <w:rsid w:val="2819531E"/>
    <w:rsid w:val="281A0EA7"/>
    <w:rsid w:val="281A1D73"/>
    <w:rsid w:val="281A23E5"/>
    <w:rsid w:val="281A2C55"/>
    <w:rsid w:val="281A4FAF"/>
    <w:rsid w:val="281A6151"/>
    <w:rsid w:val="281A6A21"/>
    <w:rsid w:val="281B4AE7"/>
    <w:rsid w:val="281B4BF6"/>
    <w:rsid w:val="281B76B8"/>
    <w:rsid w:val="281B7D8D"/>
    <w:rsid w:val="281C077C"/>
    <w:rsid w:val="281D134A"/>
    <w:rsid w:val="281D44F4"/>
    <w:rsid w:val="281D48F8"/>
    <w:rsid w:val="281D62A2"/>
    <w:rsid w:val="281D646A"/>
    <w:rsid w:val="281D670A"/>
    <w:rsid w:val="281D7469"/>
    <w:rsid w:val="281E1EFD"/>
    <w:rsid w:val="281E2746"/>
    <w:rsid w:val="281E3468"/>
    <w:rsid w:val="281F026C"/>
    <w:rsid w:val="281F201A"/>
    <w:rsid w:val="281F29D4"/>
    <w:rsid w:val="281F6039"/>
    <w:rsid w:val="281F64BE"/>
    <w:rsid w:val="28201F93"/>
    <w:rsid w:val="282074C9"/>
    <w:rsid w:val="28211030"/>
    <w:rsid w:val="28212236"/>
    <w:rsid w:val="28213FE4"/>
    <w:rsid w:val="28214BB3"/>
    <w:rsid w:val="28215D92"/>
    <w:rsid w:val="28221B0A"/>
    <w:rsid w:val="2822453E"/>
    <w:rsid w:val="282274AB"/>
    <w:rsid w:val="28231668"/>
    <w:rsid w:val="28235FAE"/>
    <w:rsid w:val="28237D5C"/>
    <w:rsid w:val="2824095C"/>
    <w:rsid w:val="28245671"/>
    <w:rsid w:val="28245882"/>
    <w:rsid w:val="282510AF"/>
    <w:rsid w:val="282615FA"/>
    <w:rsid w:val="28262168"/>
    <w:rsid w:val="2826333B"/>
    <w:rsid w:val="28265E89"/>
    <w:rsid w:val="282664DB"/>
    <w:rsid w:val="2826784C"/>
    <w:rsid w:val="2827547F"/>
    <w:rsid w:val="28275C5B"/>
    <w:rsid w:val="28277120"/>
    <w:rsid w:val="282806A6"/>
    <w:rsid w:val="28285372"/>
    <w:rsid w:val="2829057B"/>
    <w:rsid w:val="282910EA"/>
    <w:rsid w:val="28292E99"/>
    <w:rsid w:val="28293E11"/>
    <w:rsid w:val="2829459A"/>
    <w:rsid w:val="28294ECF"/>
    <w:rsid w:val="2829733C"/>
    <w:rsid w:val="28297418"/>
    <w:rsid w:val="282A314C"/>
    <w:rsid w:val="282B02EF"/>
    <w:rsid w:val="282B09BF"/>
    <w:rsid w:val="282B4ECE"/>
    <w:rsid w:val="282B60FE"/>
    <w:rsid w:val="282B71AD"/>
    <w:rsid w:val="282C063D"/>
    <w:rsid w:val="282C4737"/>
    <w:rsid w:val="282D1903"/>
    <w:rsid w:val="282D2989"/>
    <w:rsid w:val="282D6669"/>
    <w:rsid w:val="282D6EFC"/>
    <w:rsid w:val="282E038C"/>
    <w:rsid w:val="282E23A7"/>
    <w:rsid w:val="282E32AE"/>
    <w:rsid w:val="282E58D8"/>
    <w:rsid w:val="282E6701"/>
    <w:rsid w:val="282F03AE"/>
    <w:rsid w:val="282F262F"/>
    <w:rsid w:val="282F4953"/>
    <w:rsid w:val="282F7520"/>
    <w:rsid w:val="283006CB"/>
    <w:rsid w:val="28302479"/>
    <w:rsid w:val="28302CEE"/>
    <w:rsid w:val="28304227"/>
    <w:rsid w:val="28305FD5"/>
    <w:rsid w:val="28306FBE"/>
    <w:rsid w:val="283118DE"/>
    <w:rsid w:val="283145AB"/>
    <w:rsid w:val="28316D0D"/>
    <w:rsid w:val="283175E3"/>
    <w:rsid w:val="283202A1"/>
    <w:rsid w:val="28322D6E"/>
    <w:rsid w:val="28326600"/>
    <w:rsid w:val="28327F9F"/>
    <w:rsid w:val="28335AC5"/>
    <w:rsid w:val="28337663"/>
    <w:rsid w:val="2834103C"/>
    <w:rsid w:val="28341F69"/>
    <w:rsid w:val="28342D95"/>
    <w:rsid w:val="283462BA"/>
    <w:rsid w:val="28346DCF"/>
    <w:rsid w:val="283501E0"/>
    <w:rsid w:val="2835183D"/>
    <w:rsid w:val="28361039"/>
    <w:rsid w:val="2837045C"/>
    <w:rsid w:val="28372B7F"/>
    <w:rsid w:val="283755B5"/>
    <w:rsid w:val="28377363"/>
    <w:rsid w:val="283774EF"/>
    <w:rsid w:val="283830DC"/>
    <w:rsid w:val="283841C0"/>
    <w:rsid w:val="28390070"/>
    <w:rsid w:val="2839094D"/>
    <w:rsid w:val="2839289C"/>
    <w:rsid w:val="28392B55"/>
    <w:rsid w:val="28397580"/>
    <w:rsid w:val="283A32F8"/>
    <w:rsid w:val="283A38E3"/>
    <w:rsid w:val="283A50A6"/>
    <w:rsid w:val="283A6E54"/>
    <w:rsid w:val="283B23AC"/>
    <w:rsid w:val="283B7736"/>
    <w:rsid w:val="283C0132"/>
    <w:rsid w:val="283C193C"/>
    <w:rsid w:val="283C5561"/>
    <w:rsid w:val="283C5EAB"/>
    <w:rsid w:val="283C5EF6"/>
    <w:rsid w:val="283C7070"/>
    <w:rsid w:val="283D06F2"/>
    <w:rsid w:val="283D461F"/>
    <w:rsid w:val="283D64A2"/>
    <w:rsid w:val="283D6944"/>
    <w:rsid w:val="283D69F1"/>
    <w:rsid w:val="283E3295"/>
    <w:rsid w:val="283E4B96"/>
    <w:rsid w:val="283E5541"/>
    <w:rsid w:val="283E5AA4"/>
    <w:rsid w:val="283F090E"/>
    <w:rsid w:val="283F26BC"/>
    <w:rsid w:val="283F3EE2"/>
    <w:rsid w:val="28401E1B"/>
    <w:rsid w:val="28403D93"/>
    <w:rsid w:val="284101E2"/>
    <w:rsid w:val="284113D3"/>
    <w:rsid w:val="28414686"/>
    <w:rsid w:val="28414C4F"/>
    <w:rsid w:val="28416434"/>
    <w:rsid w:val="28416802"/>
    <w:rsid w:val="284169E9"/>
    <w:rsid w:val="284200F9"/>
    <w:rsid w:val="28422863"/>
    <w:rsid w:val="28422ADB"/>
    <w:rsid w:val="28424403"/>
    <w:rsid w:val="28425D08"/>
    <w:rsid w:val="284275D7"/>
    <w:rsid w:val="28431D02"/>
    <w:rsid w:val="284321AC"/>
    <w:rsid w:val="28433ECA"/>
    <w:rsid w:val="28435434"/>
    <w:rsid w:val="284361DD"/>
    <w:rsid w:val="28436980"/>
    <w:rsid w:val="2844042C"/>
    <w:rsid w:val="2846185C"/>
    <w:rsid w:val="28461C9C"/>
    <w:rsid w:val="28463A4A"/>
    <w:rsid w:val="284657F9"/>
    <w:rsid w:val="28466511"/>
    <w:rsid w:val="28467183"/>
    <w:rsid w:val="28472674"/>
    <w:rsid w:val="2848080D"/>
    <w:rsid w:val="28481571"/>
    <w:rsid w:val="28482873"/>
    <w:rsid w:val="28483B04"/>
    <w:rsid w:val="28485A15"/>
    <w:rsid w:val="284872D1"/>
    <w:rsid w:val="284877C3"/>
    <w:rsid w:val="28487D60"/>
    <w:rsid w:val="2849187A"/>
    <w:rsid w:val="28491FDC"/>
    <w:rsid w:val="2849353B"/>
    <w:rsid w:val="284952E9"/>
    <w:rsid w:val="28497097"/>
    <w:rsid w:val="284A0FF5"/>
    <w:rsid w:val="284A1C4B"/>
    <w:rsid w:val="284A27D5"/>
    <w:rsid w:val="284A31B1"/>
    <w:rsid w:val="284B0B33"/>
    <w:rsid w:val="284B1061"/>
    <w:rsid w:val="284B2E0F"/>
    <w:rsid w:val="284B3AE8"/>
    <w:rsid w:val="284C0E5C"/>
    <w:rsid w:val="284C5056"/>
    <w:rsid w:val="284C6B82"/>
    <w:rsid w:val="284C6EDE"/>
    <w:rsid w:val="284D302B"/>
    <w:rsid w:val="284E0B51"/>
    <w:rsid w:val="284E12DA"/>
    <w:rsid w:val="284E149B"/>
    <w:rsid w:val="284E28FF"/>
    <w:rsid w:val="284F03E8"/>
    <w:rsid w:val="284F3202"/>
    <w:rsid w:val="28502D5B"/>
    <w:rsid w:val="285032DC"/>
    <w:rsid w:val="28506677"/>
    <w:rsid w:val="285120CB"/>
    <w:rsid w:val="2851265D"/>
    <w:rsid w:val="2851780C"/>
    <w:rsid w:val="28520231"/>
    <w:rsid w:val="28520A01"/>
    <w:rsid w:val="285223EF"/>
    <w:rsid w:val="2852419D"/>
    <w:rsid w:val="28524A32"/>
    <w:rsid w:val="28526547"/>
    <w:rsid w:val="28533221"/>
    <w:rsid w:val="285337E8"/>
    <w:rsid w:val="28534F2C"/>
    <w:rsid w:val="28537F15"/>
    <w:rsid w:val="28546167"/>
    <w:rsid w:val="28551EE0"/>
    <w:rsid w:val="28552C3B"/>
    <w:rsid w:val="28557849"/>
    <w:rsid w:val="28560CD9"/>
    <w:rsid w:val="2857130B"/>
    <w:rsid w:val="28574CEA"/>
    <w:rsid w:val="28575C58"/>
    <w:rsid w:val="28576450"/>
    <w:rsid w:val="2857710D"/>
    <w:rsid w:val="28577641"/>
    <w:rsid w:val="28577A06"/>
    <w:rsid w:val="28584A89"/>
    <w:rsid w:val="2858552C"/>
    <w:rsid w:val="285919D0"/>
    <w:rsid w:val="2859351C"/>
    <w:rsid w:val="2859377E"/>
    <w:rsid w:val="28594272"/>
    <w:rsid w:val="28597429"/>
    <w:rsid w:val="285A1852"/>
    <w:rsid w:val="285B446E"/>
    <w:rsid w:val="285B64BC"/>
    <w:rsid w:val="285C326E"/>
    <w:rsid w:val="285C501C"/>
    <w:rsid w:val="285C5A91"/>
    <w:rsid w:val="285C6305"/>
    <w:rsid w:val="285D2B42"/>
    <w:rsid w:val="285E08FB"/>
    <w:rsid w:val="285E0D94"/>
    <w:rsid w:val="285E1547"/>
    <w:rsid w:val="285E4499"/>
    <w:rsid w:val="285E6FE6"/>
    <w:rsid w:val="285F2D5E"/>
    <w:rsid w:val="285F3848"/>
    <w:rsid w:val="285F69B3"/>
    <w:rsid w:val="28602C2F"/>
    <w:rsid w:val="2860321B"/>
    <w:rsid w:val="2861048D"/>
    <w:rsid w:val="286106BA"/>
    <w:rsid w:val="28610884"/>
    <w:rsid w:val="28615A32"/>
    <w:rsid w:val="28616AD6"/>
    <w:rsid w:val="28620159"/>
    <w:rsid w:val="28621E4D"/>
    <w:rsid w:val="28623807"/>
    <w:rsid w:val="2863040D"/>
    <w:rsid w:val="28631B9C"/>
    <w:rsid w:val="286332DD"/>
    <w:rsid w:val="28634B22"/>
    <w:rsid w:val="286363AA"/>
    <w:rsid w:val="2863708A"/>
    <w:rsid w:val="28643962"/>
    <w:rsid w:val="286445E0"/>
    <w:rsid w:val="28646A1D"/>
    <w:rsid w:val="28650375"/>
    <w:rsid w:val="28656F62"/>
    <w:rsid w:val="286607CE"/>
    <w:rsid w:val="286640ED"/>
    <w:rsid w:val="28664D77"/>
    <w:rsid w:val="28666C41"/>
    <w:rsid w:val="2866708D"/>
    <w:rsid w:val="28667C49"/>
    <w:rsid w:val="28670377"/>
    <w:rsid w:val="28680AFD"/>
    <w:rsid w:val="28680B8D"/>
    <w:rsid w:val="28681C7B"/>
    <w:rsid w:val="2868347B"/>
    <w:rsid w:val="286839C1"/>
    <w:rsid w:val="28685A5E"/>
    <w:rsid w:val="28687C4B"/>
    <w:rsid w:val="28687E65"/>
    <w:rsid w:val="28687F42"/>
    <w:rsid w:val="286914E7"/>
    <w:rsid w:val="286921FA"/>
    <w:rsid w:val="28692272"/>
    <w:rsid w:val="28695673"/>
    <w:rsid w:val="2869668D"/>
    <w:rsid w:val="28697739"/>
    <w:rsid w:val="286A0FDD"/>
    <w:rsid w:val="286A1D34"/>
    <w:rsid w:val="286B15B8"/>
    <w:rsid w:val="286B34B1"/>
    <w:rsid w:val="286B525F"/>
    <w:rsid w:val="286B5D47"/>
    <w:rsid w:val="286C4045"/>
    <w:rsid w:val="286C52CE"/>
    <w:rsid w:val="286C597C"/>
    <w:rsid w:val="286C5F66"/>
    <w:rsid w:val="286D0937"/>
    <w:rsid w:val="286D0FD7"/>
    <w:rsid w:val="286D547B"/>
    <w:rsid w:val="286D5B95"/>
    <w:rsid w:val="286E4D4F"/>
    <w:rsid w:val="286E581F"/>
    <w:rsid w:val="286E6AFD"/>
    <w:rsid w:val="286E757F"/>
    <w:rsid w:val="286F1B1C"/>
    <w:rsid w:val="286F2FA1"/>
    <w:rsid w:val="286F5804"/>
    <w:rsid w:val="286F610E"/>
    <w:rsid w:val="28700AC7"/>
    <w:rsid w:val="28702875"/>
    <w:rsid w:val="28702D10"/>
    <w:rsid w:val="28704451"/>
    <w:rsid w:val="2870458C"/>
    <w:rsid w:val="28706D19"/>
    <w:rsid w:val="28711DA7"/>
    <w:rsid w:val="28712ED4"/>
    <w:rsid w:val="287141A0"/>
    <w:rsid w:val="28714A31"/>
    <w:rsid w:val="28715F89"/>
    <w:rsid w:val="287162BC"/>
    <w:rsid w:val="28720068"/>
    <w:rsid w:val="28720201"/>
    <w:rsid w:val="28721925"/>
    <w:rsid w:val="28721C96"/>
    <w:rsid w:val="28722A91"/>
    <w:rsid w:val="28724840"/>
    <w:rsid w:val="287265EE"/>
    <w:rsid w:val="28727080"/>
    <w:rsid w:val="287312FA"/>
    <w:rsid w:val="287328B5"/>
    <w:rsid w:val="28732DD2"/>
    <w:rsid w:val="2873447D"/>
    <w:rsid w:val="2874680A"/>
    <w:rsid w:val="28754330"/>
    <w:rsid w:val="28754C56"/>
    <w:rsid w:val="28754DD7"/>
    <w:rsid w:val="287556F2"/>
    <w:rsid w:val="287560DE"/>
    <w:rsid w:val="28756860"/>
    <w:rsid w:val="2875686E"/>
    <w:rsid w:val="2876332C"/>
    <w:rsid w:val="2876350C"/>
    <w:rsid w:val="2876586F"/>
    <w:rsid w:val="2876794B"/>
    <w:rsid w:val="287700A8"/>
    <w:rsid w:val="28771E56"/>
    <w:rsid w:val="28772EE2"/>
    <w:rsid w:val="28773CA1"/>
    <w:rsid w:val="28780D72"/>
    <w:rsid w:val="28783EC6"/>
    <w:rsid w:val="287907AB"/>
    <w:rsid w:val="28793E20"/>
    <w:rsid w:val="28795BCE"/>
    <w:rsid w:val="287A00D4"/>
    <w:rsid w:val="287A1946"/>
    <w:rsid w:val="287B175A"/>
    <w:rsid w:val="287B3099"/>
    <w:rsid w:val="287B78F0"/>
    <w:rsid w:val="287B7E23"/>
    <w:rsid w:val="287C121A"/>
    <w:rsid w:val="287C29F4"/>
    <w:rsid w:val="287C4DEF"/>
    <w:rsid w:val="287C56BE"/>
    <w:rsid w:val="287C746C"/>
    <w:rsid w:val="287C7C64"/>
    <w:rsid w:val="287D150B"/>
    <w:rsid w:val="287D2CAD"/>
    <w:rsid w:val="287E31E4"/>
    <w:rsid w:val="287E4F92"/>
    <w:rsid w:val="287E7EE5"/>
    <w:rsid w:val="287F0D0A"/>
    <w:rsid w:val="287F1375"/>
    <w:rsid w:val="287F3FE3"/>
    <w:rsid w:val="287F43B2"/>
    <w:rsid w:val="287F5293"/>
    <w:rsid w:val="287F6F5C"/>
    <w:rsid w:val="2880302D"/>
    <w:rsid w:val="288051AE"/>
    <w:rsid w:val="28810F26"/>
    <w:rsid w:val="28810F90"/>
    <w:rsid w:val="2881252E"/>
    <w:rsid w:val="28812CD5"/>
    <w:rsid w:val="28814A83"/>
    <w:rsid w:val="28824A2D"/>
    <w:rsid w:val="28827CF6"/>
    <w:rsid w:val="288307FB"/>
    <w:rsid w:val="288325A9"/>
    <w:rsid w:val="28835D01"/>
    <w:rsid w:val="28836A4D"/>
    <w:rsid w:val="2884262D"/>
    <w:rsid w:val="288440B8"/>
    <w:rsid w:val="28844D66"/>
    <w:rsid w:val="28846321"/>
    <w:rsid w:val="288602EB"/>
    <w:rsid w:val="28861E00"/>
    <w:rsid w:val="28862099"/>
    <w:rsid w:val="28862456"/>
    <w:rsid w:val="28865B2B"/>
    <w:rsid w:val="2886653D"/>
    <w:rsid w:val="28871867"/>
    <w:rsid w:val="28880F97"/>
    <w:rsid w:val="288830A4"/>
    <w:rsid w:val="28883B68"/>
    <w:rsid w:val="28884063"/>
    <w:rsid w:val="28885E11"/>
    <w:rsid w:val="28886820"/>
    <w:rsid w:val="28893937"/>
    <w:rsid w:val="28894E9D"/>
    <w:rsid w:val="288972BE"/>
    <w:rsid w:val="288A1328"/>
    <w:rsid w:val="288A1B89"/>
    <w:rsid w:val="288A5D41"/>
    <w:rsid w:val="288A6488"/>
    <w:rsid w:val="288A7DDB"/>
    <w:rsid w:val="288B1C16"/>
    <w:rsid w:val="288B3B53"/>
    <w:rsid w:val="288C555B"/>
    <w:rsid w:val="288C753B"/>
    <w:rsid w:val="288D015A"/>
    <w:rsid w:val="288D1679"/>
    <w:rsid w:val="288D3427"/>
    <w:rsid w:val="288D5494"/>
    <w:rsid w:val="288D78CB"/>
    <w:rsid w:val="288E0F4E"/>
    <w:rsid w:val="288F0E6A"/>
    <w:rsid w:val="288F2E28"/>
    <w:rsid w:val="288F50A3"/>
    <w:rsid w:val="288F53F1"/>
    <w:rsid w:val="288F5D65"/>
    <w:rsid w:val="288F66EB"/>
    <w:rsid w:val="288F6D86"/>
    <w:rsid w:val="288F719F"/>
    <w:rsid w:val="288F7729"/>
    <w:rsid w:val="289009E7"/>
    <w:rsid w:val="289022FA"/>
    <w:rsid w:val="28904CC6"/>
    <w:rsid w:val="28916D1F"/>
    <w:rsid w:val="28920E44"/>
    <w:rsid w:val="289229F6"/>
    <w:rsid w:val="28926C90"/>
    <w:rsid w:val="289274C3"/>
    <w:rsid w:val="289277EB"/>
    <w:rsid w:val="28930C7B"/>
    <w:rsid w:val="28935454"/>
    <w:rsid w:val="28940C5A"/>
    <w:rsid w:val="2894174F"/>
    <w:rsid w:val="2894269B"/>
    <w:rsid w:val="28944004"/>
    <w:rsid w:val="289447B6"/>
    <w:rsid w:val="289522DC"/>
    <w:rsid w:val="28956780"/>
    <w:rsid w:val="28960B98"/>
    <w:rsid w:val="28971511"/>
    <w:rsid w:val="289726BD"/>
    <w:rsid w:val="289742A6"/>
    <w:rsid w:val="28981F1C"/>
    <w:rsid w:val="2898365D"/>
    <w:rsid w:val="289862DD"/>
    <w:rsid w:val="2899001E"/>
    <w:rsid w:val="28990A03"/>
    <w:rsid w:val="289942DB"/>
    <w:rsid w:val="289947F7"/>
    <w:rsid w:val="28994AED"/>
    <w:rsid w:val="289A48A4"/>
    <w:rsid w:val="289A5B44"/>
    <w:rsid w:val="289A78F2"/>
    <w:rsid w:val="289B1FE8"/>
    <w:rsid w:val="289B3D96"/>
    <w:rsid w:val="289B740D"/>
    <w:rsid w:val="289C18BC"/>
    <w:rsid w:val="289C4061"/>
    <w:rsid w:val="289C5AAF"/>
    <w:rsid w:val="289C6F6F"/>
    <w:rsid w:val="289C7B0E"/>
    <w:rsid w:val="289D1D2D"/>
    <w:rsid w:val="289D3530"/>
    <w:rsid w:val="289E017A"/>
    <w:rsid w:val="289E313C"/>
    <w:rsid w:val="289E3886"/>
    <w:rsid w:val="289E4C1E"/>
    <w:rsid w:val="289E5635"/>
    <w:rsid w:val="289F315B"/>
    <w:rsid w:val="28A013AD"/>
    <w:rsid w:val="28A03640"/>
    <w:rsid w:val="28A044B5"/>
    <w:rsid w:val="28A075FF"/>
    <w:rsid w:val="28A07CAF"/>
    <w:rsid w:val="28A10C81"/>
    <w:rsid w:val="28A15125"/>
    <w:rsid w:val="28A21BB6"/>
    <w:rsid w:val="28A30B3A"/>
    <w:rsid w:val="28A32C4B"/>
    <w:rsid w:val="28A40771"/>
    <w:rsid w:val="28A4093D"/>
    <w:rsid w:val="28A41BFF"/>
    <w:rsid w:val="28A46D87"/>
    <w:rsid w:val="28A47CA0"/>
    <w:rsid w:val="28A54C15"/>
    <w:rsid w:val="28A6098D"/>
    <w:rsid w:val="28A644E9"/>
    <w:rsid w:val="28A65C60"/>
    <w:rsid w:val="28A70580"/>
    <w:rsid w:val="28A725DB"/>
    <w:rsid w:val="28A76BA9"/>
    <w:rsid w:val="28A80261"/>
    <w:rsid w:val="28A864B3"/>
    <w:rsid w:val="28A91FCA"/>
    <w:rsid w:val="28AA222B"/>
    <w:rsid w:val="28AA3FD9"/>
    <w:rsid w:val="28AA40FD"/>
    <w:rsid w:val="28AA4330"/>
    <w:rsid w:val="28AA5830"/>
    <w:rsid w:val="28AB1CCE"/>
    <w:rsid w:val="28AB2D32"/>
    <w:rsid w:val="28AB3DD5"/>
    <w:rsid w:val="28AD1821"/>
    <w:rsid w:val="28AD1D1C"/>
    <w:rsid w:val="28AD242B"/>
    <w:rsid w:val="28AD2BEC"/>
    <w:rsid w:val="28AD3976"/>
    <w:rsid w:val="28AD43F2"/>
    <w:rsid w:val="28AD5571"/>
    <w:rsid w:val="28AD5878"/>
    <w:rsid w:val="28AE3687"/>
    <w:rsid w:val="28AF15F0"/>
    <w:rsid w:val="28AF26DC"/>
    <w:rsid w:val="28AF2A88"/>
    <w:rsid w:val="28AF57D0"/>
    <w:rsid w:val="28AF7842"/>
    <w:rsid w:val="28B02089"/>
    <w:rsid w:val="28B05368"/>
    <w:rsid w:val="28B12D73"/>
    <w:rsid w:val="28B17529"/>
    <w:rsid w:val="28B17B80"/>
    <w:rsid w:val="28B210E0"/>
    <w:rsid w:val="28B24F20"/>
    <w:rsid w:val="28B25EF0"/>
    <w:rsid w:val="28B27332"/>
    <w:rsid w:val="28B30264"/>
    <w:rsid w:val="28B33EA7"/>
    <w:rsid w:val="28B36B23"/>
    <w:rsid w:val="28B409B4"/>
    <w:rsid w:val="28B416F4"/>
    <w:rsid w:val="28B430AA"/>
    <w:rsid w:val="28B5297E"/>
    <w:rsid w:val="28B52B84"/>
    <w:rsid w:val="28B54518"/>
    <w:rsid w:val="28B5472C"/>
    <w:rsid w:val="28B55805"/>
    <w:rsid w:val="28B64014"/>
    <w:rsid w:val="28B70075"/>
    <w:rsid w:val="28B704A4"/>
    <w:rsid w:val="28B74948"/>
    <w:rsid w:val="28B75372"/>
    <w:rsid w:val="28B754A4"/>
    <w:rsid w:val="28B766F6"/>
    <w:rsid w:val="28B76F16"/>
    <w:rsid w:val="28B81505"/>
    <w:rsid w:val="28B83071"/>
    <w:rsid w:val="28B84408"/>
    <w:rsid w:val="28B876D5"/>
    <w:rsid w:val="28B906C0"/>
    <w:rsid w:val="28B915F8"/>
    <w:rsid w:val="28B91CAE"/>
    <w:rsid w:val="28B9246E"/>
    <w:rsid w:val="28B93C10"/>
    <w:rsid w:val="28B93CFD"/>
    <w:rsid w:val="28B94157"/>
    <w:rsid w:val="28B9421C"/>
    <w:rsid w:val="28B95569"/>
    <w:rsid w:val="28B9562E"/>
    <w:rsid w:val="28B97DC4"/>
    <w:rsid w:val="28BA1D43"/>
    <w:rsid w:val="28BB0922"/>
    <w:rsid w:val="28BB0DD7"/>
    <w:rsid w:val="28BB39D8"/>
    <w:rsid w:val="28BB6E5A"/>
    <w:rsid w:val="28BC3D0D"/>
    <w:rsid w:val="28BC5ABB"/>
    <w:rsid w:val="28BC6745"/>
    <w:rsid w:val="28BD2297"/>
    <w:rsid w:val="28BD3EE7"/>
    <w:rsid w:val="28BD5AC4"/>
    <w:rsid w:val="28BE1833"/>
    <w:rsid w:val="28BE5CD7"/>
    <w:rsid w:val="28BE780E"/>
    <w:rsid w:val="28BE7A85"/>
    <w:rsid w:val="28BF0C2D"/>
    <w:rsid w:val="28BF6807"/>
    <w:rsid w:val="28BF71F5"/>
    <w:rsid w:val="28C01A4F"/>
    <w:rsid w:val="28C037FD"/>
    <w:rsid w:val="28C055AB"/>
    <w:rsid w:val="28C05FA0"/>
    <w:rsid w:val="28C11F60"/>
    <w:rsid w:val="28C1211B"/>
    <w:rsid w:val="28C130D1"/>
    <w:rsid w:val="28C22296"/>
    <w:rsid w:val="28C225B7"/>
    <w:rsid w:val="28C25188"/>
    <w:rsid w:val="28C268C4"/>
    <w:rsid w:val="28C27125"/>
    <w:rsid w:val="28C307EF"/>
    <w:rsid w:val="28C341BA"/>
    <w:rsid w:val="28C3509B"/>
    <w:rsid w:val="28C3596E"/>
    <w:rsid w:val="28C36E49"/>
    <w:rsid w:val="28C41D62"/>
    <w:rsid w:val="28C44CA0"/>
    <w:rsid w:val="28C47EE0"/>
    <w:rsid w:val="28C5055B"/>
    <w:rsid w:val="28C56287"/>
    <w:rsid w:val="28C57065"/>
    <w:rsid w:val="28C610C5"/>
    <w:rsid w:val="28C62ACC"/>
    <w:rsid w:val="28C62F47"/>
    <w:rsid w:val="28C63E13"/>
    <w:rsid w:val="28C64B8B"/>
    <w:rsid w:val="28C64DCA"/>
    <w:rsid w:val="28C66712"/>
    <w:rsid w:val="28C66939"/>
    <w:rsid w:val="28C67243"/>
    <w:rsid w:val="28C72DDD"/>
    <w:rsid w:val="28C80903"/>
    <w:rsid w:val="28C81674"/>
    <w:rsid w:val="28C8445F"/>
    <w:rsid w:val="28C9055E"/>
    <w:rsid w:val="28C91449"/>
    <w:rsid w:val="28C926AC"/>
    <w:rsid w:val="28C94F5F"/>
    <w:rsid w:val="28C978B9"/>
    <w:rsid w:val="28CA01D8"/>
    <w:rsid w:val="28CA0D49"/>
    <w:rsid w:val="28CA150C"/>
    <w:rsid w:val="28CA2242"/>
    <w:rsid w:val="28CA391A"/>
    <w:rsid w:val="28CA4219"/>
    <w:rsid w:val="28CA467C"/>
    <w:rsid w:val="28CA56EB"/>
    <w:rsid w:val="28CA5CFD"/>
    <w:rsid w:val="28CA642A"/>
    <w:rsid w:val="28CB21A2"/>
    <w:rsid w:val="28CB3DA2"/>
    <w:rsid w:val="28CB4DAA"/>
    <w:rsid w:val="28CB64EB"/>
    <w:rsid w:val="28CC0953"/>
    <w:rsid w:val="28CC2207"/>
    <w:rsid w:val="28CC44E4"/>
    <w:rsid w:val="28CC623A"/>
    <w:rsid w:val="28CC6517"/>
    <w:rsid w:val="28CD1A76"/>
    <w:rsid w:val="28CD1B01"/>
    <w:rsid w:val="28CD229B"/>
    <w:rsid w:val="28CD5C1B"/>
    <w:rsid w:val="28CD76CA"/>
    <w:rsid w:val="28CD7CC8"/>
    <w:rsid w:val="28CF13ED"/>
    <w:rsid w:val="28CF3A40"/>
    <w:rsid w:val="28CF3BE7"/>
    <w:rsid w:val="28CF517E"/>
    <w:rsid w:val="28CF5334"/>
    <w:rsid w:val="28CF57EE"/>
    <w:rsid w:val="28CF62FC"/>
    <w:rsid w:val="28CF79A4"/>
    <w:rsid w:val="28D014E5"/>
    <w:rsid w:val="28D01566"/>
    <w:rsid w:val="28D01922"/>
    <w:rsid w:val="28D03639"/>
    <w:rsid w:val="28D15A0A"/>
    <w:rsid w:val="28D177B8"/>
    <w:rsid w:val="28D21782"/>
    <w:rsid w:val="28D220AC"/>
    <w:rsid w:val="28D23530"/>
    <w:rsid w:val="28D24C7D"/>
    <w:rsid w:val="28D252DE"/>
    <w:rsid w:val="28D32E46"/>
    <w:rsid w:val="28D35C94"/>
    <w:rsid w:val="28D41056"/>
    <w:rsid w:val="28D41A00"/>
    <w:rsid w:val="28D42E04"/>
    <w:rsid w:val="28D449CC"/>
    <w:rsid w:val="28D46E16"/>
    <w:rsid w:val="28D50537"/>
    <w:rsid w:val="28D538A3"/>
    <w:rsid w:val="28D635FE"/>
    <w:rsid w:val="28D64DCE"/>
    <w:rsid w:val="28D65CAF"/>
    <w:rsid w:val="28D70B46"/>
    <w:rsid w:val="28D728F5"/>
    <w:rsid w:val="28D820EE"/>
    <w:rsid w:val="28D82B6D"/>
    <w:rsid w:val="28D851C9"/>
    <w:rsid w:val="28D9041B"/>
    <w:rsid w:val="28D9070A"/>
    <w:rsid w:val="28D91F7F"/>
    <w:rsid w:val="28D948BF"/>
    <w:rsid w:val="28D9666D"/>
    <w:rsid w:val="28DA4193"/>
    <w:rsid w:val="28DA4D5B"/>
    <w:rsid w:val="28DB0637"/>
    <w:rsid w:val="28DC0900"/>
    <w:rsid w:val="28DC5D2F"/>
    <w:rsid w:val="28DC615D"/>
    <w:rsid w:val="28DC7A10"/>
    <w:rsid w:val="28DC7F0B"/>
    <w:rsid w:val="28DC7FCD"/>
    <w:rsid w:val="28DD687E"/>
    <w:rsid w:val="28DD71BF"/>
    <w:rsid w:val="28DD727E"/>
    <w:rsid w:val="28DD77A6"/>
    <w:rsid w:val="28DD7A4B"/>
    <w:rsid w:val="28DE1ED5"/>
    <w:rsid w:val="28DE3220"/>
    <w:rsid w:val="28DF17A9"/>
    <w:rsid w:val="28DF46B0"/>
    <w:rsid w:val="28DF6D48"/>
    <w:rsid w:val="28E0226D"/>
    <w:rsid w:val="28E053B2"/>
    <w:rsid w:val="28E05C4D"/>
    <w:rsid w:val="28E079FB"/>
    <w:rsid w:val="28E10711"/>
    <w:rsid w:val="28E11359"/>
    <w:rsid w:val="28E13773"/>
    <w:rsid w:val="28E15521"/>
    <w:rsid w:val="28E16FD0"/>
    <w:rsid w:val="28E219C5"/>
    <w:rsid w:val="28E23B21"/>
    <w:rsid w:val="28E31299"/>
    <w:rsid w:val="28E3364C"/>
    <w:rsid w:val="28E3573D"/>
    <w:rsid w:val="28E35C02"/>
    <w:rsid w:val="28E374EB"/>
    <w:rsid w:val="28E40CF0"/>
    <w:rsid w:val="28E46C93"/>
    <w:rsid w:val="28E46E6E"/>
    <w:rsid w:val="28E47092"/>
    <w:rsid w:val="28E514B5"/>
    <w:rsid w:val="28E51D47"/>
    <w:rsid w:val="28E55011"/>
    <w:rsid w:val="28E563CE"/>
    <w:rsid w:val="28E60D8A"/>
    <w:rsid w:val="28E62B38"/>
    <w:rsid w:val="28E65B81"/>
    <w:rsid w:val="28E701FC"/>
    <w:rsid w:val="28E70DA8"/>
    <w:rsid w:val="28E72E42"/>
    <w:rsid w:val="28E73C67"/>
    <w:rsid w:val="28E73CB0"/>
    <w:rsid w:val="28E75A13"/>
    <w:rsid w:val="28E76FDC"/>
    <w:rsid w:val="28E771FC"/>
    <w:rsid w:val="28E81102"/>
    <w:rsid w:val="28E82D54"/>
    <w:rsid w:val="28E841D5"/>
    <w:rsid w:val="28E84B02"/>
    <w:rsid w:val="28E868B0"/>
    <w:rsid w:val="28E90333"/>
    <w:rsid w:val="28E90BA1"/>
    <w:rsid w:val="28E9129E"/>
    <w:rsid w:val="28E91F8D"/>
    <w:rsid w:val="28E93E0F"/>
    <w:rsid w:val="28E973E9"/>
    <w:rsid w:val="28EA014E"/>
    <w:rsid w:val="28EA087A"/>
    <w:rsid w:val="28EA17C3"/>
    <w:rsid w:val="28EA2584"/>
    <w:rsid w:val="28EA6064"/>
    <w:rsid w:val="28EA6ACC"/>
    <w:rsid w:val="28EB4BFB"/>
    <w:rsid w:val="28EB63A0"/>
    <w:rsid w:val="28EB7706"/>
    <w:rsid w:val="28EC0230"/>
    <w:rsid w:val="28EC17CE"/>
    <w:rsid w:val="28EC2844"/>
    <w:rsid w:val="28EC3BFC"/>
    <w:rsid w:val="28EC6BE7"/>
    <w:rsid w:val="28EC746D"/>
    <w:rsid w:val="28ED036A"/>
    <w:rsid w:val="28ED3CB9"/>
    <w:rsid w:val="28ED3EC6"/>
    <w:rsid w:val="28ED4753"/>
    <w:rsid w:val="28EE0972"/>
    <w:rsid w:val="28EE1706"/>
    <w:rsid w:val="28EE2D15"/>
    <w:rsid w:val="28EF15D4"/>
    <w:rsid w:val="28EF41A5"/>
    <w:rsid w:val="28EF568F"/>
    <w:rsid w:val="28F039B6"/>
    <w:rsid w:val="28F05102"/>
    <w:rsid w:val="28F0543C"/>
    <w:rsid w:val="28F05635"/>
    <w:rsid w:val="28F069BF"/>
    <w:rsid w:val="28F07FAC"/>
    <w:rsid w:val="28F16720"/>
    <w:rsid w:val="28F16AC5"/>
    <w:rsid w:val="28F214DC"/>
    <w:rsid w:val="28F2318D"/>
    <w:rsid w:val="28F24F48"/>
    <w:rsid w:val="28F2772E"/>
    <w:rsid w:val="28F27B10"/>
    <w:rsid w:val="28F27B7E"/>
    <w:rsid w:val="28F413A6"/>
    <w:rsid w:val="28F44326"/>
    <w:rsid w:val="28F45255"/>
    <w:rsid w:val="28F45E57"/>
    <w:rsid w:val="28F46B89"/>
    <w:rsid w:val="28F5025F"/>
    <w:rsid w:val="28F530EF"/>
    <w:rsid w:val="28F568D6"/>
    <w:rsid w:val="28F5736F"/>
    <w:rsid w:val="28F60095"/>
    <w:rsid w:val="28F60FCD"/>
    <w:rsid w:val="28F63EDE"/>
    <w:rsid w:val="28F647B0"/>
    <w:rsid w:val="28F72F97"/>
    <w:rsid w:val="28F74D45"/>
    <w:rsid w:val="28F770C2"/>
    <w:rsid w:val="28F811E9"/>
    <w:rsid w:val="28F82711"/>
    <w:rsid w:val="28F83DC7"/>
    <w:rsid w:val="28F86531"/>
    <w:rsid w:val="28F9286B"/>
    <w:rsid w:val="28FA423F"/>
    <w:rsid w:val="28FA4916"/>
    <w:rsid w:val="28FA69BB"/>
    <w:rsid w:val="28FA6D1F"/>
    <w:rsid w:val="28FB2363"/>
    <w:rsid w:val="28FB2667"/>
    <w:rsid w:val="28FB2748"/>
    <w:rsid w:val="28FB37FE"/>
    <w:rsid w:val="28FC235B"/>
    <w:rsid w:val="28FC5FDB"/>
    <w:rsid w:val="28FD67A9"/>
    <w:rsid w:val="28FD67FF"/>
    <w:rsid w:val="28FD6DA8"/>
    <w:rsid w:val="28FE074F"/>
    <w:rsid w:val="28FE11F6"/>
    <w:rsid w:val="28FE2577"/>
    <w:rsid w:val="28FE4325"/>
    <w:rsid w:val="28FE60D3"/>
    <w:rsid w:val="28FE73D4"/>
    <w:rsid w:val="28FF3C9A"/>
    <w:rsid w:val="28FF48AD"/>
    <w:rsid w:val="28FF6841"/>
    <w:rsid w:val="28FF7D67"/>
    <w:rsid w:val="29002516"/>
    <w:rsid w:val="2900291F"/>
    <w:rsid w:val="2900742F"/>
    <w:rsid w:val="29013526"/>
    <w:rsid w:val="290165BA"/>
    <w:rsid w:val="29017971"/>
    <w:rsid w:val="29023E15"/>
    <w:rsid w:val="29027A4A"/>
    <w:rsid w:val="29030EDA"/>
    <w:rsid w:val="290336EA"/>
    <w:rsid w:val="29037B8D"/>
    <w:rsid w:val="29041808"/>
    <w:rsid w:val="290440F0"/>
    <w:rsid w:val="29044F3B"/>
    <w:rsid w:val="29045901"/>
    <w:rsid w:val="29050401"/>
    <w:rsid w:val="29051210"/>
    <w:rsid w:val="29051C5B"/>
    <w:rsid w:val="29053906"/>
    <w:rsid w:val="290556B4"/>
    <w:rsid w:val="290563D8"/>
    <w:rsid w:val="2905696C"/>
    <w:rsid w:val="29057462"/>
    <w:rsid w:val="29057B0C"/>
    <w:rsid w:val="29061ECF"/>
    <w:rsid w:val="2906785B"/>
    <w:rsid w:val="2907142C"/>
    <w:rsid w:val="290731DA"/>
    <w:rsid w:val="2907481E"/>
    <w:rsid w:val="29080D00"/>
    <w:rsid w:val="29084DDE"/>
    <w:rsid w:val="290851A4"/>
    <w:rsid w:val="290860F5"/>
    <w:rsid w:val="29086F52"/>
    <w:rsid w:val="29093F09"/>
    <w:rsid w:val="2909543E"/>
    <w:rsid w:val="2909656C"/>
    <w:rsid w:val="29096E83"/>
    <w:rsid w:val="290A0F1C"/>
    <w:rsid w:val="290A2CCA"/>
    <w:rsid w:val="290A4A78"/>
    <w:rsid w:val="290A5904"/>
    <w:rsid w:val="290A59A4"/>
    <w:rsid w:val="290B0EEB"/>
    <w:rsid w:val="290B259E"/>
    <w:rsid w:val="290B2C19"/>
    <w:rsid w:val="290C07F0"/>
    <w:rsid w:val="290C3D9E"/>
    <w:rsid w:val="290D27BA"/>
    <w:rsid w:val="290D4568"/>
    <w:rsid w:val="290E0BBE"/>
    <w:rsid w:val="290E1C74"/>
    <w:rsid w:val="290E7EBF"/>
    <w:rsid w:val="290F02E0"/>
    <w:rsid w:val="290F1857"/>
    <w:rsid w:val="290F4769"/>
    <w:rsid w:val="290F6532"/>
    <w:rsid w:val="2910376B"/>
    <w:rsid w:val="29104C1F"/>
    <w:rsid w:val="291071F5"/>
    <w:rsid w:val="2911026F"/>
    <w:rsid w:val="291122AA"/>
    <w:rsid w:val="29114058"/>
    <w:rsid w:val="29121B7F"/>
    <w:rsid w:val="291263FD"/>
    <w:rsid w:val="29127DD1"/>
    <w:rsid w:val="291309CF"/>
    <w:rsid w:val="291323A7"/>
    <w:rsid w:val="2913316F"/>
    <w:rsid w:val="291335A0"/>
    <w:rsid w:val="291357D1"/>
    <w:rsid w:val="291369FA"/>
    <w:rsid w:val="29142071"/>
    <w:rsid w:val="291529E3"/>
    <w:rsid w:val="29154678"/>
    <w:rsid w:val="291601D6"/>
    <w:rsid w:val="2916166F"/>
    <w:rsid w:val="291678C1"/>
    <w:rsid w:val="291707E0"/>
    <w:rsid w:val="29172C46"/>
    <w:rsid w:val="29176F63"/>
    <w:rsid w:val="2918060A"/>
    <w:rsid w:val="291853E7"/>
    <w:rsid w:val="29185688"/>
    <w:rsid w:val="29187538"/>
    <w:rsid w:val="291925C0"/>
    <w:rsid w:val="29192F0D"/>
    <w:rsid w:val="2919489C"/>
    <w:rsid w:val="29194CBB"/>
    <w:rsid w:val="291A250E"/>
    <w:rsid w:val="291A25A0"/>
    <w:rsid w:val="291A5689"/>
    <w:rsid w:val="291A5FE7"/>
    <w:rsid w:val="291A7161"/>
    <w:rsid w:val="291B0A33"/>
    <w:rsid w:val="291B4343"/>
    <w:rsid w:val="291B4ED7"/>
    <w:rsid w:val="291B6C85"/>
    <w:rsid w:val="291C16CA"/>
    <w:rsid w:val="291C1B56"/>
    <w:rsid w:val="291C3D7C"/>
    <w:rsid w:val="291C3E23"/>
    <w:rsid w:val="291C47AB"/>
    <w:rsid w:val="291D24F0"/>
    <w:rsid w:val="291D29FD"/>
    <w:rsid w:val="291D4652"/>
    <w:rsid w:val="291E0523"/>
    <w:rsid w:val="291E22D1"/>
    <w:rsid w:val="291F7AB1"/>
    <w:rsid w:val="29200286"/>
    <w:rsid w:val="29206EB8"/>
    <w:rsid w:val="29211DC2"/>
    <w:rsid w:val="29212A52"/>
    <w:rsid w:val="29215BA4"/>
    <w:rsid w:val="29220014"/>
    <w:rsid w:val="29223789"/>
    <w:rsid w:val="29226266"/>
    <w:rsid w:val="29227034"/>
    <w:rsid w:val="29231FDE"/>
    <w:rsid w:val="29233095"/>
    <w:rsid w:val="29233815"/>
    <w:rsid w:val="29235B3A"/>
    <w:rsid w:val="29244525"/>
    <w:rsid w:val="29252DE4"/>
    <w:rsid w:val="29253660"/>
    <w:rsid w:val="2925469F"/>
    <w:rsid w:val="292559B5"/>
    <w:rsid w:val="29256A78"/>
    <w:rsid w:val="292576CC"/>
    <w:rsid w:val="29257A13"/>
    <w:rsid w:val="29257B04"/>
    <w:rsid w:val="29264DAB"/>
    <w:rsid w:val="29265348"/>
    <w:rsid w:val="292673D8"/>
    <w:rsid w:val="2927387C"/>
    <w:rsid w:val="2927562A"/>
    <w:rsid w:val="29275693"/>
    <w:rsid w:val="29275A00"/>
    <w:rsid w:val="292813A2"/>
    <w:rsid w:val="29282EA6"/>
    <w:rsid w:val="29283114"/>
    <w:rsid w:val="292875F4"/>
    <w:rsid w:val="2929503D"/>
    <w:rsid w:val="29295B4A"/>
    <w:rsid w:val="292A336C"/>
    <w:rsid w:val="292A425B"/>
    <w:rsid w:val="292A511A"/>
    <w:rsid w:val="292A6EC8"/>
    <w:rsid w:val="292B1D78"/>
    <w:rsid w:val="292B5728"/>
    <w:rsid w:val="292C0BB0"/>
    <w:rsid w:val="292C49EE"/>
    <w:rsid w:val="292D0766"/>
    <w:rsid w:val="292D4147"/>
    <w:rsid w:val="292D589D"/>
    <w:rsid w:val="292D69B8"/>
    <w:rsid w:val="292E2CF0"/>
    <w:rsid w:val="292E2E2F"/>
    <w:rsid w:val="292E4C0A"/>
    <w:rsid w:val="292E55D7"/>
    <w:rsid w:val="292F0982"/>
    <w:rsid w:val="292F2731"/>
    <w:rsid w:val="292F3E2B"/>
    <w:rsid w:val="2930202B"/>
    <w:rsid w:val="2930213C"/>
    <w:rsid w:val="29302AC8"/>
    <w:rsid w:val="29306F38"/>
    <w:rsid w:val="29310257"/>
    <w:rsid w:val="29312005"/>
    <w:rsid w:val="293146FB"/>
    <w:rsid w:val="29315699"/>
    <w:rsid w:val="293164A9"/>
    <w:rsid w:val="293258B0"/>
    <w:rsid w:val="29325D7D"/>
    <w:rsid w:val="29326B29"/>
    <w:rsid w:val="293314A5"/>
    <w:rsid w:val="29332221"/>
    <w:rsid w:val="29333A5A"/>
    <w:rsid w:val="293374EC"/>
    <w:rsid w:val="29337FB9"/>
    <w:rsid w:val="29341449"/>
    <w:rsid w:val="29341C59"/>
    <w:rsid w:val="293430C6"/>
    <w:rsid w:val="29343273"/>
    <w:rsid w:val="29345FFD"/>
    <w:rsid w:val="29347D47"/>
    <w:rsid w:val="29362909"/>
    <w:rsid w:val="2936373F"/>
    <w:rsid w:val="293660D4"/>
    <w:rsid w:val="293715E5"/>
    <w:rsid w:val="29373393"/>
    <w:rsid w:val="29377DCA"/>
    <w:rsid w:val="29381B9B"/>
    <w:rsid w:val="29383EF7"/>
    <w:rsid w:val="29385A89"/>
    <w:rsid w:val="29387837"/>
    <w:rsid w:val="293930DB"/>
    <w:rsid w:val="293935AF"/>
    <w:rsid w:val="29397A60"/>
    <w:rsid w:val="293B10D5"/>
    <w:rsid w:val="293B2E83"/>
    <w:rsid w:val="293B5B6A"/>
    <w:rsid w:val="293B7327"/>
    <w:rsid w:val="293C073C"/>
    <w:rsid w:val="293C27AC"/>
    <w:rsid w:val="293D2340"/>
    <w:rsid w:val="293D309F"/>
    <w:rsid w:val="293D3C3C"/>
    <w:rsid w:val="293D522B"/>
    <w:rsid w:val="293D5A72"/>
    <w:rsid w:val="293D6516"/>
    <w:rsid w:val="293D6BFB"/>
    <w:rsid w:val="293E50CC"/>
    <w:rsid w:val="293E7C9D"/>
    <w:rsid w:val="293E7D5A"/>
    <w:rsid w:val="293F4ABA"/>
    <w:rsid w:val="293F6969"/>
    <w:rsid w:val="293F744F"/>
    <w:rsid w:val="2940049A"/>
    <w:rsid w:val="294015F5"/>
    <w:rsid w:val="29401613"/>
    <w:rsid w:val="294042BB"/>
    <w:rsid w:val="294066EC"/>
    <w:rsid w:val="294206B6"/>
    <w:rsid w:val="2942142E"/>
    <w:rsid w:val="29422464"/>
    <w:rsid w:val="294232CE"/>
    <w:rsid w:val="294241FF"/>
    <w:rsid w:val="29424212"/>
    <w:rsid w:val="29424EDD"/>
    <w:rsid w:val="29426BAE"/>
    <w:rsid w:val="29434B94"/>
    <w:rsid w:val="294361DC"/>
    <w:rsid w:val="2943636D"/>
    <w:rsid w:val="29437AAE"/>
    <w:rsid w:val="29437F8A"/>
    <w:rsid w:val="2944055C"/>
    <w:rsid w:val="294423CE"/>
    <w:rsid w:val="2944442E"/>
    <w:rsid w:val="29444C64"/>
    <w:rsid w:val="29451939"/>
    <w:rsid w:val="29451F54"/>
    <w:rsid w:val="2945385E"/>
    <w:rsid w:val="29453D02"/>
    <w:rsid w:val="29455985"/>
    <w:rsid w:val="29455AB0"/>
    <w:rsid w:val="2946642F"/>
    <w:rsid w:val="29471828"/>
    <w:rsid w:val="29475CCC"/>
    <w:rsid w:val="29476BD6"/>
    <w:rsid w:val="29477A7A"/>
    <w:rsid w:val="294813D7"/>
    <w:rsid w:val="294833DC"/>
    <w:rsid w:val="294877A6"/>
    <w:rsid w:val="29491A44"/>
    <w:rsid w:val="294925BC"/>
    <w:rsid w:val="29497054"/>
    <w:rsid w:val="294A30C6"/>
    <w:rsid w:val="294A57BC"/>
    <w:rsid w:val="294A68B7"/>
    <w:rsid w:val="294B1328"/>
    <w:rsid w:val="294B16C8"/>
    <w:rsid w:val="294C0B60"/>
    <w:rsid w:val="294C22A1"/>
    <w:rsid w:val="294C32E2"/>
    <w:rsid w:val="294C4C62"/>
    <w:rsid w:val="294C5091"/>
    <w:rsid w:val="294C6E3F"/>
    <w:rsid w:val="294D190D"/>
    <w:rsid w:val="294D4722"/>
    <w:rsid w:val="294D58D8"/>
    <w:rsid w:val="294D6231"/>
    <w:rsid w:val="294E6051"/>
    <w:rsid w:val="294F23C0"/>
    <w:rsid w:val="294F4981"/>
    <w:rsid w:val="294F4B81"/>
    <w:rsid w:val="29501D73"/>
    <w:rsid w:val="295108F9"/>
    <w:rsid w:val="295109D4"/>
    <w:rsid w:val="29511E01"/>
    <w:rsid w:val="29514455"/>
    <w:rsid w:val="295169BB"/>
    <w:rsid w:val="295201CD"/>
    <w:rsid w:val="295233D2"/>
    <w:rsid w:val="29534075"/>
    <w:rsid w:val="2953483F"/>
    <w:rsid w:val="29536324"/>
    <w:rsid w:val="2953641F"/>
    <w:rsid w:val="295403E9"/>
    <w:rsid w:val="29541EC3"/>
    <w:rsid w:val="29542197"/>
    <w:rsid w:val="29542989"/>
    <w:rsid w:val="29555311"/>
    <w:rsid w:val="29560E58"/>
    <w:rsid w:val="29564161"/>
    <w:rsid w:val="29565F0F"/>
    <w:rsid w:val="295700BA"/>
    <w:rsid w:val="29570DF4"/>
    <w:rsid w:val="2957349A"/>
    <w:rsid w:val="295749F5"/>
    <w:rsid w:val="295773B4"/>
    <w:rsid w:val="29583A35"/>
    <w:rsid w:val="29587509"/>
    <w:rsid w:val="2959155B"/>
    <w:rsid w:val="29595666"/>
    <w:rsid w:val="295959FF"/>
    <w:rsid w:val="295977AD"/>
    <w:rsid w:val="295A1E9A"/>
    <w:rsid w:val="295A4C02"/>
    <w:rsid w:val="295B1778"/>
    <w:rsid w:val="295B3526"/>
    <w:rsid w:val="295B5A84"/>
    <w:rsid w:val="295C2001"/>
    <w:rsid w:val="295C2E68"/>
    <w:rsid w:val="295C4F64"/>
    <w:rsid w:val="295C7216"/>
    <w:rsid w:val="295C79FC"/>
    <w:rsid w:val="295D0FD8"/>
    <w:rsid w:val="295D104C"/>
    <w:rsid w:val="295D54F0"/>
    <w:rsid w:val="295D729E"/>
    <w:rsid w:val="295E3016"/>
    <w:rsid w:val="295E4DC4"/>
    <w:rsid w:val="295E6976"/>
    <w:rsid w:val="295E6B72"/>
    <w:rsid w:val="295F1CCD"/>
    <w:rsid w:val="295F2D97"/>
    <w:rsid w:val="2960326E"/>
    <w:rsid w:val="29611B8B"/>
    <w:rsid w:val="29613037"/>
    <w:rsid w:val="296216B0"/>
    <w:rsid w:val="29622D86"/>
    <w:rsid w:val="29627D86"/>
    <w:rsid w:val="2963196D"/>
    <w:rsid w:val="296323DA"/>
    <w:rsid w:val="29633D11"/>
    <w:rsid w:val="29634188"/>
    <w:rsid w:val="296357D5"/>
    <w:rsid w:val="296419B8"/>
    <w:rsid w:val="296462DB"/>
    <w:rsid w:val="2964687E"/>
    <w:rsid w:val="29650B67"/>
    <w:rsid w:val="296529E2"/>
    <w:rsid w:val="29653D68"/>
    <w:rsid w:val="296543A4"/>
    <w:rsid w:val="29656152"/>
    <w:rsid w:val="2966517F"/>
    <w:rsid w:val="296666A0"/>
    <w:rsid w:val="29667960"/>
    <w:rsid w:val="29673C78"/>
    <w:rsid w:val="29683EFE"/>
    <w:rsid w:val="29686070"/>
    <w:rsid w:val="29686BF8"/>
    <w:rsid w:val="296874DC"/>
    <w:rsid w:val="29692C59"/>
    <w:rsid w:val="2969523F"/>
    <w:rsid w:val="29695C42"/>
    <w:rsid w:val="296A142C"/>
    <w:rsid w:val="296A1CA7"/>
    <w:rsid w:val="296A3769"/>
    <w:rsid w:val="296A3B2A"/>
    <w:rsid w:val="296B1032"/>
    <w:rsid w:val="296B5579"/>
    <w:rsid w:val="296B659A"/>
    <w:rsid w:val="296C0D23"/>
    <w:rsid w:val="296C128F"/>
    <w:rsid w:val="296C2C58"/>
    <w:rsid w:val="296C5733"/>
    <w:rsid w:val="296C6A09"/>
    <w:rsid w:val="296D15DA"/>
    <w:rsid w:val="296D3A7A"/>
    <w:rsid w:val="296D7D72"/>
    <w:rsid w:val="296E2A6A"/>
    <w:rsid w:val="296E3259"/>
    <w:rsid w:val="296E563B"/>
    <w:rsid w:val="296E5EF3"/>
    <w:rsid w:val="296E6299"/>
    <w:rsid w:val="296E7CFF"/>
    <w:rsid w:val="296F0D7F"/>
    <w:rsid w:val="296F0ED9"/>
    <w:rsid w:val="296F27E6"/>
    <w:rsid w:val="296F5223"/>
    <w:rsid w:val="296F5BD4"/>
    <w:rsid w:val="296F6FD1"/>
    <w:rsid w:val="29701211"/>
    <w:rsid w:val="29707F5B"/>
    <w:rsid w:val="297113EB"/>
    <w:rsid w:val="29711E75"/>
    <w:rsid w:val="29712D49"/>
    <w:rsid w:val="29714AF7"/>
    <w:rsid w:val="29720054"/>
    <w:rsid w:val="297202BD"/>
    <w:rsid w:val="29720ED4"/>
    <w:rsid w:val="297221D3"/>
    <w:rsid w:val="2973086F"/>
    <w:rsid w:val="2973261D"/>
    <w:rsid w:val="2973448D"/>
    <w:rsid w:val="29734F00"/>
    <w:rsid w:val="297402D7"/>
    <w:rsid w:val="29743325"/>
    <w:rsid w:val="29746395"/>
    <w:rsid w:val="2974675A"/>
    <w:rsid w:val="2975020E"/>
    <w:rsid w:val="29752839"/>
    <w:rsid w:val="29757C17"/>
    <w:rsid w:val="2976035F"/>
    <w:rsid w:val="2976210D"/>
    <w:rsid w:val="29763DCD"/>
    <w:rsid w:val="29763EBB"/>
    <w:rsid w:val="29766532"/>
    <w:rsid w:val="297665B1"/>
    <w:rsid w:val="297821E9"/>
    <w:rsid w:val="297840D8"/>
    <w:rsid w:val="297866ED"/>
    <w:rsid w:val="29787622"/>
    <w:rsid w:val="29787C34"/>
    <w:rsid w:val="297939AC"/>
    <w:rsid w:val="29795F73"/>
    <w:rsid w:val="297962D5"/>
    <w:rsid w:val="297A0F79"/>
    <w:rsid w:val="297A3BDE"/>
    <w:rsid w:val="297A5B3A"/>
    <w:rsid w:val="297A7395"/>
    <w:rsid w:val="297A7E50"/>
    <w:rsid w:val="297B2947"/>
    <w:rsid w:val="297B2E79"/>
    <w:rsid w:val="297B3BC8"/>
    <w:rsid w:val="297B40EB"/>
    <w:rsid w:val="297B5976"/>
    <w:rsid w:val="297B6AFF"/>
    <w:rsid w:val="297B7724"/>
    <w:rsid w:val="297C6BDE"/>
    <w:rsid w:val="297C7C3F"/>
    <w:rsid w:val="297D1175"/>
    <w:rsid w:val="297D16EE"/>
    <w:rsid w:val="297D349C"/>
    <w:rsid w:val="297D524A"/>
    <w:rsid w:val="297D6D34"/>
    <w:rsid w:val="297D7F43"/>
    <w:rsid w:val="297E0FC2"/>
    <w:rsid w:val="297E255F"/>
    <w:rsid w:val="297F12A2"/>
    <w:rsid w:val="297F13CE"/>
    <w:rsid w:val="297F576C"/>
    <w:rsid w:val="297F7B50"/>
    <w:rsid w:val="298011DE"/>
    <w:rsid w:val="29802F8C"/>
    <w:rsid w:val="29804D3A"/>
    <w:rsid w:val="2980630F"/>
    <w:rsid w:val="29812371"/>
    <w:rsid w:val="298124E9"/>
    <w:rsid w:val="29814533"/>
    <w:rsid w:val="29814649"/>
    <w:rsid w:val="2981538C"/>
    <w:rsid w:val="29820AB2"/>
    <w:rsid w:val="298234AE"/>
    <w:rsid w:val="298239BC"/>
    <w:rsid w:val="29823C62"/>
    <w:rsid w:val="29826927"/>
    <w:rsid w:val="29826D04"/>
    <w:rsid w:val="29842A7C"/>
    <w:rsid w:val="29844C7D"/>
    <w:rsid w:val="298505A2"/>
    <w:rsid w:val="29852351"/>
    <w:rsid w:val="298567F4"/>
    <w:rsid w:val="29860CF9"/>
    <w:rsid w:val="298664DC"/>
    <w:rsid w:val="29866E9C"/>
    <w:rsid w:val="29867446"/>
    <w:rsid w:val="29873611"/>
    <w:rsid w:val="2987431B"/>
    <w:rsid w:val="29874881"/>
    <w:rsid w:val="298760C9"/>
    <w:rsid w:val="29876EFA"/>
    <w:rsid w:val="298779BC"/>
    <w:rsid w:val="29884C1B"/>
    <w:rsid w:val="298857D8"/>
    <w:rsid w:val="2988710A"/>
    <w:rsid w:val="29890093"/>
    <w:rsid w:val="29891E41"/>
    <w:rsid w:val="298962E5"/>
    <w:rsid w:val="29896437"/>
    <w:rsid w:val="298A0B02"/>
    <w:rsid w:val="298A10D5"/>
    <w:rsid w:val="298A3E0B"/>
    <w:rsid w:val="298A5BB9"/>
    <w:rsid w:val="298A691F"/>
    <w:rsid w:val="298B3766"/>
    <w:rsid w:val="298B4095"/>
    <w:rsid w:val="298C1931"/>
    <w:rsid w:val="298C36DF"/>
    <w:rsid w:val="298C55EB"/>
    <w:rsid w:val="298D22DB"/>
    <w:rsid w:val="298D2772"/>
    <w:rsid w:val="298D7483"/>
    <w:rsid w:val="298E2054"/>
    <w:rsid w:val="298E38FB"/>
    <w:rsid w:val="298E626E"/>
    <w:rsid w:val="298E6B26"/>
    <w:rsid w:val="298E7457"/>
    <w:rsid w:val="298F1070"/>
    <w:rsid w:val="298F31CF"/>
    <w:rsid w:val="298F323B"/>
    <w:rsid w:val="298F4F7D"/>
    <w:rsid w:val="29901CE4"/>
    <w:rsid w:val="299034EA"/>
    <w:rsid w:val="29907545"/>
    <w:rsid w:val="299109D5"/>
    <w:rsid w:val="29910CF5"/>
    <w:rsid w:val="29916F47"/>
    <w:rsid w:val="29920B32"/>
    <w:rsid w:val="29930F11"/>
    <w:rsid w:val="29931845"/>
    <w:rsid w:val="29932CBF"/>
    <w:rsid w:val="299332F5"/>
    <w:rsid w:val="29934A6D"/>
    <w:rsid w:val="29934C98"/>
    <w:rsid w:val="29934E82"/>
    <w:rsid w:val="29941994"/>
    <w:rsid w:val="29942A1C"/>
    <w:rsid w:val="29944785"/>
    <w:rsid w:val="29946431"/>
    <w:rsid w:val="29954C89"/>
    <w:rsid w:val="29955480"/>
    <w:rsid w:val="299578E2"/>
    <w:rsid w:val="29957935"/>
    <w:rsid w:val="29965452"/>
    <w:rsid w:val="29965711"/>
    <w:rsid w:val="29965A77"/>
    <w:rsid w:val="2996630C"/>
    <w:rsid w:val="299664D5"/>
    <w:rsid w:val="29967EF1"/>
    <w:rsid w:val="29973106"/>
    <w:rsid w:val="29974847"/>
    <w:rsid w:val="299802D6"/>
    <w:rsid w:val="29982084"/>
    <w:rsid w:val="29982A9F"/>
    <w:rsid w:val="299853AA"/>
    <w:rsid w:val="29986528"/>
    <w:rsid w:val="299910F4"/>
    <w:rsid w:val="299946CD"/>
    <w:rsid w:val="299959C8"/>
    <w:rsid w:val="29995DFC"/>
    <w:rsid w:val="2999784A"/>
    <w:rsid w:val="299A22A0"/>
    <w:rsid w:val="299A22BA"/>
    <w:rsid w:val="299A404E"/>
    <w:rsid w:val="299A42BB"/>
    <w:rsid w:val="299A60F9"/>
    <w:rsid w:val="299B1B74"/>
    <w:rsid w:val="299B7336"/>
    <w:rsid w:val="299B7DC6"/>
    <w:rsid w:val="299C31FE"/>
    <w:rsid w:val="299C5322"/>
    <w:rsid w:val="299C5AE8"/>
    <w:rsid w:val="299D1DEB"/>
    <w:rsid w:val="299D24FB"/>
    <w:rsid w:val="299D3A96"/>
    <w:rsid w:val="299D58EC"/>
    <w:rsid w:val="299D6485"/>
    <w:rsid w:val="299E0389"/>
    <w:rsid w:val="299E1B49"/>
    <w:rsid w:val="299E2FD9"/>
    <w:rsid w:val="299E3412"/>
    <w:rsid w:val="299E7AA4"/>
    <w:rsid w:val="299F0075"/>
    <w:rsid w:val="299F1E59"/>
    <w:rsid w:val="299F3699"/>
    <w:rsid w:val="299F4469"/>
    <w:rsid w:val="299F6AFE"/>
    <w:rsid w:val="299F78B6"/>
    <w:rsid w:val="29A00EFB"/>
    <w:rsid w:val="29A0688C"/>
    <w:rsid w:val="29A076EC"/>
    <w:rsid w:val="29A104CA"/>
    <w:rsid w:val="29A128EF"/>
    <w:rsid w:val="29A139E7"/>
    <w:rsid w:val="29A13F1B"/>
    <w:rsid w:val="29A16DBD"/>
    <w:rsid w:val="29A17CE3"/>
    <w:rsid w:val="29A20219"/>
    <w:rsid w:val="29A20D42"/>
    <w:rsid w:val="29A21154"/>
    <w:rsid w:val="29A22F02"/>
    <w:rsid w:val="29A236A0"/>
    <w:rsid w:val="29A24CB1"/>
    <w:rsid w:val="29A2782D"/>
    <w:rsid w:val="29A30077"/>
    <w:rsid w:val="29A30A29"/>
    <w:rsid w:val="29A32EDD"/>
    <w:rsid w:val="29A44339"/>
    <w:rsid w:val="29A44ECD"/>
    <w:rsid w:val="29A466B6"/>
    <w:rsid w:val="29A46C7B"/>
    <w:rsid w:val="29A46E4B"/>
    <w:rsid w:val="29A547A1"/>
    <w:rsid w:val="29A54F20"/>
    <w:rsid w:val="29A6176B"/>
    <w:rsid w:val="29A66B9A"/>
    <w:rsid w:val="29A70519"/>
    <w:rsid w:val="29A73A5D"/>
    <w:rsid w:val="29A749BD"/>
    <w:rsid w:val="29A7676B"/>
    <w:rsid w:val="29A76BDF"/>
    <w:rsid w:val="29A847D0"/>
    <w:rsid w:val="29A85CC0"/>
    <w:rsid w:val="29A900EC"/>
    <w:rsid w:val="29A924E3"/>
    <w:rsid w:val="29A94291"/>
    <w:rsid w:val="29A9603F"/>
    <w:rsid w:val="29A96161"/>
    <w:rsid w:val="29AA0BC3"/>
    <w:rsid w:val="29AA1A6C"/>
    <w:rsid w:val="29AA1DB7"/>
    <w:rsid w:val="29AA4DFA"/>
    <w:rsid w:val="29AA5774"/>
    <w:rsid w:val="29AA7219"/>
    <w:rsid w:val="29AB5281"/>
    <w:rsid w:val="29AC1FD3"/>
    <w:rsid w:val="29AC3D81"/>
    <w:rsid w:val="29AC7FF1"/>
    <w:rsid w:val="29AD1197"/>
    <w:rsid w:val="29AD1ED5"/>
    <w:rsid w:val="29AD336D"/>
    <w:rsid w:val="29AD6810"/>
    <w:rsid w:val="29AE18A7"/>
    <w:rsid w:val="29AE232E"/>
    <w:rsid w:val="29AE2ACE"/>
    <w:rsid w:val="29AE38F9"/>
    <w:rsid w:val="29AF138D"/>
    <w:rsid w:val="29AF49D2"/>
    <w:rsid w:val="29AF561F"/>
    <w:rsid w:val="29AF73CD"/>
    <w:rsid w:val="29B00767"/>
    <w:rsid w:val="29B03871"/>
    <w:rsid w:val="29B11398"/>
    <w:rsid w:val="29B13146"/>
    <w:rsid w:val="29B2422A"/>
    <w:rsid w:val="29B27D0E"/>
    <w:rsid w:val="29B31E3B"/>
    <w:rsid w:val="29B328DF"/>
    <w:rsid w:val="29B32E5E"/>
    <w:rsid w:val="29B33D32"/>
    <w:rsid w:val="29B34FE9"/>
    <w:rsid w:val="29B35110"/>
    <w:rsid w:val="29B357B0"/>
    <w:rsid w:val="29B36B5A"/>
    <w:rsid w:val="29B36EBE"/>
    <w:rsid w:val="29B42C36"/>
    <w:rsid w:val="29B42E29"/>
    <w:rsid w:val="29B43D97"/>
    <w:rsid w:val="29B449E4"/>
    <w:rsid w:val="29B50E88"/>
    <w:rsid w:val="29B54879"/>
    <w:rsid w:val="29B54AE5"/>
    <w:rsid w:val="29B54E56"/>
    <w:rsid w:val="29B55DEC"/>
    <w:rsid w:val="29B5668F"/>
    <w:rsid w:val="29B570DA"/>
    <w:rsid w:val="29B61260"/>
    <w:rsid w:val="29B65CF7"/>
    <w:rsid w:val="29B661FB"/>
    <w:rsid w:val="29B669AE"/>
    <w:rsid w:val="29B66B05"/>
    <w:rsid w:val="29B726F0"/>
    <w:rsid w:val="29B748D7"/>
    <w:rsid w:val="29B80978"/>
    <w:rsid w:val="29B82726"/>
    <w:rsid w:val="29B83429"/>
    <w:rsid w:val="29B83B80"/>
    <w:rsid w:val="29B91D82"/>
    <w:rsid w:val="29B94235"/>
    <w:rsid w:val="29B97BE1"/>
    <w:rsid w:val="29BA0843"/>
    <w:rsid w:val="29BA2FA5"/>
    <w:rsid w:val="29BA45FF"/>
    <w:rsid w:val="29BA46F0"/>
    <w:rsid w:val="29BB2216"/>
    <w:rsid w:val="29BB4724"/>
    <w:rsid w:val="29BB5D72"/>
    <w:rsid w:val="29BC1B48"/>
    <w:rsid w:val="29BC407A"/>
    <w:rsid w:val="29BD1AEA"/>
    <w:rsid w:val="29BD3223"/>
    <w:rsid w:val="29BD5F8E"/>
    <w:rsid w:val="29BD6562"/>
    <w:rsid w:val="29BD7D3C"/>
    <w:rsid w:val="29BE3DDA"/>
    <w:rsid w:val="29BE5420"/>
    <w:rsid w:val="29BF0B75"/>
    <w:rsid w:val="29BF549C"/>
    <w:rsid w:val="29C00CF4"/>
    <w:rsid w:val="29C015DB"/>
    <w:rsid w:val="29C02C2B"/>
    <w:rsid w:val="29C037A2"/>
    <w:rsid w:val="29C03EC6"/>
    <w:rsid w:val="29C15A7E"/>
    <w:rsid w:val="29C23335"/>
    <w:rsid w:val="29C236CA"/>
    <w:rsid w:val="29C23CC1"/>
    <w:rsid w:val="29C25353"/>
    <w:rsid w:val="29C273E5"/>
    <w:rsid w:val="29C323D4"/>
    <w:rsid w:val="29C342B8"/>
    <w:rsid w:val="29C34D9C"/>
    <w:rsid w:val="29C3742E"/>
    <w:rsid w:val="29C42A2C"/>
    <w:rsid w:val="29C42E79"/>
    <w:rsid w:val="29C43864"/>
    <w:rsid w:val="29C4731D"/>
    <w:rsid w:val="29C520EB"/>
    <w:rsid w:val="29C54E43"/>
    <w:rsid w:val="29C60D55"/>
    <w:rsid w:val="29C62DDE"/>
    <w:rsid w:val="29C63095"/>
    <w:rsid w:val="29C640A6"/>
    <w:rsid w:val="29C65737"/>
    <w:rsid w:val="29C70BBB"/>
    <w:rsid w:val="29C76E0D"/>
    <w:rsid w:val="29C80431"/>
    <w:rsid w:val="29C808BC"/>
    <w:rsid w:val="29C80AFB"/>
    <w:rsid w:val="29C829D9"/>
    <w:rsid w:val="29C82F0C"/>
    <w:rsid w:val="29C8349F"/>
    <w:rsid w:val="29C83675"/>
    <w:rsid w:val="29C84034"/>
    <w:rsid w:val="29C86E9B"/>
    <w:rsid w:val="29C8726F"/>
    <w:rsid w:val="29C9048F"/>
    <w:rsid w:val="29C93E27"/>
    <w:rsid w:val="29C94933"/>
    <w:rsid w:val="29C94B05"/>
    <w:rsid w:val="29C964A0"/>
    <w:rsid w:val="29CA0454"/>
    <w:rsid w:val="29CA2459"/>
    <w:rsid w:val="29CA4207"/>
    <w:rsid w:val="29CA5713"/>
    <w:rsid w:val="29CB06AB"/>
    <w:rsid w:val="29CB7425"/>
    <w:rsid w:val="29CC039F"/>
    <w:rsid w:val="29CC7F7F"/>
    <w:rsid w:val="29CD1684"/>
    <w:rsid w:val="29CD2329"/>
    <w:rsid w:val="29CD55D7"/>
    <w:rsid w:val="29CE1F49"/>
    <w:rsid w:val="29CE3CF8"/>
    <w:rsid w:val="29CE5AA6"/>
    <w:rsid w:val="29CF4C4F"/>
    <w:rsid w:val="29CF63D3"/>
    <w:rsid w:val="29CF7236"/>
    <w:rsid w:val="29D00CD1"/>
    <w:rsid w:val="29D05CC2"/>
    <w:rsid w:val="29D07A70"/>
    <w:rsid w:val="29D15596"/>
    <w:rsid w:val="29D15E68"/>
    <w:rsid w:val="29D20A3F"/>
    <w:rsid w:val="29D3130E"/>
    <w:rsid w:val="29D37560"/>
    <w:rsid w:val="29D4050A"/>
    <w:rsid w:val="29D447E9"/>
    <w:rsid w:val="29D451DB"/>
    <w:rsid w:val="29D53B9C"/>
    <w:rsid w:val="29D54A7A"/>
    <w:rsid w:val="29D54CD3"/>
    <w:rsid w:val="29D55086"/>
    <w:rsid w:val="29D555AD"/>
    <w:rsid w:val="29D60DFE"/>
    <w:rsid w:val="29D62BAC"/>
    <w:rsid w:val="29D662F4"/>
    <w:rsid w:val="29D67050"/>
    <w:rsid w:val="29D7495D"/>
    <w:rsid w:val="29D764D8"/>
    <w:rsid w:val="29D81C33"/>
    <w:rsid w:val="29D82DC8"/>
    <w:rsid w:val="29D84B76"/>
    <w:rsid w:val="29D86924"/>
    <w:rsid w:val="29D945FA"/>
    <w:rsid w:val="29DA269C"/>
    <w:rsid w:val="29DA6B40"/>
    <w:rsid w:val="29DB4666"/>
    <w:rsid w:val="29DB6414"/>
    <w:rsid w:val="29DD0242"/>
    <w:rsid w:val="29DD03DE"/>
    <w:rsid w:val="29DD218D"/>
    <w:rsid w:val="29DD440B"/>
    <w:rsid w:val="29DE0258"/>
    <w:rsid w:val="29DE1448"/>
    <w:rsid w:val="29DE2775"/>
    <w:rsid w:val="29DF5F05"/>
    <w:rsid w:val="29DF7CB3"/>
    <w:rsid w:val="29E035C3"/>
    <w:rsid w:val="29E03A2B"/>
    <w:rsid w:val="29E17ECF"/>
    <w:rsid w:val="29E21551"/>
    <w:rsid w:val="29E2199A"/>
    <w:rsid w:val="29E277A3"/>
    <w:rsid w:val="29E31088"/>
    <w:rsid w:val="29E325E0"/>
    <w:rsid w:val="29E32D39"/>
    <w:rsid w:val="29E3739C"/>
    <w:rsid w:val="29E4071B"/>
    <w:rsid w:val="29E4351B"/>
    <w:rsid w:val="29E452C9"/>
    <w:rsid w:val="29E466CE"/>
    <w:rsid w:val="29E51041"/>
    <w:rsid w:val="29E52B9D"/>
    <w:rsid w:val="29E57290"/>
    <w:rsid w:val="29E57B1E"/>
    <w:rsid w:val="29E606C2"/>
    <w:rsid w:val="29E62DF9"/>
    <w:rsid w:val="29E67293"/>
    <w:rsid w:val="29E6743B"/>
    <w:rsid w:val="29E67D49"/>
    <w:rsid w:val="29E71F35"/>
    <w:rsid w:val="29E7300B"/>
    <w:rsid w:val="29E74DB9"/>
    <w:rsid w:val="29E74ECF"/>
    <w:rsid w:val="29E754BD"/>
    <w:rsid w:val="29E76EA7"/>
    <w:rsid w:val="29E77D42"/>
    <w:rsid w:val="29E87670"/>
    <w:rsid w:val="29E87A70"/>
    <w:rsid w:val="29E90B31"/>
    <w:rsid w:val="29E928DF"/>
    <w:rsid w:val="29E929AE"/>
    <w:rsid w:val="29E940EF"/>
    <w:rsid w:val="29E94B19"/>
    <w:rsid w:val="29E97F12"/>
    <w:rsid w:val="29EA557F"/>
    <w:rsid w:val="29EB5F97"/>
    <w:rsid w:val="29EC02B4"/>
    <w:rsid w:val="29EC0622"/>
    <w:rsid w:val="29EC132F"/>
    <w:rsid w:val="29EC23D0"/>
    <w:rsid w:val="29EC42BC"/>
    <w:rsid w:val="29EC6874"/>
    <w:rsid w:val="29EC6EA3"/>
    <w:rsid w:val="29EE439A"/>
    <w:rsid w:val="29EE6148"/>
    <w:rsid w:val="29EE768D"/>
    <w:rsid w:val="29EE7EF6"/>
    <w:rsid w:val="29EF0281"/>
    <w:rsid w:val="29EF140A"/>
    <w:rsid w:val="29EF2AC2"/>
    <w:rsid w:val="29EF3C6E"/>
    <w:rsid w:val="29EF4ABC"/>
    <w:rsid w:val="29F00112"/>
    <w:rsid w:val="29F00514"/>
    <w:rsid w:val="29F00C75"/>
    <w:rsid w:val="29F021D3"/>
    <w:rsid w:val="29F02228"/>
    <w:rsid w:val="29F03A36"/>
    <w:rsid w:val="29F0497A"/>
    <w:rsid w:val="29F0526A"/>
    <w:rsid w:val="29F13D11"/>
    <w:rsid w:val="29F14F71"/>
    <w:rsid w:val="29F179E6"/>
    <w:rsid w:val="29F2365B"/>
    <w:rsid w:val="29F23838"/>
    <w:rsid w:val="29F23E8A"/>
    <w:rsid w:val="29F25A7E"/>
    <w:rsid w:val="29F305CF"/>
    <w:rsid w:val="29F319B0"/>
    <w:rsid w:val="29F325E0"/>
    <w:rsid w:val="29F3375E"/>
    <w:rsid w:val="29F36060"/>
    <w:rsid w:val="29F37C02"/>
    <w:rsid w:val="29F44D3F"/>
    <w:rsid w:val="29F50380"/>
    <w:rsid w:val="29F51284"/>
    <w:rsid w:val="29F54FA2"/>
    <w:rsid w:val="29F554B9"/>
    <w:rsid w:val="29F55728"/>
    <w:rsid w:val="29F62B15"/>
    <w:rsid w:val="29F64FFC"/>
    <w:rsid w:val="29F66CC6"/>
    <w:rsid w:val="29F714A0"/>
    <w:rsid w:val="29F76442"/>
    <w:rsid w:val="29F76C95"/>
    <w:rsid w:val="29F85218"/>
    <w:rsid w:val="29F86FC6"/>
    <w:rsid w:val="29F90068"/>
    <w:rsid w:val="29F92B65"/>
    <w:rsid w:val="29F97E7A"/>
    <w:rsid w:val="29FA0F90"/>
    <w:rsid w:val="29FA1F67"/>
    <w:rsid w:val="29FA3933"/>
    <w:rsid w:val="29FA4AED"/>
    <w:rsid w:val="29FA5FF7"/>
    <w:rsid w:val="29FA689B"/>
    <w:rsid w:val="29FB0865"/>
    <w:rsid w:val="29FB4DC3"/>
    <w:rsid w:val="29FB5CF1"/>
    <w:rsid w:val="29FC2772"/>
    <w:rsid w:val="29FD22B4"/>
    <w:rsid w:val="29FD2868"/>
    <w:rsid w:val="29FD638B"/>
    <w:rsid w:val="29FD770B"/>
    <w:rsid w:val="29FE0780"/>
    <w:rsid w:val="29FE0843"/>
    <w:rsid w:val="29FE3DFA"/>
    <w:rsid w:val="29FE4E85"/>
    <w:rsid w:val="29FE66F3"/>
    <w:rsid w:val="29FF0355"/>
    <w:rsid w:val="29FF542B"/>
    <w:rsid w:val="29FF65A7"/>
    <w:rsid w:val="29FF6D9B"/>
    <w:rsid w:val="29FF6F50"/>
    <w:rsid w:val="29FF7471"/>
    <w:rsid w:val="29FF78F4"/>
    <w:rsid w:val="2A005E7B"/>
    <w:rsid w:val="2A0077A5"/>
    <w:rsid w:val="2A007C29"/>
    <w:rsid w:val="2A013806"/>
    <w:rsid w:val="2A0140CD"/>
    <w:rsid w:val="2A022A1E"/>
    <w:rsid w:val="2A0239A1"/>
    <w:rsid w:val="2A026295"/>
    <w:rsid w:val="2A027E45"/>
    <w:rsid w:val="2A030CA5"/>
    <w:rsid w:val="2A033126"/>
    <w:rsid w:val="2A034BDC"/>
    <w:rsid w:val="2A036570"/>
    <w:rsid w:val="2A037E75"/>
    <w:rsid w:val="2A04110F"/>
    <w:rsid w:val="2A041840"/>
    <w:rsid w:val="2A04596B"/>
    <w:rsid w:val="2A047719"/>
    <w:rsid w:val="2A050933"/>
    <w:rsid w:val="2A050A46"/>
    <w:rsid w:val="2A052370"/>
    <w:rsid w:val="2A0529D7"/>
    <w:rsid w:val="2A0533A4"/>
    <w:rsid w:val="2A06107F"/>
    <w:rsid w:val="2A0616E3"/>
    <w:rsid w:val="2A063491"/>
    <w:rsid w:val="2A063D0E"/>
    <w:rsid w:val="2A067935"/>
    <w:rsid w:val="2A070A19"/>
    <w:rsid w:val="2A070FB7"/>
    <w:rsid w:val="2A0748A0"/>
    <w:rsid w:val="2A074DD0"/>
    <w:rsid w:val="2A077209"/>
    <w:rsid w:val="2A077678"/>
    <w:rsid w:val="2A080B08"/>
    <w:rsid w:val="2A0859AA"/>
    <w:rsid w:val="2A08676D"/>
    <w:rsid w:val="2A097A63"/>
    <w:rsid w:val="2A0A0667"/>
    <w:rsid w:val="2A0A3428"/>
    <w:rsid w:val="2A0A5D29"/>
    <w:rsid w:val="2A0A6017"/>
    <w:rsid w:val="2A0B1726"/>
    <w:rsid w:val="2A0B48B8"/>
    <w:rsid w:val="2A0B4FC0"/>
    <w:rsid w:val="2A0B59F6"/>
    <w:rsid w:val="2A0B7489"/>
    <w:rsid w:val="2A0C0919"/>
    <w:rsid w:val="2A0C65CE"/>
    <w:rsid w:val="2A0D057E"/>
    <w:rsid w:val="2A0D0CC4"/>
    <w:rsid w:val="2A0D1DA9"/>
    <w:rsid w:val="2A0E497A"/>
    <w:rsid w:val="2A0E6EF1"/>
    <w:rsid w:val="2A0F0193"/>
    <w:rsid w:val="2A0F3FFD"/>
    <w:rsid w:val="2A0F5E0A"/>
    <w:rsid w:val="2A10129E"/>
    <w:rsid w:val="2A102562"/>
    <w:rsid w:val="2A103412"/>
    <w:rsid w:val="2A1042E6"/>
    <w:rsid w:val="2A1060BE"/>
    <w:rsid w:val="2A107188"/>
    <w:rsid w:val="2A111BBA"/>
    <w:rsid w:val="2A1120E6"/>
    <w:rsid w:val="2A1132FB"/>
    <w:rsid w:val="2A1262DA"/>
    <w:rsid w:val="2A1306C0"/>
    <w:rsid w:val="2A131096"/>
    <w:rsid w:val="2A135C1B"/>
    <w:rsid w:val="2A13795C"/>
    <w:rsid w:val="2A1408E5"/>
    <w:rsid w:val="2A151926"/>
    <w:rsid w:val="2A152FFA"/>
    <w:rsid w:val="2A15310C"/>
    <w:rsid w:val="2A1541D4"/>
    <w:rsid w:val="2A154B9F"/>
    <w:rsid w:val="2A160995"/>
    <w:rsid w:val="2A160E4E"/>
    <w:rsid w:val="2A16599D"/>
    <w:rsid w:val="2A165E19"/>
    <w:rsid w:val="2A166D4E"/>
    <w:rsid w:val="2A16744D"/>
    <w:rsid w:val="2A1706A1"/>
    <w:rsid w:val="2A172A24"/>
    <w:rsid w:val="2A172A3E"/>
    <w:rsid w:val="2A172F05"/>
    <w:rsid w:val="2A1738F0"/>
    <w:rsid w:val="2A175A2C"/>
    <w:rsid w:val="2A175CBD"/>
    <w:rsid w:val="2A180232"/>
    <w:rsid w:val="2A182A1D"/>
    <w:rsid w:val="2A1831C5"/>
    <w:rsid w:val="2A18547A"/>
    <w:rsid w:val="2A186BEA"/>
    <w:rsid w:val="2A187669"/>
    <w:rsid w:val="2A191BD4"/>
    <w:rsid w:val="2A193DB0"/>
    <w:rsid w:val="2A193F11"/>
    <w:rsid w:val="2A193F73"/>
    <w:rsid w:val="2A197FC4"/>
    <w:rsid w:val="2A1A0CEB"/>
    <w:rsid w:val="2A1A518F"/>
    <w:rsid w:val="2A1A62DE"/>
    <w:rsid w:val="2A1A6820"/>
    <w:rsid w:val="2A1B05EA"/>
    <w:rsid w:val="2A1B4A63"/>
    <w:rsid w:val="2A1B5CDA"/>
    <w:rsid w:val="2A1C0F07"/>
    <w:rsid w:val="2A1C25CC"/>
    <w:rsid w:val="2A1C3F0A"/>
    <w:rsid w:val="2A1D07DB"/>
    <w:rsid w:val="2A1D0A9F"/>
    <w:rsid w:val="2A1D31BA"/>
    <w:rsid w:val="2A1D4C7F"/>
    <w:rsid w:val="2A1D6CD1"/>
    <w:rsid w:val="2A1E23B1"/>
    <w:rsid w:val="2A1E6D3F"/>
    <w:rsid w:val="2A1F00A4"/>
    <w:rsid w:val="2A1F1F26"/>
    <w:rsid w:val="2A1F221E"/>
    <w:rsid w:val="2A1F439F"/>
    <w:rsid w:val="2A1F4553"/>
    <w:rsid w:val="2A1F68E0"/>
    <w:rsid w:val="2A204996"/>
    <w:rsid w:val="2A206227"/>
    <w:rsid w:val="2A207928"/>
    <w:rsid w:val="2A2102CB"/>
    <w:rsid w:val="2A211624"/>
    <w:rsid w:val="2A2116AE"/>
    <w:rsid w:val="2A2179ED"/>
    <w:rsid w:val="2A2204A4"/>
    <w:rsid w:val="2A222163"/>
    <w:rsid w:val="2A222B3E"/>
    <w:rsid w:val="2A224043"/>
    <w:rsid w:val="2A225DF1"/>
    <w:rsid w:val="2A2278C6"/>
    <w:rsid w:val="2A232CAA"/>
    <w:rsid w:val="2A23357E"/>
    <w:rsid w:val="2A236769"/>
    <w:rsid w:val="2A240705"/>
    <w:rsid w:val="2A2411D9"/>
    <w:rsid w:val="2A24600D"/>
    <w:rsid w:val="2A246B9F"/>
    <w:rsid w:val="2A246D60"/>
    <w:rsid w:val="2A2474D0"/>
    <w:rsid w:val="2A247DBB"/>
    <w:rsid w:val="2A250B98"/>
    <w:rsid w:val="2A251E9F"/>
    <w:rsid w:val="2A255246"/>
    <w:rsid w:val="2A257690"/>
    <w:rsid w:val="2A261D85"/>
    <w:rsid w:val="2A263B34"/>
    <w:rsid w:val="2A263B5A"/>
    <w:rsid w:val="2A270F03"/>
    <w:rsid w:val="2A27165A"/>
    <w:rsid w:val="2A271EBB"/>
    <w:rsid w:val="2A273408"/>
    <w:rsid w:val="2A2736F5"/>
    <w:rsid w:val="2A282186"/>
    <w:rsid w:val="2A2878AC"/>
    <w:rsid w:val="2A291581"/>
    <w:rsid w:val="2A2933E4"/>
    <w:rsid w:val="2A2A21F0"/>
    <w:rsid w:val="2A2A3EA1"/>
    <w:rsid w:val="2A2A4B12"/>
    <w:rsid w:val="2A2A678B"/>
    <w:rsid w:val="2A2A7CC5"/>
    <w:rsid w:val="2A2B03E7"/>
    <w:rsid w:val="2A2B114A"/>
    <w:rsid w:val="2A2B3B9E"/>
    <w:rsid w:val="2A2B739C"/>
    <w:rsid w:val="2A2C0A1E"/>
    <w:rsid w:val="2A2C67C1"/>
    <w:rsid w:val="2A2C6C70"/>
    <w:rsid w:val="2A2C7C68"/>
    <w:rsid w:val="2A2C7F02"/>
    <w:rsid w:val="2A2D4EC2"/>
    <w:rsid w:val="2A2E29E8"/>
    <w:rsid w:val="2A2E4796"/>
    <w:rsid w:val="2A2E6039"/>
    <w:rsid w:val="2A2E6F54"/>
    <w:rsid w:val="2A2F4422"/>
    <w:rsid w:val="2A2F6C0B"/>
    <w:rsid w:val="2A30050E"/>
    <w:rsid w:val="2A300766"/>
    <w:rsid w:val="2A3049B2"/>
    <w:rsid w:val="2A306760"/>
    <w:rsid w:val="2A3102E7"/>
    <w:rsid w:val="2A314286"/>
    <w:rsid w:val="2A315B45"/>
    <w:rsid w:val="2A32072A"/>
    <w:rsid w:val="2A3224D8"/>
    <w:rsid w:val="2A326B67"/>
    <w:rsid w:val="2A331DAD"/>
    <w:rsid w:val="2A332A5B"/>
    <w:rsid w:val="2A333AC3"/>
    <w:rsid w:val="2A334DF7"/>
    <w:rsid w:val="2A336250"/>
    <w:rsid w:val="2A337FFE"/>
    <w:rsid w:val="2A34120B"/>
    <w:rsid w:val="2A351D0E"/>
    <w:rsid w:val="2A355B25"/>
    <w:rsid w:val="2A362444"/>
    <w:rsid w:val="2A363B85"/>
    <w:rsid w:val="2A363EB7"/>
    <w:rsid w:val="2A371704"/>
    <w:rsid w:val="2A37427E"/>
    <w:rsid w:val="2A376EBE"/>
    <w:rsid w:val="2A377AEF"/>
    <w:rsid w:val="2A383BEA"/>
    <w:rsid w:val="2A385615"/>
    <w:rsid w:val="2A391AB9"/>
    <w:rsid w:val="2A391AFB"/>
    <w:rsid w:val="2A3925BD"/>
    <w:rsid w:val="2A397935"/>
    <w:rsid w:val="2A3A138D"/>
    <w:rsid w:val="2A3A1E41"/>
    <w:rsid w:val="2A3A313B"/>
    <w:rsid w:val="2A3A3353"/>
    <w:rsid w:val="2A3B228C"/>
    <w:rsid w:val="2A3B37C9"/>
    <w:rsid w:val="2A3B392D"/>
    <w:rsid w:val="2A3B4E26"/>
    <w:rsid w:val="2A3B5E1B"/>
    <w:rsid w:val="2A3B65BE"/>
    <w:rsid w:val="2A3C129F"/>
    <w:rsid w:val="2A3C233A"/>
    <w:rsid w:val="2A3C49DB"/>
    <w:rsid w:val="2A3C5105"/>
    <w:rsid w:val="2A3C62B6"/>
    <w:rsid w:val="2A3C6EB3"/>
    <w:rsid w:val="2A3D2C2B"/>
    <w:rsid w:val="2A3D458D"/>
    <w:rsid w:val="2A3E70CF"/>
    <w:rsid w:val="2A3F0751"/>
    <w:rsid w:val="2A3F09C8"/>
    <w:rsid w:val="2A3F37A7"/>
    <w:rsid w:val="2A3F69A3"/>
    <w:rsid w:val="2A40055A"/>
    <w:rsid w:val="2A407808"/>
    <w:rsid w:val="2A41096D"/>
    <w:rsid w:val="2A41271B"/>
    <w:rsid w:val="2A413259"/>
    <w:rsid w:val="2A42411F"/>
    <w:rsid w:val="2A424A81"/>
    <w:rsid w:val="2A426494"/>
    <w:rsid w:val="2A4346E5"/>
    <w:rsid w:val="2A43769D"/>
    <w:rsid w:val="2A440156"/>
    <w:rsid w:val="2A44045E"/>
    <w:rsid w:val="2A443FBA"/>
    <w:rsid w:val="2A452503"/>
    <w:rsid w:val="2A454EB8"/>
    <w:rsid w:val="2A457619"/>
    <w:rsid w:val="2A461AE0"/>
    <w:rsid w:val="2A461BE1"/>
    <w:rsid w:val="2A462DFF"/>
    <w:rsid w:val="2A465548"/>
    <w:rsid w:val="2A46578A"/>
    <w:rsid w:val="2A465F84"/>
    <w:rsid w:val="2A467D32"/>
    <w:rsid w:val="2A473AAA"/>
    <w:rsid w:val="2A474B0A"/>
    <w:rsid w:val="2A475858"/>
    <w:rsid w:val="2A475DA5"/>
    <w:rsid w:val="2A476855"/>
    <w:rsid w:val="2A481CFC"/>
    <w:rsid w:val="2A482E16"/>
    <w:rsid w:val="2A484859"/>
    <w:rsid w:val="2A485A1E"/>
    <w:rsid w:val="2A48615E"/>
    <w:rsid w:val="2A487D32"/>
    <w:rsid w:val="2A4915D0"/>
    <w:rsid w:val="2A491EF9"/>
    <w:rsid w:val="2A495A74"/>
    <w:rsid w:val="2A496A6F"/>
    <w:rsid w:val="2A49742A"/>
    <w:rsid w:val="2A497822"/>
    <w:rsid w:val="2A4B4255"/>
    <w:rsid w:val="2A4B5066"/>
    <w:rsid w:val="2A4C25E8"/>
    <w:rsid w:val="2A4C2ACF"/>
    <w:rsid w:val="2A4C2E6E"/>
    <w:rsid w:val="2A4C567D"/>
    <w:rsid w:val="2A4C68E4"/>
    <w:rsid w:val="2A4D7312"/>
    <w:rsid w:val="2A4E1CD2"/>
    <w:rsid w:val="2A4E27D5"/>
    <w:rsid w:val="2A4E6BE6"/>
    <w:rsid w:val="2A4F06B7"/>
    <w:rsid w:val="2A4F3BE0"/>
    <w:rsid w:val="2A4F61ED"/>
    <w:rsid w:val="2A500BB0"/>
    <w:rsid w:val="2A50295E"/>
    <w:rsid w:val="2A50425B"/>
    <w:rsid w:val="2A505FC9"/>
    <w:rsid w:val="2A5079C8"/>
    <w:rsid w:val="2A51078D"/>
    <w:rsid w:val="2A510DA5"/>
    <w:rsid w:val="2A521929"/>
    <w:rsid w:val="2A5266D7"/>
    <w:rsid w:val="2A5306A1"/>
    <w:rsid w:val="2A5371A1"/>
    <w:rsid w:val="2A5410F4"/>
    <w:rsid w:val="2A5438D8"/>
    <w:rsid w:val="2A552E31"/>
    <w:rsid w:val="2A552F76"/>
    <w:rsid w:val="2A5559CD"/>
    <w:rsid w:val="2A5562EB"/>
    <w:rsid w:val="2A557B68"/>
    <w:rsid w:val="2A557F75"/>
    <w:rsid w:val="2A561E4D"/>
    <w:rsid w:val="2A5623DE"/>
    <w:rsid w:val="2A563FC5"/>
    <w:rsid w:val="2A570191"/>
    <w:rsid w:val="2A571F3F"/>
    <w:rsid w:val="2A573CED"/>
    <w:rsid w:val="2A5743F0"/>
    <w:rsid w:val="2A581813"/>
    <w:rsid w:val="2A5826B1"/>
    <w:rsid w:val="2A5850DC"/>
    <w:rsid w:val="2A586417"/>
    <w:rsid w:val="2A587D57"/>
    <w:rsid w:val="2A5941D9"/>
    <w:rsid w:val="2A5969E5"/>
    <w:rsid w:val="2A596F1F"/>
    <w:rsid w:val="2A5A1A2F"/>
    <w:rsid w:val="2A5A32B3"/>
    <w:rsid w:val="2A5A37DD"/>
    <w:rsid w:val="2A5A558B"/>
    <w:rsid w:val="2A5C0F49"/>
    <w:rsid w:val="2A5C1303"/>
    <w:rsid w:val="2A5C57A7"/>
    <w:rsid w:val="2A5C7555"/>
    <w:rsid w:val="2A5D507B"/>
    <w:rsid w:val="2A5D55EF"/>
    <w:rsid w:val="2A5E01C0"/>
    <w:rsid w:val="2A5E151F"/>
    <w:rsid w:val="2A5E32CD"/>
    <w:rsid w:val="2A5F0DF4"/>
    <w:rsid w:val="2A5F2140"/>
    <w:rsid w:val="2A5F2AB6"/>
    <w:rsid w:val="2A5F2B4C"/>
    <w:rsid w:val="2A5F2BA2"/>
    <w:rsid w:val="2A5F2D91"/>
    <w:rsid w:val="2A5F4221"/>
    <w:rsid w:val="2A5F7045"/>
    <w:rsid w:val="2A602AE0"/>
    <w:rsid w:val="2A604980"/>
    <w:rsid w:val="2A6056B1"/>
    <w:rsid w:val="2A6056F0"/>
    <w:rsid w:val="2A612DBE"/>
    <w:rsid w:val="2A614B6C"/>
    <w:rsid w:val="2A61691A"/>
    <w:rsid w:val="2A620A8F"/>
    <w:rsid w:val="2A6250D8"/>
    <w:rsid w:val="2A6262F4"/>
    <w:rsid w:val="2A627180"/>
    <w:rsid w:val="2A627FD1"/>
    <w:rsid w:val="2A6308E4"/>
    <w:rsid w:val="2A636B36"/>
    <w:rsid w:val="2A6401B8"/>
    <w:rsid w:val="2A6428AE"/>
    <w:rsid w:val="2A64465C"/>
    <w:rsid w:val="2A646307"/>
    <w:rsid w:val="2A6521C0"/>
    <w:rsid w:val="2A655330"/>
    <w:rsid w:val="2A656B02"/>
    <w:rsid w:val="2A6603D4"/>
    <w:rsid w:val="2A662182"/>
    <w:rsid w:val="2A663D63"/>
    <w:rsid w:val="2A666797"/>
    <w:rsid w:val="2A666E0D"/>
    <w:rsid w:val="2A667C5C"/>
    <w:rsid w:val="2A67047B"/>
    <w:rsid w:val="2A681272"/>
    <w:rsid w:val="2A68351E"/>
    <w:rsid w:val="2A68414C"/>
    <w:rsid w:val="2A691C72"/>
    <w:rsid w:val="2A692A5C"/>
    <w:rsid w:val="2A693A20"/>
    <w:rsid w:val="2A6952D3"/>
    <w:rsid w:val="2A695E6F"/>
    <w:rsid w:val="2A697EC4"/>
    <w:rsid w:val="2A6A231A"/>
    <w:rsid w:val="2A6A428D"/>
    <w:rsid w:val="2A6A570C"/>
    <w:rsid w:val="2A6A6DE7"/>
    <w:rsid w:val="2A6B0C90"/>
    <w:rsid w:val="2A6B1546"/>
    <w:rsid w:val="2A6B1740"/>
    <w:rsid w:val="2A6B59EA"/>
    <w:rsid w:val="2A6B6C80"/>
    <w:rsid w:val="2A6B7BF3"/>
    <w:rsid w:val="2A6C3C54"/>
    <w:rsid w:val="2A6C52BE"/>
    <w:rsid w:val="2A6C6813"/>
    <w:rsid w:val="2A6C70CB"/>
    <w:rsid w:val="2A6D3510"/>
    <w:rsid w:val="2A6D4248"/>
    <w:rsid w:val="2A6D49CA"/>
    <w:rsid w:val="2A6E1037"/>
    <w:rsid w:val="2A6E146B"/>
    <w:rsid w:val="2A6E46DA"/>
    <w:rsid w:val="2A6E6574"/>
    <w:rsid w:val="2A6E7289"/>
    <w:rsid w:val="2A701253"/>
    <w:rsid w:val="2A7028F7"/>
    <w:rsid w:val="2A703001"/>
    <w:rsid w:val="2A703795"/>
    <w:rsid w:val="2A70409E"/>
    <w:rsid w:val="2A704DAF"/>
    <w:rsid w:val="2A705F20"/>
    <w:rsid w:val="2A7072C9"/>
    <w:rsid w:val="2A715E74"/>
    <w:rsid w:val="2A720B27"/>
    <w:rsid w:val="2A724EF5"/>
    <w:rsid w:val="2A726D79"/>
    <w:rsid w:val="2A7319B6"/>
    <w:rsid w:val="2A73489F"/>
    <w:rsid w:val="2A73587A"/>
    <w:rsid w:val="2A73659C"/>
    <w:rsid w:val="2A73664D"/>
    <w:rsid w:val="2A7369C2"/>
    <w:rsid w:val="2A742AF1"/>
    <w:rsid w:val="2A7431C6"/>
    <w:rsid w:val="2A743B5B"/>
    <w:rsid w:val="2A750617"/>
    <w:rsid w:val="2A7523C5"/>
    <w:rsid w:val="2A753876"/>
    <w:rsid w:val="2A754FB7"/>
    <w:rsid w:val="2A7570ED"/>
    <w:rsid w:val="2A757CA7"/>
    <w:rsid w:val="2A763948"/>
    <w:rsid w:val="2A765DEA"/>
    <w:rsid w:val="2A766447"/>
    <w:rsid w:val="2A770D67"/>
    <w:rsid w:val="2A7720BD"/>
    <w:rsid w:val="2A7724A8"/>
    <w:rsid w:val="2A77438F"/>
    <w:rsid w:val="2A775DC1"/>
    <w:rsid w:val="2A77613D"/>
    <w:rsid w:val="2A781EB5"/>
    <w:rsid w:val="2A782CAB"/>
    <w:rsid w:val="2A790107"/>
    <w:rsid w:val="2A796BCF"/>
    <w:rsid w:val="2A7A04C6"/>
    <w:rsid w:val="2A7A6258"/>
    <w:rsid w:val="2A7A7E89"/>
    <w:rsid w:val="2A7B041E"/>
    <w:rsid w:val="2A7B137B"/>
    <w:rsid w:val="2A7B76E8"/>
    <w:rsid w:val="2A7C0B78"/>
    <w:rsid w:val="2A7C19A5"/>
    <w:rsid w:val="2A7C6900"/>
    <w:rsid w:val="2A7C7BF7"/>
    <w:rsid w:val="2A7D127A"/>
    <w:rsid w:val="2A7D31F3"/>
    <w:rsid w:val="2A7D4BD9"/>
    <w:rsid w:val="2A7D74CC"/>
    <w:rsid w:val="2A7E0A31"/>
    <w:rsid w:val="2A7E3970"/>
    <w:rsid w:val="2A7E569C"/>
    <w:rsid w:val="2A7E7951"/>
    <w:rsid w:val="2A7F0ACE"/>
    <w:rsid w:val="2A7F1496"/>
    <w:rsid w:val="2A7F55A2"/>
    <w:rsid w:val="2A7F771F"/>
    <w:rsid w:val="2A8003F3"/>
    <w:rsid w:val="2A804513"/>
    <w:rsid w:val="2A8104E9"/>
    <w:rsid w:val="2A81355A"/>
    <w:rsid w:val="2A813C34"/>
    <w:rsid w:val="2A813F2A"/>
    <w:rsid w:val="2A8275BB"/>
    <w:rsid w:val="2A832D10"/>
    <w:rsid w:val="2A832D34"/>
    <w:rsid w:val="2A834AE2"/>
    <w:rsid w:val="2A8373ED"/>
    <w:rsid w:val="2A841EDB"/>
    <w:rsid w:val="2A842608"/>
    <w:rsid w:val="2A846AAC"/>
    <w:rsid w:val="2A854AAC"/>
    <w:rsid w:val="2A855F3C"/>
    <w:rsid w:val="2A865EC9"/>
    <w:rsid w:val="2A866380"/>
    <w:rsid w:val="2A8672FE"/>
    <w:rsid w:val="2A874583"/>
    <w:rsid w:val="2A88034A"/>
    <w:rsid w:val="2A881CEC"/>
    <w:rsid w:val="2A8820F8"/>
    <w:rsid w:val="2A88218A"/>
    <w:rsid w:val="2A88342D"/>
    <w:rsid w:val="2A88659C"/>
    <w:rsid w:val="2A886695"/>
    <w:rsid w:val="2A8879BC"/>
    <w:rsid w:val="2A8916D2"/>
    <w:rsid w:val="2A892A92"/>
    <w:rsid w:val="2A893B6E"/>
    <w:rsid w:val="2A8940C2"/>
    <w:rsid w:val="2A894881"/>
    <w:rsid w:val="2A895D92"/>
    <w:rsid w:val="2A8A0E3F"/>
    <w:rsid w:val="2A8A2314"/>
    <w:rsid w:val="2A8A4A6F"/>
    <w:rsid w:val="2A8A6DFB"/>
    <w:rsid w:val="2A8B1BE9"/>
    <w:rsid w:val="2A8B2AA1"/>
    <w:rsid w:val="2A8B3997"/>
    <w:rsid w:val="2A8B6F60"/>
    <w:rsid w:val="2A8B74D8"/>
    <w:rsid w:val="2A8C5319"/>
    <w:rsid w:val="2A8D2502"/>
    <w:rsid w:val="2A8D5961"/>
    <w:rsid w:val="2A8D770F"/>
    <w:rsid w:val="2A8E02ED"/>
    <w:rsid w:val="2A8E16D9"/>
    <w:rsid w:val="2A8E4FD3"/>
    <w:rsid w:val="2A8F0880"/>
    <w:rsid w:val="2A8F4E2F"/>
    <w:rsid w:val="2A8F792B"/>
    <w:rsid w:val="2A900B3D"/>
    <w:rsid w:val="2A900FAD"/>
    <w:rsid w:val="2A9037DF"/>
    <w:rsid w:val="2A903CEF"/>
    <w:rsid w:val="2A905451"/>
    <w:rsid w:val="2A9101F5"/>
    <w:rsid w:val="2A915742"/>
    <w:rsid w:val="2A9211C9"/>
    <w:rsid w:val="2A921460"/>
    <w:rsid w:val="2A922CB6"/>
    <w:rsid w:val="2A922F77"/>
    <w:rsid w:val="2A924D25"/>
    <w:rsid w:val="2A926C3A"/>
    <w:rsid w:val="2A9270B0"/>
    <w:rsid w:val="2A930A9D"/>
    <w:rsid w:val="2A933B52"/>
    <w:rsid w:val="2A935211"/>
    <w:rsid w:val="2A937275"/>
    <w:rsid w:val="2A942F75"/>
    <w:rsid w:val="2A944F41"/>
    <w:rsid w:val="2A946CEF"/>
    <w:rsid w:val="2A947BC6"/>
    <w:rsid w:val="2A950CB9"/>
    <w:rsid w:val="2A952A67"/>
    <w:rsid w:val="2A954815"/>
    <w:rsid w:val="2A955A9C"/>
    <w:rsid w:val="2A9666D6"/>
    <w:rsid w:val="2A9676D5"/>
    <w:rsid w:val="2A970150"/>
    <w:rsid w:val="2A97058D"/>
    <w:rsid w:val="2A97233B"/>
    <w:rsid w:val="2A9742D2"/>
    <w:rsid w:val="2A9767DF"/>
    <w:rsid w:val="2A980869"/>
    <w:rsid w:val="2A985C89"/>
    <w:rsid w:val="2A9860B3"/>
    <w:rsid w:val="2A987420"/>
    <w:rsid w:val="2A9914F7"/>
    <w:rsid w:val="2A994305"/>
    <w:rsid w:val="2A9A5842"/>
    <w:rsid w:val="2A9A62D0"/>
    <w:rsid w:val="2A9B6CD2"/>
    <w:rsid w:val="2A9B7877"/>
    <w:rsid w:val="2A9C2048"/>
    <w:rsid w:val="2A9C3DF6"/>
    <w:rsid w:val="2A9C681D"/>
    <w:rsid w:val="2A9C7DF2"/>
    <w:rsid w:val="2A9D1901"/>
    <w:rsid w:val="2A9D2A82"/>
    <w:rsid w:val="2A9D36CA"/>
    <w:rsid w:val="2A9D41C3"/>
    <w:rsid w:val="2A9E2235"/>
    <w:rsid w:val="2A9E3F84"/>
    <w:rsid w:val="2A9F38E6"/>
    <w:rsid w:val="2A9F666E"/>
    <w:rsid w:val="2A9F6AE3"/>
    <w:rsid w:val="2A9F7442"/>
    <w:rsid w:val="2AA00AB0"/>
    <w:rsid w:val="2AA02382"/>
    <w:rsid w:val="2AA02B44"/>
    <w:rsid w:val="2AA056BA"/>
    <w:rsid w:val="2AA0747E"/>
    <w:rsid w:val="2AA075F4"/>
    <w:rsid w:val="2AA07F73"/>
    <w:rsid w:val="2AA10882"/>
    <w:rsid w:val="2AA10FA3"/>
    <w:rsid w:val="2AA1140C"/>
    <w:rsid w:val="2AA1387E"/>
    <w:rsid w:val="2AA14A5B"/>
    <w:rsid w:val="2AA1765E"/>
    <w:rsid w:val="2AA231F4"/>
    <w:rsid w:val="2AA24C01"/>
    <w:rsid w:val="2AA26725"/>
    <w:rsid w:val="2AA271F1"/>
    <w:rsid w:val="2AA30035"/>
    <w:rsid w:val="2AA333D6"/>
    <w:rsid w:val="2AA33A14"/>
    <w:rsid w:val="2AA35AC5"/>
    <w:rsid w:val="2AA36F32"/>
    <w:rsid w:val="2AA42CAA"/>
    <w:rsid w:val="2AA44A58"/>
    <w:rsid w:val="2AA46F11"/>
    <w:rsid w:val="2AA50082"/>
    <w:rsid w:val="2AA52955"/>
    <w:rsid w:val="2AA57072"/>
    <w:rsid w:val="2AA607D0"/>
    <w:rsid w:val="2AA6196B"/>
    <w:rsid w:val="2AA6270C"/>
    <w:rsid w:val="2AA64C74"/>
    <w:rsid w:val="2AA66A22"/>
    <w:rsid w:val="2AA67C60"/>
    <w:rsid w:val="2AA734AF"/>
    <w:rsid w:val="2AA75DDE"/>
    <w:rsid w:val="2AA764DC"/>
    <w:rsid w:val="2AA76DC8"/>
    <w:rsid w:val="2AA84549"/>
    <w:rsid w:val="2AA902C1"/>
    <w:rsid w:val="2AA943CB"/>
    <w:rsid w:val="2AAA2063"/>
    <w:rsid w:val="2AAA30C5"/>
    <w:rsid w:val="2AAA3325"/>
    <w:rsid w:val="2AAA3BF6"/>
    <w:rsid w:val="2AAA4765"/>
    <w:rsid w:val="2AAA55F3"/>
    <w:rsid w:val="2AAA6513"/>
    <w:rsid w:val="2AAA7D8D"/>
    <w:rsid w:val="2AAB228B"/>
    <w:rsid w:val="2AAB4039"/>
    <w:rsid w:val="2AAB5086"/>
    <w:rsid w:val="2AAD1B5F"/>
    <w:rsid w:val="2AAD55E4"/>
    <w:rsid w:val="2AAD6003"/>
    <w:rsid w:val="2AAD7DB1"/>
    <w:rsid w:val="2AAE25B1"/>
    <w:rsid w:val="2AAE5148"/>
    <w:rsid w:val="2AAE58D7"/>
    <w:rsid w:val="2AAF1218"/>
    <w:rsid w:val="2AAF1545"/>
    <w:rsid w:val="2AAF1A65"/>
    <w:rsid w:val="2AAF3B29"/>
    <w:rsid w:val="2AAF5FB9"/>
    <w:rsid w:val="2AB0164F"/>
    <w:rsid w:val="2AB033FD"/>
    <w:rsid w:val="2AB03C67"/>
    <w:rsid w:val="2AB04CD6"/>
    <w:rsid w:val="2AB078A1"/>
    <w:rsid w:val="2AB13D45"/>
    <w:rsid w:val="2AB16E31"/>
    <w:rsid w:val="2AB217BF"/>
    <w:rsid w:val="2AB23F44"/>
    <w:rsid w:val="2AB32EED"/>
    <w:rsid w:val="2AB4113F"/>
    <w:rsid w:val="2AB450A8"/>
    <w:rsid w:val="2AB4738A"/>
    <w:rsid w:val="2AB47391"/>
    <w:rsid w:val="2AB54EB7"/>
    <w:rsid w:val="2AB57DE1"/>
    <w:rsid w:val="2AB679EE"/>
    <w:rsid w:val="2AB729DE"/>
    <w:rsid w:val="2AB7478C"/>
    <w:rsid w:val="2AB7793B"/>
    <w:rsid w:val="2AB800E6"/>
    <w:rsid w:val="2AB84B24"/>
    <w:rsid w:val="2AB87A4D"/>
    <w:rsid w:val="2AB90504"/>
    <w:rsid w:val="2AB9104D"/>
    <w:rsid w:val="2AB9263D"/>
    <w:rsid w:val="2ABA24CE"/>
    <w:rsid w:val="2ABA427C"/>
    <w:rsid w:val="2ABA58D8"/>
    <w:rsid w:val="2ABA62BC"/>
    <w:rsid w:val="2ABB4B7B"/>
    <w:rsid w:val="2ABB774C"/>
    <w:rsid w:val="2ABC0996"/>
    <w:rsid w:val="2ABC1DA2"/>
    <w:rsid w:val="2ABC42D0"/>
    <w:rsid w:val="2ABC7FF4"/>
    <w:rsid w:val="2ABD0865"/>
    <w:rsid w:val="2ABD0FDE"/>
    <w:rsid w:val="2ABD1413"/>
    <w:rsid w:val="2ABD3F56"/>
    <w:rsid w:val="2ABD5F6A"/>
    <w:rsid w:val="2ABE104C"/>
    <w:rsid w:val="2ABE1FBE"/>
    <w:rsid w:val="2ABE3D6C"/>
    <w:rsid w:val="2ABE5B1A"/>
    <w:rsid w:val="2ABF2268"/>
    <w:rsid w:val="2ABF2A20"/>
    <w:rsid w:val="2ABF7AE4"/>
    <w:rsid w:val="2ABF7C98"/>
    <w:rsid w:val="2AC01480"/>
    <w:rsid w:val="2AC05D36"/>
    <w:rsid w:val="2AC109ED"/>
    <w:rsid w:val="2AC135BE"/>
    <w:rsid w:val="2AC1385C"/>
    <w:rsid w:val="2AC1560A"/>
    <w:rsid w:val="2AC21E7D"/>
    <w:rsid w:val="2AC24A4E"/>
    <w:rsid w:val="2AC25973"/>
    <w:rsid w:val="2AC31382"/>
    <w:rsid w:val="2AC33130"/>
    <w:rsid w:val="2AC35764"/>
    <w:rsid w:val="2AC35D39"/>
    <w:rsid w:val="2AC36BDF"/>
    <w:rsid w:val="2AC375D4"/>
    <w:rsid w:val="2AC37F8E"/>
    <w:rsid w:val="2AC41210"/>
    <w:rsid w:val="2AC450FA"/>
    <w:rsid w:val="2AC4736E"/>
    <w:rsid w:val="2AC5334C"/>
    <w:rsid w:val="2AC5486B"/>
    <w:rsid w:val="2AC606E1"/>
    <w:rsid w:val="2AC60E73"/>
    <w:rsid w:val="2AC61C8E"/>
    <w:rsid w:val="2AC6485F"/>
    <w:rsid w:val="2AC6542E"/>
    <w:rsid w:val="2AC66958"/>
    <w:rsid w:val="2AC670C5"/>
    <w:rsid w:val="2AC748BC"/>
    <w:rsid w:val="2AC754C9"/>
    <w:rsid w:val="2AC7598C"/>
    <w:rsid w:val="2AC767B5"/>
    <w:rsid w:val="2AC77B8A"/>
    <w:rsid w:val="2AC808C0"/>
    <w:rsid w:val="2AC82B21"/>
    <w:rsid w:val="2AC82D49"/>
    <w:rsid w:val="2AC82E3D"/>
    <w:rsid w:val="2AC85AC9"/>
    <w:rsid w:val="2AC87F39"/>
    <w:rsid w:val="2AC900AE"/>
    <w:rsid w:val="2AC93028"/>
    <w:rsid w:val="2AC966AE"/>
    <w:rsid w:val="2ACA0963"/>
    <w:rsid w:val="2ACA2711"/>
    <w:rsid w:val="2ACA31E0"/>
    <w:rsid w:val="2ACA60C4"/>
    <w:rsid w:val="2ACA6CA5"/>
    <w:rsid w:val="2ACA7D5F"/>
    <w:rsid w:val="2ACB0237"/>
    <w:rsid w:val="2ACB1F3D"/>
    <w:rsid w:val="2ACB3B4E"/>
    <w:rsid w:val="2ACB4670"/>
    <w:rsid w:val="2ACB46DB"/>
    <w:rsid w:val="2ACB48FF"/>
    <w:rsid w:val="2ACB7E99"/>
    <w:rsid w:val="2ACC1D0C"/>
    <w:rsid w:val="2ACC32D1"/>
    <w:rsid w:val="2ACC4185"/>
    <w:rsid w:val="2ACC5B00"/>
    <w:rsid w:val="2ACD0453"/>
    <w:rsid w:val="2ACD1B61"/>
    <w:rsid w:val="2ACD2201"/>
    <w:rsid w:val="2ACD3FAF"/>
    <w:rsid w:val="2ACE18C7"/>
    <w:rsid w:val="2ACE1AD5"/>
    <w:rsid w:val="2ACE2D24"/>
    <w:rsid w:val="2ACF5F79"/>
    <w:rsid w:val="2AD014E3"/>
    <w:rsid w:val="2AD01CF1"/>
    <w:rsid w:val="2AD03A9F"/>
    <w:rsid w:val="2AD0584D"/>
    <w:rsid w:val="2AD10FC0"/>
    <w:rsid w:val="2AD134D0"/>
    <w:rsid w:val="2AD1359E"/>
    <w:rsid w:val="2AD14CC4"/>
    <w:rsid w:val="2AD14FB9"/>
    <w:rsid w:val="2AD258B2"/>
    <w:rsid w:val="2AD26378"/>
    <w:rsid w:val="2AD2753D"/>
    <w:rsid w:val="2AD27817"/>
    <w:rsid w:val="2AD34292"/>
    <w:rsid w:val="2AD35EA9"/>
    <w:rsid w:val="2AD41913"/>
    <w:rsid w:val="2AD43590"/>
    <w:rsid w:val="2AD4533E"/>
    <w:rsid w:val="2AD46E63"/>
    <w:rsid w:val="2AD47277"/>
    <w:rsid w:val="2AD510B6"/>
    <w:rsid w:val="2AD514E1"/>
    <w:rsid w:val="2AD55A18"/>
    <w:rsid w:val="2AD6555A"/>
    <w:rsid w:val="2AD65D0D"/>
    <w:rsid w:val="2AD73080"/>
    <w:rsid w:val="2AD733A4"/>
    <w:rsid w:val="2AD74AC9"/>
    <w:rsid w:val="2AD74E2E"/>
    <w:rsid w:val="2AD810F2"/>
    <w:rsid w:val="2AD82E5B"/>
    <w:rsid w:val="2AD8341B"/>
    <w:rsid w:val="2AD86C74"/>
    <w:rsid w:val="2AD91845"/>
    <w:rsid w:val="2ADA1594"/>
    <w:rsid w:val="2ADA2CD5"/>
    <w:rsid w:val="2ADA334B"/>
    <w:rsid w:val="2ADA5073"/>
    <w:rsid w:val="2ADA66CC"/>
    <w:rsid w:val="2ADB2B70"/>
    <w:rsid w:val="2ADB491E"/>
    <w:rsid w:val="2ADC01C6"/>
    <w:rsid w:val="2ADC41F2"/>
    <w:rsid w:val="2ADC55F5"/>
    <w:rsid w:val="2ADD6A85"/>
    <w:rsid w:val="2ADE14E1"/>
    <w:rsid w:val="2ADE61BC"/>
    <w:rsid w:val="2ADE7F6A"/>
    <w:rsid w:val="2ADF3CE2"/>
    <w:rsid w:val="2ADF5C06"/>
    <w:rsid w:val="2AE00186"/>
    <w:rsid w:val="2AE051AE"/>
    <w:rsid w:val="2AE05ACC"/>
    <w:rsid w:val="2AE13EFE"/>
    <w:rsid w:val="2AE158E1"/>
    <w:rsid w:val="2AE15CAC"/>
    <w:rsid w:val="2AE228F7"/>
    <w:rsid w:val="2AE24837"/>
    <w:rsid w:val="2AE253A8"/>
    <w:rsid w:val="2AE256EF"/>
    <w:rsid w:val="2AE32F9E"/>
    <w:rsid w:val="2AE337D3"/>
    <w:rsid w:val="2AE412F9"/>
    <w:rsid w:val="2AE451EA"/>
    <w:rsid w:val="2AE46958"/>
    <w:rsid w:val="2AE61278"/>
    <w:rsid w:val="2AE61515"/>
    <w:rsid w:val="2AE632C3"/>
    <w:rsid w:val="2AE63E49"/>
    <w:rsid w:val="2AE65071"/>
    <w:rsid w:val="2AE752D9"/>
    <w:rsid w:val="2AE77EE5"/>
    <w:rsid w:val="2AE80D38"/>
    <w:rsid w:val="2AE8528D"/>
    <w:rsid w:val="2AE86A4B"/>
    <w:rsid w:val="2AE91BA5"/>
    <w:rsid w:val="2AEA1089"/>
    <w:rsid w:val="2AEA2285"/>
    <w:rsid w:val="2AEA335B"/>
    <w:rsid w:val="2AEA4B61"/>
    <w:rsid w:val="2AEA5BFF"/>
    <w:rsid w:val="2AEB2519"/>
    <w:rsid w:val="2AEB2687"/>
    <w:rsid w:val="2AEC44AE"/>
    <w:rsid w:val="2AEC50EA"/>
    <w:rsid w:val="2AEC6B2B"/>
    <w:rsid w:val="2AEC7D06"/>
    <w:rsid w:val="2AED28A3"/>
    <w:rsid w:val="2AED4651"/>
    <w:rsid w:val="2AED6348"/>
    <w:rsid w:val="2AEF03C9"/>
    <w:rsid w:val="2AEF2177"/>
    <w:rsid w:val="2AEF34FB"/>
    <w:rsid w:val="2AEF3A6B"/>
    <w:rsid w:val="2AEF5522"/>
    <w:rsid w:val="2AF00362"/>
    <w:rsid w:val="2AF04EFB"/>
    <w:rsid w:val="2AF059EC"/>
    <w:rsid w:val="2AF07711"/>
    <w:rsid w:val="2AF07C9E"/>
    <w:rsid w:val="2AF10F5C"/>
    <w:rsid w:val="2AF13861"/>
    <w:rsid w:val="2AF14141"/>
    <w:rsid w:val="2AF1638B"/>
    <w:rsid w:val="2AF27EBA"/>
    <w:rsid w:val="2AF31486"/>
    <w:rsid w:val="2AF40BE4"/>
    <w:rsid w:val="2AF4327B"/>
    <w:rsid w:val="2AF43C32"/>
    <w:rsid w:val="2AF44D0C"/>
    <w:rsid w:val="2AF459E0"/>
    <w:rsid w:val="2AF460E0"/>
    <w:rsid w:val="2AF47341"/>
    <w:rsid w:val="2AF4778E"/>
    <w:rsid w:val="2AF523CD"/>
    <w:rsid w:val="2AF5340B"/>
    <w:rsid w:val="2AF53506"/>
    <w:rsid w:val="2AF54DB9"/>
    <w:rsid w:val="2AF552B4"/>
    <w:rsid w:val="2AF56183"/>
    <w:rsid w:val="2AF5619C"/>
    <w:rsid w:val="2AF62A75"/>
    <w:rsid w:val="2AF66BA8"/>
    <w:rsid w:val="2AF70242"/>
    <w:rsid w:val="2AF711EA"/>
    <w:rsid w:val="2AF74588"/>
    <w:rsid w:val="2AF7727E"/>
    <w:rsid w:val="2AF77E8C"/>
    <w:rsid w:val="2AF80678"/>
    <w:rsid w:val="2AF91248"/>
    <w:rsid w:val="2AF923CF"/>
    <w:rsid w:val="2AF92FF6"/>
    <w:rsid w:val="2AF94DA4"/>
    <w:rsid w:val="2AF97D2D"/>
    <w:rsid w:val="2AFA113A"/>
    <w:rsid w:val="2AFB1D28"/>
    <w:rsid w:val="2AFB2155"/>
    <w:rsid w:val="2AFB230F"/>
    <w:rsid w:val="2AFB4B42"/>
    <w:rsid w:val="2AFB4FC0"/>
    <w:rsid w:val="2AFB6D6E"/>
    <w:rsid w:val="2AFB7EA6"/>
    <w:rsid w:val="2AFC2AE6"/>
    <w:rsid w:val="2AFC4799"/>
    <w:rsid w:val="2AFC4B70"/>
    <w:rsid w:val="2AFC6642"/>
    <w:rsid w:val="2AFD0A94"/>
    <w:rsid w:val="2AFD0BD7"/>
    <w:rsid w:val="2AFD108B"/>
    <w:rsid w:val="2AFD240A"/>
    <w:rsid w:val="2AFD3F94"/>
    <w:rsid w:val="2AFD492E"/>
    <w:rsid w:val="2AFD74FF"/>
    <w:rsid w:val="2AFE060C"/>
    <w:rsid w:val="2AFE14D3"/>
    <w:rsid w:val="2AFE1682"/>
    <w:rsid w:val="2AFE23BA"/>
    <w:rsid w:val="2AFF05EB"/>
    <w:rsid w:val="2AFF0B5D"/>
    <w:rsid w:val="2AFF1C79"/>
    <w:rsid w:val="2AFF3DDC"/>
    <w:rsid w:val="2AFF7566"/>
    <w:rsid w:val="2B0003EE"/>
    <w:rsid w:val="2B004385"/>
    <w:rsid w:val="2B013C59"/>
    <w:rsid w:val="2B0206A2"/>
    <w:rsid w:val="2B021EE1"/>
    <w:rsid w:val="2B025073"/>
    <w:rsid w:val="2B02634F"/>
    <w:rsid w:val="2B030925"/>
    <w:rsid w:val="2B031C30"/>
    <w:rsid w:val="2B033E75"/>
    <w:rsid w:val="2B035C23"/>
    <w:rsid w:val="2B03759B"/>
    <w:rsid w:val="2B0379CB"/>
    <w:rsid w:val="2B040F10"/>
    <w:rsid w:val="2B0423C1"/>
    <w:rsid w:val="2B0458BE"/>
    <w:rsid w:val="2B047DBF"/>
    <w:rsid w:val="2B055C91"/>
    <w:rsid w:val="2B057BED"/>
    <w:rsid w:val="2B060862"/>
    <w:rsid w:val="2B062C69"/>
    <w:rsid w:val="2B065713"/>
    <w:rsid w:val="2B0674C1"/>
    <w:rsid w:val="2B0705B1"/>
    <w:rsid w:val="2B073965"/>
    <w:rsid w:val="2B08148B"/>
    <w:rsid w:val="2B083239"/>
    <w:rsid w:val="2B084459"/>
    <w:rsid w:val="2B084612"/>
    <w:rsid w:val="2B08564D"/>
    <w:rsid w:val="2B095AA2"/>
    <w:rsid w:val="2B0A0217"/>
    <w:rsid w:val="2B0A6FB1"/>
    <w:rsid w:val="2B0B4AD7"/>
    <w:rsid w:val="2B0C7E20"/>
    <w:rsid w:val="2B0D4423"/>
    <w:rsid w:val="2B0D4CF3"/>
    <w:rsid w:val="2B0E0723"/>
    <w:rsid w:val="2B0E0CD2"/>
    <w:rsid w:val="2B0E13C5"/>
    <w:rsid w:val="2B0E580B"/>
    <w:rsid w:val="2B0E6219"/>
    <w:rsid w:val="2B0E67DD"/>
    <w:rsid w:val="2B0E68EE"/>
    <w:rsid w:val="2B0E788A"/>
    <w:rsid w:val="2B0F281A"/>
    <w:rsid w:val="2B0F28D6"/>
    <w:rsid w:val="2B0F4266"/>
    <w:rsid w:val="2B0F45C8"/>
    <w:rsid w:val="2B0F72CD"/>
    <w:rsid w:val="2B1020EE"/>
    <w:rsid w:val="2B106871"/>
    <w:rsid w:val="2B110336"/>
    <w:rsid w:val="2B110340"/>
    <w:rsid w:val="2B110FCB"/>
    <w:rsid w:val="2B114234"/>
    <w:rsid w:val="2B115975"/>
    <w:rsid w:val="2B116710"/>
    <w:rsid w:val="2B12230A"/>
    <w:rsid w:val="2B1240B8"/>
    <w:rsid w:val="2B125051"/>
    <w:rsid w:val="2B125E66"/>
    <w:rsid w:val="2B12611A"/>
    <w:rsid w:val="2B126E05"/>
    <w:rsid w:val="2B12784B"/>
    <w:rsid w:val="2B131725"/>
    <w:rsid w:val="2B131E98"/>
    <w:rsid w:val="2B132E66"/>
    <w:rsid w:val="2B135B50"/>
    <w:rsid w:val="2B1409A1"/>
    <w:rsid w:val="2B140A9E"/>
    <w:rsid w:val="2B146082"/>
    <w:rsid w:val="2B147E30"/>
    <w:rsid w:val="2B147FD7"/>
    <w:rsid w:val="2B150806"/>
    <w:rsid w:val="2B1514C9"/>
    <w:rsid w:val="2B151EA3"/>
    <w:rsid w:val="2B15594A"/>
    <w:rsid w:val="2B157704"/>
    <w:rsid w:val="2B163BA8"/>
    <w:rsid w:val="2B165956"/>
    <w:rsid w:val="2B166C16"/>
    <w:rsid w:val="2B1716CE"/>
    <w:rsid w:val="2B17173C"/>
    <w:rsid w:val="2B172C77"/>
    <w:rsid w:val="2B177920"/>
    <w:rsid w:val="2B181536"/>
    <w:rsid w:val="2B184107"/>
    <w:rsid w:val="2B18454C"/>
    <w:rsid w:val="2B185289"/>
    <w:rsid w:val="2B1870F0"/>
    <w:rsid w:val="2B194922"/>
    <w:rsid w:val="2B197CEA"/>
    <w:rsid w:val="2B1A4D1A"/>
    <w:rsid w:val="2B1A50CA"/>
    <w:rsid w:val="2B1B11BE"/>
    <w:rsid w:val="2B1B2F6C"/>
    <w:rsid w:val="2B1C0A93"/>
    <w:rsid w:val="2B1C2ADA"/>
    <w:rsid w:val="2B1C6CE5"/>
    <w:rsid w:val="2B1D0238"/>
    <w:rsid w:val="2B1E0CAF"/>
    <w:rsid w:val="2B1E480B"/>
    <w:rsid w:val="2B1F5069"/>
    <w:rsid w:val="2B1F6A5F"/>
    <w:rsid w:val="2B200583"/>
    <w:rsid w:val="2B20072F"/>
    <w:rsid w:val="2B200A0A"/>
    <w:rsid w:val="2B20653A"/>
    <w:rsid w:val="2B2067D5"/>
    <w:rsid w:val="2B2142FB"/>
    <w:rsid w:val="2B21624E"/>
    <w:rsid w:val="2B2177B3"/>
    <w:rsid w:val="2B22254D"/>
    <w:rsid w:val="2B224FBA"/>
    <w:rsid w:val="2B2250C2"/>
    <w:rsid w:val="2B2253DC"/>
    <w:rsid w:val="2B2258D2"/>
    <w:rsid w:val="2B22653E"/>
    <w:rsid w:val="2B227C82"/>
    <w:rsid w:val="2B227D8A"/>
    <w:rsid w:val="2B23121A"/>
    <w:rsid w:val="2B231E21"/>
    <w:rsid w:val="2B233137"/>
    <w:rsid w:val="2B234014"/>
    <w:rsid w:val="2B2362C5"/>
    <w:rsid w:val="2B2426AA"/>
    <w:rsid w:val="2B25203D"/>
    <w:rsid w:val="2B252F4A"/>
    <w:rsid w:val="2B253DEB"/>
    <w:rsid w:val="2B25759C"/>
    <w:rsid w:val="2B260D67"/>
    <w:rsid w:val="2B261911"/>
    <w:rsid w:val="2B262B0B"/>
    <w:rsid w:val="2B263893"/>
    <w:rsid w:val="2B275DB5"/>
    <w:rsid w:val="2B277B63"/>
    <w:rsid w:val="2B28015F"/>
    <w:rsid w:val="2B2823EB"/>
    <w:rsid w:val="2B2838DB"/>
    <w:rsid w:val="2B287437"/>
    <w:rsid w:val="2B287982"/>
    <w:rsid w:val="2B2924BB"/>
    <w:rsid w:val="2B292B7F"/>
    <w:rsid w:val="2B29508C"/>
    <w:rsid w:val="2B295EE3"/>
    <w:rsid w:val="2B2966E6"/>
    <w:rsid w:val="2B29671C"/>
    <w:rsid w:val="2B2972A5"/>
    <w:rsid w:val="2B2A1401"/>
    <w:rsid w:val="2B2A31B0"/>
    <w:rsid w:val="2B2A4C7B"/>
    <w:rsid w:val="2B2A67F6"/>
    <w:rsid w:val="2B2A7653"/>
    <w:rsid w:val="2B2B1D45"/>
    <w:rsid w:val="2B2B3DC5"/>
    <w:rsid w:val="2B2B6F28"/>
    <w:rsid w:val="2B2C2DF0"/>
    <w:rsid w:val="2B2C517A"/>
    <w:rsid w:val="2B2C5E3A"/>
    <w:rsid w:val="2B2D06EA"/>
    <w:rsid w:val="2B2D0EF2"/>
    <w:rsid w:val="2B2D2CA0"/>
    <w:rsid w:val="2B2D4A4E"/>
    <w:rsid w:val="2B2D4E9D"/>
    <w:rsid w:val="2B2D610A"/>
    <w:rsid w:val="2B2D7144"/>
    <w:rsid w:val="2B2F4C6A"/>
    <w:rsid w:val="2B2F6A18"/>
    <w:rsid w:val="2B300DB0"/>
    <w:rsid w:val="2B30453E"/>
    <w:rsid w:val="2B306050"/>
    <w:rsid w:val="2B3106B0"/>
    <w:rsid w:val="2B312790"/>
    <w:rsid w:val="2B314F21"/>
    <w:rsid w:val="2B315212"/>
    <w:rsid w:val="2B3202B6"/>
    <w:rsid w:val="2B3230DF"/>
    <w:rsid w:val="2B3231B9"/>
    <w:rsid w:val="2B326508"/>
    <w:rsid w:val="2B33475A"/>
    <w:rsid w:val="2B3402C6"/>
    <w:rsid w:val="2B340F93"/>
    <w:rsid w:val="2B342280"/>
    <w:rsid w:val="2B3447AD"/>
    <w:rsid w:val="2B345DDC"/>
    <w:rsid w:val="2B3478AE"/>
    <w:rsid w:val="2B351EB9"/>
    <w:rsid w:val="2B352FF1"/>
    <w:rsid w:val="2B365FF8"/>
    <w:rsid w:val="2B367382"/>
    <w:rsid w:val="2B3733C3"/>
    <w:rsid w:val="2B3737E3"/>
    <w:rsid w:val="2B376617"/>
    <w:rsid w:val="2B381D70"/>
    <w:rsid w:val="2B3852FD"/>
    <w:rsid w:val="2B3902D3"/>
    <w:rsid w:val="2B391645"/>
    <w:rsid w:val="2B393440"/>
    <w:rsid w:val="2B394B81"/>
    <w:rsid w:val="2B395AE8"/>
    <w:rsid w:val="2B397896"/>
    <w:rsid w:val="2B3A04E1"/>
    <w:rsid w:val="2B3B1A8A"/>
    <w:rsid w:val="2B3B360F"/>
    <w:rsid w:val="2B3B4D2A"/>
    <w:rsid w:val="2B3B50FE"/>
    <w:rsid w:val="2B3B53BD"/>
    <w:rsid w:val="2B3B716B"/>
    <w:rsid w:val="2B3C1135"/>
    <w:rsid w:val="2B3D3003"/>
    <w:rsid w:val="2B3D37F1"/>
    <w:rsid w:val="2B3D4091"/>
    <w:rsid w:val="2B3D4992"/>
    <w:rsid w:val="2B3D4A9E"/>
    <w:rsid w:val="2B3D6384"/>
    <w:rsid w:val="2B3D6FE1"/>
    <w:rsid w:val="2B3D7387"/>
    <w:rsid w:val="2B3E4EAD"/>
    <w:rsid w:val="2B3F4821"/>
    <w:rsid w:val="2B3F72B2"/>
    <w:rsid w:val="2B401E83"/>
    <w:rsid w:val="2B4029D3"/>
    <w:rsid w:val="2B404781"/>
    <w:rsid w:val="2B405C9B"/>
    <w:rsid w:val="2B406E77"/>
    <w:rsid w:val="2B41036D"/>
    <w:rsid w:val="2B410FAE"/>
    <w:rsid w:val="2B411237"/>
    <w:rsid w:val="2B413313"/>
    <w:rsid w:val="2B422F79"/>
    <w:rsid w:val="2B42499D"/>
    <w:rsid w:val="2B427374"/>
    <w:rsid w:val="2B430715"/>
    <w:rsid w:val="2B43213A"/>
    <w:rsid w:val="2B4324C3"/>
    <w:rsid w:val="2B433779"/>
    <w:rsid w:val="2B434D35"/>
    <w:rsid w:val="2B435C33"/>
    <w:rsid w:val="2B43682D"/>
    <w:rsid w:val="2B436B2F"/>
    <w:rsid w:val="2B4413A5"/>
    <w:rsid w:val="2B44223F"/>
    <w:rsid w:val="2B453124"/>
    <w:rsid w:val="2B457FE9"/>
    <w:rsid w:val="2B465B0F"/>
    <w:rsid w:val="2B471FB3"/>
    <w:rsid w:val="2B472333"/>
    <w:rsid w:val="2B473D61"/>
    <w:rsid w:val="2B474549"/>
    <w:rsid w:val="2B481AA5"/>
    <w:rsid w:val="2B485D2C"/>
    <w:rsid w:val="2B4926D6"/>
    <w:rsid w:val="2B492F35"/>
    <w:rsid w:val="2B494960"/>
    <w:rsid w:val="2B495227"/>
    <w:rsid w:val="2B4A3852"/>
    <w:rsid w:val="2B4A5600"/>
    <w:rsid w:val="2B4B6FB7"/>
    <w:rsid w:val="2B4C1A27"/>
    <w:rsid w:val="2B4C314A"/>
    <w:rsid w:val="2B4C39D6"/>
    <w:rsid w:val="2B4C52BF"/>
    <w:rsid w:val="2B4C581C"/>
    <w:rsid w:val="2B4D18B6"/>
    <w:rsid w:val="2B4D3342"/>
    <w:rsid w:val="2B4D50F0"/>
    <w:rsid w:val="2B4D6A90"/>
    <w:rsid w:val="2B4D6E9E"/>
    <w:rsid w:val="2B4E0118"/>
    <w:rsid w:val="2B4E2567"/>
    <w:rsid w:val="2B4E2C0C"/>
    <w:rsid w:val="2B4F0123"/>
    <w:rsid w:val="2B4F0E68"/>
    <w:rsid w:val="2B4F23C8"/>
    <w:rsid w:val="2B4F2C16"/>
    <w:rsid w:val="2B4F2EB5"/>
    <w:rsid w:val="2B4F631D"/>
    <w:rsid w:val="2B4F6F07"/>
    <w:rsid w:val="2B505F9D"/>
    <w:rsid w:val="2B507D30"/>
    <w:rsid w:val="2B511820"/>
    <w:rsid w:val="2B512E08"/>
    <w:rsid w:val="2B512E32"/>
    <w:rsid w:val="2B51335D"/>
    <w:rsid w:val="2B514551"/>
    <w:rsid w:val="2B514BE0"/>
    <w:rsid w:val="2B51698E"/>
    <w:rsid w:val="2B520958"/>
    <w:rsid w:val="2B5210F2"/>
    <w:rsid w:val="2B522706"/>
    <w:rsid w:val="2B523868"/>
    <w:rsid w:val="2B524D23"/>
    <w:rsid w:val="2B526E58"/>
    <w:rsid w:val="2B53315A"/>
    <w:rsid w:val="2B53374B"/>
    <w:rsid w:val="2B535728"/>
    <w:rsid w:val="2B536BAA"/>
    <w:rsid w:val="2B54022C"/>
    <w:rsid w:val="2B5446D0"/>
    <w:rsid w:val="2B550C2B"/>
    <w:rsid w:val="2B551CFA"/>
    <w:rsid w:val="2B55509D"/>
    <w:rsid w:val="2B557CE7"/>
    <w:rsid w:val="2B560448"/>
    <w:rsid w:val="2B5608DA"/>
    <w:rsid w:val="2B561761"/>
    <w:rsid w:val="2B561C16"/>
    <w:rsid w:val="2B56242A"/>
    <w:rsid w:val="2B562D59"/>
    <w:rsid w:val="2B563FA5"/>
    <w:rsid w:val="2B5640A9"/>
    <w:rsid w:val="2B5647BF"/>
    <w:rsid w:val="2B56551E"/>
    <w:rsid w:val="2B56578C"/>
    <w:rsid w:val="2B566C7A"/>
    <w:rsid w:val="2B57010A"/>
    <w:rsid w:val="2B574202"/>
    <w:rsid w:val="2B575B15"/>
    <w:rsid w:val="2B577D1D"/>
    <w:rsid w:val="2B5801B6"/>
    <w:rsid w:val="2B585F6F"/>
    <w:rsid w:val="2B59299F"/>
    <w:rsid w:val="2B593A95"/>
    <w:rsid w:val="2B594EA2"/>
    <w:rsid w:val="2B597F39"/>
    <w:rsid w:val="2B5A3E0F"/>
    <w:rsid w:val="2B5B38DF"/>
    <w:rsid w:val="2B5B409D"/>
    <w:rsid w:val="2B5B5A5F"/>
    <w:rsid w:val="2B5C5333"/>
    <w:rsid w:val="2B5D253A"/>
    <w:rsid w:val="2B5D3D6C"/>
    <w:rsid w:val="2B5D737F"/>
    <w:rsid w:val="2B5E10AB"/>
    <w:rsid w:val="2B5E4913"/>
    <w:rsid w:val="2B5E72FD"/>
    <w:rsid w:val="2B5F30ED"/>
    <w:rsid w:val="2B5F515B"/>
    <w:rsid w:val="2B602946"/>
    <w:rsid w:val="2B603682"/>
    <w:rsid w:val="2B604039"/>
    <w:rsid w:val="2B604E23"/>
    <w:rsid w:val="2B607914"/>
    <w:rsid w:val="2B607E88"/>
    <w:rsid w:val="2B6128EB"/>
    <w:rsid w:val="2B612949"/>
    <w:rsid w:val="2B6176F5"/>
    <w:rsid w:val="2B620B9B"/>
    <w:rsid w:val="2B626DED"/>
    <w:rsid w:val="2B633ADC"/>
    <w:rsid w:val="2B6366C1"/>
    <w:rsid w:val="2B65068C"/>
    <w:rsid w:val="2B6533EB"/>
    <w:rsid w:val="2B656169"/>
    <w:rsid w:val="2B6573AB"/>
    <w:rsid w:val="2B657ED0"/>
    <w:rsid w:val="2B674404"/>
    <w:rsid w:val="2B6761B2"/>
    <w:rsid w:val="2B676C92"/>
    <w:rsid w:val="2B6803CE"/>
    <w:rsid w:val="2B68108F"/>
    <w:rsid w:val="2B684122"/>
    <w:rsid w:val="2B684295"/>
    <w:rsid w:val="2B68489C"/>
    <w:rsid w:val="2B687CF3"/>
    <w:rsid w:val="2B69017C"/>
    <w:rsid w:val="2B69251F"/>
    <w:rsid w:val="2B693732"/>
    <w:rsid w:val="2B695D53"/>
    <w:rsid w:val="2B69794E"/>
    <w:rsid w:val="2B6A031A"/>
    <w:rsid w:val="2B6A0D0E"/>
    <w:rsid w:val="2B6A2269"/>
    <w:rsid w:val="2B6A3B3B"/>
    <w:rsid w:val="2B6A3EF4"/>
    <w:rsid w:val="2B6A7A50"/>
    <w:rsid w:val="2B6B4E3F"/>
    <w:rsid w:val="2B6C0B1C"/>
    <w:rsid w:val="2B6C1D01"/>
    <w:rsid w:val="2B6C334C"/>
    <w:rsid w:val="2B6C37C8"/>
    <w:rsid w:val="2B6C4921"/>
    <w:rsid w:val="2B6C7C6C"/>
    <w:rsid w:val="2B6D0EA0"/>
    <w:rsid w:val="2B6D12EE"/>
    <w:rsid w:val="2B6D2330"/>
    <w:rsid w:val="2B6D3068"/>
    <w:rsid w:val="2B6D5A9A"/>
    <w:rsid w:val="2B6D7540"/>
    <w:rsid w:val="2B6E19D6"/>
    <w:rsid w:val="2B6E5759"/>
    <w:rsid w:val="2B6F150A"/>
    <w:rsid w:val="2B6F32B8"/>
    <w:rsid w:val="2B6F5066"/>
    <w:rsid w:val="2B6F6851"/>
    <w:rsid w:val="2B702786"/>
    <w:rsid w:val="2B7042D3"/>
    <w:rsid w:val="2B706AC0"/>
    <w:rsid w:val="2B710CB1"/>
    <w:rsid w:val="2B710DDE"/>
    <w:rsid w:val="2B715282"/>
    <w:rsid w:val="2B717030"/>
    <w:rsid w:val="2B724D12"/>
    <w:rsid w:val="2B726905"/>
    <w:rsid w:val="2B727FEB"/>
    <w:rsid w:val="2B735437"/>
    <w:rsid w:val="2B7361A2"/>
    <w:rsid w:val="2B74267D"/>
    <w:rsid w:val="2B742C80"/>
    <w:rsid w:val="2B7440D7"/>
    <w:rsid w:val="2B744755"/>
    <w:rsid w:val="2B746B21"/>
    <w:rsid w:val="2B7519FB"/>
    <w:rsid w:val="2B755401"/>
    <w:rsid w:val="2B755B0D"/>
    <w:rsid w:val="2B755CC4"/>
    <w:rsid w:val="2B756E42"/>
    <w:rsid w:val="2B762899"/>
    <w:rsid w:val="2B762C9E"/>
    <w:rsid w:val="2B763551"/>
    <w:rsid w:val="2B763693"/>
    <w:rsid w:val="2B76382C"/>
    <w:rsid w:val="2B7663F5"/>
    <w:rsid w:val="2B770415"/>
    <w:rsid w:val="2B77216D"/>
    <w:rsid w:val="2B77234F"/>
    <w:rsid w:val="2B772D87"/>
    <w:rsid w:val="2B7803BF"/>
    <w:rsid w:val="2B780DB0"/>
    <w:rsid w:val="2B78125B"/>
    <w:rsid w:val="2B781AF8"/>
    <w:rsid w:val="2B783046"/>
    <w:rsid w:val="2B7926CA"/>
    <w:rsid w:val="2B7936D7"/>
    <w:rsid w:val="2B795EE5"/>
    <w:rsid w:val="2B7B16C7"/>
    <w:rsid w:val="2B7B1C5D"/>
    <w:rsid w:val="2B7B3A0B"/>
    <w:rsid w:val="2B7B3BAB"/>
    <w:rsid w:val="2B7B467E"/>
    <w:rsid w:val="2B7B4934"/>
    <w:rsid w:val="2B7B5E0E"/>
    <w:rsid w:val="2B7C0995"/>
    <w:rsid w:val="2B7C5DC4"/>
    <w:rsid w:val="2B7D1E25"/>
    <w:rsid w:val="2B7D2631"/>
    <w:rsid w:val="2B7D3C27"/>
    <w:rsid w:val="2B7D53C8"/>
    <w:rsid w:val="2B7D5822"/>
    <w:rsid w:val="2B7D59D5"/>
    <w:rsid w:val="2B7D7783"/>
    <w:rsid w:val="2B7E06E4"/>
    <w:rsid w:val="2B7E11A1"/>
    <w:rsid w:val="2B7E174D"/>
    <w:rsid w:val="2B7E52A9"/>
    <w:rsid w:val="2B7E6F24"/>
    <w:rsid w:val="2B7F321F"/>
    <w:rsid w:val="2B803E07"/>
    <w:rsid w:val="2B8054C5"/>
    <w:rsid w:val="2B807273"/>
    <w:rsid w:val="2B807316"/>
    <w:rsid w:val="2B8079EB"/>
    <w:rsid w:val="2B807C60"/>
    <w:rsid w:val="2B8102C9"/>
    <w:rsid w:val="2B8104F9"/>
    <w:rsid w:val="2B8149FB"/>
    <w:rsid w:val="2B8166D2"/>
    <w:rsid w:val="2B82123D"/>
    <w:rsid w:val="2B822FEC"/>
    <w:rsid w:val="2B824D9A"/>
    <w:rsid w:val="2B830B12"/>
    <w:rsid w:val="2B8318E5"/>
    <w:rsid w:val="2B840D83"/>
    <w:rsid w:val="2B841333"/>
    <w:rsid w:val="2B847127"/>
    <w:rsid w:val="2B852ADC"/>
    <w:rsid w:val="2B85488A"/>
    <w:rsid w:val="2B854CEE"/>
    <w:rsid w:val="2B8625C5"/>
    <w:rsid w:val="2B862968"/>
    <w:rsid w:val="2B867EF4"/>
    <w:rsid w:val="2B870570"/>
    <w:rsid w:val="2B870602"/>
    <w:rsid w:val="2B873BA6"/>
    <w:rsid w:val="2B876854"/>
    <w:rsid w:val="2B882210"/>
    <w:rsid w:val="2B883E7E"/>
    <w:rsid w:val="2B884367"/>
    <w:rsid w:val="2B88437A"/>
    <w:rsid w:val="2B885182"/>
    <w:rsid w:val="2B885AA8"/>
    <w:rsid w:val="2B886128"/>
    <w:rsid w:val="2B8873A7"/>
    <w:rsid w:val="2B8901CA"/>
    <w:rsid w:val="2B890DED"/>
    <w:rsid w:val="2B891029"/>
    <w:rsid w:val="2B892248"/>
    <w:rsid w:val="2B8A00F2"/>
    <w:rsid w:val="2B8A1858"/>
    <w:rsid w:val="2B8A1EA0"/>
    <w:rsid w:val="2B8A6344"/>
    <w:rsid w:val="2B8B1002"/>
    <w:rsid w:val="2B8B2ABB"/>
    <w:rsid w:val="2B8C006D"/>
    <w:rsid w:val="2B8C3E6A"/>
    <w:rsid w:val="2B8C5C18"/>
    <w:rsid w:val="2B8D0C77"/>
    <w:rsid w:val="2B8D1476"/>
    <w:rsid w:val="2B8D2D76"/>
    <w:rsid w:val="2B8D4322"/>
    <w:rsid w:val="2B8D6A40"/>
    <w:rsid w:val="2B8E1990"/>
    <w:rsid w:val="2B8E4117"/>
    <w:rsid w:val="2B8E7B1A"/>
    <w:rsid w:val="2B8E7BE2"/>
    <w:rsid w:val="2B8F23B5"/>
    <w:rsid w:val="2B8F395A"/>
    <w:rsid w:val="2B8F74B6"/>
    <w:rsid w:val="2B911481"/>
    <w:rsid w:val="2B9176D3"/>
    <w:rsid w:val="2B920D55"/>
    <w:rsid w:val="2B9262C5"/>
    <w:rsid w:val="2B9275EC"/>
    <w:rsid w:val="2B93404B"/>
    <w:rsid w:val="2B935342"/>
    <w:rsid w:val="2B935626"/>
    <w:rsid w:val="2B936FA7"/>
    <w:rsid w:val="2B937597"/>
    <w:rsid w:val="2B940AE4"/>
    <w:rsid w:val="2B940F71"/>
    <w:rsid w:val="2B944760"/>
    <w:rsid w:val="2B94641F"/>
    <w:rsid w:val="2B954359"/>
    <w:rsid w:val="2B9558C5"/>
    <w:rsid w:val="2B95696A"/>
    <w:rsid w:val="2B960845"/>
    <w:rsid w:val="2B96297C"/>
    <w:rsid w:val="2B964572"/>
    <w:rsid w:val="2B964872"/>
    <w:rsid w:val="2B964CE9"/>
    <w:rsid w:val="2B965909"/>
    <w:rsid w:val="2B966A97"/>
    <w:rsid w:val="2B9729CB"/>
    <w:rsid w:val="2B97636B"/>
    <w:rsid w:val="2B980A61"/>
    <w:rsid w:val="2B98280F"/>
    <w:rsid w:val="2B987066"/>
    <w:rsid w:val="2B991C74"/>
    <w:rsid w:val="2B9920E3"/>
    <w:rsid w:val="2B995990"/>
    <w:rsid w:val="2B996587"/>
    <w:rsid w:val="2B997EBC"/>
    <w:rsid w:val="2B9A134C"/>
    <w:rsid w:val="2B9A2359"/>
    <w:rsid w:val="2B9A264F"/>
    <w:rsid w:val="2B9A5FD7"/>
    <w:rsid w:val="2B9A6852"/>
    <w:rsid w:val="2B9B22FF"/>
    <w:rsid w:val="2B9B5E5B"/>
    <w:rsid w:val="2B9C362C"/>
    <w:rsid w:val="2B9D1BD3"/>
    <w:rsid w:val="2B9E7CCD"/>
    <w:rsid w:val="2B9F115D"/>
    <w:rsid w:val="2B9F3393"/>
    <w:rsid w:val="2B9F3D2E"/>
    <w:rsid w:val="2B9F5CA1"/>
    <w:rsid w:val="2B9F7864"/>
    <w:rsid w:val="2BA016C4"/>
    <w:rsid w:val="2BA051BE"/>
    <w:rsid w:val="2BA065C8"/>
    <w:rsid w:val="2BA07916"/>
    <w:rsid w:val="2BA1591D"/>
    <w:rsid w:val="2BA16375"/>
    <w:rsid w:val="2BA21FD0"/>
    <w:rsid w:val="2BA226AF"/>
    <w:rsid w:val="2BA2368E"/>
    <w:rsid w:val="2BA25A0A"/>
    <w:rsid w:val="2BA31966"/>
    <w:rsid w:val="2BA3285B"/>
    <w:rsid w:val="2BA32E52"/>
    <w:rsid w:val="2BA32F62"/>
    <w:rsid w:val="2BA411B4"/>
    <w:rsid w:val="2BA41E0C"/>
    <w:rsid w:val="2BA4385C"/>
    <w:rsid w:val="2BA4663E"/>
    <w:rsid w:val="2BA47406"/>
    <w:rsid w:val="2BA51F9A"/>
    <w:rsid w:val="2BA524D8"/>
    <w:rsid w:val="2BA528E9"/>
    <w:rsid w:val="2BA54F2C"/>
    <w:rsid w:val="2BA55A64"/>
    <w:rsid w:val="2BA56CDA"/>
    <w:rsid w:val="2BA57BC4"/>
    <w:rsid w:val="2BA60333"/>
    <w:rsid w:val="2BA705D5"/>
    <w:rsid w:val="2BA70CA4"/>
    <w:rsid w:val="2BA72A52"/>
    <w:rsid w:val="2BA7709E"/>
    <w:rsid w:val="2BA80578"/>
    <w:rsid w:val="2BA83950"/>
    <w:rsid w:val="2BA85813"/>
    <w:rsid w:val="2BA85FD2"/>
    <w:rsid w:val="2BA8671A"/>
    <w:rsid w:val="2BA87695"/>
    <w:rsid w:val="2BA900D4"/>
    <w:rsid w:val="2BA90DD3"/>
    <w:rsid w:val="2BA936A8"/>
    <w:rsid w:val="2BA94A1C"/>
    <w:rsid w:val="2BA96374"/>
    <w:rsid w:val="2BA967CA"/>
    <w:rsid w:val="2BA979B1"/>
    <w:rsid w:val="2BAA0794"/>
    <w:rsid w:val="2BAA2542"/>
    <w:rsid w:val="2BAA4B76"/>
    <w:rsid w:val="2BAA609E"/>
    <w:rsid w:val="2BAA6FBE"/>
    <w:rsid w:val="2BAB2266"/>
    <w:rsid w:val="2BAC0068"/>
    <w:rsid w:val="2BAC5A15"/>
    <w:rsid w:val="2BAD29C6"/>
    <w:rsid w:val="2BAD4BF1"/>
    <w:rsid w:val="2BAD5B8F"/>
    <w:rsid w:val="2BAE2033"/>
    <w:rsid w:val="2BAE3DE1"/>
    <w:rsid w:val="2BAE6336"/>
    <w:rsid w:val="2BAE6D07"/>
    <w:rsid w:val="2BAF20E2"/>
    <w:rsid w:val="2BAF74DD"/>
    <w:rsid w:val="2BAF7B59"/>
    <w:rsid w:val="2BAF7BFA"/>
    <w:rsid w:val="2BB0260A"/>
    <w:rsid w:val="2BB05D8C"/>
    <w:rsid w:val="2BB05DAB"/>
    <w:rsid w:val="2BB1567F"/>
    <w:rsid w:val="2BB16143"/>
    <w:rsid w:val="2BB1742D"/>
    <w:rsid w:val="2BB20849"/>
    <w:rsid w:val="2BB21A69"/>
    <w:rsid w:val="2BB22054"/>
    <w:rsid w:val="2BB221A4"/>
    <w:rsid w:val="2BB275D3"/>
    <w:rsid w:val="2BB305D5"/>
    <w:rsid w:val="2BB331A5"/>
    <w:rsid w:val="2BB35478"/>
    <w:rsid w:val="2BB412CB"/>
    <w:rsid w:val="2BB43A51"/>
    <w:rsid w:val="2BB44777"/>
    <w:rsid w:val="2BB44AC4"/>
    <w:rsid w:val="2BB4516F"/>
    <w:rsid w:val="2BB46F1D"/>
    <w:rsid w:val="2BB5100C"/>
    <w:rsid w:val="2BB5275D"/>
    <w:rsid w:val="2BB533C1"/>
    <w:rsid w:val="2BB563D7"/>
    <w:rsid w:val="2BB564A3"/>
    <w:rsid w:val="2BB57A8A"/>
    <w:rsid w:val="2BB60CEE"/>
    <w:rsid w:val="2BB60EE7"/>
    <w:rsid w:val="2BB62C95"/>
    <w:rsid w:val="2BB63467"/>
    <w:rsid w:val="2BB667D9"/>
    <w:rsid w:val="2BB66FC6"/>
    <w:rsid w:val="2BB807BB"/>
    <w:rsid w:val="2BB828C4"/>
    <w:rsid w:val="2BB831C3"/>
    <w:rsid w:val="2BB84C5F"/>
    <w:rsid w:val="2BB86A0D"/>
    <w:rsid w:val="2BB92149"/>
    <w:rsid w:val="2BB948D5"/>
    <w:rsid w:val="2BB974A6"/>
    <w:rsid w:val="2BBA0936"/>
    <w:rsid w:val="2BBA09D7"/>
    <w:rsid w:val="2BBB02AC"/>
    <w:rsid w:val="2BBB1288"/>
    <w:rsid w:val="2BBB24C9"/>
    <w:rsid w:val="2BBB3FEB"/>
    <w:rsid w:val="2BBB474F"/>
    <w:rsid w:val="2BBB64FD"/>
    <w:rsid w:val="2BBC6ECB"/>
    <w:rsid w:val="2BBD1527"/>
    <w:rsid w:val="2BBD4024"/>
    <w:rsid w:val="2BBE1158"/>
    <w:rsid w:val="2BBE1B4A"/>
    <w:rsid w:val="2BBE26CA"/>
    <w:rsid w:val="2BBE7D9C"/>
    <w:rsid w:val="2BBF1E9A"/>
    <w:rsid w:val="2BBF5FEE"/>
    <w:rsid w:val="2BBF7051"/>
    <w:rsid w:val="2BC01D66"/>
    <w:rsid w:val="2BC03B14"/>
    <w:rsid w:val="2BC115B6"/>
    <w:rsid w:val="2BC11FB2"/>
    <w:rsid w:val="2BC14BF9"/>
    <w:rsid w:val="2BC14C49"/>
    <w:rsid w:val="2BC173D4"/>
    <w:rsid w:val="2BC2163A"/>
    <w:rsid w:val="2BC23F9B"/>
    <w:rsid w:val="2BC25ADE"/>
    <w:rsid w:val="2BC26492"/>
    <w:rsid w:val="2BC30558"/>
    <w:rsid w:val="2BC30948"/>
    <w:rsid w:val="2BC34F3C"/>
    <w:rsid w:val="2BC35256"/>
    <w:rsid w:val="2BC35AD1"/>
    <w:rsid w:val="2BC363CD"/>
    <w:rsid w:val="2BC37160"/>
    <w:rsid w:val="2BC37ABD"/>
    <w:rsid w:val="2BC42AF1"/>
    <w:rsid w:val="2BC527CC"/>
    <w:rsid w:val="2BC52CBB"/>
    <w:rsid w:val="2BC5350C"/>
    <w:rsid w:val="2BC550AB"/>
    <w:rsid w:val="2BC55A49"/>
    <w:rsid w:val="2BC55BC9"/>
    <w:rsid w:val="2BC5737C"/>
    <w:rsid w:val="2BC67D37"/>
    <w:rsid w:val="2BC71AAA"/>
    <w:rsid w:val="2BC730F4"/>
    <w:rsid w:val="2BC73DBF"/>
    <w:rsid w:val="2BC74EA2"/>
    <w:rsid w:val="2BC828E2"/>
    <w:rsid w:val="2BC83383"/>
    <w:rsid w:val="2BC83584"/>
    <w:rsid w:val="2BC907E9"/>
    <w:rsid w:val="2BC929C8"/>
    <w:rsid w:val="2BCA04EF"/>
    <w:rsid w:val="2BCA7F44"/>
    <w:rsid w:val="2BCB585D"/>
    <w:rsid w:val="2BCC5A3F"/>
    <w:rsid w:val="2BCD00CD"/>
    <w:rsid w:val="2BCD0885"/>
    <w:rsid w:val="2BCD2AAD"/>
    <w:rsid w:val="2BCD3BBB"/>
    <w:rsid w:val="2BCD5330"/>
    <w:rsid w:val="2BCE023C"/>
    <w:rsid w:val="2BCE1D15"/>
    <w:rsid w:val="2BCE1D39"/>
    <w:rsid w:val="2BCE4483"/>
    <w:rsid w:val="2BCE4D9B"/>
    <w:rsid w:val="2BCE6D36"/>
    <w:rsid w:val="2BCF0C36"/>
    <w:rsid w:val="2BCF20EE"/>
    <w:rsid w:val="2BCF3D57"/>
    <w:rsid w:val="2BCF6AFB"/>
    <w:rsid w:val="2BCF7C85"/>
    <w:rsid w:val="2BD001FB"/>
    <w:rsid w:val="2BD01C6B"/>
    <w:rsid w:val="2BD0455F"/>
    <w:rsid w:val="2BD06835"/>
    <w:rsid w:val="2BD1187D"/>
    <w:rsid w:val="2BD13B0C"/>
    <w:rsid w:val="2BD13FEC"/>
    <w:rsid w:val="2BD15F85"/>
    <w:rsid w:val="2BD17BED"/>
    <w:rsid w:val="2BD207DE"/>
    <w:rsid w:val="2BD234C7"/>
    <w:rsid w:val="2BD2657C"/>
    <w:rsid w:val="2BD26BBD"/>
    <w:rsid w:val="2BD31A99"/>
    <w:rsid w:val="2BD33847"/>
    <w:rsid w:val="2BD355F5"/>
    <w:rsid w:val="2BD36E97"/>
    <w:rsid w:val="2BD414DD"/>
    <w:rsid w:val="2BD43A89"/>
    <w:rsid w:val="2BD43FF7"/>
    <w:rsid w:val="2BD5255A"/>
    <w:rsid w:val="2BD575BF"/>
    <w:rsid w:val="2BD61589"/>
    <w:rsid w:val="2BD63337"/>
    <w:rsid w:val="2BD650E5"/>
    <w:rsid w:val="2BD6638E"/>
    <w:rsid w:val="2BD71405"/>
    <w:rsid w:val="2BD812EE"/>
    <w:rsid w:val="2BD83EBF"/>
    <w:rsid w:val="2BD902A0"/>
    <w:rsid w:val="2BD9277E"/>
    <w:rsid w:val="2BD93FA4"/>
    <w:rsid w:val="2BD9534F"/>
    <w:rsid w:val="2BD96984"/>
    <w:rsid w:val="2BD97918"/>
    <w:rsid w:val="2BDA2E28"/>
    <w:rsid w:val="2BDB3DC5"/>
    <w:rsid w:val="2BDB6081"/>
    <w:rsid w:val="2BDC19DE"/>
    <w:rsid w:val="2BDC1B2C"/>
    <w:rsid w:val="2BDC3154"/>
    <w:rsid w:val="2BDE5160"/>
    <w:rsid w:val="2BDE5844"/>
    <w:rsid w:val="2BDE7D31"/>
    <w:rsid w:val="2BDF043E"/>
    <w:rsid w:val="2BDF21EC"/>
    <w:rsid w:val="2BE008CA"/>
    <w:rsid w:val="2BE00F10"/>
    <w:rsid w:val="2BE041B6"/>
    <w:rsid w:val="2BE06020"/>
    <w:rsid w:val="2BE07D12"/>
    <w:rsid w:val="2BE13AE1"/>
    <w:rsid w:val="2BE24CED"/>
    <w:rsid w:val="2BE25CBD"/>
    <w:rsid w:val="2BE27F2E"/>
    <w:rsid w:val="2BE3481B"/>
    <w:rsid w:val="2BE36401"/>
    <w:rsid w:val="2BE41B27"/>
    <w:rsid w:val="2BE42A5B"/>
    <w:rsid w:val="2BE45A54"/>
    <w:rsid w:val="2BE47802"/>
    <w:rsid w:val="2BE47891"/>
    <w:rsid w:val="2BE511E3"/>
    <w:rsid w:val="2BE51C78"/>
    <w:rsid w:val="2BE5357A"/>
    <w:rsid w:val="2BE55917"/>
    <w:rsid w:val="2BE617CC"/>
    <w:rsid w:val="2BE64126"/>
    <w:rsid w:val="2BE65116"/>
    <w:rsid w:val="2BE71779"/>
    <w:rsid w:val="2BE71963"/>
    <w:rsid w:val="2BE7467E"/>
    <w:rsid w:val="2BE752CE"/>
    <w:rsid w:val="2BE75544"/>
    <w:rsid w:val="2BE7645A"/>
    <w:rsid w:val="2BE77953"/>
    <w:rsid w:val="2BE80A47"/>
    <w:rsid w:val="2BE82AEA"/>
    <w:rsid w:val="2BEA026C"/>
    <w:rsid w:val="2BEA1240"/>
    <w:rsid w:val="2BEB2B90"/>
    <w:rsid w:val="2BEB6DE3"/>
    <w:rsid w:val="2BEB718D"/>
    <w:rsid w:val="2BEB7764"/>
    <w:rsid w:val="2BEC0BF4"/>
    <w:rsid w:val="2BEC4909"/>
    <w:rsid w:val="2BEC66B7"/>
    <w:rsid w:val="2BED0422"/>
    <w:rsid w:val="2BED2084"/>
    <w:rsid w:val="2BED4650"/>
    <w:rsid w:val="2BED6A56"/>
    <w:rsid w:val="2BEE0681"/>
    <w:rsid w:val="2BEE0AAC"/>
    <w:rsid w:val="2BEE0AB3"/>
    <w:rsid w:val="2BEE0C9C"/>
    <w:rsid w:val="2BEE242F"/>
    <w:rsid w:val="2BEE5435"/>
    <w:rsid w:val="2BEE5E5F"/>
    <w:rsid w:val="2BEE68D3"/>
    <w:rsid w:val="2BEF1D5C"/>
    <w:rsid w:val="2BEF61A7"/>
    <w:rsid w:val="2BF02146"/>
    <w:rsid w:val="2BF0264B"/>
    <w:rsid w:val="2BF10171"/>
    <w:rsid w:val="2BF13CCD"/>
    <w:rsid w:val="2BF16453"/>
    <w:rsid w:val="2BF27637"/>
    <w:rsid w:val="2BF30FF9"/>
    <w:rsid w:val="2BF32458"/>
    <w:rsid w:val="2BF33EE9"/>
    <w:rsid w:val="2BF33FFB"/>
    <w:rsid w:val="2BF35C97"/>
    <w:rsid w:val="2BF437BD"/>
    <w:rsid w:val="2BF451C0"/>
    <w:rsid w:val="2BF465B0"/>
    <w:rsid w:val="2BF46E3D"/>
    <w:rsid w:val="2BF51A0F"/>
    <w:rsid w:val="2BF53D00"/>
    <w:rsid w:val="2BF612E4"/>
    <w:rsid w:val="2BF64877"/>
    <w:rsid w:val="2BF64FE9"/>
    <w:rsid w:val="2BF65788"/>
    <w:rsid w:val="2BF72384"/>
    <w:rsid w:val="2BF808D8"/>
    <w:rsid w:val="2BF81500"/>
    <w:rsid w:val="2BF832AE"/>
    <w:rsid w:val="2BF842FC"/>
    <w:rsid w:val="2BF8481D"/>
    <w:rsid w:val="2BF8505C"/>
    <w:rsid w:val="2BF8719E"/>
    <w:rsid w:val="2BF91D68"/>
    <w:rsid w:val="2BF9730E"/>
    <w:rsid w:val="2BFA2CF5"/>
    <w:rsid w:val="2BFA31F8"/>
    <w:rsid w:val="2BFA4484"/>
    <w:rsid w:val="2BFA4688"/>
    <w:rsid w:val="2BFA5278"/>
    <w:rsid w:val="2BFB2D9E"/>
    <w:rsid w:val="2BFB4A7F"/>
    <w:rsid w:val="2BFB4B4C"/>
    <w:rsid w:val="2BFB7259"/>
    <w:rsid w:val="2BFC024A"/>
    <w:rsid w:val="2BFC06E9"/>
    <w:rsid w:val="2BFC5462"/>
    <w:rsid w:val="2BFC6920"/>
    <w:rsid w:val="2BFD08C4"/>
    <w:rsid w:val="2BFD0C79"/>
    <w:rsid w:val="2BFD12F0"/>
    <w:rsid w:val="2BFD1B79"/>
    <w:rsid w:val="2BFD2672"/>
    <w:rsid w:val="2BFD2718"/>
    <w:rsid w:val="2BFD3BD7"/>
    <w:rsid w:val="2BFD6B16"/>
    <w:rsid w:val="2BFE3009"/>
    <w:rsid w:val="2BFE479C"/>
    <w:rsid w:val="2BFE5BDA"/>
    <w:rsid w:val="2BFE72AA"/>
    <w:rsid w:val="2BFF0FFB"/>
    <w:rsid w:val="2BFF288E"/>
    <w:rsid w:val="2BFF4499"/>
    <w:rsid w:val="2BFF463C"/>
    <w:rsid w:val="2BFF50AE"/>
    <w:rsid w:val="2BFF62D7"/>
    <w:rsid w:val="2C0003B4"/>
    <w:rsid w:val="2C002162"/>
    <w:rsid w:val="2C00782C"/>
    <w:rsid w:val="2C015FA1"/>
    <w:rsid w:val="2C016606"/>
    <w:rsid w:val="2C0175DD"/>
    <w:rsid w:val="2C017E23"/>
    <w:rsid w:val="2C0203A4"/>
    <w:rsid w:val="2C02237E"/>
    <w:rsid w:val="2C022C57"/>
    <w:rsid w:val="2C0237A1"/>
    <w:rsid w:val="2C02412C"/>
    <w:rsid w:val="2C02455B"/>
    <w:rsid w:val="2C025EDA"/>
    <w:rsid w:val="2C027C88"/>
    <w:rsid w:val="2C032E8B"/>
    <w:rsid w:val="2C037186"/>
    <w:rsid w:val="2C0411AD"/>
    <w:rsid w:val="2C043A01"/>
    <w:rsid w:val="2C045368"/>
    <w:rsid w:val="2C047EA4"/>
    <w:rsid w:val="2C05036B"/>
    <w:rsid w:val="2C0559CB"/>
    <w:rsid w:val="2C05730E"/>
    <w:rsid w:val="2C057779"/>
    <w:rsid w:val="2C0608E6"/>
    <w:rsid w:val="2C061651"/>
    <w:rsid w:val="2C063C1D"/>
    <w:rsid w:val="2C071325"/>
    <w:rsid w:val="2C071743"/>
    <w:rsid w:val="2C073FBB"/>
    <w:rsid w:val="2C076946"/>
    <w:rsid w:val="2C0803CD"/>
    <w:rsid w:val="2C086C8C"/>
    <w:rsid w:val="2C091BF0"/>
    <w:rsid w:val="2C0954BB"/>
    <w:rsid w:val="2C0A7A4C"/>
    <w:rsid w:val="2C0B1233"/>
    <w:rsid w:val="2C0B1F53"/>
    <w:rsid w:val="2C0B2327"/>
    <w:rsid w:val="2C0B2FE1"/>
    <w:rsid w:val="2C0B44D1"/>
    <w:rsid w:val="2C0B560D"/>
    <w:rsid w:val="2C0B6403"/>
    <w:rsid w:val="2C0C01DE"/>
    <w:rsid w:val="2C0C0B07"/>
    <w:rsid w:val="2C0C6D59"/>
    <w:rsid w:val="2C0C7136"/>
    <w:rsid w:val="2C0D45B7"/>
    <w:rsid w:val="2C0E0D23"/>
    <w:rsid w:val="2C0E2AD1"/>
    <w:rsid w:val="2C0E2AFE"/>
    <w:rsid w:val="2C0E6D85"/>
    <w:rsid w:val="2C0F0959"/>
    <w:rsid w:val="2C0F23A5"/>
    <w:rsid w:val="2C0F2439"/>
    <w:rsid w:val="2C0F2C5D"/>
    <w:rsid w:val="2C0F2E5E"/>
    <w:rsid w:val="2C1005F7"/>
    <w:rsid w:val="2C101613"/>
    <w:rsid w:val="2C10541E"/>
    <w:rsid w:val="2C107FEF"/>
    <w:rsid w:val="2C1119CE"/>
    <w:rsid w:val="2C1125C1"/>
    <w:rsid w:val="2C112694"/>
    <w:rsid w:val="2C1136AA"/>
    <w:rsid w:val="2C11611D"/>
    <w:rsid w:val="2C1165C9"/>
    <w:rsid w:val="2C1236E4"/>
    <w:rsid w:val="2C131E96"/>
    <w:rsid w:val="2C1335C9"/>
    <w:rsid w:val="2C1356BB"/>
    <w:rsid w:val="2C135D6B"/>
    <w:rsid w:val="2C136339"/>
    <w:rsid w:val="2C151290"/>
    <w:rsid w:val="2C161986"/>
    <w:rsid w:val="2C161A67"/>
    <w:rsid w:val="2C162720"/>
    <w:rsid w:val="2C163734"/>
    <w:rsid w:val="2C164B01"/>
    <w:rsid w:val="2C167BD8"/>
    <w:rsid w:val="2C167E8F"/>
    <w:rsid w:val="2C1733C9"/>
    <w:rsid w:val="2C175540"/>
    <w:rsid w:val="2C181352"/>
    <w:rsid w:val="2C1844E3"/>
    <w:rsid w:val="2C1856FE"/>
    <w:rsid w:val="2C1874AC"/>
    <w:rsid w:val="2C1927E2"/>
    <w:rsid w:val="2C192991"/>
    <w:rsid w:val="2C1964F2"/>
    <w:rsid w:val="2C19680D"/>
    <w:rsid w:val="2C197FF5"/>
    <w:rsid w:val="2C1A3224"/>
    <w:rsid w:val="2C1A5526"/>
    <w:rsid w:val="2C1B0D4A"/>
    <w:rsid w:val="2C1B3F70"/>
    <w:rsid w:val="2C1C3440"/>
    <w:rsid w:val="2C1C51EE"/>
    <w:rsid w:val="2C1C5F67"/>
    <w:rsid w:val="2C1C7135"/>
    <w:rsid w:val="2C1D0F66"/>
    <w:rsid w:val="2C1D1163"/>
    <w:rsid w:val="2C1D1E81"/>
    <w:rsid w:val="2C1D2D14"/>
    <w:rsid w:val="2C1D30CB"/>
    <w:rsid w:val="2C1E12D9"/>
    <w:rsid w:val="2C1E6976"/>
    <w:rsid w:val="2C1F1B03"/>
    <w:rsid w:val="2C1F4CDE"/>
    <w:rsid w:val="2C1F6A8C"/>
    <w:rsid w:val="2C2005DF"/>
    <w:rsid w:val="2C2048EF"/>
    <w:rsid w:val="2C204F13"/>
    <w:rsid w:val="2C207AE4"/>
    <w:rsid w:val="2C210A56"/>
    <w:rsid w:val="2C212804"/>
    <w:rsid w:val="2C2157E3"/>
    <w:rsid w:val="2C222404"/>
    <w:rsid w:val="2C23408A"/>
    <w:rsid w:val="2C2359B8"/>
    <w:rsid w:val="2C236224"/>
    <w:rsid w:val="2C236465"/>
    <w:rsid w:val="2C240B36"/>
    <w:rsid w:val="2C244D24"/>
    <w:rsid w:val="2C247F10"/>
    <w:rsid w:val="2C262215"/>
    <w:rsid w:val="2C2622D8"/>
    <w:rsid w:val="2C263232"/>
    <w:rsid w:val="2C263956"/>
    <w:rsid w:val="2C2718BD"/>
    <w:rsid w:val="2C271DE5"/>
    <w:rsid w:val="2C2725DE"/>
    <w:rsid w:val="2C2736A5"/>
    <w:rsid w:val="2C273B63"/>
    <w:rsid w:val="2C275941"/>
    <w:rsid w:val="2C28377C"/>
    <w:rsid w:val="2C283A81"/>
    <w:rsid w:val="2C283FF8"/>
    <w:rsid w:val="2C28525E"/>
    <w:rsid w:val="2C286DB9"/>
    <w:rsid w:val="2C2916B9"/>
    <w:rsid w:val="2C293467"/>
    <w:rsid w:val="2C29711C"/>
    <w:rsid w:val="2C297706"/>
    <w:rsid w:val="2C29790B"/>
    <w:rsid w:val="2C2A0B96"/>
    <w:rsid w:val="2C2A71DF"/>
    <w:rsid w:val="2C2B2026"/>
    <w:rsid w:val="2C2B3683"/>
    <w:rsid w:val="2C2B5431"/>
    <w:rsid w:val="2C2B7EA2"/>
    <w:rsid w:val="2C2C0D9D"/>
    <w:rsid w:val="2C2C11A9"/>
    <w:rsid w:val="2C2C2F57"/>
    <w:rsid w:val="2C2C35FC"/>
    <w:rsid w:val="2C2C73FB"/>
    <w:rsid w:val="2C2D1203"/>
    <w:rsid w:val="2C2D3BF3"/>
    <w:rsid w:val="2C2D3F50"/>
    <w:rsid w:val="2C2D606D"/>
    <w:rsid w:val="2C2E04E6"/>
    <w:rsid w:val="2C2E2686"/>
    <w:rsid w:val="2C2E3173"/>
    <w:rsid w:val="2C2E41EA"/>
    <w:rsid w:val="2C2E6CCF"/>
    <w:rsid w:val="2C2F65EA"/>
    <w:rsid w:val="2C2F7028"/>
    <w:rsid w:val="2C300C99"/>
    <w:rsid w:val="2C302A48"/>
    <w:rsid w:val="2C304545"/>
    <w:rsid w:val="2C3053CF"/>
    <w:rsid w:val="2C3059C6"/>
    <w:rsid w:val="2C305E98"/>
    <w:rsid w:val="2C31056E"/>
    <w:rsid w:val="2C313E18"/>
    <w:rsid w:val="2C315A5A"/>
    <w:rsid w:val="2C317328"/>
    <w:rsid w:val="2C323501"/>
    <w:rsid w:val="2C324A12"/>
    <w:rsid w:val="2C325ACE"/>
    <w:rsid w:val="2C3265B4"/>
    <w:rsid w:val="2C326ED2"/>
    <w:rsid w:val="2C33078A"/>
    <w:rsid w:val="2C332538"/>
    <w:rsid w:val="2C333389"/>
    <w:rsid w:val="2C345A85"/>
    <w:rsid w:val="2C3473EA"/>
    <w:rsid w:val="2C35087A"/>
    <w:rsid w:val="2C351E0C"/>
    <w:rsid w:val="2C3562B0"/>
    <w:rsid w:val="2C360CA0"/>
    <w:rsid w:val="2C363DD6"/>
    <w:rsid w:val="2C365727"/>
    <w:rsid w:val="2C370D14"/>
    <w:rsid w:val="2C372028"/>
    <w:rsid w:val="2C372D41"/>
    <w:rsid w:val="2C372D4B"/>
    <w:rsid w:val="2C3748DB"/>
    <w:rsid w:val="2C3816CF"/>
    <w:rsid w:val="2C3818FC"/>
    <w:rsid w:val="2C382603"/>
    <w:rsid w:val="2C383C0D"/>
    <w:rsid w:val="2C38462A"/>
    <w:rsid w:val="2C38519D"/>
    <w:rsid w:val="2C385DA0"/>
    <w:rsid w:val="2C387B4E"/>
    <w:rsid w:val="2C391DF2"/>
    <w:rsid w:val="2C392A44"/>
    <w:rsid w:val="2C396B1A"/>
    <w:rsid w:val="2C39742E"/>
    <w:rsid w:val="2C3A1B18"/>
    <w:rsid w:val="2C3A5674"/>
    <w:rsid w:val="2C3A78FD"/>
    <w:rsid w:val="2C3B2488"/>
    <w:rsid w:val="2C3B46EC"/>
    <w:rsid w:val="2C3B636D"/>
    <w:rsid w:val="2C3C3A99"/>
    <w:rsid w:val="2C3C7532"/>
    <w:rsid w:val="2C3C763E"/>
    <w:rsid w:val="2C3D1526"/>
    <w:rsid w:val="2C3D1774"/>
    <w:rsid w:val="2C3D1F25"/>
    <w:rsid w:val="2C3D25EA"/>
    <w:rsid w:val="2C3D5164"/>
    <w:rsid w:val="2C3D6F12"/>
    <w:rsid w:val="2C3E049C"/>
    <w:rsid w:val="2C3E1BDD"/>
    <w:rsid w:val="2C3E4D17"/>
    <w:rsid w:val="2C3F0EDD"/>
    <w:rsid w:val="2C3F192C"/>
    <w:rsid w:val="2C401A8D"/>
    <w:rsid w:val="2C4024BC"/>
    <w:rsid w:val="2C402FF9"/>
    <w:rsid w:val="2C412EA7"/>
    <w:rsid w:val="2C414C55"/>
    <w:rsid w:val="2C416A03"/>
    <w:rsid w:val="2C4237AA"/>
    <w:rsid w:val="2C424529"/>
    <w:rsid w:val="2C432E7E"/>
    <w:rsid w:val="2C433A51"/>
    <w:rsid w:val="2C4402A1"/>
    <w:rsid w:val="2C44096C"/>
    <w:rsid w:val="2C4421E8"/>
    <w:rsid w:val="2C44430E"/>
    <w:rsid w:val="2C4464F3"/>
    <w:rsid w:val="2C446EDF"/>
    <w:rsid w:val="2C45177C"/>
    <w:rsid w:val="2C453AC0"/>
    <w:rsid w:val="2C45579E"/>
    <w:rsid w:val="2C4617FF"/>
    <w:rsid w:val="2C46226B"/>
    <w:rsid w:val="2C465E8A"/>
    <w:rsid w:val="2C465F37"/>
    <w:rsid w:val="2C466E6D"/>
    <w:rsid w:val="2C47293D"/>
    <w:rsid w:val="2C475248"/>
    <w:rsid w:val="2C475FE3"/>
    <w:rsid w:val="2C476890"/>
    <w:rsid w:val="2C477D91"/>
    <w:rsid w:val="2C4815FD"/>
    <w:rsid w:val="2C484235"/>
    <w:rsid w:val="2C484F24"/>
    <w:rsid w:val="2C485860"/>
    <w:rsid w:val="2C491D5B"/>
    <w:rsid w:val="2C4933AF"/>
    <w:rsid w:val="2C4936A5"/>
    <w:rsid w:val="2C493BEE"/>
    <w:rsid w:val="2C494AB8"/>
    <w:rsid w:val="2C497334"/>
    <w:rsid w:val="2C4A0786"/>
    <w:rsid w:val="2C4A6ABB"/>
    <w:rsid w:val="2C4B162F"/>
    <w:rsid w:val="2C4B1C25"/>
    <w:rsid w:val="2C4B2C78"/>
    <w:rsid w:val="2C4B7881"/>
    <w:rsid w:val="2C4C53A8"/>
    <w:rsid w:val="2C4C7EE8"/>
    <w:rsid w:val="2C4D184B"/>
    <w:rsid w:val="2C4E1120"/>
    <w:rsid w:val="2C4E22F6"/>
    <w:rsid w:val="2C4E297E"/>
    <w:rsid w:val="2C4F3FF2"/>
    <w:rsid w:val="2C504E98"/>
    <w:rsid w:val="2C506C46"/>
    <w:rsid w:val="2C50728E"/>
    <w:rsid w:val="2C5156A9"/>
    <w:rsid w:val="2C5214E3"/>
    <w:rsid w:val="2C527DA2"/>
    <w:rsid w:val="2C53211E"/>
    <w:rsid w:val="2C532973"/>
    <w:rsid w:val="2C53365A"/>
    <w:rsid w:val="2C534414"/>
    <w:rsid w:val="2C534988"/>
    <w:rsid w:val="2C536297"/>
    <w:rsid w:val="2C536453"/>
    <w:rsid w:val="2C536736"/>
    <w:rsid w:val="2C547D62"/>
    <w:rsid w:val="2C550700"/>
    <w:rsid w:val="2C55425C"/>
    <w:rsid w:val="2C554BF1"/>
    <w:rsid w:val="2C56092B"/>
    <w:rsid w:val="2C5612A5"/>
    <w:rsid w:val="2C5612F4"/>
    <w:rsid w:val="2C561EEC"/>
    <w:rsid w:val="2C567AFD"/>
    <w:rsid w:val="2C567DCF"/>
    <w:rsid w:val="2C567FD4"/>
    <w:rsid w:val="2C570C58"/>
    <w:rsid w:val="2C572784"/>
    <w:rsid w:val="2C572CBC"/>
    <w:rsid w:val="2C574478"/>
    <w:rsid w:val="2C57477A"/>
    <w:rsid w:val="2C57559B"/>
    <w:rsid w:val="2C5801F0"/>
    <w:rsid w:val="2C5907D8"/>
    <w:rsid w:val="2C59285D"/>
    <w:rsid w:val="2C5936C8"/>
    <w:rsid w:val="2C5A1872"/>
    <w:rsid w:val="2C5A5D16"/>
    <w:rsid w:val="2C5A6534"/>
    <w:rsid w:val="2C5A79A9"/>
    <w:rsid w:val="2C5A7AC4"/>
    <w:rsid w:val="2C5B25C3"/>
    <w:rsid w:val="2C5B3759"/>
    <w:rsid w:val="2C5B3C1F"/>
    <w:rsid w:val="2C5B535E"/>
    <w:rsid w:val="2C5B6571"/>
    <w:rsid w:val="2C5C1A8E"/>
    <w:rsid w:val="2C5C383D"/>
    <w:rsid w:val="2C5C3A25"/>
    <w:rsid w:val="2C5C5A5F"/>
    <w:rsid w:val="2C5D1363"/>
    <w:rsid w:val="2C5D3DCC"/>
    <w:rsid w:val="2C5D4207"/>
    <w:rsid w:val="2C5D5807"/>
    <w:rsid w:val="2C5D65F6"/>
    <w:rsid w:val="2C5D75B5"/>
    <w:rsid w:val="2C5E0D76"/>
    <w:rsid w:val="2C5E293C"/>
    <w:rsid w:val="2C5F092B"/>
    <w:rsid w:val="2C5F157F"/>
    <w:rsid w:val="2C5F332D"/>
    <w:rsid w:val="2C5F3D9D"/>
    <w:rsid w:val="2C5F41A8"/>
    <w:rsid w:val="2C5F46F9"/>
    <w:rsid w:val="2C5F50DB"/>
    <w:rsid w:val="2C5F6B1A"/>
    <w:rsid w:val="2C6023A6"/>
    <w:rsid w:val="2C603BE1"/>
    <w:rsid w:val="2C606EFE"/>
    <w:rsid w:val="2C610E53"/>
    <w:rsid w:val="2C611C9F"/>
    <w:rsid w:val="2C613836"/>
    <w:rsid w:val="2C614353"/>
    <w:rsid w:val="2C615794"/>
    <w:rsid w:val="2C6170A5"/>
    <w:rsid w:val="2C61797A"/>
    <w:rsid w:val="2C621223"/>
    <w:rsid w:val="2C622E1D"/>
    <w:rsid w:val="2C624BCB"/>
    <w:rsid w:val="2C630D27"/>
    <w:rsid w:val="2C640943"/>
    <w:rsid w:val="2C6426F1"/>
    <w:rsid w:val="2C643FFF"/>
    <w:rsid w:val="2C646B95"/>
    <w:rsid w:val="2C651C94"/>
    <w:rsid w:val="2C65227D"/>
    <w:rsid w:val="2C656218"/>
    <w:rsid w:val="2C66290D"/>
    <w:rsid w:val="2C6646BB"/>
    <w:rsid w:val="2C667041"/>
    <w:rsid w:val="2C66736C"/>
    <w:rsid w:val="2C6676A8"/>
    <w:rsid w:val="2C667F88"/>
    <w:rsid w:val="2C6721E1"/>
    <w:rsid w:val="2C673F8F"/>
    <w:rsid w:val="2C681F1F"/>
    <w:rsid w:val="2C683709"/>
    <w:rsid w:val="2C685CA3"/>
    <w:rsid w:val="2C6941AB"/>
    <w:rsid w:val="2C695F59"/>
    <w:rsid w:val="2C697D08"/>
    <w:rsid w:val="2C6B0CB9"/>
    <w:rsid w:val="2C6B1CD2"/>
    <w:rsid w:val="2C6B4ED3"/>
    <w:rsid w:val="2C6C351A"/>
    <w:rsid w:val="2C6C77F8"/>
    <w:rsid w:val="2C6D1F9D"/>
    <w:rsid w:val="2C6D3C9C"/>
    <w:rsid w:val="2C6D5D47"/>
    <w:rsid w:val="2C6D7352"/>
    <w:rsid w:val="2C6D780D"/>
    <w:rsid w:val="2C6E17C2"/>
    <w:rsid w:val="2C6E3570"/>
    <w:rsid w:val="2C6E531E"/>
    <w:rsid w:val="2C6E758A"/>
    <w:rsid w:val="2C6F2816"/>
    <w:rsid w:val="2C6F6E31"/>
    <w:rsid w:val="2C700B84"/>
    <w:rsid w:val="2C700CD0"/>
    <w:rsid w:val="2C701096"/>
    <w:rsid w:val="2C704A6C"/>
    <w:rsid w:val="2C70553A"/>
    <w:rsid w:val="2C712B36"/>
    <w:rsid w:val="2C717058"/>
    <w:rsid w:val="2C717B8E"/>
    <w:rsid w:val="2C720F72"/>
    <w:rsid w:val="2C7212B2"/>
    <w:rsid w:val="2C7219A3"/>
    <w:rsid w:val="2C725C4B"/>
    <w:rsid w:val="2C730B86"/>
    <w:rsid w:val="2C731599"/>
    <w:rsid w:val="2C732934"/>
    <w:rsid w:val="2C7330FF"/>
    <w:rsid w:val="2C73502A"/>
    <w:rsid w:val="2C736DD8"/>
    <w:rsid w:val="2C74066F"/>
    <w:rsid w:val="2C740FB5"/>
    <w:rsid w:val="2C75313C"/>
    <w:rsid w:val="2C753902"/>
    <w:rsid w:val="2C7548FE"/>
    <w:rsid w:val="2C755D0D"/>
    <w:rsid w:val="2C7566AC"/>
    <w:rsid w:val="2C7574ED"/>
    <w:rsid w:val="2C7645CC"/>
    <w:rsid w:val="2C765141"/>
    <w:rsid w:val="2C76719D"/>
    <w:rsid w:val="2C770676"/>
    <w:rsid w:val="2C772424"/>
    <w:rsid w:val="2C774DAB"/>
    <w:rsid w:val="2C777A70"/>
    <w:rsid w:val="2C780F5D"/>
    <w:rsid w:val="2C78105D"/>
    <w:rsid w:val="2C7843EE"/>
    <w:rsid w:val="2C78601D"/>
    <w:rsid w:val="2C78619D"/>
    <w:rsid w:val="2C792640"/>
    <w:rsid w:val="2C797610"/>
    <w:rsid w:val="2C7A1F15"/>
    <w:rsid w:val="2C7A3CC3"/>
    <w:rsid w:val="2C7B043E"/>
    <w:rsid w:val="2C7B6FAE"/>
    <w:rsid w:val="2C7C0F4A"/>
    <w:rsid w:val="2C7C1263"/>
    <w:rsid w:val="2C7C3EDF"/>
    <w:rsid w:val="2C7C6A09"/>
    <w:rsid w:val="2C7D1A05"/>
    <w:rsid w:val="2C7D214C"/>
    <w:rsid w:val="2C7D2D04"/>
    <w:rsid w:val="2C7E4022"/>
    <w:rsid w:val="2C7E592F"/>
    <w:rsid w:val="2C7F1FC2"/>
    <w:rsid w:val="2C7F44E0"/>
    <w:rsid w:val="2C7F6DBF"/>
    <w:rsid w:val="2C7F752B"/>
    <w:rsid w:val="2C801657"/>
    <w:rsid w:val="2C803864"/>
    <w:rsid w:val="2C806C31"/>
    <w:rsid w:val="2C811CDA"/>
    <w:rsid w:val="2C8132A3"/>
    <w:rsid w:val="2C813843"/>
    <w:rsid w:val="2C814110"/>
    <w:rsid w:val="2C8142B0"/>
    <w:rsid w:val="2C8156C5"/>
    <w:rsid w:val="2C820DC9"/>
    <w:rsid w:val="2C82409F"/>
    <w:rsid w:val="2C825265"/>
    <w:rsid w:val="2C82701B"/>
    <w:rsid w:val="2C827BAA"/>
    <w:rsid w:val="2C833ED8"/>
    <w:rsid w:val="2C844B41"/>
    <w:rsid w:val="2C846368"/>
    <w:rsid w:val="2C853AD3"/>
    <w:rsid w:val="2C8608B9"/>
    <w:rsid w:val="2C862667"/>
    <w:rsid w:val="2C8640C1"/>
    <w:rsid w:val="2C864D5D"/>
    <w:rsid w:val="2C865612"/>
    <w:rsid w:val="2C87091D"/>
    <w:rsid w:val="2C872436"/>
    <w:rsid w:val="2C872F30"/>
    <w:rsid w:val="2C874107"/>
    <w:rsid w:val="2C8754C4"/>
    <w:rsid w:val="2C8763E0"/>
    <w:rsid w:val="2C8824B7"/>
    <w:rsid w:val="2C884632"/>
    <w:rsid w:val="2C886DA8"/>
    <w:rsid w:val="2C8903AA"/>
    <w:rsid w:val="2C892158"/>
    <w:rsid w:val="2C892A42"/>
    <w:rsid w:val="2C8937A2"/>
    <w:rsid w:val="2C896589"/>
    <w:rsid w:val="2C8965FC"/>
    <w:rsid w:val="2C89707B"/>
    <w:rsid w:val="2C8A1219"/>
    <w:rsid w:val="2C8A1332"/>
    <w:rsid w:val="2C8A52C3"/>
    <w:rsid w:val="2C8B0765"/>
    <w:rsid w:val="2C8B2374"/>
    <w:rsid w:val="2C8B4122"/>
    <w:rsid w:val="2C8B7F33"/>
    <w:rsid w:val="2C8C39F6"/>
    <w:rsid w:val="2C8C4B8D"/>
    <w:rsid w:val="2C8D114A"/>
    <w:rsid w:val="2C8D1C48"/>
    <w:rsid w:val="2C8D50E5"/>
    <w:rsid w:val="2C8D7E9A"/>
    <w:rsid w:val="2C8E11C6"/>
    <w:rsid w:val="2C8E3C12"/>
    <w:rsid w:val="2C8E4B0F"/>
    <w:rsid w:val="2C8E50A6"/>
    <w:rsid w:val="2C8E5424"/>
    <w:rsid w:val="2C8E59C0"/>
    <w:rsid w:val="2C8E5CDA"/>
    <w:rsid w:val="2C8E6592"/>
    <w:rsid w:val="2C8E776E"/>
    <w:rsid w:val="2C8F24DF"/>
    <w:rsid w:val="2C8F2535"/>
    <w:rsid w:val="2C8F272E"/>
    <w:rsid w:val="2C8F5766"/>
    <w:rsid w:val="2C8F634D"/>
    <w:rsid w:val="2C8F68B4"/>
    <w:rsid w:val="2C902650"/>
    <w:rsid w:val="2C902915"/>
    <w:rsid w:val="2C902F22"/>
    <w:rsid w:val="2C9034E6"/>
    <w:rsid w:val="2C914BF7"/>
    <w:rsid w:val="2C9172E8"/>
    <w:rsid w:val="2C91797A"/>
    <w:rsid w:val="2C925235"/>
    <w:rsid w:val="2C92725E"/>
    <w:rsid w:val="2C93250A"/>
    <w:rsid w:val="2C932FD6"/>
    <w:rsid w:val="2C93301E"/>
    <w:rsid w:val="2C933DF1"/>
    <w:rsid w:val="2C934D84"/>
    <w:rsid w:val="2C9366C5"/>
    <w:rsid w:val="2C937E06"/>
    <w:rsid w:val="2C941296"/>
    <w:rsid w:val="2C942367"/>
    <w:rsid w:val="2C950AFD"/>
    <w:rsid w:val="2C954FA0"/>
    <w:rsid w:val="2C963BB6"/>
    <w:rsid w:val="2C965046"/>
    <w:rsid w:val="2C9663AB"/>
    <w:rsid w:val="2C966466"/>
    <w:rsid w:val="2C966787"/>
    <w:rsid w:val="2C970D19"/>
    <w:rsid w:val="2C971B57"/>
    <w:rsid w:val="2C972980"/>
    <w:rsid w:val="2C972AC7"/>
    <w:rsid w:val="2C973F96"/>
    <w:rsid w:val="2C9764D6"/>
    <w:rsid w:val="2C9805ED"/>
    <w:rsid w:val="2C9A1AB6"/>
    <w:rsid w:val="2C9A1CB1"/>
    <w:rsid w:val="2C9A25B7"/>
    <w:rsid w:val="2C9A2FB3"/>
    <w:rsid w:val="2C9A4365"/>
    <w:rsid w:val="2C9A48A9"/>
    <w:rsid w:val="2C9A6113"/>
    <w:rsid w:val="2C9A6598"/>
    <w:rsid w:val="2C9A7A60"/>
    <w:rsid w:val="2C9B1D14"/>
    <w:rsid w:val="2C9B1F9D"/>
    <w:rsid w:val="2C9B57E1"/>
    <w:rsid w:val="2C9B7A28"/>
    <w:rsid w:val="2C9C1E8B"/>
    <w:rsid w:val="2C9C632F"/>
    <w:rsid w:val="2C9D3A89"/>
    <w:rsid w:val="2C9D5C03"/>
    <w:rsid w:val="2C9E0BAE"/>
    <w:rsid w:val="2C9E3E55"/>
    <w:rsid w:val="2C9E4F19"/>
    <w:rsid w:val="2C9E674E"/>
    <w:rsid w:val="2C9F3729"/>
    <w:rsid w:val="2C9F5E1F"/>
    <w:rsid w:val="2C9F68E3"/>
    <w:rsid w:val="2C9F7BCD"/>
    <w:rsid w:val="2CA0240A"/>
    <w:rsid w:val="2CA02EAC"/>
    <w:rsid w:val="2CA06BC3"/>
    <w:rsid w:val="2CA074B1"/>
    <w:rsid w:val="2CA07839"/>
    <w:rsid w:val="2CA12D54"/>
    <w:rsid w:val="2CA1389A"/>
    <w:rsid w:val="2CA13945"/>
    <w:rsid w:val="2CA174A1"/>
    <w:rsid w:val="2CA20166"/>
    <w:rsid w:val="2CA24B75"/>
    <w:rsid w:val="2CA24D2A"/>
    <w:rsid w:val="2CA376BD"/>
    <w:rsid w:val="2CA40304"/>
    <w:rsid w:val="2CA43435"/>
    <w:rsid w:val="2CA451E4"/>
    <w:rsid w:val="2CA50ADA"/>
    <w:rsid w:val="2CA57B2C"/>
    <w:rsid w:val="2CA60F5C"/>
    <w:rsid w:val="2CA6162C"/>
    <w:rsid w:val="2CA62D0A"/>
    <w:rsid w:val="2CA64AB8"/>
    <w:rsid w:val="2CA64B3B"/>
    <w:rsid w:val="2CA66BE7"/>
    <w:rsid w:val="2CA70830"/>
    <w:rsid w:val="2CA719F5"/>
    <w:rsid w:val="2CA71DD1"/>
    <w:rsid w:val="2CA724AA"/>
    <w:rsid w:val="2CA80213"/>
    <w:rsid w:val="2CA80B9C"/>
    <w:rsid w:val="2CA823FE"/>
    <w:rsid w:val="2CA84BA2"/>
    <w:rsid w:val="2CA84CD4"/>
    <w:rsid w:val="2CA85142"/>
    <w:rsid w:val="2CA86A82"/>
    <w:rsid w:val="2CA90A4C"/>
    <w:rsid w:val="2CA91522"/>
    <w:rsid w:val="2CA927FA"/>
    <w:rsid w:val="2CA945A8"/>
    <w:rsid w:val="2CAA39BD"/>
    <w:rsid w:val="2CAA608D"/>
    <w:rsid w:val="2CAC2DE6"/>
    <w:rsid w:val="2CAC47F4"/>
    <w:rsid w:val="2CAD194B"/>
    <w:rsid w:val="2CAD1E3D"/>
    <w:rsid w:val="2CAD22EA"/>
    <w:rsid w:val="2CAD3317"/>
    <w:rsid w:val="2CAD4098"/>
    <w:rsid w:val="2CAD5E46"/>
    <w:rsid w:val="2CAE1BBE"/>
    <w:rsid w:val="2CAE7E10"/>
    <w:rsid w:val="2CAF1C30"/>
    <w:rsid w:val="2CAF5E9E"/>
    <w:rsid w:val="2CAF6062"/>
    <w:rsid w:val="2CB01DDA"/>
    <w:rsid w:val="2CB03B88"/>
    <w:rsid w:val="2CB066F4"/>
    <w:rsid w:val="2CB11C4E"/>
    <w:rsid w:val="2CB12F68"/>
    <w:rsid w:val="2CB216AE"/>
    <w:rsid w:val="2CB2345D"/>
    <w:rsid w:val="2CB2481F"/>
    <w:rsid w:val="2CB27900"/>
    <w:rsid w:val="2CB32D2F"/>
    <w:rsid w:val="2CB35427"/>
    <w:rsid w:val="2CB371D5"/>
    <w:rsid w:val="2CB40893"/>
    <w:rsid w:val="2CB41D10"/>
    <w:rsid w:val="2CB42EF2"/>
    <w:rsid w:val="2CB4503B"/>
    <w:rsid w:val="2CB5119F"/>
    <w:rsid w:val="2CB51228"/>
    <w:rsid w:val="2CB513E2"/>
    <w:rsid w:val="2CB525F7"/>
    <w:rsid w:val="2CB52F4D"/>
    <w:rsid w:val="2CB531A0"/>
    <w:rsid w:val="2CB573F1"/>
    <w:rsid w:val="2CB64630"/>
    <w:rsid w:val="2CB64919"/>
    <w:rsid w:val="2CB66905"/>
    <w:rsid w:val="2CB73169"/>
    <w:rsid w:val="2CB745EA"/>
    <w:rsid w:val="2CB7480F"/>
    <w:rsid w:val="2CB74F17"/>
    <w:rsid w:val="2CB76CC5"/>
    <w:rsid w:val="2CB80691"/>
    <w:rsid w:val="2CB828E4"/>
    <w:rsid w:val="2CB82A3D"/>
    <w:rsid w:val="2CB847EB"/>
    <w:rsid w:val="2CB949EC"/>
    <w:rsid w:val="2CB971C7"/>
    <w:rsid w:val="2CBA0AE8"/>
    <w:rsid w:val="2CBA7EB3"/>
    <w:rsid w:val="2CBB6D45"/>
    <w:rsid w:val="2CBC077F"/>
    <w:rsid w:val="2CBC252D"/>
    <w:rsid w:val="2CBC6D61"/>
    <w:rsid w:val="2CBD0053"/>
    <w:rsid w:val="2CBD2151"/>
    <w:rsid w:val="2CBE2DC2"/>
    <w:rsid w:val="2CBE43FE"/>
    <w:rsid w:val="2CBE44F7"/>
    <w:rsid w:val="2CBE62A5"/>
    <w:rsid w:val="2CBF201D"/>
    <w:rsid w:val="2CBF3DCB"/>
    <w:rsid w:val="2CBF5B79"/>
    <w:rsid w:val="2CBF6E23"/>
    <w:rsid w:val="2CBF7D48"/>
    <w:rsid w:val="2CC01DEF"/>
    <w:rsid w:val="2CC116BF"/>
    <w:rsid w:val="2CC118F2"/>
    <w:rsid w:val="2CC12EED"/>
    <w:rsid w:val="2CC165DC"/>
    <w:rsid w:val="2CC17B44"/>
    <w:rsid w:val="2CC23B0D"/>
    <w:rsid w:val="2CC31B0E"/>
    <w:rsid w:val="2CC338BC"/>
    <w:rsid w:val="2CC3566A"/>
    <w:rsid w:val="2CC366BA"/>
    <w:rsid w:val="2CC413E2"/>
    <w:rsid w:val="2CC4264E"/>
    <w:rsid w:val="2CC43190"/>
    <w:rsid w:val="2CC500C4"/>
    <w:rsid w:val="2CC5253A"/>
    <w:rsid w:val="2CC52B9D"/>
    <w:rsid w:val="2CC52D3E"/>
    <w:rsid w:val="2CC55886"/>
    <w:rsid w:val="2CC61554"/>
    <w:rsid w:val="2CC633AC"/>
    <w:rsid w:val="2CC6364E"/>
    <w:rsid w:val="2CC6515A"/>
    <w:rsid w:val="2CC66F08"/>
    <w:rsid w:val="2CC745AB"/>
    <w:rsid w:val="2CC80ED2"/>
    <w:rsid w:val="2CC82C80"/>
    <w:rsid w:val="2CC869E8"/>
    <w:rsid w:val="2CC87124"/>
    <w:rsid w:val="2CC9373B"/>
    <w:rsid w:val="2CC93B76"/>
    <w:rsid w:val="2CC9685B"/>
    <w:rsid w:val="2CC969F8"/>
    <w:rsid w:val="2CC97ED5"/>
    <w:rsid w:val="2CCA2AA6"/>
    <w:rsid w:val="2CCA4BD8"/>
    <w:rsid w:val="2CCB2770"/>
    <w:rsid w:val="2CCB3F36"/>
    <w:rsid w:val="2CCB53C6"/>
    <w:rsid w:val="2CCB6C14"/>
    <w:rsid w:val="2CCC3747"/>
    <w:rsid w:val="2CCC6856"/>
    <w:rsid w:val="2CCD0296"/>
    <w:rsid w:val="2CCD0E00"/>
    <w:rsid w:val="2CCD13A5"/>
    <w:rsid w:val="2CCD473A"/>
    <w:rsid w:val="2CCD4CC0"/>
    <w:rsid w:val="2CCD64E8"/>
    <w:rsid w:val="2CCD7CE6"/>
    <w:rsid w:val="2CCE019C"/>
    <w:rsid w:val="2CCE400E"/>
    <w:rsid w:val="2CCE5D5C"/>
    <w:rsid w:val="2CCF04B2"/>
    <w:rsid w:val="2CD05FD9"/>
    <w:rsid w:val="2CD07D87"/>
    <w:rsid w:val="2CD07DA8"/>
    <w:rsid w:val="2CD11238"/>
    <w:rsid w:val="2CD16667"/>
    <w:rsid w:val="2CD16AA6"/>
    <w:rsid w:val="2CD21D51"/>
    <w:rsid w:val="2CD25312"/>
    <w:rsid w:val="2CD258AD"/>
    <w:rsid w:val="2CD30707"/>
    <w:rsid w:val="2CD35299"/>
    <w:rsid w:val="2CD35FB2"/>
    <w:rsid w:val="2CD422AD"/>
    <w:rsid w:val="2CD44FE8"/>
    <w:rsid w:val="2CD45AC9"/>
    <w:rsid w:val="2CD465A8"/>
    <w:rsid w:val="2CD46729"/>
    <w:rsid w:val="2CD51841"/>
    <w:rsid w:val="2CD53597"/>
    <w:rsid w:val="2CD54662"/>
    <w:rsid w:val="2CD54C5E"/>
    <w:rsid w:val="2CD54D1D"/>
    <w:rsid w:val="2CD5539D"/>
    <w:rsid w:val="2CD57BB9"/>
    <w:rsid w:val="2CD6177C"/>
    <w:rsid w:val="2CD624D9"/>
    <w:rsid w:val="2CD6590B"/>
    <w:rsid w:val="2CD6778D"/>
    <w:rsid w:val="2CD73EC3"/>
    <w:rsid w:val="2CD750AA"/>
    <w:rsid w:val="2CD755B9"/>
    <w:rsid w:val="2CD77367"/>
    <w:rsid w:val="2CD77D50"/>
    <w:rsid w:val="2CD827F5"/>
    <w:rsid w:val="2CD84677"/>
    <w:rsid w:val="2CD97C27"/>
    <w:rsid w:val="2CDA259B"/>
    <w:rsid w:val="2CDA29B3"/>
    <w:rsid w:val="2CDA6E57"/>
    <w:rsid w:val="2CDA76DE"/>
    <w:rsid w:val="2CDB040F"/>
    <w:rsid w:val="2CDB214E"/>
    <w:rsid w:val="2CDB45C8"/>
    <w:rsid w:val="2CDB4A75"/>
    <w:rsid w:val="2CDB4FBC"/>
    <w:rsid w:val="2CDB6DAA"/>
    <w:rsid w:val="2CDC2BCF"/>
    <w:rsid w:val="2CDC2D3C"/>
    <w:rsid w:val="2CDC37A0"/>
    <w:rsid w:val="2CDC497D"/>
    <w:rsid w:val="2CDC672B"/>
    <w:rsid w:val="2CDD0F1C"/>
    <w:rsid w:val="2CDD401E"/>
    <w:rsid w:val="2CDD75A6"/>
    <w:rsid w:val="2CDD77DB"/>
    <w:rsid w:val="2CDE06F5"/>
    <w:rsid w:val="2CDE0C6B"/>
    <w:rsid w:val="2CDF2696"/>
    <w:rsid w:val="2CDF4189"/>
    <w:rsid w:val="2CDF446E"/>
    <w:rsid w:val="2CDF5DD7"/>
    <w:rsid w:val="2CDF621C"/>
    <w:rsid w:val="2CDF7321"/>
    <w:rsid w:val="2CDF7FCA"/>
    <w:rsid w:val="2CE10D2D"/>
    <w:rsid w:val="2CE11F94"/>
    <w:rsid w:val="2CE130B1"/>
    <w:rsid w:val="2CE13D42"/>
    <w:rsid w:val="2CE15115"/>
    <w:rsid w:val="2CE17CA6"/>
    <w:rsid w:val="2CE20111"/>
    <w:rsid w:val="2CE2198B"/>
    <w:rsid w:val="2CE24113"/>
    <w:rsid w:val="2CE250B9"/>
    <w:rsid w:val="2CE2646F"/>
    <w:rsid w:val="2CE274AC"/>
    <w:rsid w:val="2CE33F5E"/>
    <w:rsid w:val="2CE341B5"/>
    <w:rsid w:val="2CE35D0C"/>
    <w:rsid w:val="2CE43832"/>
    <w:rsid w:val="2CE44ADD"/>
    <w:rsid w:val="2CE51A84"/>
    <w:rsid w:val="2CE61358"/>
    <w:rsid w:val="2CE61FCE"/>
    <w:rsid w:val="2CE625FE"/>
    <w:rsid w:val="2CE64163"/>
    <w:rsid w:val="2CE67865"/>
    <w:rsid w:val="2CE713CD"/>
    <w:rsid w:val="2CE81CFA"/>
    <w:rsid w:val="2CE83322"/>
    <w:rsid w:val="2CE848EE"/>
    <w:rsid w:val="2CE850D0"/>
    <w:rsid w:val="2CE8602F"/>
    <w:rsid w:val="2CE92E06"/>
    <w:rsid w:val="2CE96451"/>
    <w:rsid w:val="2CEA0B09"/>
    <w:rsid w:val="2CEA1287"/>
    <w:rsid w:val="2CEA24F1"/>
    <w:rsid w:val="2CEA52EC"/>
    <w:rsid w:val="2CEA7029"/>
    <w:rsid w:val="2CEA709A"/>
    <w:rsid w:val="2CEB2494"/>
    <w:rsid w:val="2CEB2E12"/>
    <w:rsid w:val="2CEB4BC0"/>
    <w:rsid w:val="2CEC08F9"/>
    <w:rsid w:val="2CEC3B72"/>
    <w:rsid w:val="2CEC5BAD"/>
    <w:rsid w:val="2CED0939"/>
    <w:rsid w:val="2CED15E9"/>
    <w:rsid w:val="2CED26E7"/>
    <w:rsid w:val="2CED6B8B"/>
    <w:rsid w:val="2CED72D0"/>
    <w:rsid w:val="2CEE13F1"/>
    <w:rsid w:val="2CEE2CA8"/>
    <w:rsid w:val="2CEE645F"/>
    <w:rsid w:val="2CEE6CC2"/>
    <w:rsid w:val="2CEF4508"/>
    <w:rsid w:val="2CEF46B1"/>
    <w:rsid w:val="2CEF5652"/>
    <w:rsid w:val="2CF00429"/>
    <w:rsid w:val="2CF03080"/>
    <w:rsid w:val="2CF04558"/>
    <w:rsid w:val="2CF047C1"/>
    <w:rsid w:val="2CF0501D"/>
    <w:rsid w:val="2CF05A49"/>
    <w:rsid w:val="2CF0667B"/>
    <w:rsid w:val="2CF0707B"/>
    <w:rsid w:val="2CF10822"/>
    <w:rsid w:val="2CF14CED"/>
    <w:rsid w:val="2CF170E1"/>
    <w:rsid w:val="2CF20571"/>
    <w:rsid w:val="2CF2192B"/>
    <w:rsid w:val="2CF2269B"/>
    <w:rsid w:val="2CF22EA0"/>
    <w:rsid w:val="2CF23C9D"/>
    <w:rsid w:val="2CF241A1"/>
    <w:rsid w:val="2CF26DCA"/>
    <w:rsid w:val="2CF27CFD"/>
    <w:rsid w:val="2CF33A75"/>
    <w:rsid w:val="2CF414A0"/>
    <w:rsid w:val="2CF41CC7"/>
    <w:rsid w:val="2CF445D2"/>
    <w:rsid w:val="2CF47017"/>
    <w:rsid w:val="2CF47F19"/>
    <w:rsid w:val="2CF50633"/>
    <w:rsid w:val="2CF513FE"/>
    <w:rsid w:val="2CF531E4"/>
    <w:rsid w:val="2CF55A3F"/>
    <w:rsid w:val="2CF56090"/>
    <w:rsid w:val="2CF577ED"/>
    <w:rsid w:val="2CF62D5E"/>
    <w:rsid w:val="2CF64D2B"/>
    <w:rsid w:val="2CF717B7"/>
    <w:rsid w:val="2CF75313"/>
    <w:rsid w:val="2CF77A09"/>
    <w:rsid w:val="2CF9108B"/>
    <w:rsid w:val="2CF9281E"/>
    <w:rsid w:val="2CF93477"/>
    <w:rsid w:val="2CF9447A"/>
    <w:rsid w:val="2CF949B7"/>
    <w:rsid w:val="2CF9552F"/>
    <w:rsid w:val="2CF968A4"/>
    <w:rsid w:val="2CF96C0D"/>
    <w:rsid w:val="2CF96FB4"/>
    <w:rsid w:val="2CF97322"/>
    <w:rsid w:val="2CFA3055"/>
    <w:rsid w:val="2CFA4E04"/>
    <w:rsid w:val="2CFA6E92"/>
    <w:rsid w:val="2CFA7462"/>
    <w:rsid w:val="2CFB3472"/>
    <w:rsid w:val="2CFB44A5"/>
    <w:rsid w:val="2CFC0B7C"/>
    <w:rsid w:val="2CFC5020"/>
    <w:rsid w:val="2CFD1E6D"/>
    <w:rsid w:val="2CFD5684"/>
    <w:rsid w:val="2CFE0255"/>
    <w:rsid w:val="2CFE2545"/>
    <w:rsid w:val="2CFE4D17"/>
    <w:rsid w:val="2CFE66A2"/>
    <w:rsid w:val="2CFF066C"/>
    <w:rsid w:val="2CFF18FC"/>
    <w:rsid w:val="2CFF241A"/>
    <w:rsid w:val="2CFF4306"/>
    <w:rsid w:val="2D00276B"/>
    <w:rsid w:val="2D003103"/>
    <w:rsid w:val="2D0068BE"/>
    <w:rsid w:val="2D010AED"/>
    <w:rsid w:val="2D012E36"/>
    <w:rsid w:val="2D0143E4"/>
    <w:rsid w:val="2D020066"/>
    <w:rsid w:val="2D020F4E"/>
    <w:rsid w:val="2D0219A9"/>
    <w:rsid w:val="2D0223EB"/>
    <w:rsid w:val="2D025A09"/>
    <w:rsid w:val="2D027262"/>
    <w:rsid w:val="2D0314F6"/>
    <w:rsid w:val="2D032C37"/>
    <w:rsid w:val="2D035FCE"/>
    <w:rsid w:val="2D036C68"/>
    <w:rsid w:val="2D0422C9"/>
    <w:rsid w:val="2D043141"/>
    <w:rsid w:val="2D0439A8"/>
    <w:rsid w:val="2D0440C7"/>
    <w:rsid w:val="2D0446E9"/>
    <w:rsid w:val="2D045C82"/>
    <w:rsid w:val="2D047A30"/>
    <w:rsid w:val="2D057509"/>
    <w:rsid w:val="2D057D84"/>
    <w:rsid w:val="2D0637A8"/>
    <w:rsid w:val="2D06419F"/>
    <w:rsid w:val="2D0647F5"/>
    <w:rsid w:val="2D06563C"/>
    <w:rsid w:val="2D067C4C"/>
    <w:rsid w:val="2D07221A"/>
    <w:rsid w:val="2D082E08"/>
    <w:rsid w:val="2D0839C4"/>
    <w:rsid w:val="2D084693"/>
    <w:rsid w:val="2D084C8A"/>
    <w:rsid w:val="2D085772"/>
    <w:rsid w:val="2D087520"/>
    <w:rsid w:val="2D0875C0"/>
    <w:rsid w:val="2D09149F"/>
    <w:rsid w:val="2D09157D"/>
    <w:rsid w:val="2D094A5B"/>
    <w:rsid w:val="2D094C2D"/>
    <w:rsid w:val="2D095368"/>
    <w:rsid w:val="2D09555E"/>
    <w:rsid w:val="2D0976FA"/>
    <w:rsid w:val="2D0A3299"/>
    <w:rsid w:val="2D0A5D83"/>
    <w:rsid w:val="2D0A7CF1"/>
    <w:rsid w:val="2D0B03C2"/>
    <w:rsid w:val="2D0B0DBF"/>
    <w:rsid w:val="2D0B13C9"/>
    <w:rsid w:val="2D0B2859"/>
    <w:rsid w:val="2D0B2E58"/>
    <w:rsid w:val="2D0B3415"/>
    <w:rsid w:val="2D0B5263"/>
    <w:rsid w:val="2D0B7011"/>
    <w:rsid w:val="2D0C0574"/>
    <w:rsid w:val="2D0C3CE8"/>
    <w:rsid w:val="2D0C4BDB"/>
    <w:rsid w:val="2D0C672C"/>
    <w:rsid w:val="2D0D0FDB"/>
    <w:rsid w:val="2D0D4B37"/>
    <w:rsid w:val="2D0D5178"/>
    <w:rsid w:val="2D0E12E1"/>
    <w:rsid w:val="2D0E1A27"/>
    <w:rsid w:val="2D0E2302"/>
    <w:rsid w:val="2D0E4255"/>
    <w:rsid w:val="2D0E7FFE"/>
    <w:rsid w:val="2D0F6B01"/>
    <w:rsid w:val="2D102879"/>
    <w:rsid w:val="2D10523A"/>
    <w:rsid w:val="2D1063D5"/>
    <w:rsid w:val="2D114B79"/>
    <w:rsid w:val="2D115BDC"/>
    <w:rsid w:val="2D12039F"/>
    <w:rsid w:val="2D123224"/>
    <w:rsid w:val="2D1265F1"/>
    <w:rsid w:val="2D1270F4"/>
    <w:rsid w:val="2D1278E5"/>
    <w:rsid w:val="2D130FEA"/>
    <w:rsid w:val="2D135D5A"/>
    <w:rsid w:val="2D137EBB"/>
    <w:rsid w:val="2D142369"/>
    <w:rsid w:val="2D144117"/>
    <w:rsid w:val="2D145C47"/>
    <w:rsid w:val="2D145EC5"/>
    <w:rsid w:val="2D1506CF"/>
    <w:rsid w:val="2D151620"/>
    <w:rsid w:val="2D152905"/>
    <w:rsid w:val="2D153171"/>
    <w:rsid w:val="2D161B61"/>
    <w:rsid w:val="2D1660E1"/>
    <w:rsid w:val="2D171E59"/>
    <w:rsid w:val="2D17291F"/>
    <w:rsid w:val="2D172F9D"/>
    <w:rsid w:val="2D173C07"/>
    <w:rsid w:val="2D1759B5"/>
    <w:rsid w:val="2D184635"/>
    <w:rsid w:val="2D184809"/>
    <w:rsid w:val="2D187032"/>
    <w:rsid w:val="2D187D17"/>
    <w:rsid w:val="2D187D88"/>
    <w:rsid w:val="2D1907EC"/>
    <w:rsid w:val="2D1908C0"/>
    <w:rsid w:val="2D19120C"/>
    <w:rsid w:val="2D1934DC"/>
    <w:rsid w:val="2D19555C"/>
    <w:rsid w:val="2D197980"/>
    <w:rsid w:val="2D1A264B"/>
    <w:rsid w:val="2D1A7254"/>
    <w:rsid w:val="2D1A792A"/>
    <w:rsid w:val="2D1B36F8"/>
    <w:rsid w:val="2D1B54A6"/>
    <w:rsid w:val="2D1C0C0C"/>
    <w:rsid w:val="2D1C121E"/>
    <w:rsid w:val="2D1C3854"/>
    <w:rsid w:val="2D1C4D7A"/>
    <w:rsid w:val="2D1C7470"/>
    <w:rsid w:val="2D1D1A83"/>
    <w:rsid w:val="2D1D432F"/>
    <w:rsid w:val="2D1D4947"/>
    <w:rsid w:val="2D1E43FA"/>
    <w:rsid w:val="2D1E5790"/>
    <w:rsid w:val="2D1E783E"/>
    <w:rsid w:val="2D1F486A"/>
    <w:rsid w:val="2D200D0E"/>
    <w:rsid w:val="2D20215E"/>
    <w:rsid w:val="2D2135EE"/>
    <w:rsid w:val="2D214A86"/>
    <w:rsid w:val="2D215EAE"/>
    <w:rsid w:val="2D216834"/>
    <w:rsid w:val="2D2201F8"/>
    <w:rsid w:val="2D22599D"/>
    <w:rsid w:val="2D2307FE"/>
    <w:rsid w:val="2D2325AC"/>
    <w:rsid w:val="2D232D71"/>
    <w:rsid w:val="2D23435A"/>
    <w:rsid w:val="2D235F0E"/>
    <w:rsid w:val="2D236108"/>
    <w:rsid w:val="2D2366D7"/>
    <w:rsid w:val="2D237509"/>
    <w:rsid w:val="2D241E80"/>
    <w:rsid w:val="2D2457CB"/>
    <w:rsid w:val="2D2474E2"/>
    <w:rsid w:val="2D25037E"/>
    <w:rsid w:val="2D2533FF"/>
    <w:rsid w:val="2D255AE3"/>
    <w:rsid w:val="2D256324"/>
    <w:rsid w:val="2D2712CD"/>
    <w:rsid w:val="2D272FE9"/>
    <w:rsid w:val="2D276A64"/>
    <w:rsid w:val="2D280574"/>
    <w:rsid w:val="2D281971"/>
    <w:rsid w:val="2D283187"/>
    <w:rsid w:val="2D287BC3"/>
    <w:rsid w:val="2D293210"/>
    <w:rsid w:val="2D297497"/>
    <w:rsid w:val="2D297E19"/>
    <w:rsid w:val="2D2A00D5"/>
    <w:rsid w:val="2D2A336C"/>
    <w:rsid w:val="2D2A7220"/>
    <w:rsid w:val="2D2A7F70"/>
    <w:rsid w:val="2D2B23D0"/>
    <w:rsid w:val="2D2B35EB"/>
    <w:rsid w:val="2D2B53E8"/>
    <w:rsid w:val="2D2C02D8"/>
    <w:rsid w:val="2D2C0456"/>
    <w:rsid w:val="2D2C0AFD"/>
    <w:rsid w:val="2D2C3CCF"/>
    <w:rsid w:val="2D2D1B91"/>
    <w:rsid w:val="2D2D2502"/>
    <w:rsid w:val="2D2D342B"/>
    <w:rsid w:val="2D2D51D9"/>
    <w:rsid w:val="2D2E15FA"/>
    <w:rsid w:val="2D2E1B69"/>
    <w:rsid w:val="2D2E5BF2"/>
    <w:rsid w:val="2D2F0008"/>
    <w:rsid w:val="2D2F07C3"/>
    <w:rsid w:val="2D2F0F51"/>
    <w:rsid w:val="2D2F19F0"/>
    <w:rsid w:val="2D2F1D75"/>
    <w:rsid w:val="2D2F2CFF"/>
    <w:rsid w:val="2D2F3F61"/>
    <w:rsid w:val="2D2F71A3"/>
    <w:rsid w:val="2D2F7924"/>
    <w:rsid w:val="2D300512"/>
    <w:rsid w:val="2D300825"/>
    <w:rsid w:val="2D301C53"/>
    <w:rsid w:val="2D303125"/>
    <w:rsid w:val="2D310FEC"/>
    <w:rsid w:val="2D312F83"/>
    <w:rsid w:val="2D3130E3"/>
    <w:rsid w:val="2D3205F1"/>
    <w:rsid w:val="2D320A41"/>
    <w:rsid w:val="2D322E67"/>
    <w:rsid w:val="2D32357A"/>
    <w:rsid w:val="2D323E26"/>
    <w:rsid w:val="2D33476D"/>
    <w:rsid w:val="2D337521"/>
    <w:rsid w:val="2D343535"/>
    <w:rsid w:val="2D34475F"/>
    <w:rsid w:val="2D345998"/>
    <w:rsid w:val="2D346BD8"/>
    <w:rsid w:val="2D350E34"/>
    <w:rsid w:val="2D3520B9"/>
    <w:rsid w:val="2D352EF4"/>
    <w:rsid w:val="2D35408E"/>
    <w:rsid w:val="2D3557D9"/>
    <w:rsid w:val="2D360531"/>
    <w:rsid w:val="2D3622E0"/>
    <w:rsid w:val="2D366FEA"/>
    <w:rsid w:val="2D371BB4"/>
    <w:rsid w:val="2D372553"/>
    <w:rsid w:val="2D375814"/>
    <w:rsid w:val="2D376058"/>
    <w:rsid w:val="2D376263"/>
    <w:rsid w:val="2D391DD0"/>
    <w:rsid w:val="2D39210C"/>
    <w:rsid w:val="2D393B7E"/>
    <w:rsid w:val="2D39592C"/>
    <w:rsid w:val="2D3A2ADE"/>
    <w:rsid w:val="2D3A32FD"/>
    <w:rsid w:val="2D3A4195"/>
    <w:rsid w:val="2D3A44A6"/>
    <w:rsid w:val="2D3B5B48"/>
    <w:rsid w:val="2D3B66FF"/>
    <w:rsid w:val="2D3B6D66"/>
    <w:rsid w:val="2D3C123C"/>
    <w:rsid w:val="2D3C366E"/>
    <w:rsid w:val="2D3C3EF9"/>
    <w:rsid w:val="2D3C71CA"/>
    <w:rsid w:val="2D3D165B"/>
    <w:rsid w:val="2D3D1686"/>
    <w:rsid w:val="2D3D29BB"/>
    <w:rsid w:val="2D3D4257"/>
    <w:rsid w:val="2D3E0278"/>
    <w:rsid w:val="2D3E1194"/>
    <w:rsid w:val="2D3E2F42"/>
    <w:rsid w:val="2D3E4281"/>
    <w:rsid w:val="2D3F6D3F"/>
    <w:rsid w:val="2D3F78AC"/>
    <w:rsid w:val="2D40160D"/>
    <w:rsid w:val="2D401D7D"/>
    <w:rsid w:val="2D410C84"/>
    <w:rsid w:val="2D411497"/>
    <w:rsid w:val="2D412A2F"/>
    <w:rsid w:val="2D412A32"/>
    <w:rsid w:val="2D414068"/>
    <w:rsid w:val="2D414149"/>
    <w:rsid w:val="2D415C05"/>
    <w:rsid w:val="2D4218F3"/>
    <w:rsid w:val="2D421D89"/>
    <w:rsid w:val="2D423D97"/>
    <w:rsid w:val="2D426ED6"/>
    <w:rsid w:val="2D430559"/>
    <w:rsid w:val="2D4367AA"/>
    <w:rsid w:val="2D444802"/>
    <w:rsid w:val="2D446D89"/>
    <w:rsid w:val="2D447E18"/>
    <w:rsid w:val="2D450775"/>
    <w:rsid w:val="2D452523"/>
    <w:rsid w:val="2D454806"/>
    <w:rsid w:val="2D460049"/>
    <w:rsid w:val="2D460845"/>
    <w:rsid w:val="2D46363B"/>
    <w:rsid w:val="2D463E79"/>
    <w:rsid w:val="2D465D16"/>
    <w:rsid w:val="2D46629B"/>
    <w:rsid w:val="2D4744ED"/>
    <w:rsid w:val="2D480265"/>
    <w:rsid w:val="2D482013"/>
    <w:rsid w:val="2D483DC1"/>
    <w:rsid w:val="2D485B6F"/>
    <w:rsid w:val="2D4906C5"/>
    <w:rsid w:val="2D493FE8"/>
    <w:rsid w:val="2D4A087D"/>
    <w:rsid w:val="2D4A18E7"/>
    <w:rsid w:val="2D4A65DC"/>
    <w:rsid w:val="2D4A7B39"/>
    <w:rsid w:val="2D4B565F"/>
    <w:rsid w:val="2D4C0EBB"/>
    <w:rsid w:val="2D4C117B"/>
    <w:rsid w:val="2D4C20AC"/>
    <w:rsid w:val="2D4C4236"/>
    <w:rsid w:val="2D4D13D7"/>
    <w:rsid w:val="2D4D4278"/>
    <w:rsid w:val="2D4D57F3"/>
    <w:rsid w:val="2D4D7629"/>
    <w:rsid w:val="2D4E1D45"/>
    <w:rsid w:val="2D4E26E2"/>
    <w:rsid w:val="2D4E6A04"/>
    <w:rsid w:val="2D4F2A39"/>
    <w:rsid w:val="2D4F33A1"/>
    <w:rsid w:val="2D4F4E55"/>
    <w:rsid w:val="2D4F514F"/>
    <w:rsid w:val="2D4F666C"/>
    <w:rsid w:val="2D4F6E8E"/>
    <w:rsid w:val="2D5001D0"/>
    <w:rsid w:val="2D502C75"/>
    <w:rsid w:val="2D504A9A"/>
    <w:rsid w:val="2D5106E4"/>
    <w:rsid w:val="2D517119"/>
    <w:rsid w:val="2D52226A"/>
    <w:rsid w:val="2D52241C"/>
    <w:rsid w:val="2D5269EE"/>
    <w:rsid w:val="2D5279D2"/>
    <w:rsid w:val="2D53386D"/>
    <w:rsid w:val="2D534CC5"/>
    <w:rsid w:val="2D53620B"/>
    <w:rsid w:val="2D536CF3"/>
    <w:rsid w:val="2D5409B8"/>
    <w:rsid w:val="2D542766"/>
    <w:rsid w:val="2D544951"/>
    <w:rsid w:val="2D546C0A"/>
    <w:rsid w:val="2D54790D"/>
    <w:rsid w:val="2D55028C"/>
    <w:rsid w:val="2D551DBF"/>
    <w:rsid w:val="2D554297"/>
    <w:rsid w:val="2D555073"/>
    <w:rsid w:val="2D5575C8"/>
    <w:rsid w:val="2D561DEF"/>
    <w:rsid w:val="2D56396E"/>
    <w:rsid w:val="2D564730"/>
    <w:rsid w:val="2D5664DE"/>
    <w:rsid w:val="2D567ECF"/>
    <w:rsid w:val="2D5704A8"/>
    <w:rsid w:val="2D57132A"/>
    <w:rsid w:val="2D57575B"/>
    <w:rsid w:val="2D577AED"/>
    <w:rsid w:val="2D580122"/>
    <w:rsid w:val="2D582913"/>
    <w:rsid w:val="2D585F59"/>
    <w:rsid w:val="2D593A64"/>
    <w:rsid w:val="2D593B12"/>
    <w:rsid w:val="2D594220"/>
    <w:rsid w:val="2D595FCE"/>
    <w:rsid w:val="2D59680B"/>
    <w:rsid w:val="2D5A377F"/>
    <w:rsid w:val="2D5B1D46"/>
    <w:rsid w:val="2D5B2C2F"/>
    <w:rsid w:val="2D5B377B"/>
    <w:rsid w:val="2D5B3CEB"/>
    <w:rsid w:val="2D5B633D"/>
    <w:rsid w:val="2D5B74B4"/>
    <w:rsid w:val="2D5B77E0"/>
    <w:rsid w:val="2D5B7F98"/>
    <w:rsid w:val="2D5C161A"/>
    <w:rsid w:val="2D5C262A"/>
    <w:rsid w:val="2D5C5ABE"/>
    <w:rsid w:val="2D5C786C"/>
    <w:rsid w:val="2D5C7FE7"/>
    <w:rsid w:val="2D5D572B"/>
    <w:rsid w:val="2D5E11CC"/>
    <w:rsid w:val="2D5E1836"/>
    <w:rsid w:val="2D5E35E4"/>
    <w:rsid w:val="2D5E3A69"/>
    <w:rsid w:val="2D5E4CD1"/>
    <w:rsid w:val="2D5E5392"/>
    <w:rsid w:val="2D5F3C3C"/>
    <w:rsid w:val="2D5F7171"/>
    <w:rsid w:val="2D5F7F38"/>
    <w:rsid w:val="2D6055AE"/>
    <w:rsid w:val="2D60735C"/>
    <w:rsid w:val="2D612F9F"/>
    <w:rsid w:val="2D616C31"/>
    <w:rsid w:val="2D61729A"/>
    <w:rsid w:val="2D621327"/>
    <w:rsid w:val="2D6218D4"/>
    <w:rsid w:val="2D6230D5"/>
    <w:rsid w:val="2D63077A"/>
    <w:rsid w:val="2D630962"/>
    <w:rsid w:val="2D630BFB"/>
    <w:rsid w:val="2D6313BF"/>
    <w:rsid w:val="2D63231C"/>
    <w:rsid w:val="2D6329A9"/>
    <w:rsid w:val="2D63430B"/>
    <w:rsid w:val="2D63566A"/>
    <w:rsid w:val="2D642766"/>
    <w:rsid w:val="2D650892"/>
    <w:rsid w:val="2D657D1A"/>
    <w:rsid w:val="2D661805"/>
    <w:rsid w:val="2D662499"/>
    <w:rsid w:val="2D6716E7"/>
    <w:rsid w:val="2D67207E"/>
    <w:rsid w:val="2D68048A"/>
    <w:rsid w:val="2D680954"/>
    <w:rsid w:val="2D687213"/>
    <w:rsid w:val="2D687FBF"/>
    <w:rsid w:val="2D6914A8"/>
    <w:rsid w:val="2D6A01DB"/>
    <w:rsid w:val="2D6A1F89"/>
    <w:rsid w:val="2D6A5AE4"/>
    <w:rsid w:val="2D6A6907"/>
    <w:rsid w:val="2D6B4704"/>
    <w:rsid w:val="2D6B6DED"/>
    <w:rsid w:val="2D6B7AAF"/>
    <w:rsid w:val="2D6B7DB9"/>
    <w:rsid w:val="2D6C00C7"/>
    <w:rsid w:val="2D6C6979"/>
    <w:rsid w:val="2D6D7CCB"/>
    <w:rsid w:val="2D6E5887"/>
    <w:rsid w:val="2D6E681E"/>
    <w:rsid w:val="2D6E7C10"/>
    <w:rsid w:val="2D6F134E"/>
    <w:rsid w:val="2D6F37A1"/>
    <w:rsid w:val="2D6F57F1"/>
    <w:rsid w:val="2D6F7207"/>
    <w:rsid w:val="2D6F75A0"/>
    <w:rsid w:val="2D70122D"/>
    <w:rsid w:val="2D7050C6"/>
    <w:rsid w:val="2D7070E6"/>
    <w:rsid w:val="2D710576"/>
    <w:rsid w:val="2D71156A"/>
    <w:rsid w:val="2D7146E0"/>
    <w:rsid w:val="2D721A06"/>
    <w:rsid w:val="2D722604"/>
    <w:rsid w:val="2D722E96"/>
    <w:rsid w:val="2D727090"/>
    <w:rsid w:val="2D730B94"/>
    <w:rsid w:val="2D733E29"/>
    <w:rsid w:val="2D734326"/>
    <w:rsid w:val="2D73479B"/>
    <w:rsid w:val="2D7352E2"/>
    <w:rsid w:val="2D735853"/>
    <w:rsid w:val="2D736ADD"/>
    <w:rsid w:val="2D74105A"/>
    <w:rsid w:val="2D742E08"/>
    <w:rsid w:val="2D746964"/>
    <w:rsid w:val="2D7626DC"/>
    <w:rsid w:val="2D7643E8"/>
    <w:rsid w:val="2D766B80"/>
    <w:rsid w:val="2D7746A6"/>
    <w:rsid w:val="2D776454"/>
    <w:rsid w:val="2D7828F8"/>
    <w:rsid w:val="2D786D08"/>
    <w:rsid w:val="2D79041E"/>
    <w:rsid w:val="2D7921CC"/>
    <w:rsid w:val="2D796670"/>
    <w:rsid w:val="2D7A1628"/>
    <w:rsid w:val="2D7A1FB9"/>
    <w:rsid w:val="2D7A2D69"/>
    <w:rsid w:val="2D7B23E8"/>
    <w:rsid w:val="2D7B4196"/>
    <w:rsid w:val="2D7B41F9"/>
    <w:rsid w:val="2D7B5F44"/>
    <w:rsid w:val="2D7B5F8A"/>
    <w:rsid w:val="2D7B7988"/>
    <w:rsid w:val="2D7C38D9"/>
    <w:rsid w:val="2D7C3A6A"/>
    <w:rsid w:val="2D7C4F56"/>
    <w:rsid w:val="2D7C5276"/>
    <w:rsid w:val="2D7D177F"/>
    <w:rsid w:val="2D7D21F6"/>
    <w:rsid w:val="2D7D34C0"/>
    <w:rsid w:val="2D7D7F0E"/>
    <w:rsid w:val="2D7E126C"/>
    <w:rsid w:val="2D7E1439"/>
    <w:rsid w:val="2D7E3C87"/>
    <w:rsid w:val="2D7E3D08"/>
    <w:rsid w:val="2D7E5A35"/>
    <w:rsid w:val="2D7E7A4A"/>
    <w:rsid w:val="2D7E7C2D"/>
    <w:rsid w:val="2D7E7FA9"/>
    <w:rsid w:val="2D7F4033"/>
    <w:rsid w:val="2D8017AD"/>
    <w:rsid w:val="2D803388"/>
    <w:rsid w:val="2D80355B"/>
    <w:rsid w:val="2D805B53"/>
    <w:rsid w:val="2D811081"/>
    <w:rsid w:val="2D8114FB"/>
    <w:rsid w:val="2D8127FC"/>
    <w:rsid w:val="2D8158B5"/>
    <w:rsid w:val="2D815C96"/>
    <w:rsid w:val="2D816D41"/>
    <w:rsid w:val="2D820FE9"/>
    <w:rsid w:val="2D822379"/>
    <w:rsid w:val="2D825525"/>
    <w:rsid w:val="2D83129D"/>
    <w:rsid w:val="2D83304B"/>
    <w:rsid w:val="2D833278"/>
    <w:rsid w:val="2D833F1D"/>
    <w:rsid w:val="2D834DF9"/>
    <w:rsid w:val="2D8419ED"/>
    <w:rsid w:val="2D845A3D"/>
    <w:rsid w:val="2D8469EC"/>
    <w:rsid w:val="2D847B6B"/>
    <w:rsid w:val="2D850B71"/>
    <w:rsid w:val="2D853CD4"/>
    <w:rsid w:val="2D853F25"/>
    <w:rsid w:val="2D855BFA"/>
    <w:rsid w:val="2D860D50"/>
    <w:rsid w:val="2D8616D8"/>
    <w:rsid w:val="2D862080"/>
    <w:rsid w:val="2D8631C9"/>
    <w:rsid w:val="2D86353C"/>
    <w:rsid w:val="2D863EDD"/>
    <w:rsid w:val="2D864F8D"/>
    <w:rsid w:val="2D86773A"/>
    <w:rsid w:val="2D872B3B"/>
    <w:rsid w:val="2D8748E9"/>
    <w:rsid w:val="2D880661"/>
    <w:rsid w:val="2D882646"/>
    <w:rsid w:val="2D890CA0"/>
    <w:rsid w:val="2D8929EF"/>
    <w:rsid w:val="2D893826"/>
    <w:rsid w:val="2D8950BC"/>
    <w:rsid w:val="2D8A262B"/>
    <w:rsid w:val="2D8A285E"/>
    <w:rsid w:val="2D8A43D9"/>
    <w:rsid w:val="2D8A5724"/>
    <w:rsid w:val="2D8A6187"/>
    <w:rsid w:val="2D8A7415"/>
    <w:rsid w:val="2D8B25AD"/>
    <w:rsid w:val="2D8B3D08"/>
    <w:rsid w:val="2D8C3D9B"/>
    <w:rsid w:val="2D8C517E"/>
    <w:rsid w:val="2D8C5BE9"/>
    <w:rsid w:val="2D8D0751"/>
    <w:rsid w:val="2D8D336E"/>
    <w:rsid w:val="2D8D3C57"/>
    <w:rsid w:val="2D8D3ECA"/>
    <w:rsid w:val="2D8D5C78"/>
    <w:rsid w:val="2D8D6A39"/>
    <w:rsid w:val="2D8D7A26"/>
    <w:rsid w:val="2D8D7A9E"/>
    <w:rsid w:val="2D8E211C"/>
    <w:rsid w:val="2D8E266F"/>
    <w:rsid w:val="2D8E3C58"/>
    <w:rsid w:val="2D8E6EE6"/>
    <w:rsid w:val="2D8E7DD6"/>
    <w:rsid w:val="2D8F2D24"/>
    <w:rsid w:val="2D8F69F6"/>
    <w:rsid w:val="2D8F7F54"/>
    <w:rsid w:val="2D9006A7"/>
    <w:rsid w:val="2D9033B9"/>
    <w:rsid w:val="2D904096"/>
    <w:rsid w:val="2D907ECD"/>
    <w:rsid w:val="2D915768"/>
    <w:rsid w:val="2D917516"/>
    <w:rsid w:val="2D92104D"/>
    <w:rsid w:val="2D9225EC"/>
    <w:rsid w:val="2D922713"/>
    <w:rsid w:val="2D92328E"/>
    <w:rsid w:val="2D9240F2"/>
    <w:rsid w:val="2D9256AB"/>
    <w:rsid w:val="2D930F28"/>
    <w:rsid w:val="2D931C55"/>
    <w:rsid w:val="2D933910"/>
    <w:rsid w:val="2D936065"/>
    <w:rsid w:val="2D9373D2"/>
    <w:rsid w:val="2D937732"/>
    <w:rsid w:val="2D941B77"/>
    <w:rsid w:val="2D944C91"/>
    <w:rsid w:val="2D944DA0"/>
    <w:rsid w:val="2D946E4F"/>
    <w:rsid w:val="2D954F62"/>
    <w:rsid w:val="2D957504"/>
    <w:rsid w:val="2D957971"/>
    <w:rsid w:val="2D960291"/>
    <w:rsid w:val="2D960FD0"/>
    <w:rsid w:val="2D962D7E"/>
    <w:rsid w:val="2D966C7F"/>
    <w:rsid w:val="2D9708A4"/>
    <w:rsid w:val="2D9778E5"/>
    <w:rsid w:val="2D983721"/>
    <w:rsid w:val="2D984D48"/>
    <w:rsid w:val="2D986AF6"/>
    <w:rsid w:val="2D987293"/>
    <w:rsid w:val="2D990AC0"/>
    <w:rsid w:val="2D9917E5"/>
    <w:rsid w:val="2D99286E"/>
    <w:rsid w:val="2D996041"/>
    <w:rsid w:val="2D997782"/>
    <w:rsid w:val="2D9A24F3"/>
    <w:rsid w:val="2D9A61E7"/>
    <w:rsid w:val="2D9A76D2"/>
    <w:rsid w:val="2D9B04A1"/>
    <w:rsid w:val="2D9B2143"/>
    <w:rsid w:val="2D9C0914"/>
    <w:rsid w:val="2D9C3532"/>
    <w:rsid w:val="2D9C4979"/>
    <w:rsid w:val="2D9C5EBB"/>
    <w:rsid w:val="2D9D19A2"/>
    <w:rsid w:val="2D9D235F"/>
    <w:rsid w:val="2D9D443C"/>
    <w:rsid w:val="2D9D7593"/>
    <w:rsid w:val="2D9E2AF1"/>
    <w:rsid w:val="2D9E56F5"/>
    <w:rsid w:val="2D9E691D"/>
    <w:rsid w:val="2D9E7E85"/>
    <w:rsid w:val="2D9F451E"/>
    <w:rsid w:val="2DA01E4F"/>
    <w:rsid w:val="2DA02B30"/>
    <w:rsid w:val="2DA03343"/>
    <w:rsid w:val="2DA04568"/>
    <w:rsid w:val="2DA07759"/>
    <w:rsid w:val="2DA07CD7"/>
    <w:rsid w:val="2DA134D1"/>
    <w:rsid w:val="2DA14D55"/>
    <w:rsid w:val="2DA14E52"/>
    <w:rsid w:val="2DA15F14"/>
    <w:rsid w:val="2DA16E1B"/>
    <w:rsid w:val="2DA17E79"/>
    <w:rsid w:val="2DA21F75"/>
    <w:rsid w:val="2DA27975"/>
    <w:rsid w:val="2DA33201"/>
    <w:rsid w:val="2DA33405"/>
    <w:rsid w:val="2DA36B74"/>
    <w:rsid w:val="2DA46A29"/>
    <w:rsid w:val="2DA51213"/>
    <w:rsid w:val="2DA52FC1"/>
    <w:rsid w:val="2DA57465"/>
    <w:rsid w:val="2DA60AE7"/>
    <w:rsid w:val="2DA61215"/>
    <w:rsid w:val="2DA6158B"/>
    <w:rsid w:val="2DA73216"/>
    <w:rsid w:val="2DA74F8B"/>
    <w:rsid w:val="2DA76D39"/>
    <w:rsid w:val="2DA846A6"/>
    <w:rsid w:val="2DA86230"/>
    <w:rsid w:val="2DA90D03"/>
    <w:rsid w:val="2DA9252A"/>
    <w:rsid w:val="2DA97277"/>
    <w:rsid w:val="2DAA04EF"/>
    <w:rsid w:val="2DAA05D8"/>
    <w:rsid w:val="2DAA4A7C"/>
    <w:rsid w:val="2DAA6FC6"/>
    <w:rsid w:val="2DAB5448"/>
    <w:rsid w:val="2DAC0A59"/>
    <w:rsid w:val="2DAC25A2"/>
    <w:rsid w:val="2DAC3027"/>
    <w:rsid w:val="2DAC3BFD"/>
    <w:rsid w:val="2DAC61D2"/>
    <w:rsid w:val="2DAD00C8"/>
    <w:rsid w:val="2DAD0BE7"/>
    <w:rsid w:val="2DAD1E76"/>
    <w:rsid w:val="2DAD75C4"/>
    <w:rsid w:val="2DAE0518"/>
    <w:rsid w:val="2DAE314A"/>
    <w:rsid w:val="2DAE49D0"/>
    <w:rsid w:val="2DAE4B5B"/>
    <w:rsid w:val="2DAE631A"/>
    <w:rsid w:val="2DAF0A9C"/>
    <w:rsid w:val="2DAF2092"/>
    <w:rsid w:val="2DAF3E40"/>
    <w:rsid w:val="2DAF5BEE"/>
    <w:rsid w:val="2DAF763F"/>
    <w:rsid w:val="2DB022E4"/>
    <w:rsid w:val="2DB04E02"/>
    <w:rsid w:val="2DB06018"/>
    <w:rsid w:val="2DB07F6E"/>
    <w:rsid w:val="2DB12AA6"/>
    <w:rsid w:val="2DB15A09"/>
    <w:rsid w:val="2DB15E0A"/>
    <w:rsid w:val="2DB20E1B"/>
    <w:rsid w:val="2DB2503C"/>
    <w:rsid w:val="2DB256DE"/>
    <w:rsid w:val="2DB30329"/>
    <w:rsid w:val="2DB30A29"/>
    <w:rsid w:val="2DB31B82"/>
    <w:rsid w:val="2DB35176"/>
    <w:rsid w:val="2DB35593"/>
    <w:rsid w:val="2DB36962"/>
    <w:rsid w:val="2DB37B87"/>
    <w:rsid w:val="2DB41456"/>
    <w:rsid w:val="2DB43204"/>
    <w:rsid w:val="2DB43E82"/>
    <w:rsid w:val="2DB476A8"/>
    <w:rsid w:val="2DB47F2D"/>
    <w:rsid w:val="2DB50944"/>
    <w:rsid w:val="2DB50DA8"/>
    <w:rsid w:val="2DB5581A"/>
    <w:rsid w:val="2DB56B1A"/>
    <w:rsid w:val="2DB57B9E"/>
    <w:rsid w:val="2DB651CE"/>
    <w:rsid w:val="2DB65C4D"/>
    <w:rsid w:val="2DB66CAA"/>
    <w:rsid w:val="2DB66F7C"/>
    <w:rsid w:val="2DB718BE"/>
    <w:rsid w:val="2DB72CF5"/>
    <w:rsid w:val="2DB72D0B"/>
    <w:rsid w:val="2DB737DC"/>
    <w:rsid w:val="2DB76354"/>
    <w:rsid w:val="2DB800CF"/>
    <w:rsid w:val="2DB80F46"/>
    <w:rsid w:val="2DB815CA"/>
    <w:rsid w:val="2DB8419B"/>
    <w:rsid w:val="2DB84DA7"/>
    <w:rsid w:val="2DB9081B"/>
    <w:rsid w:val="2DB90CBD"/>
    <w:rsid w:val="2DB91319"/>
    <w:rsid w:val="2DB93270"/>
    <w:rsid w:val="2DB94CBF"/>
    <w:rsid w:val="2DB9562B"/>
    <w:rsid w:val="2DB96A6D"/>
    <w:rsid w:val="2DB97449"/>
    <w:rsid w:val="2DBA01FC"/>
    <w:rsid w:val="2DBA2F11"/>
    <w:rsid w:val="2DBA2FCF"/>
    <w:rsid w:val="2DBA6572"/>
    <w:rsid w:val="2DBA6FA3"/>
    <w:rsid w:val="2DBB0A37"/>
    <w:rsid w:val="2DBB20C5"/>
    <w:rsid w:val="2DBB27E5"/>
    <w:rsid w:val="2DBB4593"/>
    <w:rsid w:val="2DBB5A9D"/>
    <w:rsid w:val="2DBB7F4B"/>
    <w:rsid w:val="2DBC11B6"/>
    <w:rsid w:val="2DBC56AA"/>
    <w:rsid w:val="2DBD1BF6"/>
    <w:rsid w:val="2DBD47AF"/>
    <w:rsid w:val="2DBD655D"/>
    <w:rsid w:val="2DBE22D5"/>
    <w:rsid w:val="2DBE389C"/>
    <w:rsid w:val="2DBE3D4A"/>
    <w:rsid w:val="2DBE4083"/>
    <w:rsid w:val="2DBE543C"/>
    <w:rsid w:val="2DBE68CC"/>
    <w:rsid w:val="2DBF0527"/>
    <w:rsid w:val="2DBF28BF"/>
    <w:rsid w:val="2DBF3B60"/>
    <w:rsid w:val="2DC025F9"/>
    <w:rsid w:val="2DC0292D"/>
    <w:rsid w:val="2DC06C7A"/>
    <w:rsid w:val="2DC0783C"/>
    <w:rsid w:val="2DC07DFB"/>
    <w:rsid w:val="2DC13DBD"/>
    <w:rsid w:val="2DC154FE"/>
    <w:rsid w:val="2DC22490"/>
    <w:rsid w:val="2DC23B73"/>
    <w:rsid w:val="2DC25921"/>
    <w:rsid w:val="2DC332BE"/>
    <w:rsid w:val="2DC34A84"/>
    <w:rsid w:val="2DC3747D"/>
    <w:rsid w:val="2DC378EB"/>
    <w:rsid w:val="2DC41CF0"/>
    <w:rsid w:val="2DC45B3D"/>
    <w:rsid w:val="2DC45C38"/>
    <w:rsid w:val="2DC510ED"/>
    <w:rsid w:val="2DC53663"/>
    <w:rsid w:val="2DC53BCE"/>
    <w:rsid w:val="2DC542D1"/>
    <w:rsid w:val="2DC5530F"/>
    <w:rsid w:val="2DC61B12"/>
    <w:rsid w:val="2DC627D6"/>
    <w:rsid w:val="2DC64E6D"/>
    <w:rsid w:val="2DC71C38"/>
    <w:rsid w:val="2DC72F38"/>
    <w:rsid w:val="2DC8205D"/>
    <w:rsid w:val="2DC84F02"/>
    <w:rsid w:val="2DC86CB0"/>
    <w:rsid w:val="2DC93154"/>
    <w:rsid w:val="2DCA1BE9"/>
    <w:rsid w:val="2DCA6ECC"/>
    <w:rsid w:val="2DCB3D4A"/>
    <w:rsid w:val="2DCB4005"/>
    <w:rsid w:val="2DCB4907"/>
    <w:rsid w:val="2DCB59DC"/>
    <w:rsid w:val="2DCB603A"/>
    <w:rsid w:val="2DCC0ED0"/>
    <w:rsid w:val="2DCC2C44"/>
    <w:rsid w:val="2DCC3E25"/>
    <w:rsid w:val="2DCC49F2"/>
    <w:rsid w:val="2DCC4F08"/>
    <w:rsid w:val="2DCC66EB"/>
    <w:rsid w:val="2DCD42C6"/>
    <w:rsid w:val="2DCE1287"/>
    <w:rsid w:val="2DCE63C1"/>
    <w:rsid w:val="2DCF003E"/>
    <w:rsid w:val="2DCF0AE2"/>
    <w:rsid w:val="2DCF2108"/>
    <w:rsid w:val="2DCF44E2"/>
    <w:rsid w:val="2DCF4827"/>
    <w:rsid w:val="2DCF6290"/>
    <w:rsid w:val="2DCF6EAA"/>
    <w:rsid w:val="2DD02422"/>
    <w:rsid w:val="2DD07E67"/>
    <w:rsid w:val="2DD1025A"/>
    <w:rsid w:val="2DD218DC"/>
    <w:rsid w:val="2DD227E3"/>
    <w:rsid w:val="2DD35D80"/>
    <w:rsid w:val="2DD37B2E"/>
    <w:rsid w:val="2DD37C8D"/>
    <w:rsid w:val="2DD40F62"/>
    <w:rsid w:val="2DD41AF8"/>
    <w:rsid w:val="2DD42233"/>
    <w:rsid w:val="2DD438A6"/>
    <w:rsid w:val="2DD54E04"/>
    <w:rsid w:val="2DD60F9C"/>
    <w:rsid w:val="2DD613CD"/>
    <w:rsid w:val="2DD62DA7"/>
    <w:rsid w:val="2DD65871"/>
    <w:rsid w:val="2DD6761F"/>
    <w:rsid w:val="2DD75732"/>
    <w:rsid w:val="2DD77724"/>
    <w:rsid w:val="2DD815CD"/>
    <w:rsid w:val="2DD815E9"/>
    <w:rsid w:val="2DD83397"/>
    <w:rsid w:val="2DD85145"/>
    <w:rsid w:val="2DD85BC8"/>
    <w:rsid w:val="2DD86FC2"/>
    <w:rsid w:val="2DD92C6B"/>
    <w:rsid w:val="2DD94C15"/>
    <w:rsid w:val="2DD9710F"/>
    <w:rsid w:val="2DDA099F"/>
    <w:rsid w:val="2DDA2B6C"/>
    <w:rsid w:val="2DDA67FA"/>
    <w:rsid w:val="2DDA6B1D"/>
    <w:rsid w:val="2DDA7AC8"/>
    <w:rsid w:val="2DDB368E"/>
    <w:rsid w:val="2DDB4C35"/>
    <w:rsid w:val="2DDB7535"/>
    <w:rsid w:val="2DDC09C5"/>
    <w:rsid w:val="2DDC2106"/>
    <w:rsid w:val="2DDC63A8"/>
    <w:rsid w:val="2DDD09AD"/>
    <w:rsid w:val="2DDD275B"/>
    <w:rsid w:val="2DDD3E0B"/>
    <w:rsid w:val="2DDD4A26"/>
    <w:rsid w:val="2DDD6476"/>
    <w:rsid w:val="2DDD6BFF"/>
    <w:rsid w:val="2DDE3972"/>
    <w:rsid w:val="2DDE4E78"/>
    <w:rsid w:val="2DDE64D3"/>
    <w:rsid w:val="2DDE7064"/>
    <w:rsid w:val="2DDE78D4"/>
    <w:rsid w:val="2DE0049D"/>
    <w:rsid w:val="2DE03F4E"/>
    <w:rsid w:val="2DE03FF9"/>
    <w:rsid w:val="2DE05D26"/>
    <w:rsid w:val="2DE14B3C"/>
    <w:rsid w:val="2DE2142E"/>
    <w:rsid w:val="2DE23515"/>
    <w:rsid w:val="2DE24837"/>
    <w:rsid w:val="2DE27D71"/>
    <w:rsid w:val="2DE33244"/>
    <w:rsid w:val="2DE338A8"/>
    <w:rsid w:val="2DE33AEA"/>
    <w:rsid w:val="2DE33CB0"/>
    <w:rsid w:val="2DE36300"/>
    <w:rsid w:val="2DE42F3F"/>
    <w:rsid w:val="2DE46DBC"/>
    <w:rsid w:val="2DE47157"/>
    <w:rsid w:val="2DE51610"/>
    <w:rsid w:val="2DE51C1A"/>
    <w:rsid w:val="2DE52D92"/>
    <w:rsid w:val="2DE53D06"/>
    <w:rsid w:val="2DE55AB4"/>
    <w:rsid w:val="2DE61A56"/>
    <w:rsid w:val="2DE63201"/>
    <w:rsid w:val="2DE637F8"/>
    <w:rsid w:val="2DE649A6"/>
    <w:rsid w:val="2DE723FC"/>
    <w:rsid w:val="2DE75388"/>
    <w:rsid w:val="2DE75AD8"/>
    <w:rsid w:val="2DE81100"/>
    <w:rsid w:val="2DE91C83"/>
    <w:rsid w:val="2DE955A4"/>
    <w:rsid w:val="2DE955B3"/>
    <w:rsid w:val="2DE97352"/>
    <w:rsid w:val="2DE97410"/>
    <w:rsid w:val="2DEA131C"/>
    <w:rsid w:val="2DEA30CA"/>
    <w:rsid w:val="2DEA4E78"/>
    <w:rsid w:val="2DEA5ACB"/>
    <w:rsid w:val="2DEA6083"/>
    <w:rsid w:val="2DEA6B5D"/>
    <w:rsid w:val="2DEB22F2"/>
    <w:rsid w:val="2DEB7CD1"/>
    <w:rsid w:val="2DEC0BF0"/>
    <w:rsid w:val="2DEC308B"/>
    <w:rsid w:val="2DEC3B42"/>
    <w:rsid w:val="2DEC6E42"/>
    <w:rsid w:val="2DED194A"/>
    <w:rsid w:val="2DED6716"/>
    <w:rsid w:val="2DED7FE9"/>
    <w:rsid w:val="2DEE14D9"/>
    <w:rsid w:val="2DEE2494"/>
    <w:rsid w:val="2DEE2BBA"/>
    <w:rsid w:val="2DEE4968"/>
    <w:rsid w:val="2DEE53D0"/>
    <w:rsid w:val="2DEE59AB"/>
    <w:rsid w:val="2DEF06E0"/>
    <w:rsid w:val="2DEF54B4"/>
    <w:rsid w:val="2DF00367"/>
    <w:rsid w:val="2DF01A0C"/>
    <w:rsid w:val="2DF049D6"/>
    <w:rsid w:val="2DF055EB"/>
    <w:rsid w:val="2DF06932"/>
    <w:rsid w:val="2DF1175B"/>
    <w:rsid w:val="2DF126AA"/>
    <w:rsid w:val="2DF14458"/>
    <w:rsid w:val="2DF15354"/>
    <w:rsid w:val="2DF16206"/>
    <w:rsid w:val="2DF21CB3"/>
    <w:rsid w:val="2DF2352F"/>
    <w:rsid w:val="2DF31F7F"/>
    <w:rsid w:val="2DF33D2D"/>
    <w:rsid w:val="2DF357BC"/>
    <w:rsid w:val="2DF36C4C"/>
    <w:rsid w:val="2DF4181D"/>
    <w:rsid w:val="2DF434B8"/>
    <w:rsid w:val="2DF43E56"/>
    <w:rsid w:val="2DF47AA5"/>
    <w:rsid w:val="2DF53F49"/>
    <w:rsid w:val="2DF61A6F"/>
    <w:rsid w:val="2DF6381D"/>
    <w:rsid w:val="2DF638C1"/>
    <w:rsid w:val="2DF66D0E"/>
    <w:rsid w:val="2DF66ED3"/>
    <w:rsid w:val="2DF670CD"/>
    <w:rsid w:val="2DF67CC1"/>
    <w:rsid w:val="2DF755CD"/>
    <w:rsid w:val="2DF8162E"/>
    <w:rsid w:val="2DF8236C"/>
    <w:rsid w:val="2DF83A39"/>
    <w:rsid w:val="2DF856F1"/>
    <w:rsid w:val="2DF87595"/>
    <w:rsid w:val="2DF92ABE"/>
    <w:rsid w:val="2DF9330D"/>
    <w:rsid w:val="2DF950BB"/>
    <w:rsid w:val="2DFA568F"/>
    <w:rsid w:val="2DFB1B31"/>
    <w:rsid w:val="2DFB52D7"/>
    <w:rsid w:val="2DFB7085"/>
    <w:rsid w:val="2DFB7540"/>
    <w:rsid w:val="2DFC2274"/>
    <w:rsid w:val="2DFC7FAF"/>
    <w:rsid w:val="2DFD104F"/>
    <w:rsid w:val="2DFD143F"/>
    <w:rsid w:val="2DFD2DFD"/>
    <w:rsid w:val="2DFD3B2E"/>
    <w:rsid w:val="2DFD4BAB"/>
    <w:rsid w:val="2DFE0923"/>
    <w:rsid w:val="2DFE11BB"/>
    <w:rsid w:val="2DFE26D1"/>
    <w:rsid w:val="2DFE2956"/>
    <w:rsid w:val="2DFE54A0"/>
    <w:rsid w:val="2DFE615B"/>
    <w:rsid w:val="2DFE6330"/>
    <w:rsid w:val="2DFE6398"/>
    <w:rsid w:val="2DFF3D5F"/>
    <w:rsid w:val="2DFF51EF"/>
    <w:rsid w:val="2E0028ED"/>
    <w:rsid w:val="2E00469C"/>
    <w:rsid w:val="2E007DC0"/>
    <w:rsid w:val="2E01462C"/>
    <w:rsid w:val="2E020414"/>
    <w:rsid w:val="2E0221C2"/>
    <w:rsid w:val="2E0226E0"/>
    <w:rsid w:val="2E025A8D"/>
    <w:rsid w:val="2E033B70"/>
    <w:rsid w:val="2E033CAA"/>
    <w:rsid w:val="2E036203"/>
    <w:rsid w:val="2E037ED9"/>
    <w:rsid w:val="2E037F47"/>
    <w:rsid w:val="2E0423DE"/>
    <w:rsid w:val="2E04418C"/>
    <w:rsid w:val="2E047BD1"/>
    <w:rsid w:val="2E05093A"/>
    <w:rsid w:val="2E051061"/>
    <w:rsid w:val="2E053A60"/>
    <w:rsid w:val="2E057F04"/>
    <w:rsid w:val="2E062905"/>
    <w:rsid w:val="2E070A5D"/>
    <w:rsid w:val="2E072EE4"/>
    <w:rsid w:val="2E073324"/>
    <w:rsid w:val="2E07467A"/>
    <w:rsid w:val="2E074D66"/>
    <w:rsid w:val="2E075A2A"/>
    <w:rsid w:val="2E075E26"/>
    <w:rsid w:val="2E076D3E"/>
    <w:rsid w:val="2E0777D8"/>
    <w:rsid w:val="2E0834DB"/>
    <w:rsid w:val="2E083F3B"/>
    <w:rsid w:val="2E084B22"/>
    <w:rsid w:val="2E084E66"/>
    <w:rsid w:val="2E0877D6"/>
    <w:rsid w:val="2E087DFE"/>
    <w:rsid w:val="2E0917A2"/>
    <w:rsid w:val="2E093237"/>
    <w:rsid w:val="2E093D60"/>
    <w:rsid w:val="2E093F97"/>
    <w:rsid w:val="2E094066"/>
    <w:rsid w:val="2E096797"/>
    <w:rsid w:val="2E0979E2"/>
    <w:rsid w:val="2E0979F4"/>
    <w:rsid w:val="2E097DCD"/>
    <w:rsid w:val="2E0A09BB"/>
    <w:rsid w:val="2E0A1689"/>
    <w:rsid w:val="2E0A6052"/>
    <w:rsid w:val="2E0A72C8"/>
    <w:rsid w:val="2E0B0FB2"/>
    <w:rsid w:val="2E0B3BF2"/>
    <w:rsid w:val="2E0C4DEE"/>
    <w:rsid w:val="2E0C6363"/>
    <w:rsid w:val="2E0C7AA4"/>
    <w:rsid w:val="2E0D77F3"/>
    <w:rsid w:val="2E0E06C3"/>
    <w:rsid w:val="2E0E0B66"/>
    <w:rsid w:val="2E0E23C4"/>
    <w:rsid w:val="2E0E30CE"/>
    <w:rsid w:val="2E0E3992"/>
    <w:rsid w:val="2E0E4F95"/>
    <w:rsid w:val="2E0E500A"/>
    <w:rsid w:val="2E0E6A8A"/>
    <w:rsid w:val="2E0F26F6"/>
    <w:rsid w:val="2E0F2B31"/>
    <w:rsid w:val="2E0F3D88"/>
    <w:rsid w:val="2E0F4F4F"/>
    <w:rsid w:val="2E0F6DD6"/>
    <w:rsid w:val="2E0F7678"/>
    <w:rsid w:val="2E1012BF"/>
    <w:rsid w:val="2E103BB0"/>
    <w:rsid w:val="2E1048DF"/>
    <w:rsid w:val="2E1078B5"/>
    <w:rsid w:val="2E107D90"/>
    <w:rsid w:val="2E1101B3"/>
    <w:rsid w:val="2E110657"/>
    <w:rsid w:val="2E112405"/>
    <w:rsid w:val="2E112C6E"/>
    <w:rsid w:val="2E113916"/>
    <w:rsid w:val="2E114AFB"/>
    <w:rsid w:val="2E1168A9"/>
    <w:rsid w:val="2E116D45"/>
    <w:rsid w:val="2E116E70"/>
    <w:rsid w:val="2E12144A"/>
    <w:rsid w:val="2E1238E3"/>
    <w:rsid w:val="2E132621"/>
    <w:rsid w:val="2E1343CF"/>
    <w:rsid w:val="2E136236"/>
    <w:rsid w:val="2E1476C6"/>
    <w:rsid w:val="2E150B3E"/>
    <w:rsid w:val="2E150D41"/>
    <w:rsid w:val="2E154711"/>
    <w:rsid w:val="2E156399"/>
    <w:rsid w:val="2E16157C"/>
    <w:rsid w:val="2E162111"/>
    <w:rsid w:val="2E1624BC"/>
    <w:rsid w:val="2E163727"/>
    <w:rsid w:val="2E163EBF"/>
    <w:rsid w:val="2E165C6D"/>
    <w:rsid w:val="2E166395"/>
    <w:rsid w:val="2E1819E5"/>
    <w:rsid w:val="2E183793"/>
    <w:rsid w:val="2E184038"/>
    <w:rsid w:val="2E184226"/>
    <w:rsid w:val="2E187C37"/>
    <w:rsid w:val="2E1909AE"/>
    <w:rsid w:val="2E1920A8"/>
    <w:rsid w:val="2E195310"/>
    <w:rsid w:val="2E195575"/>
    <w:rsid w:val="2E1A1DF7"/>
    <w:rsid w:val="2E1A39AF"/>
    <w:rsid w:val="2E1A4489"/>
    <w:rsid w:val="2E1A575D"/>
    <w:rsid w:val="2E1A798A"/>
    <w:rsid w:val="2E1B14D5"/>
    <w:rsid w:val="2E1B40C4"/>
    <w:rsid w:val="2E1B7727"/>
    <w:rsid w:val="2E1B7E40"/>
    <w:rsid w:val="2E1C5E58"/>
    <w:rsid w:val="2E1C6B3F"/>
    <w:rsid w:val="2E1D0A29"/>
    <w:rsid w:val="2E1D349F"/>
    <w:rsid w:val="2E1D524D"/>
    <w:rsid w:val="2E1D6FFC"/>
    <w:rsid w:val="2E1E0778"/>
    <w:rsid w:val="2E1E4B22"/>
    <w:rsid w:val="2E1E61BB"/>
    <w:rsid w:val="2E1F2D74"/>
    <w:rsid w:val="2E200339"/>
    <w:rsid w:val="2E20089A"/>
    <w:rsid w:val="2E2011FD"/>
    <w:rsid w:val="2E202AB2"/>
    <w:rsid w:val="2E206AEC"/>
    <w:rsid w:val="2E206D3B"/>
    <w:rsid w:val="2E2073AA"/>
    <w:rsid w:val="2E207BF6"/>
    <w:rsid w:val="2E21083A"/>
    <w:rsid w:val="2E215266"/>
    <w:rsid w:val="2E220AB6"/>
    <w:rsid w:val="2E224612"/>
    <w:rsid w:val="2E231DC4"/>
    <w:rsid w:val="2E232138"/>
    <w:rsid w:val="2E232288"/>
    <w:rsid w:val="2E235D2B"/>
    <w:rsid w:val="2E24038A"/>
    <w:rsid w:val="2E242DBF"/>
    <w:rsid w:val="2E2435E1"/>
    <w:rsid w:val="2E2445D7"/>
    <w:rsid w:val="2E24482E"/>
    <w:rsid w:val="2E2465DC"/>
    <w:rsid w:val="2E25064B"/>
    <w:rsid w:val="2E25370B"/>
    <w:rsid w:val="2E25446E"/>
    <w:rsid w:val="2E255EB0"/>
    <w:rsid w:val="2E263DB4"/>
    <w:rsid w:val="2E26639C"/>
    <w:rsid w:val="2E272A68"/>
    <w:rsid w:val="2E277E7A"/>
    <w:rsid w:val="2E280E4F"/>
    <w:rsid w:val="2E2843FB"/>
    <w:rsid w:val="2E284CC2"/>
    <w:rsid w:val="2E28593E"/>
    <w:rsid w:val="2E290AF1"/>
    <w:rsid w:val="2E291DB5"/>
    <w:rsid w:val="2E291E44"/>
    <w:rsid w:val="2E2959A0"/>
    <w:rsid w:val="2E2A1672"/>
    <w:rsid w:val="2E2A34C6"/>
    <w:rsid w:val="2E2B1242"/>
    <w:rsid w:val="2E2B660E"/>
    <w:rsid w:val="2E2B796A"/>
    <w:rsid w:val="2E2B7E90"/>
    <w:rsid w:val="2E2C36E3"/>
    <w:rsid w:val="2E2C5491"/>
    <w:rsid w:val="2E2C59DD"/>
    <w:rsid w:val="2E2D6DDD"/>
    <w:rsid w:val="2E2E1209"/>
    <w:rsid w:val="2E2E15EB"/>
    <w:rsid w:val="2E2E1DEA"/>
    <w:rsid w:val="2E2E2BAB"/>
    <w:rsid w:val="2E2E2ED2"/>
    <w:rsid w:val="2E2E2FB7"/>
    <w:rsid w:val="2E2E4EAC"/>
    <w:rsid w:val="2E2E745B"/>
    <w:rsid w:val="2E2F1618"/>
    <w:rsid w:val="2E2F3352"/>
    <w:rsid w:val="2E2F6D2F"/>
    <w:rsid w:val="2E310CF9"/>
    <w:rsid w:val="2E3153FE"/>
    <w:rsid w:val="2E315ACF"/>
    <w:rsid w:val="2E32007E"/>
    <w:rsid w:val="2E3217BF"/>
    <w:rsid w:val="2E32289E"/>
    <w:rsid w:val="2E3249AE"/>
    <w:rsid w:val="2E326ED2"/>
    <w:rsid w:val="2E3305CD"/>
    <w:rsid w:val="2E33377B"/>
    <w:rsid w:val="2E334A71"/>
    <w:rsid w:val="2E334F93"/>
    <w:rsid w:val="2E337FB7"/>
    <w:rsid w:val="2E344345"/>
    <w:rsid w:val="2E345428"/>
    <w:rsid w:val="2E34556F"/>
    <w:rsid w:val="2E345848"/>
    <w:rsid w:val="2E345DCC"/>
    <w:rsid w:val="2E3507E9"/>
    <w:rsid w:val="2E3518B7"/>
    <w:rsid w:val="2E355A72"/>
    <w:rsid w:val="2E3600BD"/>
    <w:rsid w:val="2E3615D0"/>
    <w:rsid w:val="2E36478B"/>
    <w:rsid w:val="2E36630F"/>
    <w:rsid w:val="2E372A60"/>
    <w:rsid w:val="2E3737E1"/>
    <w:rsid w:val="2E374561"/>
    <w:rsid w:val="2E376F30"/>
    <w:rsid w:val="2E382087"/>
    <w:rsid w:val="2E383E35"/>
    <w:rsid w:val="2E383EF0"/>
    <w:rsid w:val="2E38530E"/>
    <w:rsid w:val="2E385BE3"/>
    <w:rsid w:val="2E386AC1"/>
    <w:rsid w:val="2E3879A0"/>
    <w:rsid w:val="2E393946"/>
    <w:rsid w:val="2E393E5C"/>
    <w:rsid w:val="2E3950A0"/>
    <w:rsid w:val="2E395265"/>
    <w:rsid w:val="2E3A09D7"/>
    <w:rsid w:val="2E3A2AB6"/>
    <w:rsid w:val="2E3A2E51"/>
    <w:rsid w:val="2E3A45C4"/>
    <w:rsid w:val="2E3A5DFF"/>
    <w:rsid w:val="2E3A6777"/>
    <w:rsid w:val="2E3A7BAD"/>
    <w:rsid w:val="2E3B3926"/>
    <w:rsid w:val="2E3B3FB2"/>
    <w:rsid w:val="2E3B4ECB"/>
    <w:rsid w:val="2E3B69BD"/>
    <w:rsid w:val="2E3D144C"/>
    <w:rsid w:val="2E3D31FA"/>
    <w:rsid w:val="2E3D58F0"/>
    <w:rsid w:val="2E3D68D2"/>
    <w:rsid w:val="2E3D7419"/>
    <w:rsid w:val="2E3D769E"/>
    <w:rsid w:val="2E3E2933"/>
    <w:rsid w:val="2E3F3416"/>
    <w:rsid w:val="2E3F51C4"/>
    <w:rsid w:val="2E3F71FC"/>
    <w:rsid w:val="2E400BD1"/>
    <w:rsid w:val="2E400F3C"/>
    <w:rsid w:val="2E401E61"/>
    <w:rsid w:val="2E402CEA"/>
    <w:rsid w:val="2E405189"/>
    <w:rsid w:val="2E414309"/>
    <w:rsid w:val="2E4149DB"/>
    <w:rsid w:val="2E420528"/>
    <w:rsid w:val="2E421230"/>
    <w:rsid w:val="2E422536"/>
    <w:rsid w:val="2E42480E"/>
    <w:rsid w:val="2E424CB4"/>
    <w:rsid w:val="2E424EA0"/>
    <w:rsid w:val="2E426880"/>
    <w:rsid w:val="2E426A62"/>
    <w:rsid w:val="2E433BD4"/>
    <w:rsid w:val="2E435A3B"/>
    <w:rsid w:val="2E436034"/>
    <w:rsid w:val="2E436669"/>
    <w:rsid w:val="2E441187"/>
    <w:rsid w:val="2E441BA3"/>
    <w:rsid w:val="2E441BF1"/>
    <w:rsid w:val="2E444588"/>
    <w:rsid w:val="2E450300"/>
    <w:rsid w:val="2E45068D"/>
    <w:rsid w:val="2E454383"/>
    <w:rsid w:val="2E456552"/>
    <w:rsid w:val="2E4610C5"/>
    <w:rsid w:val="2E4722CA"/>
    <w:rsid w:val="2E474078"/>
    <w:rsid w:val="2E482D4D"/>
    <w:rsid w:val="2E4865B6"/>
    <w:rsid w:val="2E487E4B"/>
    <w:rsid w:val="2E493076"/>
    <w:rsid w:val="2E493679"/>
    <w:rsid w:val="2E496F33"/>
    <w:rsid w:val="2E497DF1"/>
    <w:rsid w:val="2E4A2626"/>
    <w:rsid w:val="2E4A47E8"/>
    <w:rsid w:val="2E4A5917"/>
    <w:rsid w:val="2E4A5C2F"/>
    <w:rsid w:val="2E4B1DBB"/>
    <w:rsid w:val="2E4B67D6"/>
    <w:rsid w:val="2E4B701D"/>
    <w:rsid w:val="2E4C4F37"/>
    <w:rsid w:val="2E4C78E1"/>
    <w:rsid w:val="2E4C7F5D"/>
    <w:rsid w:val="2E4D0D09"/>
    <w:rsid w:val="2E4D2DE1"/>
    <w:rsid w:val="2E4D693C"/>
    <w:rsid w:val="2E4E0CE7"/>
    <w:rsid w:val="2E4E2BB0"/>
    <w:rsid w:val="2E4E3659"/>
    <w:rsid w:val="2E4E5407"/>
    <w:rsid w:val="2E4E7857"/>
    <w:rsid w:val="2E4F0D30"/>
    <w:rsid w:val="2E4F2F2D"/>
    <w:rsid w:val="2E4F3247"/>
    <w:rsid w:val="2E50117F"/>
    <w:rsid w:val="2E503607"/>
    <w:rsid w:val="2E504D48"/>
    <w:rsid w:val="2E511664"/>
    <w:rsid w:val="2E5120E1"/>
    <w:rsid w:val="2E513149"/>
    <w:rsid w:val="2E515C71"/>
    <w:rsid w:val="2E5161D8"/>
    <w:rsid w:val="2E516CA5"/>
    <w:rsid w:val="2E522A4F"/>
    <w:rsid w:val="2E522C3D"/>
    <w:rsid w:val="2E522DE1"/>
    <w:rsid w:val="2E523F2D"/>
    <w:rsid w:val="2E530C6F"/>
    <w:rsid w:val="2E532A1D"/>
    <w:rsid w:val="2E5336C9"/>
    <w:rsid w:val="2E536EC1"/>
    <w:rsid w:val="2E537E0D"/>
    <w:rsid w:val="2E5444B9"/>
    <w:rsid w:val="2E54482A"/>
    <w:rsid w:val="2E544AA4"/>
    <w:rsid w:val="2E547C05"/>
    <w:rsid w:val="2E547C76"/>
    <w:rsid w:val="2E552C39"/>
    <w:rsid w:val="2E553966"/>
    <w:rsid w:val="2E5549E7"/>
    <w:rsid w:val="2E556795"/>
    <w:rsid w:val="2E56075F"/>
    <w:rsid w:val="2E560BBA"/>
    <w:rsid w:val="2E56250D"/>
    <w:rsid w:val="2E57204A"/>
    <w:rsid w:val="2E572E1D"/>
    <w:rsid w:val="2E575575"/>
    <w:rsid w:val="2E580034"/>
    <w:rsid w:val="2E5844D8"/>
    <w:rsid w:val="2E586286"/>
    <w:rsid w:val="2E592B3C"/>
    <w:rsid w:val="2E5A0250"/>
    <w:rsid w:val="2E5A1FFE"/>
    <w:rsid w:val="2E5A5652"/>
    <w:rsid w:val="2E5A728A"/>
    <w:rsid w:val="2E5B3825"/>
    <w:rsid w:val="2E5B64FD"/>
    <w:rsid w:val="2E5C29D6"/>
    <w:rsid w:val="2E5C3FC8"/>
    <w:rsid w:val="2E5C59BE"/>
    <w:rsid w:val="2E5C5D76"/>
    <w:rsid w:val="2E5D1833"/>
    <w:rsid w:val="2E5D1AEE"/>
    <w:rsid w:val="2E5D3721"/>
    <w:rsid w:val="2E5D389C"/>
    <w:rsid w:val="2E5D42F3"/>
    <w:rsid w:val="2E5D564A"/>
    <w:rsid w:val="2E5D5EBC"/>
    <w:rsid w:val="2E5E14F4"/>
    <w:rsid w:val="2E5E2E0A"/>
    <w:rsid w:val="2E5E5928"/>
    <w:rsid w:val="2E5F13C2"/>
    <w:rsid w:val="2E5F7614"/>
    <w:rsid w:val="2E600AC3"/>
    <w:rsid w:val="2E6011F8"/>
    <w:rsid w:val="2E6030FC"/>
    <w:rsid w:val="2E603535"/>
    <w:rsid w:val="2E60483D"/>
    <w:rsid w:val="2E610057"/>
    <w:rsid w:val="2E6115DE"/>
    <w:rsid w:val="2E621535"/>
    <w:rsid w:val="2E621701"/>
    <w:rsid w:val="2E623557"/>
    <w:rsid w:val="2E6235F0"/>
    <w:rsid w:val="2E625356"/>
    <w:rsid w:val="2E627104"/>
    <w:rsid w:val="2E631D41"/>
    <w:rsid w:val="2E637CC8"/>
    <w:rsid w:val="2E642319"/>
    <w:rsid w:val="2E642E7C"/>
    <w:rsid w:val="2E644C2A"/>
    <w:rsid w:val="2E6469D8"/>
    <w:rsid w:val="2E652751"/>
    <w:rsid w:val="2E654CF1"/>
    <w:rsid w:val="2E655ADE"/>
    <w:rsid w:val="2E6609A2"/>
    <w:rsid w:val="2E660C22"/>
    <w:rsid w:val="2E666BF4"/>
    <w:rsid w:val="2E667F96"/>
    <w:rsid w:val="2E67296D"/>
    <w:rsid w:val="2E67471B"/>
    <w:rsid w:val="2E6764C9"/>
    <w:rsid w:val="2E67688C"/>
    <w:rsid w:val="2E67780F"/>
    <w:rsid w:val="2E68257C"/>
    <w:rsid w:val="2E6903FD"/>
    <w:rsid w:val="2E690493"/>
    <w:rsid w:val="2E692876"/>
    <w:rsid w:val="2E69363B"/>
    <w:rsid w:val="2E693F69"/>
    <w:rsid w:val="2E693FEF"/>
    <w:rsid w:val="2E6949DD"/>
    <w:rsid w:val="2E6958EF"/>
    <w:rsid w:val="2E696DC4"/>
    <w:rsid w:val="2E69718E"/>
    <w:rsid w:val="2E6A6D7F"/>
    <w:rsid w:val="2E6B6C27"/>
    <w:rsid w:val="2E6C0051"/>
    <w:rsid w:val="2E6C1D31"/>
    <w:rsid w:val="2E6C31AB"/>
    <w:rsid w:val="2E6C3ADF"/>
    <w:rsid w:val="2E6C7D72"/>
    <w:rsid w:val="2E6D1121"/>
    <w:rsid w:val="2E6D20B6"/>
    <w:rsid w:val="2E6D4270"/>
    <w:rsid w:val="2E6D4FC2"/>
    <w:rsid w:val="2E6D6E41"/>
    <w:rsid w:val="2E6D6E94"/>
    <w:rsid w:val="2E6D7F83"/>
    <w:rsid w:val="2E6E5AA9"/>
    <w:rsid w:val="2E6E64E3"/>
    <w:rsid w:val="2E6F1A47"/>
    <w:rsid w:val="2E6F2B9C"/>
    <w:rsid w:val="2E701821"/>
    <w:rsid w:val="2E70537D"/>
    <w:rsid w:val="2E7149FC"/>
    <w:rsid w:val="2E715A32"/>
    <w:rsid w:val="2E7176BB"/>
    <w:rsid w:val="2E722323"/>
    <w:rsid w:val="2E725599"/>
    <w:rsid w:val="2E726C52"/>
    <w:rsid w:val="2E7300E2"/>
    <w:rsid w:val="2E731311"/>
    <w:rsid w:val="2E7330BF"/>
    <w:rsid w:val="2E734E6D"/>
    <w:rsid w:val="2E735535"/>
    <w:rsid w:val="2E747914"/>
    <w:rsid w:val="2E747DA9"/>
    <w:rsid w:val="2E750BE6"/>
    <w:rsid w:val="2E7559AA"/>
    <w:rsid w:val="2E756E38"/>
    <w:rsid w:val="2E757EEC"/>
    <w:rsid w:val="2E76108E"/>
    <w:rsid w:val="2E76495E"/>
    <w:rsid w:val="2E76670C"/>
    <w:rsid w:val="2E766A63"/>
    <w:rsid w:val="2E7806D6"/>
    <w:rsid w:val="2E782484"/>
    <w:rsid w:val="2E787A38"/>
    <w:rsid w:val="2E787D55"/>
    <w:rsid w:val="2E7926D4"/>
    <w:rsid w:val="2E792EF6"/>
    <w:rsid w:val="2E7943D0"/>
    <w:rsid w:val="2E795B53"/>
    <w:rsid w:val="2E7A0135"/>
    <w:rsid w:val="2E7A61FC"/>
    <w:rsid w:val="2E7B1F74"/>
    <w:rsid w:val="2E7B3D22"/>
    <w:rsid w:val="2E7B5950"/>
    <w:rsid w:val="2E7C01C6"/>
    <w:rsid w:val="2E7C5611"/>
    <w:rsid w:val="2E7C6418"/>
    <w:rsid w:val="2E7D3D65"/>
    <w:rsid w:val="2E7D3F3E"/>
    <w:rsid w:val="2E7D4A05"/>
    <w:rsid w:val="2E7D577C"/>
    <w:rsid w:val="2E7D7A9A"/>
    <w:rsid w:val="2E7E1D4D"/>
    <w:rsid w:val="2E7E42B1"/>
    <w:rsid w:val="2E7E490A"/>
    <w:rsid w:val="2E7E7DA5"/>
    <w:rsid w:val="2E7F1A64"/>
    <w:rsid w:val="2E7F3812"/>
    <w:rsid w:val="2E7F5394"/>
    <w:rsid w:val="2E7F6685"/>
    <w:rsid w:val="2E800011"/>
    <w:rsid w:val="2E803EBE"/>
    <w:rsid w:val="2E807B15"/>
    <w:rsid w:val="2E811139"/>
    <w:rsid w:val="2E811E2F"/>
    <w:rsid w:val="2E812AC8"/>
    <w:rsid w:val="2E813A2E"/>
    <w:rsid w:val="2E813B76"/>
    <w:rsid w:val="2E8157DC"/>
    <w:rsid w:val="2E81758A"/>
    <w:rsid w:val="2E817F40"/>
    <w:rsid w:val="2E821554"/>
    <w:rsid w:val="2E8226AB"/>
    <w:rsid w:val="2E823302"/>
    <w:rsid w:val="2E824B4A"/>
    <w:rsid w:val="2E8250B1"/>
    <w:rsid w:val="2E826747"/>
    <w:rsid w:val="2E83434B"/>
    <w:rsid w:val="2E835643"/>
    <w:rsid w:val="2E836496"/>
    <w:rsid w:val="2E837D7E"/>
    <w:rsid w:val="2E841505"/>
    <w:rsid w:val="2E8424F7"/>
    <w:rsid w:val="2E8452CD"/>
    <w:rsid w:val="2E850E87"/>
    <w:rsid w:val="2E855788"/>
    <w:rsid w:val="2E8568AC"/>
    <w:rsid w:val="2E861045"/>
    <w:rsid w:val="2E86145D"/>
    <w:rsid w:val="2E862DF3"/>
    <w:rsid w:val="2E864C5C"/>
    <w:rsid w:val="2E870919"/>
    <w:rsid w:val="2E8762A6"/>
    <w:rsid w:val="2E884DBD"/>
    <w:rsid w:val="2E887649"/>
    <w:rsid w:val="2E890FD8"/>
    <w:rsid w:val="2E8928E3"/>
    <w:rsid w:val="2E892F14"/>
    <w:rsid w:val="2E8944E5"/>
    <w:rsid w:val="2E894ED8"/>
    <w:rsid w:val="2E8974F1"/>
    <w:rsid w:val="2E8A6803"/>
    <w:rsid w:val="2E8A7870"/>
    <w:rsid w:val="2E8B0409"/>
    <w:rsid w:val="2E8B06D6"/>
    <w:rsid w:val="2E8B24E9"/>
    <w:rsid w:val="2E8B2B4F"/>
    <w:rsid w:val="2E8B4F22"/>
    <w:rsid w:val="2E8B65A6"/>
    <w:rsid w:val="2E8B6DBB"/>
    <w:rsid w:val="2E8B6E4B"/>
    <w:rsid w:val="2E8C4181"/>
    <w:rsid w:val="2E8C4208"/>
    <w:rsid w:val="2E8C621B"/>
    <w:rsid w:val="2E8E35A8"/>
    <w:rsid w:val="2E8F3FCF"/>
    <w:rsid w:val="2E9033D8"/>
    <w:rsid w:val="2E90511A"/>
    <w:rsid w:val="2E905557"/>
    <w:rsid w:val="2E905A1F"/>
    <w:rsid w:val="2E9077CD"/>
    <w:rsid w:val="2E911F29"/>
    <w:rsid w:val="2E91351C"/>
    <w:rsid w:val="2E91366A"/>
    <w:rsid w:val="2E9160FE"/>
    <w:rsid w:val="2E921798"/>
    <w:rsid w:val="2E922510"/>
    <w:rsid w:val="2E9229E8"/>
    <w:rsid w:val="2E9229F1"/>
    <w:rsid w:val="2E922BF7"/>
    <w:rsid w:val="2E9279E9"/>
    <w:rsid w:val="2E933758"/>
    <w:rsid w:val="2E933762"/>
    <w:rsid w:val="2E935510"/>
    <w:rsid w:val="2E935F8A"/>
    <w:rsid w:val="2E9372BE"/>
    <w:rsid w:val="2E941FEB"/>
    <w:rsid w:val="2E945A58"/>
    <w:rsid w:val="2E9508AA"/>
    <w:rsid w:val="2E952367"/>
    <w:rsid w:val="2E953036"/>
    <w:rsid w:val="2E953B7B"/>
    <w:rsid w:val="2E956646"/>
    <w:rsid w:val="2E9574DA"/>
    <w:rsid w:val="2E960B5C"/>
    <w:rsid w:val="2E9717A5"/>
    <w:rsid w:val="2E976DAE"/>
    <w:rsid w:val="2E98096C"/>
    <w:rsid w:val="2E980D78"/>
    <w:rsid w:val="2E982B26"/>
    <w:rsid w:val="2E9848D4"/>
    <w:rsid w:val="2E9949CD"/>
    <w:rsid w:val="2E997139"/>
    <w:rsid w:val="2E9A064C"/>
    <w:rsid w:val="2E9A471C"/>
    <w:rsid w:val="2E9A4AF0"/>
    <w:rsid w:val="2E9A689E"/>
    <w:rsid w:val="2E9A7649"/>
    <w:rsid w:val="2E9B1189"/>
    <w:rsid w:val="2E9B481B"/>
    <w:rsid w:val="2E9B5719"/>
    <w:rsid w:val="2E9B6172"/>
    <w:rsid w:val="2E9B684A"/>
    <w:rsid w:val="2E9C2616"/>
    <w:rsid w:val="2E9C43C4"/>
    <w:rsid w:val="2E9D013C"/>
    <w:rsid w:val="2E9D1EEA"/>
    <w:rsid w:val="2E9D638E"/>
    <w:rsid w:val="2E9E1103"/>
    <w:rsid w:val="2E9E5C6E"/>
    <w:rsid w:val="2E9F069E"/>
    <w:rsid w:val="2E9F2FCA"/>
    <w:rsid w:val="2E9F4FB8"/>
    <w:rsid w:val="2EA0058E"/>
    <w:rsid w:val="2EA01260"/>
    <w:rsid w:val="2EA05D34"/>
    <w:rsid w:val="2EA119DB"/>
    <w:rsid w:val="2EA1315F"/>
    <w:rsid w:val="2EA1540F"/>
    <w:rsid w:val="2EA15E7F"/>
    <w:rsid w:val="2EA17C2D"/>
    <w:rsid w:val="2EA20C7B"/>
    <w:rsid w:val="2EA23661"/>
    <w:rsid w:val="2EA2374F"/>
    <w:rsid w:val="2EA245EF"/>
    <w:rsid w:val="2EA339A5"/>
    <w:rsid w:val="2EA33F23"/>
    <w:rsid w:val="2EA3631D"/>
    <w:rsid w:val="2EA374C6"/>
    <w:rsid w:val="2EA46F0F"/>
    <w:rsid w:val="2EA4738B"/>
    <w:rsid w:val="2EA4771D"/>
    <w:rsid w:val="2EA50100"/>
    <w:rsid w:val="2EA5039F"/>
    <w:rsid w:val="2EA52731"/>
    <w:rsid w:val="2EA54AA0"/>
    <w:rsid w:val="2EA65243"/>
    <w:rsid w:val="2EA654B6"/>
    <w:rsid w:val="2EA66AC8"/>
    <w:rsid w:val="2EA66FF1"/>
    <w:rsid w:val="2EA74B17"/>
    <w:rsid w:val="2EA75890"/>
    <w:rsid w:val="2EA8026D"/>
    <w:rsid w:val="2EA80FBB"/>
    <w:rsid w:val="2EA814A6"/>
    <w:rsid w:val="2EA8262A"/>
    <w:rsid w:val="2EA82C5F"/>
    <w:rsid w:val="2EA84D9A"/>
    <w:rsid w:val="2EA918F1"/>
    <w:rsid w:val="2EA9423D"/>
    <w:rsid w:val="2EA96AE1"/>
    <w:rsid w:val="2EAA3A90"/>
    <w:rsid w:val="2EAA4211"/>
    <w:rsid w:val="2EAA699E"/>
    <w:rsid w:val="2EAA742B"/>
    <w:rsid w:val="2EAB0AAB"/>
    <w:rsid w:val="2EAB21A7"/>
    <w:rsid w:val="2EAB2859"/>
    <w:rsid w:val="2EAB56A1"/>
    <w:rsid w:val="2EAC037F"/>
    <w:rsid w:val="2EAC19A3"/>
    <w:rsid w:val="2EAC7002"/>
    <w:rsid w:val="2EAD04E1"/>
    <w:rsid w:val="2EAD4823"/>
    <w:rsid w:val="2EAD65D1"/>
    <w:rsid w:val="2EAE2349"/>
    <w:rsid w:val="2EAE40F8"/>
    <w:rsid w:val="2EAE5763"/>
    <w:rsid w:val="2EAE5EA6"/>
    <w:rsid w:val="2EAE6C4B"/>
    <w:rsid w:val="2EAF7F4A"/>
    <w:rsid w:val="2EB00BCF"/>
    <w:rsid w:val="2EB01C1E"/>
    <w:rsid w:val="2EB02C39"/>
    <w:rsid w:val="2EB03460"/>
    <w:rsid w:val="2EB060C2"/>
    <w:rsid w:val="2EB15996"/>
    <w:rsid w:val="2EB16FD1"/>
    <w:rsid w:val="2EB174AF"/>
    <w:rsid w:val="2EB21E3A"/>
    <w:rsid w:val="2EB23BE8"/>
    <w:rsid w:val="2EB27B96"/>
    <w:rsid w:val="2EB27F0B"/>
    <w:rsid w:val="2EB30BCD"/>
    <w:rsid w:val="2EB342E0"/>
    <w:rsid w:val="2EB37F46"/>
    <w:rsid w:val="2EB45733"/>
    <w:rsid w:val="2EB45BB2"/>
    <w:rsid w:val="2EB51324"/>
    <w:rsid w:val="2EB52992"/>
    <w:rsid w:val="2EB5368F"/>
    <w:rsid w:val="2EB536D8"/>
    <w:rsid w:val="2EB54F87"/>
    <w:rsid w:val="2EB568C8"/>
    <w:rsid w:val="2EB57234"/>
    <w:rsid w:val="2EB60183"/>
    <w:rsid w:val="2EB621D8"/>
    <w:rsid w:val="2EB627B4"/>
    <w:rsid w:val="2EB75230"/>
    <w:rsid w:val="2EB765AE"/>
    <w:rsid w:val="2EB76CAF"/>
    <w:rsid w:val="2EB76F86"/>
    <w:rsid w:val="2EB84F76"/>
    <w:rsid w:val="2EB931C8"/>
    <w:rsid w:val="2EB93D94"/>
    <w:rsid w:val="2EB95545"/>
    <w:rsid w:val="2EBA0CEE"/>
    <w:rsid w:val="2EBB4DCB"/>
    <w:rsid w:val="2EBB4FE5"/>
    <w:rsid w:val="2EBB5736"/>
    <w:rsid w:val="2EBB598C"/>
    <w:rsid w:val="2EBB75D9"/>
    <w:rsid w:val="2EBC05C2"/>
    <w:rsid w:val="2EBC4A66"/>
    <w:rsid w:val="2EBC4EF7"/>
    <w:rsid w:val="2EBC6626"/>
    <w:rsid w:val="2EBD258D"/>
    <w:rsid w:val="2EBD396A"/>
    <w:rsid w:val="2EBD433B"/>
    <w:rsid w:val="2EBD5259"/>
    <w:rsid w:val="2EBD5CDA"/>
    <w:rsid w:val="2EBD7AEA"/>
    <w:rsid w:val="2EBE07DF"/>
    <w:rsid w:val="2EBE2687"/>
    <w:rsid w:val="2EBE26F9"/>
    <w:rsid w:val="2EBE4B93"/>
    <w:rsid w:val="2EBE5A61"/>
    <w:rsid w:val="2EBF4557"/>
    <w:rsid w:val="2EBF6305"/>
    <w:rsid w:val="2EBF66E8"/>
    <w:rsid w:val="2EC102CF"/>
    <w:rsid w:val="2EC11008"/>
    <w:rsid w:val="2EC15BD9"/>
    <w:rsid w:val="2EC21951"/>
    <w:rsid w:val="2EC35DF5"/>
    <w:rsid w:val="2EC40EC2"/>
    <w:rsid w:val="2EC41B6D"/>
    <w:rsid w:val="2EC4391B"/>
    <w:rsid w:val="2EC456C9"/>
    <w:rsid w:val="2EC471EF"/>
    <w:rsid w:val="2EC54550"/>
    <w:rsid w:val="2EC56DF4"/>
    <w:rsid w:val="2EC61441"/>
    <w:rsid w:val="2EC6211D"/>
    <w:rsid w:val="2EC622A9"/>
    <w:rsid w:val="2EC639EA"/>
    <w:rsid w:val="2EC64D30"/>
    <w:rsid w:val="2EC73150"/>
    <w:rsid w:val="2EC73739"/>
    <w:rsid w:val="2EC73AAB"/>
    <w:rsid w:val="2EC8340B"/>
    <w:rsid w:val="2EC83BBA"/>
    <w:rsid w:val="2EC851B9"/>
    <w:rsid w:val="2EC8630A"/>
    <w:rsid w:val="2EC90F31"/>
    <w:rsid w:val="2EC92CDF"/>
    <w:rsid w:val="2EC951DE"/>
    <w:rsid w:val="2ECB20BA"/>
    <w:rsid w:val="2ECB2EFB"/>
    <w:rsid w:val="2ECB4A56"/>
    <w:rsid w:val="2ECC5165"/>
    <w:rsid w:val="2ECD0201"/>
    <w:rsid w:val="2ECD0A22"/>
    <w:rsid w:val="2ECD0CEC"/>
    <w:rsid w:val="2ECD27D0"/>
    <w:rsid w:val="2ECD6C74"/>
    <w:rsid w:val="2ECE11AD"/>
    <w:rsid w:val="2ECE217C"/>
    <w:rsid w:val="2ECE443A"/>
    <w:rsid w:val="2ECE71D8"/>
    <w:rsid w:val="2ECF360C"/>
    <w:rsid w:val="2ECF36A3"/>
    <w:rsid w:val="2ED00512"/>
    <w:rsid w:val="2ED01383"/>
    <w:rsid w:val="2ED01539"/>
    <w:rsid w:val="2ED022C0"/>
    <w:rsid w:val="2ED0406E"/>
    <w:rsid w:val="2ED05F2C"/>
    <w:rsid w:val="2ED0766D"/>
    <w:rsid w:val="2ED10AFD"/>
    <w:rsid w:val="2ED21F8D"/>
    <w:rsid w:val="2ED2428A"/>
    <w:rsid w:val="2ED26038"/>
    <w:rsid w:val="2ED26650"/>
    <w:rsid w:val="2ED27DE6"/>
    <w:rsid w:val="2ED316F4"/>
    <w:rsid w:val="2ED31DB0"/>
    <w:rsid w:val="2ED33B5E"/>
    <w:rsid w:val="2ED33EAD"/>
    <w:rsid w:val="2ED344F5"/>
    <w:rsid w:val="2ED3590C"/>
    <w:rsid w:val="2ED40002"/>
    <w:rsid w:val="2ED42E60"/>
    <w:rsid w:val="2ED44817"/>
    <w:rsid w:val="2ED4747E"/>
    <w:rsid w:val="2ED532A5"/>
    <w:rsid w:val="2ED533DD"/>
    <w:rsid w:val="2ED543E1"/>
    <w:rsid w:val="2ED578D6"/>
    <w:rsid w:val="2ED708E9"/>
    <w:rsid w:val="2ED718A0"/>
    <w:rsid w:val="2ED7654D"/>
    <w:rsid w:val="2ED77BB1"/>
    <w:rsid w:val="2ED81174"/>
    <w:rsid w:val="2ED95618"/>
    <w:rsid w:val="2ED9579E"/>
    <w:rsid w:val="2ED964C1"/>
    <w:rsid w:val="2ED973A9"/>
    <w:rsid w:val="2EDA3048"/>
    <w:rsid w:val="2EDA313F"/>
    <w:rsid w:val="2EDA4EED"/>
    <w:rsid w:val="2EDA6197"/>
    <w:rsid w:val="2EDA686E"/>
    <w:rsid w:val="2EDB066A"/>
    <w:rsid w:val="2EDB1BAF"/>
    <w:rsid w:val="2EDB5C51"/>
    <w:rsid w:val="2EDB7876"/>
    <w:rsid w:val="2EDC0C65"/>
    <w:rsid w:val="2EDC6EB7"/>
    <w:rsid w:val="2EDD4D75"/>
    <w:rsid w:val="2EDD678B"/>
    <w:rsid w:val="2EDE2C2F"/>
    <w:rsid w:val="2EDE325D"/>
    <w:rsid w:val="2EDE3BA0"/>
    <w:rsid w:val="2EDE49DD"/>
    <w:rsid w:val="2EDE5A0F"/>
    <w:rsid w:val="2EDF0755"/>
    <w:rsid w:val="2EDF0A11"/>
    <w:rsid w:val="2EDF19C0"/>
    <w:rsid w:val="2EDF1EFD"/>
    <w:rsid w:val="2EDF2503"/>
    <w:rsid w:val="2EDF69A7"/>
    <w:rsid w:val="2EE02D95"/>
    <w:rsid w:val="2EE05391"/>
    <w:rsid w:val="2EE07D29"/>
    <w:rsid w:val="2EE10029"/>
    <w:rsid w:val="2EE144CD"/>
    <w:rsid w:val="2EE1627B"/>
    <w:rsid w:val="2EE16EB1"/>
    <w:rsid w:val="2EE20341"/>
    <w:rsid w:val="2EE23DA1"/>
    <w:rsid w:val="2EE31FF3"/>
    <w:rsid w:val="2EE32F12"/>
    <w:rsid w:val="2EE43FBD"/>
    <w:rsid w:val="2EE45D6B"/>
    <w:rsid w:val="2EE47B19"/>
    <w:rsid w:val="2EE50B13"/>
    <w:rsid w:val="2EE54BFF"/>
    <w:rsid w:val="2EE558BD"/>
    <w:rsid w:val="2EE62640"/>
    <w:rsid w:val="2EE62680"/>
    <w:rsid w:val="2EE63891"/>
    <w:rsid w:val="2EE6563F"/>
    <w:rsid w:val="2EE67D35"/>
    <w:rsid w:val="2EE72D23"/>
    <w:rsid w:val="2EE73237"/>
    <w:rsid w:val="2EE80BBB"/>
    <w:rsid w:val="2EE8368A"/>
    <w:rsid w:val="2EE84298"/>
    <w:rsid w:val="2EE8585B"/>
    <w:rsid w:val="2EE85B84"/>
    <w:rsid w:val="2EE93382"/>
    <w:rsid w:val="2EE93874"/>
    <w:rsid w:val="2EE95130"/>
    <w:rsid w:val="2EE965A0"/>
    <w:rsid w:val="2EE96D84"/>
    <w:rsid w:val="2EEA0214"/>
    <w:rsid w:val="2EEA3DBB"/>
    <w:rsid w:val="2EEB0EA8"/>
    <w:rsid w:val="2EEB299A"/>
    <w:rsid w:val="2EEB534C"/>
    <w:rsid w:val="2EEC7797"/>
    <w:rsid w:val="2EEC7D14"/>
    <w:rsid w:val="2EED10C4"/>
    <w:rsid w:val="2EED41C4"/>
    <w:rsid w:val="2EED4C20"/>
    <w:rsid w:val="2EED61FC"/>
    <w:rsid w:val="2EED69CE"/>
    <w:rsid w:val="2EEE0998"/>
    <w:rsid w:val="2EEE2746"/>
    <w:rsid w:val="2EEE59E3"/>
    <w:rsid w:val="2EEE79CC"/>
    <w:rsid w:val="2EEF6BEA"/>
    <w:rsid w:val="2EF02029"/>
    <w:rsid w:val="2EF02962"/>
    <w:rsid w:val="2EF04A7B"/>
    <w:rsid w:val="2EF064BE"/>
    <w:rsid w:val="2EF10A6E"/>
    <w:rsid w:val="2EF1416A"/>
    <w:rsid w:val="2EF169A6"/>
    <w:rsid w:val="2EF20488"/>
    <w:rsid w:val="2EF204E5"/>
    <w:rsid w:val="2EF20BDC"/>
    <w:rsid w:val="2EF266DA"/>
    <w:rsid w:val="2EF302CF"/>
    <w:rsid w:val="2EF312C6"/>
    <w:rsid w:val="2EF3220C"/>
    <w:rsid w:val="2EF3597A"/>
    <w:rsid w:val="2EF37D5C"/>
    <w:rsid w:val="2EF417D5"/>
    <w:rsid w:val="2EF51D26"/>
    <w:rsid w:val="2EF57F78"/>
    <w:rsid w:val="2EF65E01"/>
    <w:rsid w:val="2EF6731C"/>
    <w:rsid w:val="2EF73CF0"/>
    <w:rsid w:val="2EF77712"/>
    <w:rsid w:val="2EF7784D"/>
    <w:rsid w:val="2EF835C5"/>
    <w:rsid w:val="2EF83CA8"/>
    <w:rsid w:val="2EF912D9"/>
    <w:rsid w:val="2EF91817"/>
    <w:rsid w:val="2EF97A69"/>
    <w:rsid w:val="2EFA10EB"/>
    <w:rsid w:val="2EFA1AD4"/>
    <w:rsid w:val="2EFA558F"/>
    <w:rsid w:val="2EFA591F"/>
    <w:rsid w:val="2EFB0A47"/>
    <w:rsid w:val="2EFC30B5"/>
    <w:rsid w:val="2EFC4E63"/>
    <w:rsid w:val="2EFD4C16"/>
    <w:rsid w:val="2EFD6C9E"/>
    <w:rsid w:val="2EFE0BDB"/>
    <w:rsid w:val="2EFF35B4"/>
    <w:rsid w:val="2EFF3B7B"/>
    <w:rsid w:val="2EFF4000"/>
    <w:rsid w:val="2EFF4953"/>
    <w:rsid w:val="2EFF592B"/>
    <w:rsid w:val="2EFF6701"/>
    <w:rsid w:val="2EFF7622"/>
    <w:rsid w:val="2F000DF7"/>
    <w:rsid w:val="2F001F21"/>
    <w:rsid w:val="2F00500B"/>
    <w:rsid w:val="2F012479"/>
    <w:rsid w:val="2F015871"/>
    <w:rsid w:val="2F015983"/>
    <w:rsid w:val="2F01649B"/>
    <w:rsid w:val="2F0201DA"/>
    <w:rsid w:val="2F02792B"/>
    <w:rsid w:val="2F0318E1"/>
    <w:rsid w:val="2F0324FC"/>
    <w:rsid w:val="2F034443"/>
    <w:rsid w:val="2F035222"/>
    <w:rsid w:val="2F0361F1"/>
    <w:rsid w:val="2F0401BB"/>
    <w:rsid w:val="2F041F69"/>
    <w:rsid w:val="2F0509F9"/>
    <w:rsid w:val="2F05640D"/>
    <w:rsid w:val="2F063F34"/>
    <w:rsid w:val="2F065CE2"/>
    <w:rsid w:val="2F067A90"/>
    <w:rsid w:val="2F071BA9"/>
    <w:rsid w:val="2F0737F8"/>
    <w:rsid w:val="2F0747FF"/>
    <w:rsid w:val="2F0750AB"/>
    <w:rsid w:val="2F07582D"/>
    <w:rsid w:val="2F083808"/>
    <w:rsid w:val="2F0860B8"/>
    <w:rsid w:val="2F0863B8"/>
    <w:rsid w:val="2F094C2D"/>
    <w:rsid w:val="2F097334"/>
    <w:rsid w:val="2F097580"/>
    <w:rsid w:val="2F0A3A24"/>
    <w:rsid w:val="2F0B03F1"/>
    <w:rsid w:val="2F0B154A"/>
    <w:rsid w:val="2F0B211E"/>
    <w:rsid w:val="2F0B32F8"/>
    <w:rsid w:val="2F0B5D06"/>
    <w:rsid w:val="2F0B779C"/>
    <w:rsid w:val="2F0C1B5B"/>
    <w:rsid w:val="2F0C35AE"/>
    <w:rsid w:val="2F0C7062"/>
    <w:rsid w:val="2F0D0E1E"/>
    <w:rsid w:val="2F0D52C2"/>
    <w:rsid w:val="2F0D6CBD"/>
    <w:rsid w:val="2F0E4B96"/>
    <w:rsid w:val="2F0E5EC8"/>
    <w:rsid w:val="2F0E5ECE"/>
    <w:rsid w:val="2F0F0938"/>
    <w:rsid w:val="2F0F0A9F"/>
    <w:rsid w:val="2F0F0E88"/>
    <w:rsid w:val="2F0F2DE8"/>
    <w:rsid w:val="2F0F4FD7"/>
    <w:rsid w:val="2F10084E"/>
    <w:rsid w:val="2F10090E"/>
    <w:rsid w:val="2F1009A8"/>
    <w:rsid w:val="2F101F2F"/>
    <w:rsid w:val="2F104835"/>
    <w:rsid w:val="2F104B00"/>
    <w:rsid w:val="2F104DB2"/>
    <w:rsid w:val="2F106B60"/>
    <w:rsid w:val="2F111112"/>
    <w:rsid w:val="2F1126CD"/>
    <w:rsid w:val="2F115F90"/>
    <w:rsid w:val="2F120B2A"/>
    <w:rsid w:val="2F124686"/>
    <w:rsid w:val="2F125CDF"/>
    <w:rsid w:val="2F130889"/>
    <w:rsid w:val="2F1308B0"/>
    <w:rsid w:val="2F130D8B"/>
    <w:rsid w:val="2F131266"/>
    <w:rsid w:val="2F1321AD"/>
    <w:rsid w:val="2F133481"/>
    <w:rsid w:val="2F134480"/>
    <w:rsid w:val="2F146650"/>
    <w:rsid w:val="2F146FC1"/>
    <w:rsid w:val="2F154890"/>
    <w:rsid w:val="2F155773"/>
    <w:rsid w:val="2F1568A5"/>
    <w:rsid w:val="2F1601E3"/>
    <w:rsid w:val="2F161D5E"/>
    <w:rsid w:val="2F162BDB"/>
    <w:rsid w:val="2F1644DE"/>
    <w:rsid w:val="2F171C9D"/>
    <w:rsid w:val="2F171E02"/>
    <w:rsid w:val="2F176141"/>
    <w:rsid w:val="2F177EEF"/>
    <w:rsid w:val="2F18148F"/>
    <w:rsid w:val="2F181B51"/>
    <w:rsid w:val="2F182A0B"/>
    <w:rsid w:val="2F183841"/>
    <w:rsid w:val="2F184484"/>
    <w:rsid w:val="2F186C2F"/>
    <w:rsid w:val="2F1877C3"/>
    <w:rsid w:val="2F191307"/>
    <w:rsid w:val="2F191EB9"/>
    <w:rsid w:val="2F194C4D"/>
    <w:rsid w:val="2F194CF3"/>
    <w:rsid w:val="2F1A0095"/>
    <w:rsid w:val="2F1A178D"/>
    <w:rsid w:val="2F1A79DF"/>
    <w:rsid w:val="2F1B1C13"/>
    <w:rsid w:val="2F1B7042"/>
    <w:rsid w:val="2F1C3757"/>
    <w:rsid w:val="2F1C4D59"/>
    <w:rsid w:val="2F1C5505"/>
    <w:rsid w:val="2F1D6C97"/>
    <w:rsid w:val="2F1D70ED"/>
    <w:rsid w:val="2F1D7387"/>
    <w:rsid w:val="2F1E127D"/>
    <w:rsid w:val="2F1E38E0"/>
    <w:rsid w:val="2F1E3FF4"/>
    <w:rsid w:val="2F1E74CF"/>
    <w:rsid w:val="2F1F0594"/>
    <w:rsid w:val="2F1F0B51"/>
    <w:rsid w:val="2F1F267D"/>
    <w:rsid w:val="2F1F2AC6"/>
    <w:rsid w:val="2F1F48F6"/>
    <w:rsid w:val="2F202EB4"/>
    <w:rsid w:val="2F2044A0"/>
    <w:rsid w:val="2F205D05"/>
    <w:rsid w:val="2F210D6D"/>
    <w:rsid w:val="2F212B1B"/>
    <w:rsid w:val="2F2148C9"/>
    <w:rsid w:val="2F2151FD"/>
    <w:rsid w:val="2F2167B5"/>
    <w:rsid w:val="2F2257D4"/>
    <w:rsid w:val="2F225E22"/>
    <w:rsid w:val="2F230642"/>
    <w:rsid w:val="2F232462"/>
    <w:rsid w:val="2F234AE5"/>
    <w:rsid w:val="2F2354FC"/>
    <w:rsid w:val="2F236894"/>
    <w:rsid w:val="2F236EC3"/>
    <w:rsid w:val="2F240205"/>
    <w:rsid w:val="2F242165"/>
    <w:rsid w:val="2F24612C"/>
    <w:rsid w:val="2F25085E"/>
    <w:rsid w:val="2F25260C"/>
    <w:rsid w:val="2F260132"/>
    <w:rsid w:val="2F261EE0"/>
    <w:rsid w:val="2F262573"/>
    <w:rsid w:val="2F2657C2"/>
    <w:rsid w:val="2F266384"/>
    <w:rsid w:val="2F266D26"/>
    <w:rsid w:val="2F271480"/>
    <w:rsid w:val="2F27507A"/>
    <w:rsid w:val="2F2755E5"/>
    <w:rsid w:val="2F2820FC"/>
    <w:rsid w:val="2F284C83"/>
    <w:rsid w:val="2F285C58"/>
    <w:rsid w:val="2F2918D7"/>
    <w:rsid w:val="2F2A0437"/>
    <w:rsid w:val="2F2A56A7"/>
    <w:rsid w:val="2F2A5E74"/>
    <w:rsid w:val="2F2B1BEC"/>
    <w:rsid w:val="2F2B5748"/>
    <w:rsid w:val="2F2B6B37"/>
    <w:rsid w:val="2F2B73C4"/>
    <w:rsid w:val="2F2B7C24"/>
    <w:rsid w:val="2F2C0BBF"/>
    <w:rsid w:val="2F2C2B98"/>
    <w:rsid w:val="2F2D1064"/>
    <w:rsid w:val="2F2D14C0"/>
    <w:rsid w:val="2F2D326E"/>
    <w:rsid w:val="2F2D3EBD"/>
    <w:rsid w:val="2F2D4028"/>
    <w:rsid w:val="2F2D46B4"/>
    <w:rsid w:val="2F2D7712"/>
    <w:rsid w:val="2F2D7C17"/>
    <w:rsid w:val="2F2F3149"/>
    <w:rsid w:val="2F2F348A"/>
    <w:rsid w:val="2F2F518F"/>
    <w:rsid w:val="2F2F5D1B"/>
    <w:rsid w:val="2F300FB0"/>
    <w:rsid w:val="2F3029A9"/>
    <w:rsid w:val="2F302D5E"/>
    <w:rsid w:val="2F304154"/>
    <w:rsid w:val="2F311268"/>
    <w:rsid w:val="2F3165EC"/>
    <w:rsid w:val="2F320885"/>
    <w:rsid w:val="2F323655"/>
    <w:rsid w:val="2F324D29"/>
    <w:rsid w:val="2F326F0E"/>
    <w:rsid w:val="2F340201"/>
    <w:rsid w:val="2F340AA1"/>
    <w:rsid w:val="2F34132A"/>
    <w:rsid w:val="2F34284F"/>
    <w:rsid w:val="2F343679"/>
    <w:rsid w:val="2F3445FD"/>
    <w:rsid w:val="2F3527BA"/>
    <w:rsid w:val="2F3565C7"/>
    <w:rsid w:val="2F3600C2"/>
    <w:rsid w:val="2F363C4A"/>
    <w:rsid w:val="2F364819"/>
    <w:rsid w:val="2F3650DA"/>
    <w:rsid w:val="2F36681B"/>
    <w:rsid w:val="2F370591"/>
    <w:rsid w:val="2F37233F"/>
    <w:rsid w:val="2F3740ED"/>
    <w:rsid w:val="2F374105"/>
    <w:rsid w:val="2F376531"/>
    <w:rsid w:val="2F38549F"/>
    <w:rsid w:val="2F3910DA"/>
    <w:rsid w:val="2F391C13"/>
    <w:rsid w:val="2F394ACA"/>
    <w:rsid w:val="2F395B45"/>
    <w:rsid w:val="2F395EA6"/>
    <w:rsid w:val="2F3960B7"/>
    <w:rsid w:val="2F397E65"/>
    <w:rsid w:val="2F3A15FF"/>
    <w:rsid w:val="2F3A3A5B"/>
    <w:rsid w:val="2F3A3BDD"/>
    <w:rsid w:val="2F3A7B8C"/>
    <w:rsid w:val="2F3B087C"/>
    <w:rsid w:val="2F3B1D5C"/>
    <w:rsid w:val="2F3B1E2F"/>
    <w:rsid w:val="2F3B228A"/>
    <w:rsid w:val="2F3B7ABC"/>
    <w:rsid w:val="2F3C0F4C"/>
    <w:rsid w:val="2F3C1703"/>
    <w:rsid w:val="2F3C308F"/>
    <w:rsid w:val="2F3C36CE"/>
    <w:rsid w:val="2F3C5BA7"/>
    <w:rsid w:val="2F3C5CBC"/>
    <w:rsid w:val="2F3D2334"/>
    <w:rsid w:val="2F3D3B1D"/>
    <w:rsid w:val="2F3D7179"/>
    <w:rsid w:val="2F3E191F"/>
    <w:rsid w:val="2F3E2E04"/>
    <w:rsid w:val="2F3E36CD"/>
    <w:rsid w:val="2F3E386C"/>
    <w:rsid w:val="2F3E3A6B"/>
    <w:rsid w:val="2F3E4FAD"/>
    <w:rsid w:val="2F3E547B"/>
    <w:rsid w:val="2F3E7229"/>
    <w:rsid w:val="2F3F132F"/>
    <w:rsid w:val="2F3F19BA"/>
    <w:rsid w:val="2F3F1D34"/>
    <w:rsid w:val="2F3F2FA2"/>
    <w:rsid w:val="2F3F4659"/>
    <w:rsid w:val="2F3F643D"/>
    <w:rsid w:val="2F3F79A2"/>
    <w:rsid w:val="2F400F4C"/>
    <w:rsid w:val="2F406212"/>
    <w:rsid w:val="2F407445"/>
    <w:rsid w:val="2F4119F3"/>
    <w:rsid w:val="2F4132D2"/>
    <w:rsid w:val="2F4147FC"/>
    <w:rsid w:val="2F416424"/>
    <w:rsid w:val="2F416D1A"/>
    <w:rsid w:val="2F41767B"/>
    <w:rsid w:val="2F420DF3"/>
    <w:rsid w:val="2F4231B5"/>
    <w:rsid w:val="2F424F98"/>
    <w:rsid w:val="2F430CE4"/>
    <w:rsid w:val="2F432A92"/>
    <w:rsid w:val="2F433DE5"/>
    <w:rsid w:val="2F436A23"/>
    <w:rsid w:val="2F437607"/>
    <w:rsid w:val="2F4405B8"/>
    <w:rsid w:val="2F440E1F"/>
    <w:rsid w:val="2F445B04"/>
    <w:rsid w:val="2F450B6E"/>
    <w:rsid w:val="2F452CAE"/>
    <w:rsid w:val="2F454A5C"/>
    <w:rsid w:val="2F46159F"/>
    <w:rsid w:val="2F464330"/>
    <w:rsid w:val="2F47605F"/>
    <w:rsid w:val="2F4777A0"/>
    <w:rsid w:val="2F4800A8"/>
    <w:rsid w:val="2F4862FA"/>
    <w:rsid w:val="2F4874EF"/>
    <w:rsid w:val="2F493EBA"/>
    <w:rsid w:val="2F496000"/>
    <w:rsid w:val="2F4A02C4"/>
    <w:rsid w:val="2F4A2072"/>
    <w:rsid w:val="2F4A3E20"/>
    <w:rsid w:val="2F4A4835"/>
    <w:rsid w:val="2F4B0BC7"/>
    <w:rsid w:val="2F4B1946"/>
    <w:rsid w:val="2F4B1ED6"/>
    <w:rsid w:val="2F4B20C0"/>
    <w:rsid w:val="2F4B5DEA"/>
    <w:rsid w:val="2F4B7B98"/>
    <w:rsid w:val="2F4C0D7F"/>
    <w:rsid w:val="2F4C711F"/>
    <w:rsid w:val="2F4D1B62"/>
    <w:rsid w:val="2F4D56BE"/>
    <w:rsid w:val="2F4E3361"/>
    <w:rsid w:val="2F4E56C3"/>
    <w:rsid w:val="2F4F1437"/>
    <w:rsid w:val="2F4F23A8"/>
    <w:rsid w:val="2F4F47F1"/>
    <w:rsid w:val="2F4F58DB"/>
    <w:rsid w:val="2F5027AB"/>
    <w:rsid w:val="2F510852"/>
    <w:rsid w:val="2F511A25"/>
    <w:rsid w:val="2F513EAA"/>
    <w:rsid w:val="2F514D13"/>
    <w:rsid w:val="2F520B47"/>
    <w:rsid w:val="2F520F27"/>
    <w:rsid w:val="2F522CD5"/>
    <w:rsid w:val="2F525275"/>
    <w:rsid w:val="2F527597"/>
    <w:rsid w:val="2F531033"/>
    <w:rsid w:val="2F531A25"/>
    <w:rsid w:val="2F5335CB"/>
    <w:rsid w:val="2F535D43"/>
    <w:rsid w:val="2F542EF1"/>
    <w:rsid w:val="2F5443AB"/>
    <w:rsid w:val="2F544C9F"/>
    <w:rsid w:val="2F546A4D"/>
    <w:rsid w:val="2F546B5A"/>
    <w:rsid w:val="2F5646C4"/>
    <w:rsid w:val="2F564BFC"/>
    <w:rsid w:val="2F566C69"/>
    <w:rsid w:val="2F5672E1"/>
    <w:rsid w:val="2F5702EB"/>
    <w:rsid w:val="2F5743B1"/>
    <w:rsid w:val="2F575B54"/>
    <w:rsid w:val="2F5801D5"/>
    <w:rsid w:val="2F590507"/>
    <w:rsid w:val="2F5909A8"/>
    <w:rsid w:val="2F591BB5"/>
    <w:rsid w:val="2F593FF3"/>
    <w:rsid w:val="2F5A3045"/>
    <w:rsid w:val="2F5A6441"/>
    <w:rsid w:val="2F5B427F"/>
    <w:rsid w:val="2F5B44D5"/>
    <w:rsid w:val="2F5B602D"/>
    <w:rsid w:val="2F5B6DA4"/>
    <w:rsid w:val="2F5B70A6"/>
    <w:rsid w:val="2F5B7B3B"/>
    <w:rsid w:val="2F5C0CCC"/>
    <w:rsid w:val="2F5C1DA5"/>
    <w:rsid w:val="2F5C22BF"/>
    <w:rsid w:val="2F5C3B54"/>
    <w:rsid w:val="2F5C5965"/>
    <w:rsid w:val="2F5C61BD"/>
    <w:rsid w:val="2F5C6DF5"/>
    <w:rsid w:val="2F5C739E"/>
    <w:rsid w:val="2F5C7FF7"/>
    <w:rsid w:val="2F5D5106"/>
    <w:rsid w:val="2F5D603A"/>
    <w:rsid w:val="2F5E0086"/>
    <w:rsid w:val="2F5E124F"/>
    <w:rsid w:val="2F5E167A"/>
    <w:rsid w:val="2F5E2A83"/>
    <w:rsid w:val="2F5E5B1E"/>
    <w:rsid w:val="2F5F53F2"/>
    <w:rsid w:val="2F600347"/>
    <w:rsid w:val="2F602003"/>
    <w:rsid w:val="2F604EEA"/>
    <w:rsid w:val="2F6101B9"/>
    <w:rsid w:val="2F61022A"/>
    <w:rsid w:val="2F61116A"/>
    <w:rsid w:val="2F613DE1"/>
    <w:rsid w:val="2F6173BC"/>
    <w:rsid w:val="2F62173F"/>
    <w:rsid w:val="2F62316D"/>
    <w:rsid w:val="2F62709C"/>
    <w:rsid w:val="2F633134"/>
    <w:rsid w:val="2F634EE2"/>
    <w:rsid w:val="2F6441A5"/>
    <w:rsid w:val="2F6446E6"/>
    <w:rsid w:val="2F65017E"/>
    <w:rsid w:val="2F655471"/>
    <w:rsid w:val="2F663062"/>
    <w:rsid w:val="2F6641B9"/>
    <w:rsid w:val="2F6649D2"/>
    <w:rsid w:val="2F672351"/>
    <w:rsid w:val="2F672A78"/>
    <w:rsid w:val="2F675649"/>
    <w:rsid w:val="2F682C4E"/>
    <w:rsid w:val="2F682F49"/>
    <w:rsid w:val="2F68699C"/>
    <w:rsid w:val="2F686AD9"/>
    <w:rsid w:val="2F686C4D"/>
    <w:rsid w:val="2F6910C6"/>
    <w:rsid w:val="2F6916AA"/>
    <w:rsid w:val="2F693437"/>
    <w:rsid w:val="2F6953C2"/>
    <w:rsid w:val="2F6963D1"/>
    <w:rsid w:val="2F697244"/>
    <w:rsid w:val="2F6A001E"/>
    <w:rsid w:val="2F6A0CAC"/>
    <w:rsid w:val="2F6A13F9"/>
    <w:rsid w:val="2F6A3BD0"/>
    <w:rsid w:val="2F6A44C2"/>
    <w:rsid w:val="2F6A7BFA"/>
    <w:rsid w:val="2F6B07FC"/>
    <w:rsid w:val="2F6B1FE9"/>
    <w:rsid w:val="2F6B21EC"/>
    <w:rsid w:val="2F6B563F"/>
    <w:rsid w:val="2F6B570B"/>
    <w:rsid w:val="2F6C002B"/>
    <w:rsid w:val="2F6C023B"/>
    <w:rsid w:val="2F6C08FF"/>
    <w:rsid w:val="2F6C7195"/>
    <w:rsid w:val="2F6C79BF"/>
    <w:rsid w:val="2F6D03BB"/>
    <w:rsid w:val="2F6D14BB"/>
    <w:rsid w:val="2F6D5D61"/>
    <w:rsid w:val="2F6D7B0F"/>
    <w:rsid w:val="2F6E294B"/>
    <w:rsid w:val="2F6E59D0"/>
    <w:rsid w:val="2F6E6499"/>
    <w:rsid w:val="2F6F1AD9"/>
    <w:rsid w:val="2F6F3887"/>
    <w:rsid w:val="2F6F6AEE"/>
    <w:rsid w:val="2F6F7D2B"/>
    <w:rsid w:val="2F700F68"/>
    <w:rsid w:val="2F7013AD"/>
    <w:rsid w:val="2F7075FF"/>
    <w:rsid w:val="2F707A1E"/>
    <w:rsid w:val="2F710957"/>
    <w:rsid w:val="2F713AA3"/>
    <w:rsid w:val="2F714A05"/>
    <w:rsid w:val="2F715851"/>
    <w:rsid w:val="2F7160D7"/>
    <w:rsid w:val="2F7215C9"/>
    <w:rsid w:val="2F72275C"/>
    <w:rsid w:val="2F724D0A"/>
    <w:rsid w:val="2F730082"/>
    <w:rsid w:val="2F733AC1"/>
    <w:rsid w:val="2F743BED"/>
    <w:rsid w:val="2F745341"/>
    <w:rsid w:val="2F74690B"/>
    <w:rsid w:val="2F746B33"/>
    <w:rsid w:val="2F7539AC"/>
    <w:rsid w:val="2F7553E7"/>
    <w:rsid w:val="2F7558C0"/>
    <w:rsid w:val="2F762E67"/>
    <w:rsid w:val="2F762FE0"/>
    <w:rsid w:val="2F764308"/>
    <w:rsid w:val="2F77256D"/>
    <w:rsid w:val="2F77273B"/>
    <w:rsid w:val="2F7739FD"/>
    <w:rsid w:val="2F783239"/>
    <w:rsid w:val="2F786074"/>
    <w:rsid w:val="2F792957"/>
    <w:rsid w:val="2F79295A"/>
    <w:rsid w:val="2F794705"/>
    <w:rsid w:val="2F7964B4"/>
    <w:rsid w:val="2F7A3ABF"/>
    <w:rsid w:val="2F7B222C"/>
    <w:rsid w:val="2F7B66D0"/>
    <w:rsid w:val="2F7C0C55"/>
    <w:rsid w:val="2F7C473F"/>
    <w:rsid w:val="2F7C5FA4"/>
    <w:rsid w:val="2F7C63DF"/>
    <w:rsid w:val="2F7E0CFF"/>
    <w:rsid w:val="2F7E3ACA"/>
    <w:rsid w:val="2F7E7F04"/>
    <w:rsid w:val="2F7E7F6E"/>
    <w:rsid w:val="2F7F036D"/>
    <w:rsid w:val="2F7F241F"/>
    <w:rsid w:val="2F7F5222"/>
    <w:rsid w:val="2F800669"/>
    <w:rsid w:val="2F801723"/>
    <w:rsid w:val="2F803CD5"/>
    <w:rsid w:val="2F805A94"/>
    <w:rsid w:val="2F807842"/>
    <w:rsid w:val="2F8135BA"/>
    <w:rsid w:val="2F816579"/>
    <w:rsid w:val="2F830BF3"/>
    <w:rsid w:val="2F832755"/>
    <w:rsid w:val="2F8329CC"/>
    <w:rsid w:val="2F8337D6"/>
    <w:rsid w:val="2F8370DA"/>
    <w:rsid w:val="2F8371C0"/>
    <w:rsid w:val="2F837332"/>
    <w:rsid w:val="2F84126C"/>
    <w:rsid w:val="2F841A86"/>
    <w:rsid w:val="2F8428D7"/>
    <w:rsid w:val="2F8462B2"/>
    <w:rsid w:val="2F8464F9"/>
    <w:rsid w:val="2F8512FC"/>
    <w:rsid w:val="2F8530AA"/>
    <w:rsid w:val="2F856001"/>
    <w:rsid w:val="2F860387"/>
    <w:rsid w:val="2F860BD2"/>
    <w:rsid w:val="2F862062"/>
    <w:rsid w:val="2F86747C"/>
    <w:rsid w:val="2F880DEC"/>
    <w:rsid w:val="2F884949"/>
    <w:rsid w:val="2F88677C"/>
    <w:rsid w:val="2F890814"/>
    <w:rsid w:val="2F895641"/>
    <w:rsid w:val="2F895C9D"/>
    <w:rsid w:val="2F897553"/>
    <w:rsid w:val="2F8A06C1"/>
    <w:rsid w:val="2F8A6913"/>
    <w:rsid w:val="2F8A7728"/>
    <w:rsid w:val="2F8B1E73"/>
    <w:rsid w:val="2F8B3FC6"/>
    <w:rsid w:val="2F8B4A44"/>
    <w:rsid w:val="2F8B61E7"/>
    <w:rsid w:val="2F8C268B"/>
    <w:rsid w:val="2F8C5ED4"/>
    <w:rsid w:val="2F8D1E6D"/>
    <w:rsid w:val="2F8D4DDC"/>
    <w:rsid w:val="2F8D6403"/>
    <w:rsid w:val="2F8E07F4"/>
    <w:rsid w:val="2F8E376A"/>
    <w:rsid w:val="2F8E53E7"/>
    <w:rsid w:val="2F8F0041"/>
    <w:rsid w:val="2F8F041E"/>
    <w:rsid w:val="2F8F217B"/>
    <w:rsid w:val="2F8F5CD7"/>
    <w:rsid w:val="2F8F7A65"/>
    <w:rsid w:val="2F9024D5"/>
    <w:rsid w:val="2F902A13"/>
    <w:rsid w:val="2F903341"/>
    <w:rsid w:val="2F9037FD"/>
    <w:rsid w:val="2F90389B"/>
    <w:rsid w:val="2F906C7A"/>
    <w:rsid w:val="2F9108B6"/>
    <w:rsid w:val="2F910C4A"/>
    <w:rsid w:val="2F91110A"/>
    <w:rsid w:val="2F911A4F"/>
    <w:rsid w:val="2F911DBC"/>
    <w:rsid w:val="2F9130C3"/>
    <w:rsid w:val="2F91498D"/>
    <w:rsid w:val="2F915651"/>
    <w:rsid w:val="2F920605"/>
    <w:rsid w:val="2F9206E9"/>
    <w:rsid w:val="2F920DA6"/>
    <w:rsid w:val="2F921CB4"/>
    <w:rsid w:val="2F923798"/>
    <w:rsid w:val="2F923A19"/>
    <w:rsid w:val="2F923F29"/>
    <w:rsid w:val="2F9243E4"/>
    <w:rsid w:val="2F92553D"/>
    <w:rsid w:val="2F9257C7"/>
    <w:rsid w:val="2F927575"/>
    <w:rsid w:val="2F9347C0"/>
    <w:rsid w:val="2F937661"/>
    <w:rsid w:val="2F940B9B"/>
    <w:rsid w:val="2F94153F"/>
    <w:rsid w:val="2F94321E"/>
    <w:rsid w:val="2F944261"/>
    <w:rsid w:val="2F94489F"/>
    <w:rsid w:val="2F947791"/>
    <w:rsid w:val="2F9506C7"/>
    <w:rsid w:val="2F950B15"/>
    <w:rsid w:val="2F950E14"/>
    <w:rsid w:val="2F953329"/>
    <w:rsid w:val="2F963509"/>
    <w:rsid w:val="2F963C02"/>
    <w:rsid w:val="2F967065"/>
    <w:rsid w:val="2F971030"/>
    <w:rsid w:val="2F972DDE"/>
    <w:rsid w:val="2F972E04"/>
    <w:rsid w:val="2F972FE7"/>
    <w:rsid w:val="2F973F3B"/>
    <w:rsid w:val="2F9741F9"/>
    <w:rsid w:val="2F9747F0"/>
    <w:rsid w:val="2F974B8C"/>
    <w:rsid w:val="2F977A79"/>
    <w:rsid w:val="2F9810E3"/>
    <w:rsid w:val="2F984DBA"/>
    <w:rsid w:val="2F984DE7"/>
    <w:rsid w:val="2F990904"/>
    <w:rsid w:val="2F991EB7"/>
    <w:rsid w:val="2F994DA8"/>
    <w:rsid w:val="2F996B56"/>
    <w:rsid w:val="2F997048"/>
    <w:rsid w:val="2F9A22C7"/>
    <w:rsid w:val="2F9A7ED6"/>
    <w:rsid w:val="2F9B1C3B"/>
    <w:rsid w:val="2F9B28BE"/>
    <w:rsid w:val="2F9B28CE"/>
    <w:rsid w:val="2F9B467C"/>
    <w:rsid w:val="2F9B512F"/>
    <w:rsid w:val="2F9B531A"/>
    <w:rsid w:val="2F9B6BBA"/>
    <w:rsid w:val="2F9C21A2"/>
    <w:rsid w:val="2F9C2DF8"/>
    <w:rsid w:val="2F9C5AF8"/>
    <w:rsid w:val="2F9C6646"/>
    <w:rsid w:val="2F9D4288"/>
    <w:rsid w:val="2F9D4CE4"/>
    <w:rsid w:val="2F9D5718"/>
    <w:rsid w:val="2F9D5C1A"/>
    <w:rsid w:val="2F9E23BE"/>
    <w:rsid w:val="2F9E416C"/>
    <w:rsid w:val="2F9E5F1A"/>
    <w:rsid w:val="2F9E6EBB"/>
    <w:rsid w:val="2F9F017B"/>
    <w:rsid w:val="2F9F4747"/>
    <w:rsid w:val="2FA01DDE"/>
    <w:rsid w:val="2FA0290D"/>
    <w:rsid w:val="2FA06136"/>
    <w:rsid w:val="2FA12725"/>
    <w:rsid w:val="2FA1787C"/>
    <w:rsid w:val="2FA200FA"/>
    <w:rsid w:val="2FA2183B"/>
    <w:rsid w:val="2FA21EAE"/>
    <w:rsid w:val="2FA23C5C"/>
    <w:rsid w:val="2FA2734C"/>
    <w:rsid w:val="2FA31782"/>
    <w:rsid w:val="2FA35058"/>
    <w:rsid w:val="2FA373A6"/>
    <w:rsid w:val="2FA42A1A"/>
    <w:rsid w:val="2FA42F24"/>
    <w:rsid w:val="2FA5374C"/>
    <w:rsid w:val="2FA554FB"/>
    <w:rsid w:val="2FA572A9"/>
    <w:rsid w:val="2FA624B9"/>
    <w:rsid w:val="2FA63021"/>
    <w:rsid w:val="2FA63873"/>
    <w:rsid w:val="2FA7172F"/>
    <w:rsid w:val="2FA76AB4"/>
    <w:rsid w:val="2FA7723C"/>
    <w:rsid w:val="2FA774C5"/>
    <w:rsid w:val="2FA8323D"/>
    <w:rsid w:val="2FA8482C"/>
    <w:rsid w:val="2FA869C9"/>
    <w:rsid w:val="2FA86D99"/>
    <w:rsid w:val="2FA91DF7"/>
    <w:rsid w:val="2FA93205"/>
    <w:rsid w:val="2FA953FC"/>
    <w:rsid w:val="2FAA3A28"/>
    <w:rsid w:val="2FAB145D"/>
    <w:rsid w:val="2FAB3251"/>
    <w:rsid w:val="2FAC28ED"/>
    <w:rsid w:val="2FAC3964"/>
    <w:rsid w:val="2FAC4ADB"/>
    <w:rsid w:val="2FAC5F1A"/>
    <w:rsid w:val="2FAC7D81"/>
    <w:rsid w:val="2FAD0853"/>
    <w:rsid w:val="2FAD4EC0"/>
    <w:rsid w:val="2FAE7DDE"/>
    <w:rsid w:val="2FAF1207"/>
    <w:rsid w:val="2FAF493E"/>
    <w:rsid w:val="2FAF6B4C"/>
    <w:rsid w:val="2FAF7B4B"/>
    <w:rsid w:val="2FB026FE"/>
    <w:rsid w:val="2FB02E6C"/>
    <w:rsid w:val="2FB03FCB"/>
    <w:rsid w:val="2FB04AF0"/>
    <w:rsid w:val="2FB0511C"/>
    <w:rsid w:val="2FB052CF"/>
    <w:rsid w:val="2FB10A68"/>
    <w:rsid w:val="2FB120F1"/>
    <w:rsid w:val="2FB12B1B"/>
    <w:rsid w:val="2FB13E9F"/>
    <w:rsid w:val="2FB15C4D"/>
    <w:rsid w:val="2FB219C5"/>
    <w:rsid w:val="2FB22B40"/>
    <w:rsid w:val="2FB2501E"/>
    <w:rsid w:val="2FB27C17"/>
    <w:rsid w:val="2FB308E2"/>
    <w:rsid w:val="2FB3107F"/>
    <w:rsid w:val="2FB40ACE"/>
    <w:rsid w:val="2FB41BE1"/>
    <w:rsid w:val="2FB433D1"/>
    <w:rsid w:val="2FB43990"/>
    <w:rsid w:val="2FB46BA8"/>
    <w:rsid w:val="2FB5399F"/>
    <w:rsid w:val="2FB55799"/>
    <w:rsid w:val="2FB614B6"/>
    <w:rsid w:val="2FB63264"/>
    <w:rsid w:val="2FB66570"/>
    <w:rsid w:val="2FB70D84"/>
    <w:rsid w:val="2FB70E90"/>
    <w:rsid w:val="2FB7522E"/>
    <w:rsid w:val="2FB7670C"/>
    <w:rsid w:val="2FB76FDC"/>
    <w:rsid w:val="2FB77156"/>
    <w:rsid w:val="2FB77A00"/>
    <w:rsid w:val="2FB90FA6"/>
    <w:rsid w:val="2FB9108A"/>
    <w:rsid w:val="2FB92D54"/>
    <w:rsid w:val="2FB95143"/>
    <w:rsid w:val="2FB971F8"/>
    <w:rsid w:val="2FB97322"/>
    <w:rsid w:val="2FBA708E"/>
    <w:rsid w:val="2FBB1041"/>
    <w:rsid w:val="2FBB34B6"/>
    <w:rsid w:val="2FBB4753"/>
    <w:rsid w:val="2FBB56B7"/>
    <w:rsid w:val="2FBB5DEF"/>
    <w:rsid w:val="2FBB6ACC"/>
    <w:rsid w:val="2FBB7811"/>
    <w:rsid w:val="2FBC0969"/>
    <w:rsid w:val="2FBC1FAA"/>
    <w:rsid w:val="2FBC3FF5"/>
    <w:rsid w:val="2FBC45F2"/>
    <w:rsid w:val="2FBD0A96"/>
    <w:rsid w:val="2FBD1B8F"/>
    <w:rsid w:val="2FBD2DCF"/>
    <w:rsid w:val="2FBD4D02"/>
    <w:rsid w:val="2FBD5011"/>
    <w:rsid w:val="2FBE1904"/>
    <w:rsid w:val="2FBE3786"/>
    <w:rsid w:val="2FBE480E"/>
    <w:rsid w:val="2FBE65BC"/>
    <w:rsid w:val="2FBF7622"/>
    <w:rsid w:val="2FBF7A81"/>
    <w:rsid w:val="2FC00EDD"/>
    <w:rsid w:val="2FC01099"/>
    <w:rsid w:val="2FC02334"/>
    <w:rsid w:val="2FC040E2"/>
    <w:rsid w:val="2FC05A47"/>
    <w:rsid w:val="2FC11C09"/>
    <w:rsid w:val="2FC133A7"/>
    <w:rsid w:val="2FC17E5A"/>
    <w:rsid w:val="2FC2308D"/>
    <w:rsid w:val="2FC242FE"/>
    <w:rsid w:val="2FC276E4"/>
    <w:rsid w:val="2FC31E25"/>
    <w:rsid w:val="2FC327FA"/>
    <w:rsid w:val="2FC33BD3"/>
    <w:rsid w:val="2FC411DA"/>
    <w:rsid w:val="2FC47F05"/>
    <w:rsid w:val="2FC554AA"/>
    <w:rsid w:val="2FC666DF"/>
    <w:rsid w:val="2FC70985"/>
    <w:rsid w:val="2FC71915"/>
    <w:rsid w:val="2FC736C3"/>
    <w:rsid w:val="2FC75471"/>
    <w:rsid w:val="2FC811E9"/>
    <w:rsid w:val="2FC82636"/>
    <w:rsid w:val="2FC82F97"/>
    <w:rsid w:val="2FC871FE"/>
    <w:rsid w:val="2FC8743B"/>
    <w:rsid w:val="2FC949E6"/>
    <w:rsid w:val="2FC9715B"/>
    <w:rsid w:val="2FCA1045"/>
    <w:rsid w:val="2FCA31B3"/>
    <w:rsid w:val="2FCA3A18"/>
    <w:rsid w:val="2FCA3DB4"/>
    <w:rsid w:val="2FCA46BE"/>
    <w:rsid w:val="2FCA4F61"/>
    <w:rsid w:val="2FCB18CD"/>
    <w:rsid w:val="2FCB7306"/>
    <w:rsid w:val="2FCC0FEE"/>
    <w:rsid w:val="2FCC5A99"/>
    <w:rsid w:val="2FCC5C90"/>
    <w:rsid w:val="2FCC6F2B"/>
    <w:rsid w:val="2FCD47F7"/>
    <w:rsid w:val="2FCE0BB1"/>
    <w:rsid w:val="2FCE2CA3"/>
    <w:rsid w:val="2FCE5740"/>
    <w:rsid w:val="2FCE5C87"/>
    <w:rsid w:val="2FCE6E46"/>
    <w:rsid w:val="2FCE6F4A"/>
    <w:rsid w:val="2FCE6FF7"/>
    <w:rsid w:val="2FCF07C9"/>
    <w:rsid w:val="2FCF2577"/>
    <w:rsid w:val="2FCF4325"/>
    <w:rsid w:val="2FD01CE8"/>
    <w:rsid w:val="2FD02AB0"/>
    <w:rsid w:val="2FD03B33"/>
    <w:rsid w:val="2FD048BC"/>
    <w:rsid w:val="2FD065E6"/>
    <w:rsid w:val="2FD06DBD"/>
    <w:rsid w:val="2FD1009E"/>
    <w:rsid w:val="2FD23E16"/>
    <w:rsid w:val="2FD261BC"/>
    <w:rsid w:val="2FD271D9"/>
    <w:rsid w:val="2FD302BA"/>
    <w:rsid w:val="2FD30F63"/>
    <w:rsid w:val="2FD31004"/>
    <w:rsid w:val="2FD344C4"/>
    <w:rsid w:val="2FD41AF9"/>
    <w:rsid w:val="2FD453BF"/>
    <w:rsid w:val="2FD508DF"/>
    <w:rsid w:val="2FD543D7"/>
    <w:rsid w:val="2FD628F4"/>
    <w:rsid w:val="2FD63906"/>
    <w:rsid w:val="2FD64419"/>
    <w:rsid w:val="2FD656B4"/>
    <w:rsid w:val="2FD67D46"/>
    <w:rsid w:val="2FD7047A"/>
    <w:rsid w:val="2FD7073E"/>
    <w:rsid w:val="2FD765F4"/>
    <w:rsid w:val="2FD832CE"/>
    <w:rsid w:val="2FD858D0"/>
    <w:rsid w:val="2FD871F5"/>
    <w:rsid w:val="2FD90B27"/>
    <w:rsid w:val="2FD91648"/>
    <w:rsid w:val="2FD94FA4"/>
    <w:rsid w:val="2FD9510C"/>
    <w:rsid w:val="2FD951A4"/>
    <w:rsid w:val="2FD96870"/>
    <w:rsid w:val="2FDB0BD4"/>
    <w:rsid w:val="2FDB0F1C"/>
    <w:rsid w:val="2FDB4595"/>
    <w:rsid w:val="2FDB716E"/>
    <w:rsid w:val="2FDC2E5C"/>
    <w:rsid w:val="2FDC4E1E"/>
    <w:rsid w:val="2FDC6A42"/>
    <w:rsid w:val="2FDD2EE6"/>
    <w:rsid w:val="2FDD4C94"/>
    <w:rsid w:val="2FDD5843"/>
    <w:rsid w:val="2FDD6C14"/>
    <w:rsid w:val="2FDE0A0C"/>
    <w:rsid w:val="2FDE6505"/>
    <w:rsid w:val="2FDE6C5E"/>
    <w:rsid w:val="2FDF001D"/>
    <w:rsid w:val="2FDF1CE5"/>
    <w:rsid w:val="2FDF3E52"/>
    <w:rsid w:val="2FE01942"/>
    <w:rsid w:val="2FE029D7"/>
    <w:rsid w:val="2FE04785"/>
    <w:rsid w:val="2FE0712E"/>
    <w:rsid w:val="2FE1152C"/>
    <w:rsid w:val="2FE12C6D"/>
    <w:rsid w:val="2FE13CD3"/>
    <w:rsid w:val="2FE14059"/>
    <w:rsid w:val="2FE204FD"/>
    <w:rsid w:val="2FE210F8"/>
    <w:rsid w:val="2FE222AB"/>
    <w:rsid w:val="2FE22CAA"/>
    <w:rsid w:val="2FE30682"/>
    <w:rsid w:val="2FE36023"/>
    <w:rsid w:val="2FE37DD1"/>
    <w:rsid w:val="2FE415EE"/>
    <w:rsid w:val="2FE41FC2"/>
    <w:rsid w:val="2FE42DDF"/>
    <w:rsid w:val="2FE473DF"/>
    <w:rsid w:val="2FE53B49"/>
    <w:rsid w:val="2FE56295"/>
    <w:rsid w:val="2FE60028"/>
    <w:rsid w:val="2FE60312"/>
    <w:rsid w:val="2FE63F0E"/>
    <w:rsid w:val="2FE64460"/>
    <w:rsid w:val="2FE6578C"/>
    <w:rsid w:val="2FE73D65"/>
    <w:rsid w:val="2FE7539E"/>
    <w:rsid w:val="2FE75B13"/>
    <w:rsid w:val="2FE77F6F"/>
    <w:rsid w:val="2FE813FF"/>
    <w:rsid w:val="2FE83639"/>
    <w:rsid w:val="2FE8385C"/>
    <w:rsid w:val="2FE839E1"/>
    <w:rsid w:val="2FE84CC2"/>
    <w:rsid w:val="2FE853E7"/>
    <w:rsid w:val="2FE861CD"/>
    <w:rsid w:val="2FE8680B"/>
    <w:rsid w:val="2FE8682E"/>
    <w:rsid w:val="2FE8787E"/>
    <w:rsid w:val="2FE87BFB"/>
    <w:rsid w:val="2FE91111"/>
    <w:rsid w:val="2FE9188B"/>
    <w:rsid w:val="2FE9288F"/>
    <w:rsid w:val="2FEA07D6"/>
    <w:rsid w:val="2FEA087F"/>
    <w:rsid w:val="2FEA115F"/>
    <w:rsid w:val="2FEA4AB0"/>
    <w:rsid w:val="2FEA5603"/>
    <w:rsid w:val="2FEA73B1"/>
    <w:rsid w:val="2FEB51AF"/>
    <w:rsid w:val="2FEB68F0"/>
    <w:rsid w:val="2FEC30FA"/>
    <w:rsid w:val="2FEC3129"/>
    <w:rsid w:val="2FEC4ED7"/>
    <w:rsid w:val="2FEC58BD"/>
    <w:rsid w:val="2FEC68B9"/>
    <w:rsid w:val="2FEC7D80"/>
    <w:rsid w:val="2FED077B"/>
    <w:rsid w:val="2FED0C50"/>
    <w:rsid w:val="2FED29FE"/>
    <w:rsid w:val="2FED31AB"/>
    <w:rsid w:val="2FED611D"/>
    <w:rsid w:val="2FEE0FE6"/>
    <w:rsid w:val="2FEE33B0"/>
    <w:rsid w:val="2FEE50F3"/>
    <w:rsid w:val="2FEE5271"/>
    <w:rsid w:val="2FEE7B11"/>
    <w:rsid w:val="2FEF0095"/>
    <w:rsid w:val="2FEF145B"/>
    <w:rsid w:val="2FEF2C1A"/>
    <w:rsid w:val="2FEF6701"/>
    <w:rsid w:val="2FEF6776"/>
    <w:rsid w:val="2FEF69BC"/>
    <w:rsid w:val="2FEF7C22"/>
    <w:rsid w:val="2FF03C3C"/>
    <w:rsid w:val="2FF04AEC"/>
    <w:rsid w:val="2FF11021"/>
    <w:rsid w:val="2FF124EE"/>
    <w:rsid w:val="2FF1320C"/>
    <w:rsid w:val="2FF16992"/>
    <w:rsid w:val="2FF23E5E"/>
    <w:rsid w:val="2FF24C30"/>
    <w:rsid w:val="2FF25082"/>
    <w:rsid w:val="2FF2567D"/>
    <w:rsid w:val="2FF26266"/>
    <w:rsid w:val="2FF3245E"/>
    <w:rsid w:val="2FF3270A"/>
    <w:rsid w:val="2FF32992"/>
    <w:rsid w:val="2FF344B8"/>
    <w:rsid w:val="2FF355C0"/>
    <w:rsid w:val="2FF40230"/>
    <w:rsid w:val="2FF43D8C"/>
    <w:rsid w:val="2FF476CA"/>
    <w:rsid w:val="2FF50A86"/>
    <w:rsid w:val="2FF54FED"/>
    <w:rsid w:val="2FF56FD6"/>
    <w:rsid w:val="2FF57B99"/>
    <w:rsid w:val="2FF61A67"/>
    <w:rsid w:val="2FF63FA8"/>
    <w:rsid w:val="2FF7387C"/>
    <w:rsid w:val="2FF8112D"/>
    <w:rsid w:val="2FF81ACE"/>
    <w:rsid w:val="2FF87BA6"/>
    <w:rsid w:val="2FF91FEA"/>
    <w:rsid w:val="2FF95846"/>
    <w:rsid w:val="2FF975F4"/>
    <w:rsid w:val="2FFB27F3"/>
    <w:rsid w:val="2FFB336C"/>
    <w:rsid w:val="2FFB35CD"/>
    <w:rsid w:val="2FFB511A"/>
    <w:rsid w:val="2FFD2195"/>
    <w:rsid w:val="2FFD5337"/>
    <w:rsid w:val="2FFD70E5"/>
    <w:rsid w:val="2FFD7705"/>
    <w:rsid w:val="2FFD7CE8"/>
    <w:rsid w:val="2FFE103D"/>
    <w:rsid w:val="2FFE3624"/>
    <w:rsid w:val="2FFF7A50"/>
    <w:rsid w:val="30003C42"/>
    <w:rsid w:val="30004F88"/>
    <w:rsid w:val="30006BD5"/>
    <w:rsid w:val="30006F97"/>
    <w:rsid w:val="30007502"/>
    <w:rsid w:val="30007685"/>
    <w:rsid w:val="30010B15"/>
    <w:rsid w:val="300136E6"/>
    <w:rsid w:val="30021FA5"/>
    <w:rsid w:val="30024F9F"/>
    <w:rsid w:val="300258D5"/>
    <w:rsid w:val="300264A9"/>
    <w:rsid w:val="300316CB"/>
    <w:rsid w:val="30032221"/>
    <w:rsid w:val="30035E73"/>
    <w:rsid w:val="30036006"/>
    <w:rsid w:val="30040F43"/>
    <w:rsid w:val="30043D2C"/>
    <w:rsid w:val="300466C5"/>
    <w:rsid w:val="30046F5B"/>
    <w:rsid w:val="30047496"/>
    <w:rsid w:val="30050926"/>
    <w:rsid w:val="30051EC4"/>
    <w:rsid w:val="3005243D"/>
    <w:rsid w:val="30053A1A"/>
    <w:rsid w:val="300541EB"/>
    <w:rsid w:val="30054E44"/>
    <w:rsid w:val="30067AF1"/>
    <w:rsid w:val="30071D11"/>
    <w:rsid w:val="30073ABF"/>
    <w:rsid w:val="30075BF1"/>
    <w:rsid w:val="30077F63"/>
    <w:rsid w:val="30083F09"/>
    <w:rsid w:val="30087837"/>
    <w:rsid w:val="30090737"/>
    <w:rsid w:val="30091E78"/>
    <w:rsid w:val="300A1801"/>
    <w:rsid w:val="300A35B0"/>
    <w:rsid w:val="300A428E"/>
    <w:rsid w:val="300A4DAC"/>
    <w:rsid w:val="300A6A35"/>
    <w:rsid w:val="300A7A53"/>
    <w:rsid w:val="300B0609"/>
    <w:rsid w:val="300B196B"/>
    <w:rsid w:val="300B58AE"/>
    <w:rsid w:val="300B7231"/>
    <w:rsid w:val="300C07F9"/>
    <w:rsid w:val="300C5C28"/>
    <w:rsid w:val="300C7328"/>
    <w:rsid w:val="300D19BC"/>
    <w:rsid w:val="300D4E4E"/>
    <w:rsid w:val="300E12F2"/>
    <w:rsid w:val="300E1376"/>
    <w:rsid w:val="300E213C"/>
    <w:rsid w:val="300E30A0"/>
    <w:rsid w:val="300E3741"/>
    <w:rsid w:val="300E39C6"/>
    <w:rsid w:val="300F45A9"/>
    <w:rsid w:val="300F6E18"/>
    <w:rsid w:val="301022DE"/>
    <w:rsid w:val="3011282A"/>
    <w:rsid w:val="30112B90"/>
    <w:rsid w:val="30113625"/>
    <w:rsid w:val="3011493E"/>
    <w:rsid w:val="30114E20"/>
    <w:rsid w:val="3011704E"/>
    <w:rsid w:val="301211E5"/>
    <w:rsid w:val="30121A9A"/>
    <w:rsid w:val="30122F2A"/>
    <w:rsid w:val="30124150"/>
    <w:rsid w:val="30130E0C"/>
    <w:rsid w:val="30131636"/>
    <w:rsid w:val="30136908"/>
    <w:rsid w:val="30137621"/>
    <w:rsid w:val="301442E4"/>
    <w:rsid w:val="30146F8B"/>
    <w:rsid w:val="3015041B"/>
    <w:rsid w:val="30152356"/>
    <w:rsid w:val="30152D2F"/>
    <w:rsid w:val="301601A6"/>
    <w:rsid w:val="301611E7"/>
    <w:rsid w:val="30161F54"/>
    <w:rsid w:val="30164956"/>
    <w:rsid w:val="301654E2"/>
    <w:rsid w:val="301663F8"/>
    <w:rsid w:val="30171027"/>
    <w:rsid w:val="3018166B"/>
    <w:rsid w:val="30182170"/>
    <w:rsid w:val="30182785"/>
    <w:rsid w:val="30185CCC"/>
    <w:rsid w:val="30185F7A"/>
    <w:rsid w:val="301902EB"/>
    <w:rsid w:val="3019196D"/>
    <w:rsid w:val="30191A45"/>
    <w:rsid w:val="30191FAD"/>
    <w:rsid w:val="301967DF"/>
    <w:rsid w:val="301A4BA2"/>
    <w:rsid w:val="301A4F53"/>
    <w:rsid w:val="301A6566"/>
    <w:rsid w:val="301B3A0F"/>
    <w:rsid w:val="301B4AA7"/>
    <w:rsid w:val="301B62DE"/>
    <w:rsid w:val="301B756B"/>
    <w:rsid w:val="301C22D1"/>
    <w:rsid w:val="301C48FC"/>
    <w:rsid w:val="301C4A53"/>
    <w:rsid w:val="301D1535"/>
    <w:rsid w:val="301D177E"/>
    <w:rsid w:val="301D5D15"/>
    <w:rsid w:val="301D74C3"/>
    <w:rsid w:val="301E2565"/>
    <w:rsid w:val="301E2C0E"/>
    <w:rsid w:val="301E3E6C"/>
    <w:rsid w:val="301E705B"/>
    <w:rsid w:val="301E73EE"/>
    <w:rsid w:val="301F2B6C"/>
    <w:rsid w:val="301F34FF"/>
    <w:rsid w:val="301F4ACC"/>
    <w:rsid w:val="301F4BCA"/>
    <w:rsid w:val="301F52AD"/>
    <w:rsid w:val="30201025"/>
    <w:rsid w:val="30202DD3"/>
    <w:rsid w:val="30204B81"/>
    <w:rsid w:val="302100FF"/>
    <w:rsid w:val="302169BE"/>
    <w:rsid w:val="302208F9"/>
    <w:rsid w:val="30222A1F"/>
    <w:rsid w:val="30224D9D"/>
    <w:rsid w:val="30225BFB"/>
    <w:rsid w:val="30226B4B"/>
    <w:rsid w:val="30227655"/>
    <w:rsid w:val="30235CC0"/>
    <w:rsid w:val="30240B15"/>
    <w:rsid w:val="302428C3"/>
    <w:rsid w:val="30244283"/>
    <w:rsid w:val="30246A80"/>
    <w:rsid w:val="30247567"/>
    <w:rsid w:val="302503E9"/>
    <w:rsid w:val="302503F6"/>
    <w:rsid w:val="30253216"/>
    <w:rsid w:val="3025488D"/>
    <w:rsid w:val="3025495C"/>
    <w:rsid w:val="30255E32"/>
    <w:rsid w:val="3025663B"/>
    <w:rsid w:val="30257F10"/>
    <w:rsid w:val="30261F51"/>
    <w:rsid w:val="302622C2"/>
    <w:rsid w:val="30266946"/>
    <w:rsid w:val="302724D1"/>
    <w:rsid w:val="30273B58"/>
    <w:rsid w:val="30274161"/>
    <w:rsid w:val="30275090"/>
    <w:rsid w:val="30276672"/>
    <w:rsid w:val="3027758C"/>
    <w:rsid w:val="30283CC0"/>
    <w:rsid w:val="30286B25"/>
    <w:rsid w:val="30291B42"/>
    <w:rsid w:val="30297D21"/>
    <w:rsid w:val="30297EDA"/>
    <w:rsid w:val="302A1EA4"/>
    <w:rsid w:val="302A28F2"/>
    <w:rsid w:val="302A371E"/>
    <w:rsid w:val="302A3C52"/>
    <w:rsid w:val="302A5A00"/>
    <w:rsid w:val="302A5E34"/>
    <w:rsid w:val="302A7D1D"/>
    <w:rsid w:val="302C3AD1"/>
    <w:rsid w:val="302C4058"/>
    <w:rsid w:val="302C41CA"/>
    <w:rsid w:val="302C5656"/>
    <w:rsid w:val="302D1EDF"/>
    <w:rsid w:val="302D7B32"/>
    <w:rsid w:val="302E0FC2"/>
    <w:rsid w:val="302E2B6E"/>
    <w:rsid w:val="302E54F0"/>
    <w:rsid w:val="302E7FB3"/>
    <w:rsid w:val="302F1268"/>
    <w:rsid w:val="302F2452"/>
    <w:rsid w:val="302F3016"/>
    <w:rsid w:val="302F3B93"/>
    <w:rsid w:val="302F43FD"/>
    <w:rsid w:val="302F5AFE"/>
    <w:rsid w:val="30307212"/>
    <w:rsid w:val="303074BA"/>
    <w:rsid w:val="30314FE0"/>
    <w:rsid w:val="303164B3"/>
    <w:rsid w:val="30316D8E"/>
    <w:rsid w:val="303213D3"/>
    <w:rsid w:val="30327C90"/>
    <w:rsid w:val="30330DD3"/>
    <w:rsid w:val="30330FFC"/>
    <w:rsid w:val="30332B06"/>
    <w:rsid w:val="30336FAA"/>
    <w:rsid w:val="3034062C"/>
    <w:rsid w:val="30340BA6"/>
    <w:rsid w:val="30342640"/>
    <w:rsid w:val="3034687E"/>
    <w:rsid w:val="30351A70"/>
    <w:rsid w:val="303544CA"/>
    <w:rsid w:val="30354A4A"/>
    <w:rsid w:val="30354AD0"/>
    <w:rsid w:val="3036076D"/>
    <w:rsid w:val="30360848"/>
    <w:rsid w:val="303625F7"/>
    <w:rsid w:val="303645AE"/>
    <w:rsid w:val="3037191F"/>
    <w:rsid w:val="3038011D"/>
    <w:rsid w:val="30383FC7"/>
    <w:rsid w:val="303845C1"/>
    <w:rsid w:val="30384ACA"/>
    <w:rsid w:val="30384C45"/>
    <w:rsid w:val="3038603A"/>
    <w:rsid w:val="30386BDF"/>
    <w:rsid w:val="30393C2C"/>
    <w:rsid w:val="30393E95"/>
    <w:rsid w:val="30395E5A"/>
    <w:rsid w:val="303960D5"/>
    <w:rsid w:val="30397816"/>
    <w:rsid w:val="303A0B22"/>
    <w:rsid w:val="303A1918"/>
    <w:rsid w:val="303A20E7"/>
    <w:rsid w:val="303A52C1"/>
    <w:rsid w:val="303B0A63"/>
    <w:rsid w:val="303B19BB"/>
    <w:rsid w:val="303B2136"/>
    <w:rsid w:val="303B5E5F"/>
    <w:rsid w:val="303C4D07"/>
    <w:rsid w:val="303D075C"/>
    <w:rsid w:val="303D1BD7"/>
    <w:rsid w:val="303D3985"/>
    <w:rsid w:val="303D5733"/>
    <w:rsid w:val="303E1027"/>
    <w:rsid w:val="303E14AB"/>
    <w:rsid w:val="303E475E"/>
    <w:rsid w:val="303E6BAE"/>
    <w:rsid w:val="303F276E"/>
    <w:rsid w:val="303F698B"/>
    <w:rsid w:val="303F76FD"/>
    <w:rsid w:val="30400110"/>
    <w:rsid w:val="30403475"/>
    <w:rsid w:val="30405223"/>
    <w:rsid w:val="3040652C"/>
    <w:rsid w:val="30406FD1"/>
    <w:rsid w:val="30417BB0"/>
    <w:rsid w:val="30422D49"/>
    <w:rsid w:val="304308C8"/>
    <w:rsid w:val="30433499"/>
    <w:rsid w:val="30434DAB"/>
    <w:rsid w:val="30437CE4"/>
    <w:rsid w:val="30442252"/>
    <w:rsid w:val="30444D13"/>
    <w:rsid w:val="30446915"/>
    <w:rsid w:val="304502E8"/>
    <w:rsid w:val="30450EC9"/>
    <w:rsid w:val="304545E8"/>
    <w:rsid w:val="30454BCD"/>
    <w:rsid w:val="30467249"/>
    <w:rsid w:val="304732AA"/>
    <w:rsid w:val="304738A2"/>
    <w:rsid w:val="30481ABA"/>
    <w:rsid w:val="30487EF0"/>
    <w:rsid w:val="30495877"/>
    <w:rsid w:val="304A4118"/>
    <w:rsid w:val="304A570C"/>
    <w:rsid w:val="304A7E50"/>
    <w:rsid w:val="304B0687"/>
    <w:rsid w:val="304B42F4"/>
    <w:rsid w:val="304B5A09"/>
    <w:rsid w:val="304B79C9"/>
    <w:rsid w:val="304C1E1A"/>
    <w:rsid w:val="304C3BC8"/>
    <w:rsid w:val="304C544B"/>
    <w:rsid w:val="304D2759"/>
    <w:rsid w:val="304E05AC"/>
    <w:rsid w:val="304E3156"/>
    <w:rsid w:val="304E7940"/>
    <w:rsid w:val="304F36B8"/>
    <w:rsid w:val="304F5466"/>
    <w:rsid w:val="304F6E45"/>
    <w:rsid w:val="3050190A"/>
    <w:rsid w:val="30502ECC"/>
    <w:rsid w:val="305111DE"/>
    <w:rsid w:val="30512D18"/>
    <w:rsid w:val="30513AB6"/>
    <w:rsid w:val="30515682"/>
    <w:rsid w:val="30517430"/>
    <w:rsid w:val="30526F2D"/>
    <w:rsid w:val="30527354"/>
    <w:rsid w:val="30532F8E"/>
    <w:rsid w:val="30534F57"/>
    <w:rsid w:val="30536D05"/>
    <w:rsid w:val="30542A7D"/>
    <w:rsid w:val="3054441E"/>
    <w:rsid w:val="30550CCF"/>
    <w:rsid w:val="30552854"/>
    <w:rsid w:val="30556268"/>
    <w:rsid w:val="30556F21"/>
    <w:rsid w:val="30564A47"/>
    <w:rsid w:val="30566D3E"/>
    <w:rsid w:val="30571C89"/>
    <w:rsid w:val="30580BC9"/>
    <w:rsid w:val="3058256D"/>
    <w:rsid w:val="30583B66"/>
    <w:rsid w:val="3058422F"/>
    <w:rsid w:val="305853C6"/>
    <w:rsid w:val="30585A18"/>
    <w:rsid w:val="30586A11"/>
    <w:rsid w:val="30590093"/>
    <w:rsid w:val="305934E7"/>
    <w:rsid w:val="305956BF"/>
    <w:rsid w:val="30596F34"/>
    <w:rsid w:val="305A0290"/>
    <w:rsid w:val="305A24F9"/>
    <w:rsid w:val="305A4537"/>
    <w:rsid w:val="305A4ADC"/>
    <w:rsid w:val="305A62E5"/>
    <w:rsid w:val="305A6B4F"/>
    <w:rsid w:val="305B01E7"/>
    <w:rsid w:val="305B02AF"/>
    <w:rsid w:val="305B1855"/>
    <w:rsid w:val="305B205D"/>
    <w:rsid w:val="305C2AA5"/>
    <w:rsid w:val="305C5701"/>
    <w:rsid w:val="305D1227"/>
    <w:rsid w:val="305D2645"/>
    <w:rsid w:val="305D4027"/>
    <w:rsid w:val="305D5DD5"/>
    <w:rsid w:val="305D6B15"/>
    <w:rsid w:val="305E00A1"/>
    <w:rsid w:val="305E7F1F"/>
    <w:rsid w:val="305F1531"/>
    <w:rsid w:val="305F1B4D"/>
    <w:rsid w:val="305F3787"/>
    <w:rsid w:val="305F38FB"/>
    <w:rsid w:val="305F3D4C"/>
    <w:rsid w:val="305F7D9F"/>
    <w:rsid w:val="30601421"/>
    <w:rsid w:val="30601672"/>
    <w:rsid w:val="306058C5"/>
    <w:rsid w:val="30605A9E"/>
    <w:rsid w:val="30607673"/>
    <w:rsid w:val="3061276B"/>
    <w:rsid w:val="30615592"/>
    <w:rsid w:val="30616357"/>
    <w:rsid w:val="306233EC"/>
    <w:rsid w:val="3062519A"/>
    <w:rsid w:val="306252E1"/>
    <w:rsid w:val="30625311"/>
    <w:rsid w:val="30626253"/>
    <w:rsid w:val="306338CD"/>
    <w:rsid w:val="3064020D"/>
    <w:rsid w:val="30640F12"/>
    <w:rsid w:val="306512C1"/>
    <w:rsid w:val="306528A6"/>
    <w:rsid w:val="30653C91"/>
    <w:rsid w:val="306553A3"/>
    <w:rsid w:val="30662EDC"/>
    <w:rsid w:val="3066326A"/>
    <w:rsid w:val="3066568F"/>
    <w:rsid w:val="30665FF5"/>
    <w:rsid w:val="306660A8"/>
    <w:rsid w:val="306719A5"/>
    <w:rsid w:val="306727B0"/>
    <w:rsid w:val="306733DE"/>
    <w:rsid w:val="306737BB"/>
    <w:rsid w:val="3067445F"/>
    <w:rsid w:val="3067619B"/>
    <w:rsid w:val="30676C54"/>
    <w:rsid w:val="3068609B"/>
    <w:rsid w:val="30686944"/>
    <w:rsid w:val="30690904"/>
    <w:rsid w:val="306942EA"/>
    <w:rsid w:val="30695CE6"/>
    <w:rsid w:val="30696528"/>
    <w:rsid w:val="306A22A0"/>
    <w:rsid w:val="306A5A3E"/>
    <w:rsid w:val="306B3D3A"/>
    <w:rsid w:val="306B5D00"/>
    <w:rsid w:val="306B7271"/>
    <w:rsid w:val="306B7868"/>
    <w:rsid w:val="306B7990"/>
    <w:rsid w:val="306C426A"/>
    <w:rsid w:val="306C6018"/>
    <w:rsid w:val="306D0456"/>
    <w:rsid w:val="306D1BF1"/>
    <w:rsid w:val="306D4FAB"/>
    <w:rsid w:val="306D645B"/>
    <w:rsid w:val="306D65D3"/>
    <w:rsid w:val="306E1D90"/>
    <w:rsid w:val="306E2069"/>
    <w:rsid w:val="306E3B3E"/>
    <w:rsid w:val="306F34BD"/>
    <w:rsid w:val="306F78B6"/>
    <w:rsid w:val="30703D5A"/>
    <w:rsid w:val="30705B08"/>
    <w:rsid w:val="3071078F"/>
    <w:rsid w:val="307114CA"/>
    <w:rsid w:val="307134B9"/>
    <w:rsid w:val="3071362F"/>
    <w:rsid w:val="307139F2"/>
    <w:rsid w:val="30714C99"/>
    <w:rsid w:val="307153DD"/>
    <w:rsid w:val="30715904"/>
    <w:rsid w:val="30717AD3"/>
    <w:rsid w:val="30720A29"/>
    <w:rsid w:val="30731155"/>
    <w:rsid w:val="30734E92"/>
    <w:rsid w:val="307355F9"/>
    <w:rsid w:val="30735887"/>
    <w:rsid w:val="307373A7"/>
    <w:rsid w:val="307402F7"/>
    <w:rsid w:val="307422C7"/>
    <w:rsid w:val="3074433B"/>
    <w:rsid w:val="30744ECD"/>
    <w:rsid w:val="30751371"/>
    <w:rsid w:val="3075311F"/>
    <w:rsid w:val="307551E0"/>
    <w:rsid w:val="30756D88"/>
    <w:rsid w:val="30760C45"/>
    <w:rsid w:val="307656CC"/>
    <w:rsid w:val="30766E97"/>
    <w:rsid w:val="3076765A"/>
    <w:rsid w:val="30767841"/>
    <w:rsid w:val="307760C6"/>
    <w:rsid w:val="307777B8"/>
    <w:rsid w:val="30782C0F"/>
    <w:rsid w:val="30791649"/>
    <w:rsid w:val="307920D8"/>
    <w:rsid w:val="307A2038"/>
    <w:rsid w:val="307A24E3"/>
    <w:rsid w:val="307A6987"/>
    <w:rsid w:val="307B1892"/>
    <w:rsid w:val="307B4F1F"/>
    <w:rsid w:val="307B5D17"/>
    <w:rsid w:val="307B5F9A"/>
    <w:rsid w:val="307B625B"/>
    <w:rsid w:val="307B6561"/>
    <w:rsid w:val="307C050E"/>
    <w:rsid w:val="307C26FF"/>
    <w:rsid w:val="307C3CAC"/>
    <w:rsid w:val="307D28C4"/>
    <w:rsid w:val="307D4255"/>
    <w:rsid w:val="307D4279"/>
    <w:rsid w:val="307E5F4A"/>
    <w:rsid w:val="307E7AB5"/>
    <w:rsid w:val="307F161F"/>
    <w:rsid w:val="307F20E7"/>
    <w:rsid w:val="307F3835"/>
    <w:rsid w:val="307F3F9D"/>
    <w:rsid w:val="307F5D4C"/>
    <w:rsid w:val="30800A2B"/>
    <w:rsid w:val="30803872"/>
    <w:rsid w:val="308144B3"/>
    <w:rsid w:val="30816709"/>
    <w:rsid w:val="3082085A"/>
    <w:rsid w:val="30823A8E"/>
    <w:rsid w:val="30825A31"/>
    <w:rsid w:val="30846165"/>
    <w:rsid w:val="30847806"/>
    <w:rsid w:val="30847877"/>
    <w:rsid w:val="30850E88"/>
    <w:rsid w:val="308570DA"/>
    <w:rsid w:val="308662BC"/>
    <w:rsid w:val="308710A4"/>
    <w:rsid w:val="30872E52"/>
    <w:rsid w:val="308736B2"/>
    <w:rsid w:val="308928A2"/>
    <w:rsid w:val="30896BCA"/>
    <w:rsid w:val="308A4AF2"/>
    <w:rsid w:val="308A5C2E"/>
    <w:rsid w:val="308B0B94"/>
    <w:rsid w:val="308B46F0"/>
    <w:rsid w:val="308B70BE"/>
    <w:rsid w:val="308C0468"/>
    <w:rsid w:val="308C054E"/>
    <w:rsid w:val="308C3F97"/>
    <w:rsid w:val="308C5E61"/>
    <w:rsid w:val="308C66BA"/>
    <w:rsid w:val="308D19DE"/>
    <w:rsid w:val="308E098F"/>
    <w:rsid w:val="308E2433"/>
    <w:rsid w:val="308E5F8F"/>
    <w:rsid w:val="308F6ECF"/>
    <w:rsid w:val="308F73E4"/>
    <w:rsid w:val="30905E8E"/>
    <w:rsid w:val="309061AB"/>
    <w:rsid w:val="309117EF"/>
    <w:rsid w:val="30912F30"/>
    <w:rsid w:val="30913CD1"/>
    <w:rsid w:val="30915A7F"/>
    <w:rsid w:val="30917D67"/>
    <w:rsid w:val="30922DFD"/>
    <w:rsid w:val="309236A2"/>
    <w:rsid w:val="30923B9B"/>
    <w:rsid w:val="309262E8"/>
    <w:rsid w:val="30930421"/>
    <w:rsid w:val="309317F7"/>
    <w:rsid w:val="3093185E"/>
    <w:rsid w:val="309335A5"/>
    <w:rsid w:val="309402F6"/>
    <w:rsid w:val="30940ED9"/>
    <w:rsid w:val="30946CE0"/>
    <w:rsid w:val="309537C1"/>
    <w:rsid w:val="30953CDE"/>
    <w:rsid w:val="3095452D"/>
    <w:rsid w:val="3095556F"/>
    <w:rsid w:val="30956555"/>
    <w:rsid w:val="30957FD9"/>
    <w:rsid w:val="309612E7"/>
    <w:rsid w:val="30964F3A"/>
    <w:rsid w:val="30971598"/>
    <w:rsid w:val="30973731"/>
    <w:rsid w:val="30975661"/>
    <w:rsid w:val="30977539"/>
    <w:rsid w:val="309775A2"/>
    <w:rsid w:val="309802F4"/>
    <w:rsid w:val="30980BB2"/>
    <w:rsid w:val="30981779"/>
    <w:rsid w:val="30983679"/>
    <w:rsid w:val="3098505F"/>
    <w:rsid w:val="30986E0D"/>
    <w:rsid w:val="30987F2A"/>
    <w:rsid w:val="30990521"/>
    <w:rsid w:val="30990DE3"/>
    <w:rsid w:val="309A0DD7"/>
    <w:rsid w:val="309A2B85"/>
    <w:rsid w:val="309A4933"/>
    <w:rsid w:val="309A5723"/>
    <w:rsid w:val="309B06AC"/>
    <w:rsid w:val="309B555F"/>
    <w:rsid w:val="309B5A02"/>
    <w:rsid w:val="309B6BB3"/>
    <w:rsid w:val="309B6E9C"/>
    <w:rsid w:val="309B7884"/>
    <w:rsid w:val="309B7CE9"/>
    <w:rsid w:val="309C4B4F"/>
    <w:rsid w:val="309C68FD"/>
    <w:rsid w:val="309D14D3"/>
    <w:rsid w:val="309D2676"/>
    <w:rsid w:val="309D4424"/>
    <w:rsid w:val="309D5E04"/>
    <w:rsid w:val="309D614E"/>
    <w:rsid w:val="309D61D2"/>
    <w:rsid w:val="309D6780"/>
    <w:rsid w:val="309E09BE"/>
    <w:rsid w:val="309E0EF3"/>
    <w:rsid w:val="309E21E4"/>
    <w:rsid w:val="309F1C4E"/>
    <w:rsid w:val="309F1F4A"/>
    <w:rsid w:val="309F77D5"/>
    <w:rsid w:val="30A00EF3"/>
    <w:rsid w:val="30A01227"/>
    <w:rsid w:val="30A05CC2"/>
    <w:rsid w:val="30A112E4"/>
    <w:rsid w:val="30A13F14"/>
    <w:rsid w:val="30A13F3A"/>
    <w:rsid w:val="30A21A3A"/>
    <w:rsid w:val="30A2413D"/>
    <w:rsid w:val="30A25EDE"/>
    <w:rsid w:val="30A26083"/>
    <w:rsid w:val="30A27A0A"/>
    <w:rsid w:val="30A30DFF"/>
    <w:rsid w:val="30A331EB"/>
    <w:rsid w:val="30A371CE"/>
    <w:rsid w:val="30A4364B"/>
    <w:rsid w:val="30A43A04"/>
    <w:rsid w:val="30A51EEF"/>
    <w:rsid w:val="30A532D8"/>
    <w:rsid w:val="30A5355B"/>
    <w:rsid w:val="30A54A09"/>
    <w:rsid w:val="30A54AB3"/>
    <w:rsid w:val="30A6152A"/>
    <w:rsid w:val="30A65A46"/>
    <w:rsid w:val="30A664DD"/>
    <w:rsid w:val="30A77050"/>
    <w:rsid w:val="30A84B2A"/>
    <w:rsid w:val="30A85C2E"/>
    <w:rsid w:val="30A8720D"/>
    <w:rsid w:val="30A9101A"/>
    <w:rsid w:val="30AA08EF"/>
    <w:rsid w:val="30AA269C"/>
    <w:rsid w:val="30AB0CE7"/>
    <w:rsid w:val="30AB1564"/>
    <w:rsid w:val="30AB2293"/>
    <w:rsid w:val="30AB4799"/>
    <w:rsid w:val="30AB4D93"/>
    <w:rsid w:val="30AB4F67"/>
    <w:rsid w:val="30AB66A8"/>
    <w:rsid w:val="30AC28B9"/>
    <w:rsid w:val="30AE378A"/>
    <w:rsid w:val="30AE3B83"/>
    <w:rsid w:val="30AE52F9"/>
    <w:rsid w:val="30AE5A77"/>
    <w:rsid w:val="30AE62CD"/>
    <w:rsid w:val="30AE6D62"/>
    <w:rsid w:val="30B005FB"/>
    <w:rsid w:val="30B012FC"/>
    <w:rsid w:val="30B0234A"/>
    <w:rsid w:val="30B023A9"/>
    <w:rsid w:val="30B04157"/>
    <w:rsid w:val="30B07949"/>
    <w:rsid w:val="30B10DD9"/>
    <w:rsid w:val="30B139AA"/>
    <w:rsid w:val="30B14D28"/>
    <w:rsid w:val="30B14F2A"/>
    <w:rsid w:val="30B25087"/>
    <w:rsid w:val="30B325F0"/>
    <w:rsid w:val="30B32F2D"/>
    <w:rsid w:val="30B33AF5"/>
    <w:rsid w:val="30B33C47"/>
    <w:rsid w:val="30B359F5"/>
    <w:rsid w:val="30B44E25"/>
    <w:rsid w:val="30B501BD"/>
    <w:rsid w:val="30B51C78"/>
    <w:rsid w:val="30B547DC"/>
    <w:rsid w:val="30B55C11"/>
    <w:rsid w:val="30B579BF"/>
    <w:rsid w:val="30B6013E"/>
    <w:rsid w:val="30B71989"/>
    <w:rsid w:val="30B7350A"/>
    <w:rsid w:val="30B73737"/>
    <w:rsid w:val="30B763E8"/>
    <w:rsid w:val="30B80E70"/>
    <w:rsid w:val="30B8125D"/>
    <w:rsid w:val="30B8300C"/>
    <w:rsid w:val="30B845BF"/>
    <w:rsid w:val="30B874AF"/>
    <w:rsid w:val="30B87533"/>
    <w:rsid w:val="30B91CD4"/>
    <w:rsid w:val="30B92C52"/>
    <w:rsid w:val="30B93CEA"/>
    <w:rsid w:val="30B95B09"/>
    <w:rsid w:val="30BA481A"/>
    <w:rsid w:val="30BA5049"/>
    <w:rsid w:val="30BB2AFC"/>
    <w:rsid w:val="30BC0D4E"/>
    <w:rsid w:val="30BC53DB"/>
    <w:rsid w:val="30BD0622"/>
    <w:rsid w:val="30BD3507"/>
    <w:rsid w:val="30BD4AC6"/>
    <w:rsid w:val="30BD56DB"/>
    <w:rsid w:val="30BE33DD"/>
    <w:rsid w:val="30BE6E3F"/>
    <w:rsid w:val="30BF083E"/>
    <w:rsid w:val="30BF7868"/>
    <w:rsid w:val="30BF7C2F"/>
    <w:rsid w:val="30C100A5"/>
    <w:rsid w:val="30C145B6"/>
    <w:rsid w:val="30C152C4"/>
    <w:rsid w:val="30C1718D"/>
    <w:rsid w:val="30C215C9"/>
    <w:rsid w:val="30C220DC"/>
    <w:rsid w:val="30C2251E"/>
    <w:rsid w:val="30C2324E"/>
    <w:rsid w:val="30C23E8A"/>
    <w:rsid w:val="30C3032E"/>
    <w:rsid w:val="30C3065D"/>
    <w:rsid w:val="30C3128A"/>
    <w:rsid w:val="30C31654"/>
    <w:rsid w:val="30C419B0"/>
    <w:rsid w:val="30C454D7"/>
    <w:rsid w:val="30C45E54"/>
    <w:rsid w:val="30C45E9F"/>
    <w:rsid w:val="30C4739D"/>
    <w:rsid w:val="30C51027"/>
    <w:rsid w:val="30C5179E"/>
    <w:rsid w:val="30C51824"/>
    <w:rsid w:val="30C51E78"/>
    <w:rsid w:val="30C5408B"/>
    <w:rsid w:val="30C55B0E"/>
    <w:rsid w:val="30C60ADD"/>
    <w:rsid w:val="30C61B6F"/>
    <w:rsid w:val="30C61BCC"/>
    <w:rsid w:val="30C6270F"/>
    <w:rsid w:val="30C636C9"/>
    <w:rsid w:val="30C65C15"/>
    <w:rsid w:val="30C65FB0"/>
    <w:rsid w:val="30C711DB"/>
    <w:rsid w:val="30C776F3"/>
    <w:rsid w:val="30C80D0A"/>
    <w:rsid w:val="30C85BD0"/>
    <w:rsid w:val="30C916BD"/>
    <w:rsid w:val="30C9346B"/>
    <w:rsid w:val="30C96FC7"/>
    <w:rsid w:val="30CA30C1"/>
    <w:rsid w:val="30CA4B30"/>
    <w:rsid w:val="30CA6CB2"/>
    <w:rsid w:val="30CB0F91"/>
    <w:rsid w:val="30CB3AF3"/>
    <w:rsid w:val="30CB4551"/>
    <w:rsid w:val="30CB5A1E"/>
    <w:rsid w:val="30CC0066"/>
    <w:rsid w:val="30CC1529"/>
    <w:rsid w:val="30CC59E1"/>
    <w:rsid w:val="30CD0D3B"/>
    <w:rsid w:val="30CD0EB9"/>
    <w:rsid w:val="30CD2521"/>
    <w:rsid w:val="30CD2F5B"/>
    <w:rsid w:val="30CD408D"/>
    <w:rsid w:val="30CE0301"/>
    <w:rsid w:val="30CE10F3"/>
    <w:rsid w:val="30CE282F"/>
    <w:rsid w:val="30CE6B98"/>
    <w:rsid w:val="30CF30A0"/>
    <w:rsid w:val="30CF5A25"/>
    <w:rsid w:val="30D02724"/>
    <w:rsid w:val="30D03DF8"/>
    <w:rsid w:val="30D065A7"/>
    <w:rsid w:val="30D07954"/>
    <w:rsid w:val="30D07BF5"/>
    <w:rsid w:val="30D1097F"/>
    <w:rsid w:val="30D13756"/>
    <w:rsid w:val="30D140CD"/>
    <w:rsid w:val="30D1421D"/>
    <w:rsid w:val="30D15E22"/>
    <w:rsid w:val="30D1774D"/>
    <w:rsid w:val="30D20112"/>
    <w:rsid w:val="30D20675"/>
    <w:rsid w:val="30D21A4D"/>
    <w:rsid w:val="30D2423D"/>
    <w:rsid w:val="30D24BC0"/>
    <w:rsid w:val="30D254E5"/>
    <w:rsid w:val="30D32A99"/>
    <w:rsid w:val="30D36097"/>
    <w:rsid w:val="30D361CF"/>
    <w:rsid w:val="30D37E45"/>
    <w:rsid w:val="30D435C1"/>
    <w:rsid w:val="30D44173"/>
    <w:rsid w:val="30D45236"/>
    <w:rsid w:val="30D45532"/>
    <w:rsid w:val="30D50061"/>
    <w:rsid w:val="30D50081"/>
    <w:rsid w:val="30D56520"/>
    <w:rsid w:val="30D64BAF"/>
    <w:rsid w:val="30D72AF4"/>
    <w:rsid w:val="30D75B88"/>
    <w:rsid w:val="30D77936"/>
    <w:rsid w:val="30D836AE"/>
    <w:rsid w:val="30D84546"/>
    <w:rsid w:val="30D8545C"/>
    <w:rsid w:val="30D9131A"/>
    <w:rsid w:val="30D97FE5"/>
    <w:rsid w:val="30DA0E13"/>
    <w:rsid w:val="30DA4270"/>
    <w:rsid w:val="30DA550F"/>
    <w:rsid w:val="30DA5678"/>
    <w:rsid w:val="30DB2905"/>
    <w:rsid w:val="30DB3C98"/>
    <w:rsid w:val="30DB75D8"/>
    <w:rsid w:val="30DB7BA6"/>
    <w:rsid w:val="30DC13F0"/>
    <w:rsid w:val="30DC319E"/>
    <w:rsid w:val="30DC3D95"/>
    <w:rsid w:val="30DC52C3"/>
    <w:rsid w:val="30DD0CC4"/>
    <w:rsid w:val="30DD29C5"/>
    <w:rsid w:val="30DD2A72"/>
    <w:rsid w:val="30DD6F16"/>
    <w:rsid w:val="30DE023D"/>
    <w:rsid w:val="30DE0915"/>
    <w:rsid w:val="30DE5A12"/>
    <w:rsid w:val="30DF1286"/>
    <w:rsid w:val="30DF2C8E"/>
    <w:rsid w:val="30DF4A3C"/>
    <w:rsid w:val="30DF587A"/>
    <w:rsid w:val="30DF67EA"/>
    <w:rsid w:val="30E02716"/>
    <w:rsid w:val="30E0344C"/>
    <w:rsid w:val="30E052E7"/>
    <w:rsid w:val="30E07F39"/>
    <w:rsid w:val="30E12562"/>
    <w:rsid w:val="30E16343"/>
    <w:rsid w:val="30E16777"/>
    <w:rsid w:val="30E16A06"/>
    <w:rsid w:val="30E20088"/>
    <w:rsid w:val="30E21348"/>
    <w:rsid w:val="30E262DA"/>
    <w:rsid w:val="30E3277E"/>
    <w:rsid w:val="30E3452C"/>
    <w:rsid w:val="30E402A4"/>
    <w:rsid w:val="30E42053"/>
    <w:rsid w:val="30E45BBF"/>
    <w:rsid w:val="30E529FE"/>
    <w:rsid w:val="30E54910"/>
    <w:rsid w:val="30E56E1D"/>
    <w:rsid w:val="30E62802"/>
    <w:rsid w:val="30E62C46"/>
    <w:rsid w:val="30E63904"/>
    <w:rsid w:val="30E67A18"/>
    <w:rsid w:val="30E67B79"/>
    <w:rsid w:val="30E7364A"/>
    <w:rsid w:val="30E738F1"/>
    <w:rsid w:val="30E74C4B"/>
    <w:rsid w:val="30E74FBA"/>
    <w:rsid w:val="30E81B43"/>
    <w:rsid w:val="30E82555"/>
    <w:rsid w:val="30E83977"/>
    <w:rsid w:val="30E94677"/>
    <w:rsid w:val="30E949CD"/>
    <w:rsid w:val="30E94D1A"/>
    <w:rsid w:val="30E97669"/>
    <w:rsid w:val="30EA6399"/>
    <w:rsid w:val="30EA7AEF"/>
    <w:rsid w:val="30EB1633"/>
    <w:rsid w:val="30EB23FA"/>
    <w:rsid w:val="30EB33E1"/>
    <w:rsid w:val="30EC0F07"/>
    <w:rsid w:val="30EC5519"/>
    <w:rsid w:val="30ED2424"/>
    <w:rsid w:val="30ED2A56"/>
    <w:rsid w:val="30ED2BD7"/>
    <w:rsid w:val="30ED2D50"/>
    <w:rsid w:val="30ED7B79"/>
    <w:rsid w:val="30ED7D6E"/>
    <w:rsid w:val="30EE105F"/>
    <w:rsid w:val="30EE1123"/>
    <w:rsid w:val="30EE1A83"/>
    <w:rsid w:val="30EE1E74"/>
    <w:rsid w:val="30EE4C7F"/>
    <w:rsid w:val="30EE7CE8"/>
    <w:rsid w:val="30EF029F"/>
    <w:rsid w:val="30F0194C"/>
    <w:rsid w:val="30F027A5"/>
    <w:rsid w:val="30F06139"/>
    <w:rsid w:val="30F15647"/>
    <w:rsid w:val="30F1626C"/>
    <w:rsid w:val="30F1651D"/>
    <w:rsid w:val="30F202DF"/>
    <w:rsid w:val="30F22884"/>
    <w:rsid w:val="30F229C1"/>
    <w:rsid w:val="30F24841"/>
    <w:rsid w:val="30F304E8"/>
    <w:rsid w:val="30F312A6"/>
    <w:rsid w:val="30F32296"/>
    <w:rsid w:val="30F3375D"/>
    <w:rsid w:val="30F355A2"/>
    <w:rsid w:val="30F40012"/>
    <w:rsid w:val="30F4121B"/>
    <w:rsid w:val="30F438B1"/>
    <w:rsid w:val="30F4734C"/>
    <w:rsid w:val="30F47A1B"/>
    <w:rsid w:val="30F524B2"/>
    <w:rsid w:val="30F5600E"/>
    <w:rsid w:val="30F563A3"/>
    <w:rsid w:val="30F57DBC"/>
    <w:rsid w:val="30F60ACC"/>
    <w:rsid w:val="30F62400"/>
    <w:rsid w:val="30F63400"/>
    <w:rsid w:val="30F65310"/>
    <w:rsid w:val="30F73B34"/>
    <w:rsid w:val="30F7796B"/>
    <w:rsid w:val="30F8356E"/>
    <w:rsid w:val="30F85AFE"/>
    <w:rsid w:val="30F878AC"/>
    <w:rsid w:val="30F91BDF"/>
    <w:rsid w:val="30F9378A"/>
    <w:rsid w:val="30F93D50"/>
    <w:rsid w:val="30F94855"/>
    <w:rsid w:val="30FA0A5F"/>
    <w:rsid w:val="30FA1876"/>
    <w:rsid w:val="30FA2B9B"/>
    <w:rsid w:val="30FA4B9B"/>
    <w:rsid w:val="30FA5E8E"/>
    <w:rsid w:val="30FA731E"/>
    <w:rsid w:val="30FA7AC8"/>
    <w:rsid w:val="30FB03CD"/>
    <w:rsid w:val="30FB2EEB"/>
    <w:rsid w:val="30FC114A"/>
    <w:rsid w:val="30FC1658"/>
    <w:rsid w:val="30FC55EE"/>
    <w:rsid w:val="30FC739C"/>
    <w:rsid w:val="30FC77D0"/>
    <w:rsid w:val="30FD3114"/>
    <w:rsid w:val="30FD4720"/>
    <w:rsid w:val="30FD480F"/>
    <w:rsid w:val="30FD6997"/>
    <w:rsid w:val="30FE0343"/>
    <w:rsid w:val="30FE5C9F"/>
    <w:rsid w:val="30FF50DE"/>
    <w:rsid w:val="30FF6E8C"/>
    <w:rsid w:val="31001598"/>
    <w:rsid w:val="310060F6"/>
    <w:rsid w:val="310103F1"/>
    <w:rsid w:val="31010E56"/>
    <w:rsid w:val="31011AC6"/>
    <w:rsid w:val="31012C04"/>
    <w:rsid w:val="310149B3"/>
    <w:rsid w:val="310224D9"/>
    <w:rsid w:val="31022BC0"/>
    <w:rsid w:val="3103697D"/>
    <w:rsid w:val="310426F5"/>
    <w:rsid w:val="31042A05"/>
    <w:rsid w:val="31043397"/>
    <w:rsid w:val="310444A3"/>
    <w:rsid w:val="310446E2"/>
    <w:rsid w:val="31046251"/>
    <w:rsid w:val="31053723"/>
    <w:rsid w:val="31054C99"/>
    <w:rsid w:val="310567B8"/>
    <w:rsid w:val="31057059"/>
    <w:rsid w:val="3106021B"/>
    <w:rsid w:val="31061789"/>
    <w:rsid w:val="31061FC9"/>
    <w:rsid w:val="310648E3"/>
    <w:rsid w:val="31064998"/>
    <w:rsid w:val="31065004"/>
    <w:rsid w:val="3106646D"/>
    <w:rsid w:val="31071BD3"/>
    <w:rsid w:val="31073125"/>
    <w:rsid w:val="31075051"/>
    <w:rsid w:val="310771D9"/>
    <w:rsid w:val="31077AEF"/>
    <w:rsid w:val="310821E5"/>
    <w:rsid w:val="31083F93"/>
    <w:rsid w:val="31085D41"/>
    <w:rsid w:val="310860E0"/>
    <w:rsid w:val="31090EED"/>
    <w:rsid w:val="3109332D"/>
    <w:rsid w:val="310944F3"/>
    <w:rsid w:val="31097D0B"/>
    <w:rsid w:val="310A0147"/>
    <w:rsid w:val="310A0554"/>
    <w:rsid w:val="310A2D5E"/>
    <w:rsid w:val="310A4EAC"/>
    <w:rsid w:val="310A5760"/>
    <w:rsid w:val="310A7BE1"/>
    <w:rsid w:val="310B19E4"/>
    <w:rsid w:val="310B2EBC"/>
    <w:rsid w:val="310B4584"/>
    <w:rsid w:val="310B68DC"/>
    <w:rsid w:val="310B73C6"/>
    <w:rsid w:val="310B7B70"/>
    <w:rsid w:val="310C576F"/>
    <w:rsid w:val="310D15A9"/>
    <w:rsid w:val="310D6ED5"/>
    <w:rsid w:val="310D7A87"/>
    <w:rsid w:val="310E0E7D"/>
    <w:rsid w:val="310E10FF"/>
    <w:rsid w:val="310E4945"/>
    <w:rsid w:val="310E5321"/>
    <w:rsid w:val="310E6F3E"/>
    <w:rsid w:val="310E70CF"/>
    <w:rsid w:val="310F0CCC"/>
    <w:rsid w:val="310F488E"/>
    <w:rsid w:val="31112094"/>
    <w:rsid w:val="31113F41"/>
    <w:rsid w:val="31123F86"/>
    <w:rsid w:val="31124E12"/>
    <w:rsid w:val="31125B17"/>
    <w:rsid w:val="31130DDD"/>
    <w:rsid w:val="31130FA0"/>
    <w:rsid w:val="31132938"/>
    <w:rsid w:val="31133004"/>
    <w:rsid w:val="311335FB"/>
    <w:rsid w:val="31140579"/>
    <w:rsid w:val="31140B6F"/>
    <w:rsid w:val="31141606"/>
    <w:rsid w:val="3115220C"/>
    <w:rsid w:val="311522E2"/>
    <w:rsid w:val="31153C04"/>
    <w:rsid w:val="3115515C"/>
    <w:rsid w:val="311566B0"/>
    <w:rsid w:val="31166415"/>
    <w:rsid w:val="311741D6"/>
    <w:rsid w:val="31174B96"/>
    <w:rsid w:val="31181CFC"/>
    <w:rsid w:val="31183352"/>
    <w:rsid w:val="31183FE8"/>
    <w:rsid w:val="31184A16"/>
    <w:rsid w:val="311856DB"/>
    <w:rsid w:val="31190BC9"/>
    <w:rsid w:val="311928A7"/>
    <w:rsid w:val="31196A18"/>
    <w:rsid w:val="311A023C"/>
    <w:rsid w:val="311A2E3A"/>
    <w:rsid w:val="311A3CC6"/>
    <w:rsid w:val="311A5A74"/>
    <w:rsid w:val="311B065C"/>
    <w:rsid w:val="311B109C"/>
    <w:rsid w:val="311B2CAC"/>
    <w:rsid w:val="311B7E73"/>
    <w:rsid w:val="311C1228"/>
    <w:rsid w:val="311C17EC"/>
    <w:rsid w:val="311C359A"/>
    <w:rsid w:val="311C43B5"/>
    <w:rsid w:val="311C4F15"/>
    <w:rsid w:val="311C5EBE"/>
    <w:rsid w:val="311C7A3E"/>
    <w:rsid w:val="311D7312"/>
    <w:rsid w:val="311E2ED7"/>
    <w:rsid w:val="311E37B6"/>
    <w:rsid w:val="311E5564"/>
    <w:rsid w:val="311F12DD"/>
    <w:rsid w:val="311F12EA"/>
    <w:rsid w:val="311F281A"/>
    <w:rsid w:val="311F308B"/>
    <w:rsid w:val="311F4983"/>
    <w:rsid w:val="311F7866"/>
    <w:rsid w:val="312003FA"/>
    <w:rsid w:val="31200DC9"/>
    <w:rsid w:val="3120566D"/>
    <w:rsid w:val="312073E5"/>
    <w:rsid w:val="312124DE"/>
    <w:rsid w:val="31212FD2"/>
    <w:rsid w:val="31213292"/>
    <w:rsid w:val="312132A7"/>
    <w:rsid w:val="31215055"/>
    <w:rsid w:val="312211A0"/>
    <w:rsid w:val="312238C0"/>
    <w:rsid w:val="31227B38"/>
    <w:rsid w:val="31230DCD"/>
    <w:rsid w:val="31231CFF"/>
    <w:rsid w:val="31232B7B"/>
    <w:rsid w:val="3123652A"/>
    <w:rsid w:val="312406A1"/>
    <w:rsid w:val="312410FB"/>
    <w:rsid w:val="31244B45"/>
    <w:rsid w:val="31253A1B"/>
    <w:rsid w:val="3126266B"/>
    <w:rsid w:val="31265840"/>
    <w:rsid w:val="31266A70"/>
    <w:rsid w:val="31277A7C"/>
    <w:rsid w:val="31283994"/>
    <w:rsid w:val="312914F3"/>
    <w:rsid w:val="3129198A"/>
    <w:rsid w:val="31292A95"/>
    <w:rsid w:val="31295CB7"/>
    <w:rsid w:val="312A197D"/>
    <w:rsid w:val="312A1DE7"/>
    <w:rsid w:val="312A215B"/>
    <w:rsid w:val="312B1A2F"/>
    <w:rsid w:val="312B4AB9"/>
    <w:rsid w:val="312B7C81"/>
    <w:rsid w:val="312B7D1F"/>
    <w:rsid w:val="312B7DBE"/>
    <w:rsid w:val="312C0D1D"/>
    <w:rsid w:val="312C245E"/>
    <w:rsid w:val="312D1C4B"/>
    <w:rsid w:val="312D39F9"/>
    <w:rsid w:val="312D57A8"/>
    <w:rsid w:val="312D7911"/>
    <w:rsid w:val="312E32CE"/>
    <w:rsid w:val="312E4A61"/>
    <w:rsid w:val="312E4D7E"/>
    <w:rsid w:val="312E5CBF"/>
    <w:rsid w:val="312E7AB5"/>
    <w:rsid w:val="312F0E6B"/>
    <w:rsid w:val="312F13ED"/>
    <w:rsid w:val="312F6AE2"/>
    <w:rsid w:val="312F769E"/>
    <w:rsid w:val="312F7772"/>
    <w:rsid w:val="31307046"/>
    <w:rsid w:val="31311C6B"/>
    <w:rsid w:val="31312245"/>
    <w:rsid w:val="313124FD"/>
    <w:rsid w:val="31321010"/>
    <w:rsid w:val="31322DBE"/>
    <w:rsid w:val="313259B0"/>
    <w:rsid w:val="31325BEE"/>
    <w:rsid w:val="313308E4"/>
    <w:rsid w:val="3133601F"/>
    <w:rsid w:val="31336B36"/>
    <w:rsid w:val="31337D03"/>
    <w:rsid w:val="31342FDA"/>
    <w:rsid w:val="31344D88"/>
    <w:rsid w:val="31347910"/>
    <w:rsid w:val="31350AB8"/>
    <w:rsid w:val="31353788"/>
    <w:rsid w:val="313660E1"/>
    <w:rsid w:val="31371F49"/>
    <w:rsid w:val="313745C4"/>
    <w:rsid w:val="31374878"/>
    <w:rsid w:val="31375793"/>
    <w:rsid w:val="31376109"/>
    <w:rsid w:val="31377571"/>
    <w:rsid w:val="31381646"/>
    <w:rsid w:val="31382D15"/>
    <w:rsid w:val="3138414C"/>
    <w:rsid w:val="313872C0"/>
    <w:rsid w:val="313905F0"/>
    <w:rsid w:val="31390C89"/>
    <w:rsid w:val="3139227A"/>
    <w:rsid w:val="3139239E"/>
    <w:rsid w:val="313A0FFB"/>
    <w:rsid w:val="313A1C72"/>
    <w:rsid w:val="313A26E0"/>
    <w:rsid w:val="313A6116"/>
    <w:rsid w:val="313A7EC4"/>
    <w:rsid w:val="313B332E"/>
    <w:rsid w:val="313B4368"/>
    <w:rsid w:val="313B4C03"/>
    <w:rsid w:val="313B7382"/>
    <w:rsid w:val="313C0812"/>
    <w:rsid w:val="313C3C3D"/>
    <w:rsid w:val="313C7AD4"/>
    <w:rsid w:val="313D1CA2"/>
    <w:rsid w:val="313D33E3"/>
    <w:rsid w:val="313D3FF1"/>
    <w:rsid w:val="313D74F5"/>
    <w:rsid w:val="313E1763"/>
    <w:rsid w:val="313E5D03"/>
    <w:rsid w:val="313E7F40"/>
    <w:rsid w:val="313F171F"/>
    <w:rsid w:val="313F372D"/>
    <w:rsid w:val="313F54DB"/>
    <w:rsid w:val="313F5CC0"/>
    <w:rsid w:val="314007C3"/>
    <w:rsid w:val="31400913"/>
    <w:rsid w:val="3140197F"/>
    <w:rsid w:val="31403E41"/>
    <w:rsid w:val="31405FDF"/>
    <w:rsid w:val="314060A9"/>
    <w:rsid w:val="31411AB3"/>
    <w:rsid w:val="31413001"/>
    <w:rsid w:val="314174A5"/>
    <w:rsid w:val="31427A09"/>
    <w:rsid w:val="3143321D"/>
    <w:rsid w:val="3143699F"/>
    <w:rsid w:val="31440D43"/>
    <w:rsid w:val="31442AF1"/>
    <w:rsid w:val="314455AC"/>
    <w:rsid w:val="31445C96"/>
    <w:rsid w:val="31450434"/>
    <w:rsid w:val="31453005"/>
    <w:rsid w:val="314534FD"/>
    <w:rsid w:val="31456C2F"/>
    <w:rsid w:val="31456F95"/>
    <w:rsid w:val="314609C3"/>
    <w:rsid w:val="31460B41"/>
    <w:rsid w:val="314614CD"/>
    <w:rsid w:val="31462D0D"/>
    <w:rsid w:val="31464495"/>
    <w:rsid w:val="31466869"/>
    <w:rsid w:val="3146721C"/>
    <w:rsid w:val="31467B94"/>
    <w:rsid w:val="31470EF5"/>
    <w:rsid w:val="31473779"/>
    <w:rsid w:val="314804F6"/>
    <w:rsid w:val="314825E1"/>
    <w:rsid w:val="31482884"/>
    <w:rsid w:val="31483588"/>
    <w:rsid w:val="3148438F"/>
    <w:rsid w:val="314863D5"/>
    <w:rsid w:val="31486DB5"/>
    <w:rsid w:val="31490108"/>
    <w:rsid w:val="31490245"/>
    <w:rsid w:val="31496359"/>
    <w:rsid w:val="314A45AB"/>
    <w:rsid w:val="314B0324"/>
    <w:rsid w:val="314B20D2"/>
    <w:rsid w:val="314B5736"/>
    <w:rsid w:val="314D01A9"/>
    <w:rsid w:val="314D0CC2"/>
    <w:rsid w:val="314D19A6"/>
    <w:rsid w:val="314D409C"/>
    <w:rsid w:val="314D7BF8"/>
    <w:rsid w:val="314E0365"/>
    <w:rsid w:val="314E2C27"/>
    <w:rsid w:val="314E571E"/>
    <w:rsid w:val="314E773E"/>
    <w:rsid w:val="314F2349"/>
    <w:rsid w:val="314F5092"/>
    <w:rsid w:val="31500118"/>
    <w:rsid w:val="31501496"/>
    <w:rsid w:val="315115A8"/>
    <w:rsid w:val="31517599"/>
    <w:rsid w:val="31520050"/>
    <w:rsid w:val="315216B2"/>
    <w:rsid w:val="3152520E"/>
    <w:rsid w:val="31532D34"/>
    <w:rsid w:val="31535609"/>
    <w:rsid w:val="315471D8"/>
    <w:rsid w:val="315511C9"/>
    <w:rsid w:val="31552F50"/>
    <w:rsid w:val="315578E9"/>
    <w:rsid w:val="31557E7B"/>
    <w:rsid w:val="315619EE"/>
    <w:rsid w:val="31561C2D"/>
    <w:rsid w:val="31562BE6"/>
    <w:rsid w:val="3156773F"/>
    <w:rsid w:val="31570A76"/>
    <w:rsid w:val="315727FC"/>
    <w:rsid w:val="31572824"/>
    <w:rsid w:val="315736D8"/>
    <w:rsid w:val="3157541A"/>
    <w:rsid w:val="31586882"/>
    <w:rsid w:val="3159002B"/>
    <w:rsid w:val="31590E37"/>
    <w:rsid w:val="31592A40"/>
    <w:rsid w:val="315947EF"/>
    <w:rsid w:val="31596939"/>
    <w:rsid w:val="31597A2B"/>
    <w:rsid w:val="31597D3A"/>
    <w:rsid w:val="315A01AE"/>
    <w:rsid w:val="315A0567"/>
    <w:rsid w:val="315A40C3"/>
    <w:rsid w:val="315B1BDE"/>
    <w:rsid w:val="315B3021"/>
    <w:rsid w:val="315B4CF8"/>
    <w:rsid w:val="315B683E"/>
    <w:rsid w:val="315B75F1"/>
    <w:rsid w:val="315C105C"/>
    <w:rsid w:val="315C449C"/>
    <w:rsid w:val="315C608D"/>
    <w:rsid w:val="315C66BB"/>
    <w:rsid w:val="315C7BBC"/>
    <w:rsid w:val="315C7E3B"/>
    <w:rsid w:val="315D1E99"/>
    <w:rsid w:val="315D7B4B"/>
    <w:rsid w:val="315E0057"/>
    <w:rsid w:val="315E0E80"/>
    <w:rsid w:val="315E1E05"/>
    <w:rsid w:val="315E271C"/>
    <w:rsid w:val="315F16D9"/>
    <w:rsid w:val="315F176D"/>
    <w:rsid w:val="315F3BAC"/>
    <w:rsid w:val="315F792B"/>
    <w:rsid w:val="3160518F"/>
    <w:rsid w:val="31607C0D"/>
    <w:rsid w:val="316118F5"/>
    <w:rsid w:val="3161362F"/>
    <w:rsid w:val="316136A3"/>
    <w:rsid w:val="31615451"/>
    <w:rsid w:val="316164CC"/>
    <w:rsid w:val="3162252D"/>
    <w:rsid w:val="3162367E"/>
    <w:rsid w:val="316311C9"/>
    <w:rsid w:val="31631DCE"/>
    <w:rsid w:val="316350FE"/>
    <w:rsid w:val="3163566D"/>
    <w:rsid w:val="316373E3"/>
    <w:rsid w:val="31642A74"/>
    <w:rsid w:val="31644F41"/>
    <w:rsid w:val="31645289"/>
    <w:rsid w:val="31647A1E"/>
    <w:rsid w:val="31650EAE"/>
    <w:rsid w:val="31653193"/>
    <w:rsid w:val="31660CB9"/>
    <w:rsid w:val="31663A7F"/>
    <w:rsid w:val="31666F0B"/>
    <w:rsid w:val="316711D8"/>
    <w:rsid w:val="316737CE"/>
    <w:rsid w:val="31674F95"/>
    <w:rsid w:val="31676A65"/>
    <w:rsid w:val="316771C6"/>
    <w:rsid w:val="31682C84"/>
    <w:rsid w:val="316839C1"/>
    <w:rsid w:val="31684A32"/>
    <w:rsid w:val="3168639F"/>
    <w:rsid w:val="31692F7E"/>
    <w:rsid w:val="316942D8"/>
    <w:rsid w:val="316A0CBF"/>
    <w:rsid w:val="316A3890"/>
    <w:rsid w:val="316A69FC"/>
    <w:rsid w:val="316B3BD4"/>
    <w:rsid w:val="316B44E3"/>
    <w:rsid w:val="316B62D0"/>
    <w:rsid w:val="316D029A"/>
    <w:rsid w:val="316D0D81"/>
    <w:rsid w:val="316D3DF6"/>
    <w:rsid w:val="316E4C55"/>
    <w:rsid w:val="316F36A1"/>
    <w:rsid w:val="316F536E"/>
    <w:rsid w:val="316F5DC0"/>
    <w:rsid w:val="316F693C"/>
    <w:rsid w:val="31701070"/>
    <w:rsid w:val="31704B31"/>
    <w:rsid w:val="31707551"/>
    <w:rsid w:val="317126F6"/>
    <w:rsid w:val="3171695A"/>
    <w:rsid w:val="31717451"/>
    <w:rsid w:val="31717D8A"/>
    <w:rsid w:val="31723B02"/>
    <w:rsid w:val="3172765E"/>
    <w:rsid w:val="31730988"/>
    <w:rsid w:val="31741628"/>
    <w:rsid w:val="31745184"/>
    <w:rsid w:val="31747BCA"/>
    <w:rsid w:val="317509A3"/>
    <w:rsid w:val="31750EFD"/>
    <w:rsid w:val="31751578"/>
    <w:rsid w:val="31752992"/>
    <w:rsid w:val="31754028"/>
    <w:rsid w:val="31755DD2"/>
    <w:rsid w:val="3175714F"/>
    <w:rsid w:val="317606F9"/>
    <w:rsid w:val="31761E32"/>
    <w:rsid w:val="31762116"/>
    <w:rsid w:val="317623A9"/>
    <w:rsid w:val="31762540"/>
    <w:rsid w:val="317653A0"/>
    <w:rsid w:val="317655F8"/>
    <w:rsid w:val="317672EA"/>
    <w:rsid w:val="31772EC7"/>
    <w:rsid w:val="31774C75"/>
    <w:rsid w:val="3177520D"/>
    <w:rsid w:val="31776A98"/>
    <w:rsid w:val="3179279B"/>
    <w:rsid w:val="317936B1"/>
    <w:rsid w:val="31793F79"/>
    <w:rsid w:val="31796C3F"/>
    <w:rsid w:val="31796EC9"/>
    <w:rsid w:val="317973A7"/>
    <w:rsid w:val="317A07B3"/>
    <w:rsid w:val="317A2722"/>
    <w:rsid w:val="317A3082"/>
    <w:rsid w:val="317A4765"/>
    <w:rsid w:val="317A6513"/>
    <w:rsid w:val="317A69E9"/>
    <w:rsid w:val="317B1459"/>
    <w:rsid w:val="317B1B9A"/>
    <w:rsid w:val="317B4CCC"/>
    <w:rsid w:val="317C04DD"/>
    <w:rsid w:val="317C56D4"/>
    <w:rsid w:val="317C672F"/>
    <w:rsid w:val="317D0677"/>
    <w:rsid w:val="317D5FC3"/>
    <w:rsid w:val="317E1AF7"/>
    <w:rsid w:val="317E1D05"/>
    <w:rsid w:val="317E24A7"/>
    <w:rsid w:val="317E332D"/>
    <w:rsid w:val="317E4255"/>
    <w:rsid w:val="317E466C"/>
    <w:rsid w:val="317E6003"/>
    <w:rsid w:val="317E742D"/>
    <w:rsid w:val="317F1D7B"/>
    <w:rsid w:val="317F3B29"/>
    <w:rsid w:val="317F5B10"/>
    <w:rsid w:val="31800C17"/>
    <w:rsid w:val="31801913"/>
    <w:rsid w:val="3180395A"/>
    <w:rsid w:val="31807D0D"/>
    <w:rsid w:val="31807FCD"/>
    <w:rsid w:val="31810686"/>
    <w:rsid w:val="31813D45"/>
    <w:rsid w:val="31815AF3"/>
    <w:rsid w:val="31816960"/>
    <w:rsid w:val="318178A1"/>
    <w:rsid w:val="318252F5"/>
    <w:rsid w:val="318309B3"/>
    <w:rsid w:val="3183186B"/>
    <w:rsid w:val="31832FA6"/>
    <w:rsid w:val="31833619"/>
    <w:rsid w:val="3183455B"/>
    <w:rsid w:val="31836E42"/>
    <w:rsid w:val="31837ABD"/>
    <w:rsid w:val="318402FA"/>
    <w:rsid w:val="31841229"/>
    <w:rsid w:val="31844436"/>
    <w:rsid w:val="3186135C"/>
    <w:rsid w:val="31861559"/>
    <w:rsid w:val="3186310A"/>
    <w:rsid w:val="31864EB8"/>
    <w:rsid w:val="31865C05"/>
    <w:rsid w:val="31866890"/>
    <w:rsid w:val="318677AD"/>
    <w:rsid w:val="31871F0B"/>
    <w:rsid w:val="3187380E"/>
    <w:rsid w:val="3187717E"/>
    <w:rsid w:val="3188121C"/>
    <w:rsid w:val="318850D4"/>
    <w:rsid w:val="318918EA"/>
    <w:rsid w:val="31895BF2"/>
    <w:rsid w:val="31896E18"/>
    <w:rsid w:val="318A2BFA"/>
    <w:rsid w:val="318A6B45"/>
    <w:rsid w:val="318B0720"/>
    <w:rsid w:val="318B24CE"/>
    <w:rsid w:val="318B6CD1"/>
    <w:rsid w:val="318B7189"/>
    <w:rsid w:val="318C26DD"/>
    <w:rsid w:val="318C4058"/>
    <w:rsid w:val="318C4BC4"/>
    <w:rsid w:val="318D002B"/>
    <w:rsid w:val="318D08B5"/>
    <w:rsid w:val="318D26EA"/>
    <w:rsid w:val="318E457B"/>
    <w:rsid w:val="318F02CF"/>
    <w:rsid w:val="318F1FBE"/>
    <w:rsid w:val="318F2988"/>
    <w:rsid w:val="318F3BDF"/>
    <w:rsid w:val="318F411A"/>
    <w:rsid w:val="318F6462"/>
    <w:rsid w:val="318F793F"/>
    <w:rsid w:val="31903CA4"/>
    <w:rsid w:val="3190493D"/>
    <w:rsid w:val="31904981"/>
    <w:rsid w:val="319063BC"/>
    <w:rsid w:val="3191506E"/>
    <w:rsid w:val="3192160B"/>
    <w:rsid w:val="31921AAF"/>
    <w:rsid w:val="3192385D"/>
    <w:rsid w:val="31927D00"/>
    <w:rsid w:val="31943A79"/>
    <w:rsid w:val="319442D8"/>
    <w:rsid w:val="31945827"/>
    <w:rsid w:val="31952B22"/>
    <w:rsid w:val="31952DBE"/>
    <w:rsid w:val="31954DEB"/>
    <w:rsid w:val="3195606B"/>
    <w:rsid w:val="3196159F"/>
    <w:rsid w:val="31962506"/>
    <w:rsid w:val="3196590E"/>
    <w:rsid w:val="319660C3"/>
    <w:rsid w:val="319660CE"/>
    <w:rsid w:val="3196684B"/>
    <w:rsid w:val="319677F1"/>
    <w:rsid w:val="31971E98"/>
    <w:rsid w:val="31973569"/>
    <w:rsid w:val="319770C5"/>
    <w:rsid w:val="31983D3C"/>
    <w:rsid w:val="31986EF1"/>
    <w:rsid w:val="31987760"/>
    <w:rsid w:val="3199108F"/>
    <w:rsid w:val="31992092"/>
    <w:rsid w:val="31992E3D"/>
    <w:rsid w:val="31993324"/>
    <w:rsid w:val="319951CC"/>
    <w:rsid w:val="31995AE5"/>
    <w:rsid w:val="3199690D"/>
    <w:rsid w:val="31997F48"/>
    <w:rsid w:val="319A0963"/>
    <w:rsid w:val="319A15E1"/>
    <w:rsid w:val="319A4165"/>
    <w:rsid w:val="319B16F0"/>
    <w:rsid w:val="319B2863"/>
    <w:rsid w:val="319B4C20"/>
    <w:rsid w:val="319B4E07"/>
    <w:rsid w:val="319B575E"/>
    <w:rsid w:val="319B60D4"/>
    <w:rsid w:val="319C0B7F"/>
    <w:rsid w:val="319C292D"/>
    <w:rsid w:val="319C5692"/>
    <w:rsid w:val="319C5ADC"/>
    <w:rsid w:val="319C62FD"/>
    <w:rsid w:val="319D5EE9"/>
    <w:rsid w:val="319E0453"/>
    <w:rsid w:val="319E104B"/>
    <w:rsid w:val="319E2755"/>
    <w:rsid w:val="319E48F7"/>
    <w:rsid w:val="319E66A5"/>
    <w:rsid w:val="319F1220"/>
    <w:rsid w:val="319F1377"/>
    <w:rsid w:val="319F67FE"/>
    <w:rsid w:val="31A00015"/>
    <w:rsid w:val="31A00552"/>
    <w:rsid w:val="31A021F3"/>
    <w:rsid w:val="31A0241D"/>
    <w:rsid w:val="31A02F0F"/>
    <w:rsid w:val="31A03675"/>
    <w:rsid w:val="31A041CB"/>
    <w:rsid w:val="31A05388"/>
    <w:rsid w:val="31A10FB0"/>
    <w:rsid w:val="31A11258"/>
    <w:rsid w:val="31A11CF2"/>
    <w:rsid w:val="31A16195"/>
    <w:rsid w:val="31A17801"/>
    <w:rsid w:val="31A17F44"/>
    <w:rsid w:val="31A230CB"/>
    <w:rsid w:val="31A240F4"/>
    <w:rsid w:val="31A252BC"/>
    <w:rsid w:val="31A279BF"/>
    <w:rsid w:val="31A30E4F"/>
    <w:rsid w:val="31A30FDD"/>
    <w:rsid w:val="31A33CBC"/>
    <w:rsid w:val="31A35A6A"/>
    <w:rsid w:val="31A40DB4"/>
    <w:rsid w:val="31A4255F"/>
    <w:rsid w:val="31A43590"/>
    <w:rsid w:val="31A43719"/>
    <w:rsid w:val="31A452D9"/>
    <w:rsid w:val="31A51BF1"/>
    <w:rsid w:val="31A55DBC"/>
    <w:rsid w:val="31A60340"/>
    <w:rsid w:val="31A60657"/>
    <w:rsid w:val="31A627B9"/>
    <w:rsid w:val="31A62937"/>
    <w:rsid w:val="31A672C2"/>
    <w:rsid w:val="31A677D0"/>
    <w:rsid w:val="31A70689"/>
    <w:rsid w:val="31A70C60"/>
    <w:rsid w:val="31A70F2E"/>
    <w:rsid w:val="31A737AC"/>
    <w:rsid w:val="31A75229"/>
    <w:rsid w:val="31A75B75"/>
    <w:rsid w:val="31A812D2"/>
    <w:rsid w:val="31A83080"/>
    <w:rsid w:val="31A91A55"/>
    <w:rsid w:val="31A939D7"/>
    <w:rsid w:val="31A97CD4"/>
    <w:rsid w:val="31AA0C0A"/>
    <w:rsid w:val="31AA0D22"/>
    <w:rsid w:val="31AA329C"/>
    <w:rsid w:val="31AA504A"/>
    <w:rsid w:val="31AA6151"/>
    <w:rsid w:val="31AA7868"/>
    <w:rsid w:val="31AB03AE"/>
    <w:rsid w:val="31AB2B70"/>
    <w:rsid w:val="31AB491E"/>
    <w:rsid w:val="31AB7E01"/>
    <w:rsid w:val="31AC0DC2"/>
    <w:rsid w:val="31AC6300"/>
    <w:rsid w:val="31AD0696"/>
    <w:rsid w:val="31AD14BF"/>
    <w:rsid w:val="31AD27E4"/>
    <w:rsid w:val="31AD4AD2"/>
    <w:rsid w:val="31AD6213"/>
    <w:rsid w:val="31AD68E8"/>
    <w:rsid w:val="31AE4E2C"/>
    <w:rsid w:val="31AE70DE"/>
    <w:rsid w:val="31AE7380"/>
    <w:rsid w:val="31AE76A3"/>
    <w:rsid w:val="31AE7C11"/>
    <w:rsid w:val="31AE7D45"/>
    <w:rsid w:val="31AF08B2"/>
    <w:rsid w:val="31AF2660"/>
    <w:rsid w:val="31AF5F03"/>
    <w:rsid w:val="31B00AE5"/>
    <w:rsid w:val="31B04B21"/>
    <w:rsid w:val="31B053AA"/>
    <w:rsid w:val="31B13A5C"/>
    <w:rsid w:val="31B14374"/>
    <w:rsid w:val="31B1462B"/>
    <w:rsid w:val="31B148E3"/>
    <w:rsid w:val="31B15E56"/>
    <w:rsid w:val="31B22151"/>
    <w:rsid w:val="31B22413"/>
    <w:rsid w:val="31B23EFF"/>
    <w:rsid w:val="31B25CAD"/>
    <w:rsid w:val="31B30944"/>
    <w:rsid w:val="31B3478A"/>
    <w:rsid w:val="31B3606A"/>
    <w:rsid w:val="31B449A5"/>
    <w:rsid w:val="31B45EC9"/>
    <w:rsid w:val="31B47AC8"/>
    <w:rsid w:val="31B47C77"/>
    <w:rsid w:val="31B53264"/>
    <w:rsid w:val="31B5541B"/>
    <w:rsid w:val="31B5579D"/>
    <w:rsid w:val="31B55D7F"/>
    <w:rsid w:val="31B61C41"/>
    <w:rsid w:val="31B646F4"/>
    <w:rsid w:val="31B65F19"/>
    <w:rsid w:val="31B66D8D"/>
    <w:rsid w:val="31B672C5"/>
    <w:rsid w:val="31B71515"/>
    <w:rsid w:val="31B72085"/>
    <w:rsid w:val="31B732C3"/>
    <w:rsid w:val="31B73AA0"/>
    <w:rsid w:val="31B756BE"/>
    <w:rsid w:val="31B77767"/>
    <w:rsid w:val="31B8121F"/>
    <w:rsid w:val="31B82709"/>
    <w:rsid w:val="31B83326"/>
    <w:rsid w:val="31B83C18"/>
    <w:rsid w:val="31B84A7E"/>
    <w:rsid w:val="31B85B99"/>
    <w:rsid w:val="31B934DF"/>
    <w:rsid w:val="31B9528D"/>
    <w:rsid w:val="31B9576F"/>
    <w:rsid w:val="31B96EC3"/>
    <w:rsid w:val="31B9703B"/>
    <w:rsid w:val="31BA3CFE"/>
    <w:rsid w:val="31BA62CD"/>
    <w:rsid w:val="31BA6C2B"/>
    <w:rsid w:val="31BB0665"/>
    <w:rsid w:val="31BB1005"/>
    <w:rsid w:val="31BB139D"/>
    <w:rsid w:val="31BB2DB3"/>
    <w:rsid w:val="31BB5DF2"/>
    <w:rsid w:val="31BB70D6"/>
    <w:rsid w:val="31BB7257"/>
    <w:rsid w:val="31BC19F6"/>
    <w:rsid w:val="31BC1E6F"/>
    <w:rsid w:val="31BC3137"/>
    <w:rsid w:val="31BC4D7D"/>
    <w:rsid w:val="31BC57BA"/>
    <w:rsid w:val="31BD2FCF"/>
    <w:rsid w:val="31BD45C7"/>
    <w:rsid w:val="31BE17DE"/>
    <w:rsid w:val="31BE4652"/>
    <w:rsid w:val="31BE694A"/>
    <w:rsid w:val="31BF6EE7"/>
    <w:rsid w:val="31C00377"/>
    <w:rsid w:val="31C003CA"/>
    <w:rsid w:val="31C0486E"/>
    <w:rsid w:val="31C06124"/>
    <w:rsid w:val="31C119B4"/>
    <w:rsid w:val="31C14142"/>
    <w:rsid w:val="31C15B19"/>
    <w:rsid w:val="31C17B49"/>
    <w:rsid w:val="31C205E6"/>
    <w:rsid w:val="31C21686"/>
    <w:rsid w:val="31C2378E"/>
    <w:rsid w:val="31C26FA9"/>
    <w:rsid w:val="31C278AC"/>
    <w:rsid w:val="31C30439"/>
    <w:rsid w:val="31C3610C"/>
    <w:rsid w:val="31C369BE"/>
    <w:rsid w:val="31C37F79"/>
    <w:rsid w:val="31C434A4"/>
    <w:rsid w:val="31C51434"/>
    <w:rsid w:val="31C51944"/>
    <w:rsid w:val="31C51E84"/>
    <w:rsid w:val="31C559E0"/>
    <w:rsid w:val="31C57236"/>
    <w:rsid w:val="31C6431D"/>
    <w:rsid w:val="31C7024A"/>
    <w:rsid w:val="31C72022"/>
    <w:rsid w:val="31C73C9D"/>
    <w:rsid w:val="31C81974"/>
    <w:rsid w:val="31C83722"/>
    <w:rsid w:val="31C83B36"/>
    <w:rsid w:val="31C92A22"/>
    <w:rsid w:val="31C942AB"/>
    <w:rsid w:val="31CA56EC"/>
    <w:rsid w:val="31CA749A"/>
    <w:rsid w:val="31CB40E9"/>
    <w:rsid w:val="31CB5EF9"/>
    <w:rsid w:val="31CB6A58"/>
    <w:rsid w:val="31CB6D6E"/>
    <w:rsid w:val="31CC0F36"/>
    <w:rsid w:val="31CC14EB"/>
    <w:rsid w:val="31CC4293"/>
    <w:rsid w:val="31CC4FC0"/>
    <w:rsid w:val="31CC72D6"/>
    <w:rsid w:val="31CD0D39"/>
    <w:rsid w:val="31CD2AE7"/>
    <w:rsid w:val="31CD6F8B"/>
    <w:rsid w:val="31CD75EC"/>
    <w:rsid w:val="31CD78CD"/>
    <w:rsid w:val="31CE3079"/>
    <w:rsid w:val="31CE554C"/>
    <w:rsid w:val="31CE7B45"/>
    <w:rsid w:val="31CF2D03"/>
    <w:rsid w:val="31CF4AB1"/>
    <w:rsid w:val="31CF55C7"/>
    <w:rsid w:val="31CF69DC"/>
    <w:rsid w:val="31CF76D3"/>
    <w:rsid w:val="31D01690"/>
    <w:rsid w:val="31D02F2B"/>
    <w:rsid w:val="31D04FB7"/>
    <w:rsid w:val="31D05482"/>
    <w:rsid w:val="31D05A76"/>
    <w:rsid w:val="31D0753C"/>
    <w:rsid w:val="31D10829"/>
    <w:rsid w:val="31D13ECD"/>
    <w:rsid w:val="31D200FD"/>
    <w:rsid w:val="31D2179B"/>
    <w:rsid w:val="31D21E87"/>
    <w:rsid w:val="31D244F6"/>
    <w:rsid w:val="31D245A1"/>
    <w:rsid w:val="31D2634F"/>
    <w:rsid w:val="31D32EC5"/>
    <w:rsid w:val="31D34CFE"/>
    <w:rsid w:val="31D367ED"/>
    <w:rsid w:val="31D413BE"/>
    <w:rsid w:val="31D43E75"/>
    <w:rsid w:val="31D43FFC"/>
    <w:rsid w:val="31D44BFB"/>
    <w:rsid w:val="31D603F9"/>
    <w:rsid w:val="31D64091"/>
    <w:rsid w:val="31D65E3F"/>
    <w:rsid w:val="31D6795B"/>
    <w:rsid w:val="31D67BED"/>
    <w:rsid w:val="31D71BB7"/>
    <w:rsid w:val="31D73965"/>
    <w:rsid w:val="31D75713"/>
    <w:rsid w:val="31D80455"/>
    <w:rsid w:val="31D810C6"/>
    <w:rsid w:val="31D85273"/>
    <w:rsid w:val="31D9148B"/>
    <w:rsid w:val="31D9265F"/>
    <w:rsid w:val="31D942A8"/>
    <w:rsid w:val="31D94B8C"/>
    <w:rsid w:val="31D9592F"/>
    <w:rsid w:val="31D96112"/>
    <w:rsid w:val="31D976DD"/>
    <w:rsid w:val="31DA40B6"/>
    <w:rsid w:val="31DA66C0"/>
    <w:rsid w:val="31DB16A7"/>
    <w:rsid w:val="31DB3455"/>
    <w:rsid w:val="31DB35D8"/>
    <w:rsid w:val="31DB42F6"/>
    <w:rsid w:val="31DB4F7F"/>
    <w:rsid w:val="31DB5204"/>
    <w:rsid w:val="31DB7B50"/>
    <w:rsid w:val="31DC0002"/>
    <w:rsid w:val="31DC0F7C"/>
    <w:rsid w:val="31DC46C6"/>
    <w:rsid w:val="31DC48A8"/>
    <w:rsid w:val="31DD3C3D"/>
    <w:rsid w:val="31DD5420"/>
    <w:rsid w:val="31DD611C"/>
    <w:rsid w:val="31DD71CE"/>
    <w:rsid w:val="31DE6AA2"/>
    <w:rsid w:val="31DE779C"/>
    <w:rsid w:val="31DF1A4D"/>
    <w:rsid w:val="31DF56C0"/>
    <w:rsid w:val="31DF64D1"/>
    <w:rsid w:val="31E00A83"/>
    <w:rsid w:val="31E066A8"/>
    <w:rsid w:val="31E06CBE"/>
    <w:rsid w:val="31E07961"/>
    <w:rsid w:val="31E13D9A"/>
    <w:rsid w:val="31E160A6"/>
    <w:rsid w:val="31E218FC"/>
    <w:rsid w:val="31E21BF4"/>
    <w:rsid w:val="31E247E4"/>
    <w:rsid w:val="31E24E52"/>
    <w:rsid w:val="31E30152"/>
    <w:rsid w:val="31E3055C"/>
    <w:rsid w:val="31E3230A"/>
    <w:rsid w:val="31E367AE"/>
    <w:rsid w:val="31E41E2A"/>
    <w:rsid w:val="31E43767"/>
    <w:rsid w:val="31E437CC"/>
    <w:rsid w:val="31E537D3"/>
    <w:rsid w:val="31E542D4"/>
    <w:rsid w:val="31E56082"/>
    <w:rsid w:val="31E57E30"/>
    <w:rsid w:val="31E65111"/>
    <w:rsid w:val="31E7004C"/>
    <w:rsid w:val="31E71DFA"/>
    <w:rsid w:val="31E77834"/>
    <w:rsid w:val="31E7797A"/>
    <w:rsid w:val="31E81C66"/>
    <w:rsid w:val="31E83DC4"/>
    <w:rsid w:val="31E842BF"/>
    <w:rsid w:val="31E85B2B"/>
    <w:rsid w:val="31E85B72"/>
    <w:rsid w:val="31E87920"/>
    <w:rsid w:val="31E9304B"/>
    <w:rsid w:val="31EA27E1"/>
    <w:rsid w:val="31EA3699"/>
    <w:rsid w:val="31EA4BE9"/>
    <w:rsid w:val="31EA5447"/>
    <w:rsid w:val="31EA5FAE"/>
    <w:rsid w:val="31EA61B5"/>
    <w:rsid w:val="31EA7C43"/>
    <w:rsid w:val="31EB11BF"/>
    <w:rsid w:val="31EC5663"/>
    <w:rsid w:val="31EC7411"/>
    <w:rsid w:val="31ED0783"/>
    <w:rsid w:val="31ED1F65"/>
    <w:rsid w:val="31ED3189"/>
    <w:rsid w:val="31ED4B77"/>
    <w:rsid w:val="31EE13DB"/>
    <w:rsid w:val="31EE4B36"/>
    <w:rsid w:val="31EF0B82"/>
    <w:rsid w:val="31EF0CAF"/>
    <w:rsid w:val="31EF1A70"/>
    <w:rsid w:val="31EF30F9"/>
    <w:rsid w:val="31EF446B"/>
    <w:rsid w:val="31EF6F01"/>
    <w:rsid w:val="31F00FA4"/>
    <w:rsid w:val="31F0125B"/>
    <w:rsid w:val="31F018FC"/>
    <w:rsid w:val="31F023FB"/>
    <w:rsid w:val="31F06CD1"/>
    <w:rsid w:val="31F07640"/>
    <w:rsid w:val="31F108E6"/>
    <w:rsid w:val="31F11D76"/>
    <w:rsid w:val="31F12C79"/>
    <w:rsid w:val="31F15713"/>
    <w:rsid w:val="31F165C7"/>
    <w:rsid w:val="31F167D5"/>
    <w:rsid w:val="31F2079F"/>
    <w:rsid w:val="31F23206"/>
    <w:rsid w:val="31F24947"/>
    <w:rsid w:val="31F276EF"/>
    <w:rsid w:val="31F369F1"/>
    <w:rsid w:val="31F37890"/>
    <w:rsid w:val="31F42769"/>
    <w:rsid w:val="31F42B5E"/>
    <w:rsid w:val="31F42CAC"/>
    <w:rsid w:val="31F4315B"/>
    <w:rsid w:val="31F44517"/>
    <w:rsid w:val="31F449E0"/>
    <w:rsid w:val="31F45A02"/>
    <w:rsid w:val="31F46410"/>
    <w:rsid w:val="31F46F90"/>
    <w:rsid w:val="31F56542"/>
    <w:rsid w:val="31F61B87"/>
    <w:rsid w:val="31F641DA"/>
    <w:rsid w:val="31F6746B"/>
    <w:rsid w:val="31F75BE8"/>
    <w:rsid w:val="31F75DB5"/>
    <w:rsid w:val="31F77B64"/>
    <w:rsid w:val="31F84007"/>
    <w:rsid w:val="31F85884"/>
    <w:rsid w:val="31F90508"/>
    <w:rsid w:val="31F91B2E"/>
    <w:rsid w:val="31F91C49"/>
    <w:rsid w:val="31F938DC"/>
    <w:rsid w:val="31F97D80"/>
    <w:rsid w:val="31FA2348"/>
    <w:rsid w:val="31FA2408"/>
    <w:rsid w:val="31FA3226"/>
    <w:rsid w:val="31FA55A9"/>
    <w:rsid w:val="31FB0B7D"/>
    <w:rsid w:val="31FB29FF"/>
    <w:rsid w:val="31FB3AF8"/>
    <w:rsid w:val="31FB51B5"/>
    <w:rsid w:val="31FB58A6"/>
    <w:rsid w:val="31FB713A"/>
    <w:rsid w:val="31FB7654"/>
    <w:rsid w:val="31FC517A"/>
    <w:rsid w:val="31FD161E"/>
    <w:rsid w:val="31FD2C13"/>
    <w:rsid w:val="31FD2CE2"/>
    <w:rsid w:val="31FD6E89"/>
    <w:rsid w:val="31FD7870"/>
    <w:rsid w:val="31FE0EF2"/>
    <w:rsid w:val="31FE41DB"/>
    <w:rsid w:val="31FF437A"/>
    <w:rsid w:val="31FF5ABB"/>
    <w:rsid w:val="31FF6DC2"/>
    <w:rsid w:val="31FF7748"/>
    <w:rsid w:val="32001DF3"/>
    <w:rsid w:val="32002EBC"/>
    <w:rsid w:val="32004C6A"/>
    <w:rsid w:val="320139C5"/>
    <w:rsid w:val="320209E2"/>
    <w:rsid w:val="3202443C"/>
    <w:rsid w:val="32024E86"/>
    <w:rsid w:val="3202637A"/>
    <w:rsid w:val="32026C34"/>
    <w:rsid w:val="320329AC"/>
    <w:rsid w:val="32032EA8"/>
    <w:rsid w:val="3203475A"/>
    <w:rsid w:val="32034EF7"/>
    <w:rsid w:val="320358CC"/>
    <w:rsid w:val="320362F1"/>
    <w:rsid w:val="32036508"/>
    <w:rsid w:val="320408EB"/>
    <w:rsid w:val="32051567"/>
    <w:rsid w:val="32054110"/>
    <w:rsid w:val="32056724"/>
    <w:rsid w:val="3206115E"/>
    <w:rsid w:val="3206424D"/>
    <w:rsid w:val="3207424B"/>
    <w:rsid w:val="32075FF9"/>
    <w:rsid w:val="32081D71"/>
    <w:rsid w:val="32083730"/>
    <w:rsid w:val="32086601"/>
    <w:rsid w:val="3209173E"/>
    <w:rsid w:val="3209333D"/>
    <w:rsid w:val="32096215"/>
    <w:rsid w:val="32096C28"/>
    <w:rsid w:val="320A3B2C"/>
    <w:rsid w:val="320A3D3B"/>
    <w:rsid w:val="320A5AE9"/>
    <w:rsid w:val="320A61DE"/>
    <w:rsid w:val="320B54EE"/>
    <w:rsid w:val="320B72F9"/>
    <w:rsid w:val="320C7AB3"/>
    <w:rsid w:val="320D0AC2"/>
    <w:rsid w:val="320D55D9"/>
    <w:rsid w:val="320E2754"/>
    <w:rsid w:val="320E29DF"/>
    <w:rsid w:val="320E5113"/>
    <w:rsid w:val="320F3E6F"/>
    <w:rsid w:val="320F4EAD"/>
    <w:rsid w:val="320F63B0"/>
    <w:rsid w:val="321017B5"/>
    <w:rsid w:val="32106257"/>
    <w:rsid w:val="32110C25"/>
    <w:rsid w:val="32111360"/>
    <w:rsid w:val="321150C9"/>
    <w:rsid w:val="3211678F"/>
    <w:rsid w:val="3212499D"/>
    <w:rsid w:val="321264B7"/>
    <w:rsid w:val="32126564"/>
    <w:rsid w:val="32127033"/>
    <w:rsid w:val="32130E41"/>
    <w:rsid w:val="32131E48"/>
    <w:rsid w:val="32132FE6"/>
    <w:rsid w:val="32133E17"/>
    <w:rsid w:val="32136C0D"/>
    <w:rsid w:val="32143537"/>
    <w:rsid w:val="32145110"/>
    <w:rsid w:val="32145599"/>
    <w:rsid w:val="321558C2"/>
    <w:rsid w:val="32157CE1"/>
    <w:rsid w:val="32157D93"/>
    <w:rsid w:val="32161171"/>
    <w:rsid w:val="32163D42"/>
    <w:rsid w:val="3216448E"/>
    <w:rsid w:val="3216623C"/>
    <w:rsid w:val="32167EC9"/>
    <w:rsid w:val="32173C60"/>
    <w:rsid w:val="321751D2"/>
    <w:rsid w:val="32177347"/>
    <w:rsid w:val="321831E5"/>
    <w:rsid w:val="321855CA"/>
    <w:rsid w:val="32186458"/>
    <w:rsid w:val="321921D0"/>
    <w:rsid w:val="321923A5"/>
    <w:rsid w:val="3219327C"/>
    <w:rsid w:val="32193F7E"/>
    <w:rsid w:val="32194959"/>
    <w:rsid w:val="32195D2C"/>
    <w:rsid w:val="321A26C3"/>
    <w:rsid w:val="321B1AA4"/>
    <w:rsid w:val="321B2412"/>
    <w:rsid w:val="321B5F48"/>
    <w:rsid w:val="321C462A"/>
    <w:rsid w:val="321C741D"/>
    <w:rsid w:val="321D3A6E"/>
    <w:rsid w:val="321D3FFD"/>
    <w:rsid w:val="321D716A"/>
    <w:rsid w:val="321E1D2A"/>
    <w:rsid w:val="321E4FEA"/>
    <w:rsid w:val="321E56E7"/>
    <w:rsid w:val="321E77E6"/>
    <w:rsid w:val="321E7B5A"/>
    <w:rsid w:val="321F203B"/>
    <w:rsid w:val="321F34EA"/>
    <w:rsid w:val="321F45A4"/>
    <w:rsid w:val="321F7BC2"/>
    <w:rsid w:val="322023D2"/>
    <w:rsid w:val="3220530C"/>
    <w:rsid w:val="322079C5"/>
    <w:rsid w:val="32210E55"/>
    <w:rsid w:val="32211457"/>
    <w:rsid w:val="32214BE6"/>
    <w:rsid w:val="32215645"/>
    <w:rsid w:val="32216284"/>
    <w:rsid w:val="32217D5B"/>
    <w:rsid w:val="32221084"/>
    <w:rsid w:val="32222E32"/>
    <w:rsid w:val="32223817"/>
    <w:rsid w:val="32225ABD"/>
    <w:rsid w:val="32225C91"/>
    <w:rsid w:val="32225CAB"/>
    <w:rsid w:val="32226F92"/>
    <w:rsid w:val="32227714"/>
    <w:rsid w:val="322318CB"/>
    <w:rsid w:val="32236174"/>
    <w:rsid w:val="32237B46"/>
    <w:rsid w:val="32244DFC"/>
    <w:rsid w:val="32245017"/>
    <w:rsid w:val="32246346"/>
    <w:rsid w:val="32250B75"/>
    <w:rsid w:val="32252923"/>
    <w:rsid w:val="32260A90"/>
    <w:rsid w:val="32260C66"/>
    <w:rsid w:val="322620F6"/>
    <w:rsid w:val="32272ACB"/>
    <w:rsid w:val="32273F13"/>
    <w:rsid w:val="32274CC7"/>
    <w:rsid w:val="32276FCB"/>
    <w:rsid w:val="3228123F"/>
    <w:rsid w:val="322841C1"/>
    <w:rsid w:val="32284A16"/>
    <w:rsid w:val="32285F6F"/>
    <w:rsid w:val="32286157"/>
    <w:rsid w:val="32292413"/>
    <w:rsid w:val="32296E45"/>
    <w:rsid w:val="322975E7"/>
    <w:rsid w:val="322A15AB"/>
    <w:rsid w:val="322A1CE7"/>
    <w:rsid w:val="322A3648"/>
    <w:rsid w:val="322A388F"/>
    <w:rsid w:val="322A42A7"/>
    <w:rsid w:val="322A7F39"/>
    <w:rsid w:val="322C0F21"/>
    <w:rsid w:val="322C3CB1"/>
    <w:rsid w:val="322C5176"/>
    <w:rsid w:val="322C5A5F"/>
    <w:rsid w:val="322C68D6"/>
    <w:rsid w:val="322D13ED"/>
    <w:rsid w:val="322D17D7"/>
    <w:rsid w:val="322D309B"/>
    <w:rsid w:val="322D4518"/>
    <w:rsid w:val="322D5A9C"/>
    <w:rsid w:val="322D5BCA"/>
    <w:rsid w:val="322D5CC7"/>
    <w:rsid w:val="322E04E5"/>
    <w:rsid w:val="322E0CBD"/>
    <w:rsid w:val="322E1087"/>
    <w:rsid w:val="322E1FC9"/>
    <w:rsid w:val="322E4681"/>
    <w:rsid w:val="322E55E0"/>
    <w:rsid w:val="322E5C7B"/>
    <w:rsid w:val="322E7A04"/>
    <w:rsid w:val="322E7A29"/>
    <w:rsid w:val="322F37A1"/>
    <w:rsid w:val="322F72FD"/>
    <w:rsid w:val="3230372C"/>
    <w:rsid w:val="32315313"/>
    <w:rsid w:val="32315B73"/>
    <w:rsid w:val="32315D79"/>
    <w:rsid w:val="32317519"/>
    <w:rsid w:val="32321DDA"/>
    <w:rsid w:val="32324116"/>
    <w:rsid w:val="32324E0A"/>
    <w:rsid w:val="32326B68"/>
    <w:rsid w:val="32333292"/>
    <w:rsid w:val="3234448B"/>
    <w:rsid w:val="323446FA"/>
    <w:rsid w:val="3234700A"/>
    <w:rsid w:val="3235075B"/>
    <w:rsid w:val="32351892"/>
    <w:rsid w:val="32352291"/>
    <w:rsid w:val="32353BD1"/>
    <w:rsid w:val="32353C89"/>
    <w:rsid w:val="32354F6B"/>
    <w:rsid w:val="3235642E"/>
    <w:rsid w:val="323572CB"/>
    <w:rsid w:val="3236068C"/>
    <w:rsid w:val="32363C74"/>
    <w:rsid w:val="32364B30"/>
    <w:rsid w:val="323668DE"/>
    <w:rsid w:val="32366D55"/>
    <w:rsid w:val="323804E7"/>
    <w:rsid w:val="323815C9"/>
    <w:rsid w:val="32382902"/>
    <w:rsid w:val="32383B31"/>
    <w:rsid w:val="3238450B"/>
    <w:rsid w:val="32387E06"/>
    <w:rsid w:val="3239017C"/>
    <w:rsid w:val="3239599B"/>
    <w:rsid w:val="323963CE"/>
    <w:rsid w:val="323970DC"/>
    <w:rsid w:val="323A41FF"/>
    <w:rsid w:val="323A4620"/>
    <w:rsid w:val="323B0398"/>
    <w:rsid w:val="323B3805"/>
    <w:rsid w:val="323B5CA2"/>
    <w:rsid w:val="323C2E8C"/>
    <w:rsid w:val="323C5C13"/>
    <w:rsid w:val="323D1A1A"/>
    <w:rsid w:val="323D431C"/>
    <w:rsid w:val="323D5381"/>
    <w:rsid w:val="323D5EBE"/>
    <w:rsid w:val="323E037D"/>
    <w:rsid w:val="323E2437"/>
    <w:rsid w:val="323E39E4"/>
    <w:rsid w:val="323E6274"/>
    <w:rsid w:val="323E6D03"/>
    <w:rsid w:val="323E6FE9"/>
    <w:rsid w:val="323F1C36"/>
    <w:rsid w:val="323F2F4E"/>
    <w:rsid w:val="323F40BD"/>
    <w:rsid w:val="323F6356"/>
    <w:rsid w:val="32400B34"/>
    <w:rsid w:val="3240150B"/>
    <w:rsid w:val="3240586E"/>
    <w:rsid w:val="324059AE"/>
    <w:rsid w:val="32417616"/>
    <w:rsid w:val="324234D5"/>
    <w:rsid w:val="32425283"/>
    <w:rsid w:val="32426DB9"/>
    <w:rsid w:val="32427031"/>
    <w:rsid w:val="32430FFB"/>
    <w:rsid w:val="32431554"/>
    <w:rsid w:val="32431A19"/>
    <w:rsid w:val="324324BC"/>
    <w:rsid w:val="32432CFF"/>
    <w:rsid w:val="32432D5F"/>
    <w:rsid w:val="32432DA9"/>
    <w:rsid w:val="3243368F"/>
    <w:rsid w:val="324421BF"/>
    <w:rsid w:val="3244724D"/>
    <w:rsid w:val="32452FC5"/>
    <w:rsid w:val="32453B10"/>
    <w:rsid w:val="32454D73"/>
    <w:rsid w:val="32455D37"/>
    <w:rsid w:val="32456B21"/>
    <w:rsid w:val="324575BF"/>
    <w:rsid w:val="324616E0"/>
    <w:rsid w:val="3246335F"/>
    <w:rsid w:val="324729ED"/>
    <w:rsid w:val="32472B70"/>
    <w:rsid w:val="32475C6F"/>
    <w:rsid w:val="32476D3D"/>
    <w:rsid w:val="324801AE"/>
    <w:rsid w:val="324803BF"/>
    <w:rsid w:val="32482650"/>
    <w:rsid w:val="32484000"/>
    <w:rsid w:val="32485F2A"/>
    <w:rsid w:val="32490E6A"/>
    <w:rsid w:val="32495490"/>
    <w:rsid w:val="32496B8D"/>
    <w:rsid w:val="32496BD1"/>
    <w:rsid w:val="324A05DB"/>
    <w:rsid w:val="324A1876"/>
    <w:rsid w:val="324A1D9B"/>
    <w:rsid w:val="324A2389"/>
    <w:rsid w:val="324A2A1F"/>
    <w:rsid w:val="324A4137"/>
    <w:rsid w:val="324A56ED"/>
    <w:rsid w:val="324A5814"/>
    <w:rsid w:val="324B500E"/>
    <w:rsid w:val="324B718F"/>
    <w:rsid w:val="324C0285"/>
    <w:rsid w:val="324C087C"/>
    <w:rsid w:val="324C0B73"/>
    <w:rsid w:val="324C2981"/>
    <w:rsid w:val="324C4353"/>
    <w:rsid w:val="324C4580"/>
    <w:rsid w:val="324C45DB"/>
    <w:rsid w:val="324C5552"/>
    <w:rsid w:val="324C7EAF"/>
    <w:rsid w:val="324D199D"/>
    <w:rsid w:val="324D35C8"/>
    <w:rsid w:val="324D751A"/>
    <w:rsid w:val="324E00A0"/>
    <w:rsid w:val="324E00CB"/>
    <w:rsid w:val="324E1E79"/>
    <w:rsid w:val="324E38E3"/>
    <w:rsid w:val="324E3C27"/>
    <w:rsid w:val="324F22AD"/>
    <w:rsid w:val="324F3ED3"/>
    <w:rsid w:val="324F4C62"/>
    <w:rsid w:val="324F5BF1"/>
    <w:rsid w:val="324F79A0"/>
    <w:rsid w:val="32504B1A"/>
    <w:rsid w:val="32505363"/>
    <w:rsid w:val="32507735"/>
    <w:rsid w:val="3251196A"/>
    <w:rsid w:val="32512037"/>
    <w:rsid w:val="32513C22"/>
    <w:rsid w:val="3251505F"/>
    <w:rsid w:val="325154C6"/>
    <w:rsid w:val="325156B6"/>
    <w:rsid w:val="325167F3"/>
    <w:rsid w:val="32521FA8"/>
    <w:rsid w:val="325250B2"/>
    <w:rsid w:val="32525CAD"/>
    <w:rsid w:val="32531113"/>
    <w:rsid w:val="32537490"/>
    <w:rsid w:val="32540AD7"/>
    <w:rsid w:val="325425A3"/>
    <w:rsid w:val="32543208"/>
    <w:rsid w:val="32544C17"/>
    <w:rsid w:val="32544FB6"/>
    <w:rsid w:val="325457D0"/>
    <w:rsid w:val="32546D64"/>
    <w:rsid w:val="3255039C"/>
    <w:rsid w:val="3255145A"/>
    <w:rsid w:val="32555174"/>
    <w:rsid w:val="32560053"/>
    <w:rsid w:val="32560D2E"/>
    <w:rsid w:val="32580455"/>
    <w:rsid w:val="325823B4"/>
    <w:rsid w:val="32584AA6"/>
    <w:rsid w:val="325A081E"/>
    <w:rsid w:val="325A2027"/>
    <w:rsid w:val="325A6415"/>
    <w:rsid w:val="325A6A70"/>
    <w:rsid w:val="325B15CB"/>
    <w:rsid w:val="325B36F4"/>
    <w:rsid w:val="325B4596"/>
    <w:rsid w:val="325B71B7"/>
    <w:rsid w:val="325C3906"/>
    <w:rsid w:val="325C702F"/>
    <w:rsid w:val="325D20BC"/>
    <w:rsid w:val="325D3423"/>
    <w:rsid w:val="325D3E6B"/>
    <w:rsid w:val="325E058D"/>
    <w:rsid w:val="325E38FB"/>
    <w:rsid w:val="325F2C1A"/>
    <w:rsid w:val="325F43D6"/>
    <w:rsid w:val="325F733D"/>
    <w:rsid w:val="32600E45"/>
    <w:rsid w:val="32601838"/>
    <w:rsid w:val="32601BAD"/>
    <w:rsid w:val="32601D36"/>
    <w:rsid w:val="3260393F"/>
    <w:rsid w:val="3260395B"/>
    <w:rsid w:val="32604142"/>
    <w:rsid w:val="32604EE0"/>
    <w:rsid w:val="32606415"/>
    <w:rsid w:val="32607DFF"/>
    <w:rsid w:val="326107F7"/>
    <w:rsid w:val="326113DC"/>
    <w:rsid w:val="32621481"/>
    <w:rsid w:val="32625925"/>
    <w:rsid w:val="326260EE"/>
    <w:rsid w:val="326276D3"/>
    <w:rsid w:val="32630CC9"/>
    <w:rsid w:val="326310CA"/>
    <w:rsid w:val="32636037"/>
    <w:rsid w:val="32650F71"/>
    <w:rsid w:val="32652A67"/>
    <w:rsid w:val="32654C69"/>
    <w:rsid w:val="32655415"/>
    <w:rsid w:val="32656C12"/>
    <w:rsid w:val="326571C3"/>
    <w:rsid w:val="32664960"/>
    <w:rsid w:val="326660F9"/>
    <w:rsid w:val="32672F3B"/>
    <w:rsid w:val="32674CE9"/>
    <w:rsid w:val="32676A97"/>
    <w:rsid w:val="3268280F"/>
    <w:rsid w:val="32691B21"/>
    <w:rsid w:val="32691DF9"/>
    <w:rsid w:val="32694A7A"/>
    <w:rsid w:val="326956A0"/>
    <w:rsid w:val="326A2A2B"/>
    <w:rsid w:val="326A47D9"/>
    <w:rsid w:val="326A5F0A"/>
    <w:rsid w:val="326A6587"/>
    <w:rsid w:val="326B6562"/>
    <w:rsid w:val="326C082A"/>
    <w:rsid w:val="326C39EA"/>
    <w:rsid w:val="326C67A3"/>
    <w:rsid w:val="326D0936"/>
    <w:rsid w:val="326D0E41"/>
    <w:rsid w:val="326E03CD"/>
    <w:rsid w:val="326E0884"/>
    <w:rsid w:val="326E5D1B"/>
    <w:rsid w:val="326E77B3"/>
    <w:rsid w:val="326E7E26"/>
    <w:rsid w:val="326F2E16"/>
    <w:rsid w:val="326F3B9E"/>
    <w:rsid w:val="326F66B5"/>
    <w:rsid w:val="326F71AB"/>
    <w:rsid w:val="32700042"/>
    <w:rsid w:val="3270308D"/>
    <w:rsid w:val="32703A82"/>
    <w:rsid w:val="327049C6"/>
    <w:rsid w:val="32705150"/>
    <w:rsid w:val="32710E43"/>
    <w:rsid w:val="327159B5"/>
    <w:rsid w:val="32715B68"/>
    <w:rsid w:val="3272726D"/>
    <w:rsid w:val="3273318C"/>
    <w:rsid w:val="3273368E"/>
    <w:rsid w:val="32737B32"/>
    <w:rsid w:val="32743EB6"/>
    <w:rsid w:val="32747406"/>
    <w:rsid w:val="327504B1"/>
    <w:rsid w:val="3275099C"/>
    <w:rsid w:val="32751D2E"/>
    <w:rsid w:val="327550E7"/>
    <w:rsid w:val="32755658"/>
    <w:rsid w:val="32757ADC"/>
    <w:rsid w:val="32760FED"/>
    <w:rsid w:val="327613D0"/>
    <w:rsid w:val="32763024"/>
    <w:rsid w:val="3276317E"/>
    <w:rsid w:val="32763D35"/>
    <w:rsid w:val="327644AD"/>
    <w:rsid w:val="32780CA4"/>
    <w:rsid w:val="32785148"/>
    <w:rsid w:val="32786EF6"/>
    <w:rsid w:val="327935B5"/>
    <w:rsid w:val="32793B66"/>
    <w:rsid w:val="3279456F"/>
    <w:rsid w:val="32794A1C"/>
    <w:rsid w:val="3279767C"/>
    <w:rsid w:val="327A2C6E"/>
    <w:rsid w:val="327A33B7"/>
    <w:rsid w:val="327A42BE"/>
    <w:rsid w:val="327A5649"/>
    <w:rsid w:val="327B0795"/>
    <w:rsid w:val="327B202D"/>
    <w:rsid w:val="327B3945"/>
    <w:rsid w:val="327B69E7"/>
    <w:rsid w:val="327B6E8F"/>
    <w:rsid w:val="327C031F"/>
    <w:rsid w:val="327C3E69"/>
    <w:rsid w:val="327D0352"/>
    <w:rsid w:val="327D0BE3"/>
    <w:rsid w:val="327D275F"/>
    <w:rsid w:val="327D4380"/>
    <w:rsid w:val="327D4416"/>
    <w:rsid w:val="327D450D"/>
    <w:rsid w:val="327D69E4"/>
    <w:rsid w:val="327D7571"/>
    <w:rsid w:val="327E12F0"/>
    <w:rsid w:val="327E448F"/>
    <w:rsid w:val="327F3529"/>
    <w:rsid w:val="327F64D7"/>
    <w:rsid w:val="327F6CA0"/>
    <w:rsid w:val="327F7AF5"/>
    <w:rsid w:val="32800704"/>
    <w:rsid w:val="32801871"/>
    <w:rsid w:val="32803FFD"/>
    <w:rsid w:val="32805DAB"/>
    <w:rsid w:val="328115C0"/>
    <w:rsid w:val="3281224F"/>
    <w:rsid w:val="32813259"/>
    <w:rsid w:val="328136CD"/>
    <w:rsid w:val="32814517"/>
    <w:rsid w:val="32815060"/>
    <w:rsid w:val="32816E64"/>
    <w:rsid w:val="328178C4"/>
    <w:rsid w:val="3282000A"/>
    <w:rsid w:val="32820142"/>
    <w:rsid w:val="32821B23"/>
    <w:rsid w:val="3283190D"/>
    <w:rsid w:val="328363A6"/>
    <w:rsid w:val="328424A2"/>
    <w:rsid w:val="32843AED"/>
    <w:rsid w:val="32847649"/>
    <w:rsid w:val="32851613"/>
    <w:rsid w:val="328533C1"/>
    <w:rsid w:val="328535BD"/>
    <w:rsid w:val="328540F0"/>
    <w:rsid w:val="3285629B"/>
    <w:rsid w:val="328616A9"/>
    <w:rsid w:val="32866B73"/>
    <w:rsid w:val="32867865"/>
    <w:rsid w:val="32870003"/>
    <w:rsid w:val="32870EE7"/>
    <w:rsid w:val="32874605"/>
    <w:rsid w:val="32877139"/>
    <w:rsid w:val="32880456"/>
    <w:rsid w:val="32880989"/>
    <w:rsid w:val="32883CF8"/>
    <w:rsid w:val="32891103"/>
    <w:rsid w:val="32892941"/>
    <w:rsid w:val="32892EB1"/>
    <w:rsid w:val="32894785"/>
    <w:rsid w:val="32894C60"/>
    <w:rsid w:val="32895ECB"/>
    <w:rsid w:val="328A09D8"/>
    <w:rsid w:val="328A2477"/>
    <w:rsid w:val="328A38C9"/>
    <w:rsid w:val="328A42E7"/>
    <w:rsid w:val="328A4D47"/>
    <w:rsid w:val="328A54F4"/>
    <w:rsid w:val="328A6323"/>
    <w:rsid w:val="328A6C2A"/>
    <w:rsid w:val="328B26D9"/>
    <w:rsid w:val="328B3A18"/>
    <w:rsid w:val="328C0BF4"/>
    <w:rsid w:val="328C29A2"/>
    <w:rsid w:val="328C6FE9"/>
    <w:rsid w:val="328C7DE5"/>
    <w:rsid w:val="328D14A0"/>
    <w:rsid w:val="328D6415"/>
    <w:rsid w:val="328E04C8"/>
    <w:rsid w:val="328E3BC4"/>
    <w:rsid w:val="328E4700"/>
    <w:rsid w:val="328E671A"/>
    <w:rsid w:val="328E6F28"/>
    <w:rsid w:val="328F5FEE"/>
    <w:rsid w:val="32901EBC"/>
    <w:rsid w:val="32902492"/>
    <w:rsid w:val="329027F6"/>
    <w:rsid w:val="32904240"/>
    <w:rsid w:val="32907AE1"/>
    <w:rsid w:val="32907E5C"/>
    <w:rsid w:val="32911D66"/>
    <w:rsid w:val="32915209"/>
    <w:rsid w:val="32915CC0"/>
    <w:rsid w:val="32916FAB"/>
    <w:rsid w:val="32917FB8"/>
    <w:rsid w:val="32921363"/>
    <w:rsid w:val="32923AFD"/>
    <w:rsid w:val="32931F82"/>
    <w:rsid w:val="329329CA"/>
    <w:rsid w:val="32933D30"/>
    <w:rsid w:val="32935ADE"/>
    <w:rsid w:val="329365A6"/>
    <w:rsid w:val="32936D23"/>
    <w:rsid w:val="3293788C"/>
    <w:rsid w:val="32941177"/>
    <w:rsid w:val="32943082"/>
    <w:rsid w:val="32943604"/>
    <w:rsid w:val="329448A6"/>
    <w:rsid w:val="329462E9"/>
    <w:rsid w:val="32951856"/>
    <w:rsid w:val="32957AA8"/>
    <w:rsid w:val="32963820"/>
    <w:rsid w:val="329735D1"/>
    <w:rsid w:val="32981347"/>
    <w:rsid w:val="329830F5"/>
    <w:rsid w:val="32987598"/>
    <w:rsid w:val="329877D5"/>
    <w:rsid w:val="32987EF2"/>
    <w:rsid w:val="329A2493"/>
    <w:rsid w:val="329A38A8"/>
    <w:rsid w:val="329A3A56"/>
    <w:rsid w:val="329B0E37"/>
    <w:rsid w:val="329B2BE5"/>
    <w:rsid w:val="329B2CF9"/>
    <w:rsid w:val="329B6479"/>
    <w:rsid w:val="329C0824"/>
    <w:rsid w:val="329C0D99"/>
    <w:rsid w:val="329C6E3C"/>
    <w:rsid w:val="329D070B"/>
    <w:rsid w:val="329D4BAF"/>
    <w:rsid w:val="329D695D"/>
    <w:rsid w:val="329D7161"/>
    <w:rsid w:val="329E6876"/>
    <w:rsid w:val="329F0927"/>
    <w:rsid w:val="329F26D5"/>
    <w:rsid w:val="32A001FB"/>
    <w:rsid w:val="32A01FA9"/>
    <w:rsid w:val="32A058E3"/>
    <w:rsid w:val="32A05A39"/>
    <w:rsid w:val="32A10529"/>
    <w:rsid w:val="32A115A7"/>
    <w:rsid w:val="32A12F3A"/>
    <w:rsid w:val="32A14E17"/>
    <w:rsid w:val="32A221C5"/>
    <w:rsid w:val="32A23F73"/>
    <w:rsid w:val="32A24C0B"/>
    <w:rsid w:val="32A31328"/>
    <w:rsid w:val="32A33401"/>
    <w:rsid w:val="32A3404E"/>
    <w:rsid w:val="32A41A99"/>
    <w:rsid w:val="32A446AD"/>
    <w:rsid w:val="32A466D4"/>
    <w:rsid w:val="32A47A21"/>
    <w:rsid w:val="32A47CEB"/>
    <w:rsid w:val="32A520FC"/>
    <w:rsid w:val="32A52E8C"/>
    <w:rsid w:val="32A55811"/>
    <w:rsid w:val="32A61CB5"/>
    <w:rsid w:val="32A61E4B"/>
    <w:rsid w:val="32A63483"/>
    <w:rsid w:val="32A6358C"/>
    <w:rsid w:val="32A6777E"/>
    <w:rsid w:val="32A7158A"/>
    <w:rsid w:val="32A73338"/>
    <w:rsid w:val="32A745C5"/>
    <w:rsid w:val="32A74A1C"/>
    <w:rsid w:val="32A771A8"/>
    <w:rsid w:val="32A8492C"/>
    <w:rsid w:val="32A90421"/>
    <w:rsid w:val="32A907CC"/>
    <w:rsid w:val="32A921C3"/>
    <w:rsid w:val="32A933D3"/>
    <w:rsid w:val="32A93554"/>
    <w:rsid w:val="32A94485"/>
    <w:rsid w:val="32A95302"/>
    <w:rsid w:val="32A970B0"/>
    <w:rsid w:val="32A977CE"/>
    <w:rsid w:val="32AA2E28"/>
    <w:rsid w:val="32AA339D"/>
    <w:rsid w:val="32AA7CC6"/>
    <w:rsid w:val="32AB400A"/>
    <w:rsid w:val="32AB72CC"/>
    <w:rsid w:val="32AC0031"/>
    <w:rsid w:val="32AC094E"/>
    <w:rsid w:val="32AC142F"/>
    <w:rsid w:val="32AC2A5C"/>
    <w:rsid w:val="32AC3044"/>
    <w:rsid w:val="32AC3575"/>
    <w:rsid w:val="32AC4DF2"/>
    <w:rsid w:val="32AC6BA0"/>
    <w:rsid w:val="32AD714D"/>
    <w:rsid w:val="32AE0B6A"/>
    <w:rsid w:val="32AE2918"/>
    <w:rsid w:val="32AE2A18"/>
    <w:rsid w:val="32AE46C6"/>
    <w:rsid w:val="32AE755D"/>
    <w:rsid w:val="32AF09B3"/>
    <w:rsid w:val="32AF463E"/>
    <w:rsid w:val="32AF5853"/>
    <w:rsid w:val="32AF7D0E"/>
    <w:rsid w:val="32B0196B"/>
    <w:rsid w:val="32B02D54"/>
    <w:rsid w:val="32B048E2"/>
    <w:rsid w:val="32B06589"/>
    <w:rsid w:val="32B06690"/>
    <w:rsid w:val="32B078FE"/>
    <w:rsid w:val="32B1065A"/>
    <w:rsid w:val="32B11CE9"/>
    <w:rsid w:val="32B13044"/>
    <w:rsid w:val="32B141B6"/>
    <w:rsid w:val="32B17C2B"/>
    <w:rsid w:val="32B23977"/>
    <w:rsid w:val="32B278AB"/>
    <w:rsid w:val="32B31CDC"/>
    <w:rsid w:val="32B32574"/>
    <w:rsid w:val="32B36180"/>
    <w:rsid w:val="32B469FB"/>
    <w:rsid w:val="32B47418"/>
    <w:rsid w:val="32B504B0"/>
    <w:rsid w:val="32B51EF8"/>
    <w:rsid w:val="32B52754"/>
    <w:rsid w:val="32B55A55"/>
    <w:rsid w:val="32B617CD"/>
    <w:rsid w:val="32B62EBD"/>
    <w:rsid w:val="32B70786"/>
    <w:rsid w:val="32B7097B"/>
    <w:rsid w:val="32B72DD0"/>
    <w:rsid w:val="32B76FA2"/>
    <w:rsid w:val="32B819E9"/>
    <w:rsid w:val="32B82FAC"/>
    <w:rsid w:val="32B85545"/>
    <w:rsid w:val="32B86E31"/>
    <w:rsid w:val="32B9687D"/>
    <w:rsid w:val="32BA12BD"/>
    <w:rsid w:val="32BA1751"/>
    <w:rsid w:val="32BA2E92"/>
    <w:rsid w:val="32BA5B38"/>
    <w:rsid w:val="32BA750F"/>
    <w:rsid w:val="32BB67FE"/>
    <w:rsid w:val="32BB6A1A"/>
    <w:rsid w:val="32BB6DE3"/>
    <w:rsid w:val="32BC11D7"/>
    <w:rsid w:val="32BC3287"/>
    <w:rsid w:val="32BC3B54"/>
    <w:rsid w:val="32BC6F09"/>
    <w:rsid w:val="32BD0DAD"/>
    <w:rsid w:val="32BD1813"/>
    <w:rsid w:val="32BD2B5B"/>
    <w:rsid w:val="32BD3CE6"/>
    <w:rsid w:val="32BD4D86"/>
    <w:rsid w:val="32BD6FFF"/>
    <w:rsid w:val="32BD755C"/>
    <w:rsid w:val="32BE0695"/>
    <w:rsid w:val="32BE1AC5"/>
    <w:rsid w:val="32BE26C8"/>
    <w:rsid w:val="32BE3907"/>
    <w:rsid w:val="32BE4D76"/>
    <w:rsid w:val="32BF0685"/>
    <w:rsid w:val="32BF09BE"/>
    <w:rsid w:val="32BF2D77"/>
    <w:rsid w:val="32BF4133"/>
    <w:rsid w:val="32C00FDA"/>
    <w:rsid w:val="32C01287"/>
    <w:rsid w:val="32C0403C"/>
    <w:rsid w:val="32C043F9"/>
    <w:rsid w:val="32C10194"/>
    <w:rsid w:val="32C1089D"/>
    <w:rsid w:val="32C20171"/>
    <w:rsid w:val="32C22AB4"/>
    <w:rsid w:val="32C23D7F"/>
    <w:rsid w:val="32C24615"/>
    <w:rsid w:val="32C263C3"/>
    <w:rsid w:val="32C26CD8"/>
    <w:rsid w:val="32C30D18"/>
    <w:rsid w:val="32C31F12"/>
    <w:rsid w:val="32C4213C"/>
    <w:rsid w:val="32C43EEA"/>
    <w:rsid w:val="32C453D4"/>
    <w:rsid w:val="32C47056"/>
    <w:rsid w:val="32C50561"/>
    <w:rsid w:val="32C51A10"/>
    <w:rsid w:val="32C54D36"/>
    <w:rsid w:val="32C61435"/>
    <w:rsid w:val="32C70573"/>
    <w:rsid w:val="32C75496"/>
    <w:rsid w:val="32C81BBF"/>
    <w:rsid w:val="32C83163"/>
    <w:rsid w:val="32C83D55"/>
    <w:rsid w:val="32C9004E"/>
    <w:rsid w:val="32C93FFD"/>
    <w:rsid w:val="32C95864"/>
    <w:rsid w:val="32C959A4"/>
    <w:rsid w:val="32C96F7F"/>
    <w:rsid w:val="32C97752"/>
    <w:rsid w:val="32CA12BA"/>
    <w:rsid w:val="32CB171C"/>
    <w:rsid w:val="32CB34CA"/>
    <w:rsid w:val="32CB3E17"/>
    <w:rsid w:val="32CB4565"/>
    <w:rsid w:val="32CB587E"/>
    <w:rsid w:val="32CB5B7D"/>
    <w:rsid w:val="32CB6CB7"/>
    <w:rsid w:val="32CC1417"/>
    <w:rsid w:val="32CC2D9E"/>
    <w:rsid w:val="32CC3B66"/>
    <w:rsid w:val="32CC45AD"/>
    <w:rsid w:val="32CC6C43"/>
    <w:rsid w:val="32CC7242"/>
    <w:rsid w:val="32CD1523"/>
    <w:rsid w:val="32CD4AB1"/>
    <w:rsid w:val="32CD6737"/>
    <w:rsid w:val="32CD7BC7"/>
    <w:rsid w:val="32CE1057"/>
    <w:rsid w:val="32CE1B26"/>
    <w:rsid w:val="32CE2798"/>
    <w:rsid w:val="32CE2FBA"/>
    <w:rsid w:val="32CE4D68"/>
    <w:rsid w:val="32CE6A40"/>
    <w:rsid w:val="32CE6B16"/>
    <w:rsid w:val="32CE7F08"/>
    <w:rsid w:val="32CF24E7"/>
    <w:rsid w:val="32CF5E49"/>
    <w:rsid w:val="32CF7EF3"/>
    <w:rsid w:val="32D00AE0"/>
    <w:rsid w:val="32D0288E"/>
    <w:rsid w:val="32D03E37"/>
    <w:rsid w:val="32D04000"/>
    <w:rsid w:val="32D07EF0"/>
    <w:rsid w:val="32D103B5"/>
    <w:rsid w:val="32D10B45"/>
    <w:rsid w:val="32D12F38"/>
    <w:rsid w:val="32D1359A"/>
    <w:rsid w:val="32D1414B"/>
    <w:rsid w:val="32D15497"/>
    <w:rsid w:val="32D225A9"/>
    <w:rsid w:val="32D22AAA"/>
    <w:rsid w:val="32D27580"/>
    <w:rsid w:val="32D305D1"/>
    <w:rsid w:val="32D3237F"/>
    <w:rsid w:val="32D36780"/>
    <w:rsid w:val="32D372FC"/>
    <w:rsid w:val="32D4123E"/>
    <w:rsid w:val="32D46FF4"/>
    <w:rsid w:val="32D54349"/>
    <w:rsid w:val="32D549D9"/>
    <w:rsid w:val="32D5621D"/>
    <w:rsid w:val="32D57EA5"/>
    <w:rsid w:val="32D60D3B"/>
    <w:rsid w:val="32D61E6F"/>
    <w:rsid w:val="32D6349F"/>
    <w:rsid w:val="32D6618F"/>
    <w:rsid w:val="32D674F8"/>
    <w:rsid w:val="32D6779A"/>
    <w:rsid w:val="32D67964"/>
    <w:rsid w:val="32D679BF"/>
    <w:rsid w:val="32D700C1"/>
    <w:rsid w:val="32D73A98"/>
    <w:rsid w:val="32D7408D"/>
    <w:rsid w:val="32D81743"/>
    <w:rsid w:val="32D8353D"/>
    <w:rsid w:val="32D83E39"/>
    <w:rsid w:val="32D84684"/>
    <w:rsid w:val="32D85BE7"/>
    <w:rsid w:val="32D86506"/>
    <w:rsid w:val="32D9210B"/>
    <w:rsid w:val="32DB0E83"/>
    <w:rsid w:val="32DB1233"/>
    <w:rsid w:val="32DB21CB"/>
    <w:rsid w:val="32DB7C3A"/>
    <w:rsid w:val="32DC1068"/>
    <w:rsid w:val="32DC56D7"/>
    <w:rsid w:val="32DC79F0"/>
    <w:rsid w:val="32DD144F"/>
    <w:rsid w:val="32DD1509"/>
    <w:rsid w:val="32DD31FD"/>
    <w:rsid w:val="32DD4AEB"/>
    <w:rsid w:val="32DD4FAB"/>
    <w:rsid w:val="32DF0935"/>
    <w:rsid w:val="32DF0D23"/>
    <w:rsid w:val="32DF2AD1"/>
    <w:rsid w:val="32E04BAD"/>
    <w:rsid w:val="32E0684A"/>
    <w:rsid w:val="32E12CEE"/>
    <w:rsid w:val="32E13584"/>
    <w:rsid w:val="32E14A9C"/>
    <w:rsid w:val="32E16C9E"/>
    <w:rsid w:val="32E20814"/>
    <w:rsid w:val="32E20925"/>
    <w:rsid w:val="32E225C2"/>
    <w:rsid w:val="32E26A66"/>
    <w:rsid w:val="32E3095D"/>
    <w:rsid w:val="32E33440"/>
    <w:rsid w:val="32E366DD"/>
    <w:rsid w:val="32E36F59"/>
    <w:rsid w:val="32E375EE"/>
    <w:rsid w:val="32E427DE"/>
    <w:rsid w:val="32E4499E"/>
    <w:rsid w:val="32E45E34"/>
    <w:rsid w:val="32E53E60"/>
    <w:rsid w:val="32E672DE"/>
    <w:rsid w:val="32E7076E"/>
    <w:rsid w:val="32E8276F"/>
    <w:rsid w:val="32E847CF"/>
    <w:rsid w:val="32E84A7C"/>
    <w:rsid w:val="32E86DE4"/>
    <w:rsid w:val="32E91BA2"/>
    <w:rsid w:val="32E93950"/>
    <w:rsid w:val="32E95C5F"/>
    <w:rsid w:val="32EA3892"/>
    <w:rsid w:val="32EB1476"/>
    <w:rsid w:val="32EB3B6C"/>
    <w:rsid w:val="32EB591A"/>
    <w:rsid w:val="32EB6247"/>
    <w:rsid w:val="32EC215B"/>
    <w:rsid w:val="32EC3150"/>
    <w:rsid w:val="32EC3440"/>
    <w:rsid w:val="32EC64DC"/>
    <w:rsid w:val="32ED01EB"/>
    <w:rsid w:val="32ED1692"/>
    <w:rsid w:val="32ED5589"/>
    <w:rsid w:val="32EE0641"/>
    <w:rsid w:val="32EE540A"/>
    <w:rsid w:val="32EE5A70"/>
    <w:rsid w:val="32EE62B0"/>
    <w:rsid w:val="32EE6E33"/>
    <w:rsid w:val="32EE71B8"/>
    <w:rsid w:val="32EE7FE7"/>
    <w:rsid w:val="32EF1AD0"/>
    <w:rsid w:val="32EF34B3"/>
    <w:rsid w:val="32EF53D2"/>
    <w:rsid w:val="32F00926"/>
    <w:rsid w:val="32F01183"/>
    <w:rsid w:val="32F02A29"/>
    <w:rsid w:val="32F02F31"/>
    <w:rsid w:val="32F03341"/>
    <w:rsid w:val="32F04332"/>
    <w:rsid w:val="32F046A1"/>
    <w:rsid w:val="32F04CDF"/>
    <w:rsid w:val="32F05DE8"/>
    <w:rsid w:val="32F07FDC"/>
    <w:rsid w:val="32F13A79"/>
    <w:rsid w:val="32F15B31"/>
    <w:rsid w:val="32F267A9"/>
    <w:rsid w:val="32F347CF"/>
    <w:rsid w:val="32F36623"/>
    <w:rsid w:val="32F36E95"/>
    <w:rsid w:val="32F40B8A"/>
    <w:rsid w:val="32F40CF8"/>
    <w:rsid w:val="32F42D71"/>
    <w:rsid w:val="32F50547"/>
    <w:rsid w:val="32F522F5"/>
    <w:rsid w:val="32F63493"/>
    <w:rsid w:val="32F6606D"/>
    <w:rsid w:val="32F72511"/>
    <w:rsid w:val="32F742BF"/>
    <w:rsid w:val="32F74AF5"/>
    <w:rsid w:val="32F771F0"/>
    <w:rsid w:val="32F81CA0"/>
    <w:rsid w:val="32F82279"/>
    <w:rsid w:val="32F82AAB"/>
    <w:rsid w:val="32F83B93"/>
    <w:rsid w:val="32F842C3"/>
    <w:rsid w:val="32F91E95"/>
    <w:rsid w:val="32F920E3"/>
    <w:rsid w:val="32F94B9B"/>
    <w:rsid w:val="32FA23F1"/>
    <w:rsid w:val="32FA378F"/>
    <w:rsid w:val="32FA3DAF"/>
    <w:rsid w:val="32FA5B5D"/>
    <w:rsid w:val="32FA6BE3"/>
    <w:rsid w:val="32FA790B"/>
    <w:rsid w:val="32FB5E31"/>
    <w:rsid w:val="32FB7B08"/>
    <w:rsid w:val="32FC18D5"/>
    <w:rsid w:val="32FC7B27"/>
    <w:rsid w:val="32FD11AA"/>
    <w:rsid w:val="32FD26A6"/>
    <w:rsid w:val="32FD564D"/>
    <w:rsid w:val="32FD6CA5"/>
    <w:rsid w:val="32FD70A9"/>
    <w:rsid w:val="32FD73FC"/>
    <w:rsid w:val="32FE389F"/>
    <w:rsid w:val="32FE6A4B"/>
    <w:rsid w:val="32FE7CFB"/>
    <w:rsid w:val="32FF13C6"/>
    <w:rsid w:val="32FF2399"/>
    <w:rsid w:val="32FF3174"/>
    <w:rsid w:val="32FF3876"/>
    <w:rsid w:val="32FF4F22"/>
    <w:rsid w:val="32FF69F4"/>
    <w:rsid w:val="3300373A"/>
    <w:rsid w:val="330115DA"/>
    <w:rsid w:val="33011A86"/>
    <w:rsid w:val="3301297C"/>
    <w:rsid w:val="3301400C"/>
    <w:rsid w:val="33014DF6"/>
    <w:rsid w:val="3301513E"/>
    <w:rsid w:val="33016EEC"/>
    <w:rsid w:val="330216E8"/>
    <w:rsid w:val="3302287F"/>
    <w:rsid w:val="33024479"/>
    <w:rsid w:val="33025375"/>
    <w:rsid w:val="33027F46"/>
    <w:rsid w:val="33033B61"/>
    <w:rsid w:val="33033D2C"/>
    <w:rsid w:val="33034F04"/>
    <w:rsid w:val="330405D6"/>
    <w:rsid w:val="33043633"/>
    <w:rsid w:val="33044C2E"/>
    <w:rsid w:val="330469DC"/>
    <w:rsid w:val="33055437"/>
    <w:rsid w:val="33060AFD"/>
    <w:rsid w:val="33064502"/>
    <w:rsid w:val="330662B0"/>
    <w:rsid w:val="33071207"/>
    <w:rsid w:val="33082236"/>
    <w:rsid w:val="33087100"/>
    <w:rsid w:val="33092244"/>
    <w:rsid w:val="33094007"/>
    <w:rsid w:val="3309726A"/>
    <w:rsid w:val="330A17CB"/>
    <w:rsid w:val="330B12A9"/>
    <w:rsid w:val="330B3B07"/>
    <w:rsid w:val="330B6836"/>
    <w:rsid w:val="330B7D6A"/>
    <w:rsid w:val="330C0FF5"/>
    <w:rsid w:val="330C0FF8"/>
    <w:rsid w:val="330C3079"/>
    <w:rsid w:val="330C763F"/>
    <w:rsid w:val="330D2A50"/>
    <w:rsid w:val="330D3AE3"/>
    <w:rsid w:val="330D3BC9"/>
    <w:rsid w:val="330E33B7"/>
    <w:rsid w:val="330E3E4F"/>
    <w:rsid w:val="330E785B"/>
    <w:rsid w:val="330E78F3"/>
    <w:rsid w:val="330E7C2A"/>
    <w:rsid w:val="330F03F2"/>
    <w:rsid w:val="330F6909"/>
    <w:rsid w:val="330F7364"/>
    <w:rsid w:val="33105381"/>
    <w:rsid w:val="3310712F"/>
    <w:rsid w:val="33110113"/>
    <w:rsid w:val="33110684"/>
    <w:rsid w:val="33110B43"/>
    <w:rsid w:val="331130DB"/>
    <w:rsid w:val="33114C55"/>
    <w:rsid w:val="33122EA7"/>
    <w:rsid w:val="33124E6A"/>
    <w:rsid w:val="331271E5"/>
    <w:rsid w:val="331309CD"/>
    <w:rsid w:val="33134A22"/>
    <w:rsid w:val="33134A9D"/>
    <w:rsid w:val="33134E71"/>
    <w:rsid w:val="33135B91"/>
    <w:rsid w:val="33136607"/>
    <w:rsid w:val="33136C1F"/>
    <w:rsid w:val="3314235B"/>
    <w:rsid w:val="33150BE9"/>
    <w:rsid w:val="33152997"/>
    <w:rsid w:val="331537EB"/>
    <w:rsid w:val="33160928"/>
    <w:rsid w:val="3316226B"/>
    <w:rsid w:val="331704BD"/>
    <w:rsid w:val="3317134F"/>
    <w:rsid w:val="33171638"/>
    <w:rsid w:val="33176593"/>
    <w:rsid w:val="3317670F"/>
    <w:rsid w:val="33180CDC"/>
    <w:rsid w:val="33181118"/>
    <w:rsid w:val="33182487"/>
    <w:rsid w:val="33182BBD"/>
    <w:rsid w:val="331838AD"/>
    <w:rsid w:val="331844EF"/>
    <w:rsid w:val="33185FE3"/>
    <w:rsid w:val="33187B35"/>
    <w:rsid w:val="331A1597"/>
    <w:rsid w:val="331A1847"/>
    <w:rsid w:val="331A1F09"/>
    <w:rsid w:val="331A29D6"/>
    <w:rsid w:val="331A3451"/>
    <w:rsid w:val="331A47AA"/>
    <w:rsid w:val="331A61FF"/>
    <w:rsid w:val="331A6B3D"/>
    <w:rsid w:val="331B1D66"/>
    <w:rsid w:val="331B4953"/>
    <w:rsid w:val="331B54AE"/>
    <w:rsid w:val="331B57EB"/>
    <w:rsid w:val="331B6103"/>
    <w:rsid w:val="331B765D"/>
    <w:rsid w:val="331C01E4"/>
    <w:rsid w:val="331C02C1"/>
    <w:rsid w:val="331C0C03"/>
    <w:rsid w:val="331C1F78"/>
    <w:rsid w:val="331C1FF5"/>
    <w:rsid w:val="331C3D26"/>
    <w:rsid w:val="331C5AD4"/>
    <w:rsid w:val="331D184C"/>
    <w:rsid w:val="331D1F7D"/>
    <w:rsid w:val="331D35FA"/>
    <w:rsid w:val="331D7A9E"/>
    <w:rsid w:val="331E49CF"/>
    <w:rsid w:val="331E5FDE"/>
    <w:rsid w:val="331F0BAF"/>
    <w:rsid w:val="331F3816"/>
    <w:rsid w:val="331F55C4"/>
    <w:rsid w:val="331F7372"/>
    <w:rsid w:val="3320203F"/>
    <w:rsid w:val="332029EC"/>
    <w:rsid w:val="33202E6E"/>
    <w:rsid w:val="3320303C"/>
    <w:rsid w:val="3321133C"/>
    <w:rsid w:val="332134CF"/>
    <w:rsid w:val="332143CC"/>
    <w:rsid w:val="33215BC8"/>
    <w:rsid w:val="3321758E"/>
    <w:rsid w:val="33220459"/>
    <w:rsid w:val="33223089"/>
    <w:rsid w:val="33226E62"/>
    <w:rsid w:val="33227530"/>
    <w:rsid w:val="33227A1F"/>
    <w:rsid w:val="332309C0"/>
    <w:rsid w:val="33231A83"/>
    <w:rsid w:val="33233306"/>
    <w:rsid w:val="33235DEF"/>
    <w:rsid w:val="33240E2C"/>
    <w:rsid w:val="33242BDA"/>
    <w:rsid w:val="33246A6E"/>
    <w:rsid w:val="3324727F"/>
    <w:rsid w:val="3325198F"/>
    <w:rsid w:val="33257AFD"/>
    <w:rsid w:val="33260700"/>
    <w:rsid w:val="33260D24"/>
    <w:rsid w:val="33264547"/>
    <w:rsid w:val="33264BA4"/>
    <w:rsid w:val="3326572E"/>
    <w:rsid w:val="3327131B"/>
    <w:rsid w:val="332741AD"/>
    <w:rsid w:val="33274478"/>
    <w:rsid w:val="33275901"/>
    <w:rsid w:val="3328091C"/>
    <w:rsid w:val="332826CA"/>
    <w:rsid w:val="3329008C"/>
    <w:rsid w:val="332901F1"/>
    <w:rsid w:val="3329067E"/>
    <w:rsid w:val="33293075"/>
    <w:rsid w:val="332930F1"/>
    <w:rsid w:val="33294694"/>
    <w:rsid w:val="33296443"/>
    <w:rsid w:val="332A126C"/>
    <w:rsid w:val="332A4E1C"/>
    <w:rsid w:val="332A54DF"/>
    <w:rsid w:val="332A5CC2"/>
    <w:rsid w:val="332A6241"/>
    <w:rsid w:val="332A73EA"/>
    <w:rsid w:val="332B0CB1"/>
    <w:rsid w:val="332B2381"/>
    <w:rsid w:val="332B24E9"/>
    <w:rsid w:val="332B3F69"/>
    <w:rsid w:val="332B4462"/>
    <w:rsid w:val="332B5B5F"/>
    <w:rsid w:val="332B5D17"/>
    <w:rsid w:val="332C0764"/>
    <w:rsid w:val="332C406F"/>
    <w:rsid w:val="332C6AF9"/>
    <w:rsid w:val="332C6E30"/>
    <w:rsid w:val="332D607C"/>
    <w:rsid w:val="332D7440"/>
    <w:rsid w:val="332E160F"/>
    <w:rsid w:val="332E1CAB"/>
    <w:rsid w:val="332E33C7"/>
    <w:rsid w:val="332E5807"/>
    <w:rsid w:val="332F15ED"/>
    <w:rsid w:val="332F6F63"/>
    <w:rsid w:val="332F7F28"/>
    <w:rsid w:val="333007C9"/>
    <w:rsid w:val="3330157F"/>
    <w:rsid w:val="333015F2"/>
    <w:rsid w:val="33302AB8"/>
    <w:rsid w:val="33302AD7"/>
    <w:rsid w:val="33303530"/>
    <w:rsid w:val="33305A23"/>
    <w:rsid w:val="33306148"/>
    <w:rsid w:val="333077D1"/>
    <w:rsid w:val="33312FC4"/>
    <w:rsid w:val="33316F3D"/>
    <w:rsid w:val="333170A5"/>
    <w:rsid w:val="33323549"/>
    <w:rsid w:val="33324454"/>
    <w:rsid w:val="333247F6"/>
    <w:rsid w:val="3332654C"/>
    <w:rsid w:val="3333106F"/>
    <w:rsid w:val="333323D5"/>
    <w:rsid w:val="33332E1D"/>
    <w:rsid w:val="3334000F"/>
    <w:rsid w:val="33346D74"/>
    <w:rsid w:val="333472C1"/>
    <w:rsid w:val="33352ABC"/>
    <w:rsid w:val="33354DE7"/>
    <w:rsid w:val="33355D66"/>
    <w:rsid w:val="33363E1A"/>
    <w:rsid w:val="3336791A"/>
    <w:rsid w:val="333746BC"/>
    <w:rsid w:val="33374984"/>
    <w:rsid w:val="33374CFC"/>
    <w:rsid w:val="33380434"/>
    <w:rsid w:val="33384493"/>
    <w:rsid w:val="33386B85"/>
    <w:rsid w:val="3338771F"/>
    <w:rsid w:val="33390CE8"/>
    <w:rsid w:val="33390D3B"/>
    <w:rsid w:val="333918D5"/>
    <w:rsid w:val="3339603D"/>
    <w:rsid w:val="333A14AD"/>
    <w:rsid w:val="333A16B6"/>
    <w:rsid w:val="333A23FE"/>
    <w:rsid w:val="333A6F2D"/>
    <w:rsid w:val="333B43A1"/>
    <w:rsid w:val="333B49F7"/>
    <w:rsid w:val="333B5506"/>
    <w:rsid w:val="333B61E5"/>
    <w:rsid w:val="333C43C8"/>
    <w:rsid w:val="333C64C1"/>
    <w:rsid w:val="333C7F24"/>
    <w:rsid w:val="333D4138"/>
    <w:rsid w:val="333D5A4A"/>
    <w:rsid w:val="333E29F7"/>
    <w:rsid w:val="333E40AB"/>
    <w:rsid w:val="333F60CC"/>
    <w:rsid w:val="333F6A58"/>
    <w:rsid w:val="333F701A"/>
    <w:rsid w:val="33405EC6"/>
    <w:rsid w:val="334119DE"/>
    <w:rsid w:val="33412F5E"/>
    <w:rsid w:val="33414B41"/>
    <w:rsid w:val="33417956"/>
    <w:rsid w:val="33421DB3"/>
    <w:rsid w:val="33423060"/>
    <w:rsid w:val="334333C8"/>
    <w:rsid w:val="334343D9"/>
    <w:rsid w:val="33434B22"/>
    <w:rsid w:val="33437504"/>
    <w:rsid w:val="334409AC"/>
    <w:rsid w:val="3344327C"/>
    <w:rsid w:val="334448B4"/>
    <w:rsid w:val="334448D6"/>
    <w:rsid w:val="33445162"/>
    <w:rsid w:val="33451189"/>
    <w:rsid w:val="334528CA"/>
    <w:rsid w:val="33457039"/>
    <w:rsid w:val="33461F3D"/>
    <w:rsid w:val="33462B51"/>
    <w:rsid w:val="33463D5A"/>
    <w:rsid w:val="33466FF4"/>
    <w:rsid w:val="334751EA"/>
    <w:rsid w:val="33482D6D"/>
    <w:rsid w:val="334868C9"/>
    <w:rsid w:val="33490893"/>
    <w:rsid w:val="33490926"/>
    <w:rsid w:val="33492641"/>
    <w:rsid w:val="334926DB"/>
    <w:rsid w:val="33492A68"/>
    <w:rsid w:val="334943EF"/>
    <w:rsid w:val="33497B0A"/>
    <w:rsid w:val="334A0F9A"/>
    <w:rsid w:val="334A37DC"/>
    <w:rsid w:val="334A3B6B"/>
    <w:rsid w:val="334A7557"/>
    <w:rsid w:val="334A77E5"/>
    <w:rsid w:val="334B0167"/>
    <w:rsid w:val="334B3268"/>
    <w:rsid w:val="334B460B"/>
    <w:rsid w:val="334B6320"/>
    <w:rsid w:val="334C71AE"/>
    <w:rsid w:val="334D0383"/>
    <w:rsid w:val="334D105C"/>
    <w:rsid w:val="334D2131"/>
    <w:rsid w:val="334D24C4"/>
    <w:rsid w:val="334D3EDF"/>
    <w:rsid w:val="334E6356"/>
    <w:rsid w:val="334E7C57"/>
    <w:rsid w:val="334F058B"/>
    <w:rsid w:val="334F40FB"/>
    <w:rsid w:val="334F422D"/>
    <w:rsid w:val="334F69FB"/>
    <w:rsid w:val="33501C21"/>
    <w:rsid w:val="33501E5D"/>
    <w:rsid w:val="335030A3"/>
    <w:rsid w:val="3350577D"/>
    <w:rsid w:val="33507614"/>
    <w:rsid w:val="33507C0B"/>
    <w:rsid w:val="335102A6"/>
    <w:rsid w:val="33510E6D"/>
    <w:rsid w:val="33512084"/>
    <w:rsid w:val="335159EE"/>
    <w:rsid w:val="335206B6"/>
    <w:rsid w:val="33521BDC"/>
    <w:rsid w:val="33522D27"/>
    <w:rsid w:val="33522D84"/>
    <w:rsid w:val="33523117"/>
    <w:rsid w:val="33523A3E"/>
    <w:rsid w:val="33525999"/>
    <w:rsid w:val="33526977"/>
    <w:rsid w:val="33527747"/>
    <w:rsid w:val="335334BF"/>
    <w:rsid w:val="3353421E"/>
    <w:rsid w:val="3353526D"/>
    <w:rsid w:val="33541711"/>
    <w:rsid w:val="33543BA4"/>
    <w:rsid w:val="33546673"/>
    <w:rsid w:val="335477EE"/>
    <w:rsid w:val="3355074A"/>
    <w:rsid w:val="335523BF"/>
    <w:rsid w:val="33557C16"/>
    <w:rsid w:val="33563720"/>
    <w:rsid w:val="33566EBE"/>
    <w:rsid w:val="33572166"/>
    <w:rsid w:val="33572452"/>
    <w:rsid w:val="33581701"/>
    <w:rsid w:val="3359251C"/>
    <w:rsid w:val="33595424"/>
    <w:rsid w:val="3359561A"/>
    <w:rsid w:val="33595868"/>
    <w:rsid w:val="33596D28"/>
    <w:rsid w:val="33596EC0"/>
    <w:rsid w:val="335A484E"/>
    <w:rsid w:val="335A547D"/>
    <w:rsid w:val="335A65FC"/>
    <w:rsid w:val="335B187F"/>
    <w:rsid w:val="335B2455"/>
    <w:rsid w:val="335B4EBC"/>
    <w:rsid w:val="335C2374"/>
    <w:rsid w:val="335C246D"/>
    <w:rsid w:val="335C4122"/>
    <w:rsid w:val="335C5069"/>
    <w:rsid w:val="335C6818"/>
    <w:rsid w:val="335C76C1"/>
    <w:rsid w:val="335D0251"/>
    <w:rsid w:val="335D1FE1"/>
    <w:rsid w:val="335D3108"/>
    <w:rsid w:val="335D48E6"/>
    <w:rsid w:val="335D7E9A"/>
    <w:rsid w:val="335E08A0"/>
    <w:rsid w:val="335E20FD"/>
    <w:rsid w:val="335E3471"/>
    <w:rsid w:val="335E433E"/>
    <w:rsid w:val="335E60EC"/>
    <w:rsid w:val="335F1E64"/>
    <w:rsid w:val="335F3C12"/>
    <w:rsid w:val="336010C7"/>
    <w:rsid w:val="33602730"/>
    <w:rsid w:val="33605575"/>
    <w:rsid w:val="33611AEF"/>
    <w:rsid w:val="336122CF"/>
    <w:rsid w:val="33613E2E"/>
    <w:rsid w:val="336158F6"/>
    <w:rsid w:val="33615BDC"/>
    <w:rsid w:val="33617221"/>
    <w:rsid w:val="336200BD"/>
    <w:rsid w:val="336265CE"/>
    <w:rsid w:val="33631954"/>
    <w:rsid w:val="33631ED1"/>
    <w:rsid w:val="33633282"/>
    <w:rsid w:val="33633703"/>
    <w:rsid w:val="336359DD"/>
    <w:rsid w:val="33641229"/>
    <w:rsid w:val="336441CB"/>
    <w:rsid w:val="336448E5"/>
    <w:rsid w:val="336531A1"/>
    <w:rsid w:val="3365368F"/>
    <w:rsid w:val="33655BA2"/>
    <w:rsid w:val="33655E0F"/>
    <w:rsid w:val="33660456"/>
    <w:rsid w:val="33661025"/>
    <w:rsid w:val="33661445"/>
    <w:rsid w:val="33663C35"/>
    <w:rsid w:val="33664FA1"/>
    <w:rsid w:val="3366539D"/>
    <w:rsid w:val="33665F97"/>
    <w:rsid w:val="336702CA"/>
    <w:rsid w:val="33681E65"/>
    <w:rsid w:val="33684523"/>
    <w:rsid w:val="336851BD"/>
    <w:rsid w:val="33685C64"/>
    <w:rsid w:val="33690584"/>
    <w:rsid w:val="3369683F"/>
    <w:rsid w:val="336A2CE3"/>
    <w:rsid w:val="336A42A8"/>
    <w:rsid w:val="336B09D4"/>
    <w:rsid w:val="336B2EA4"/>
    <w:rsid w:val="336B6A5B"/>
    <w:rsid w:val="336D1AD6"/>
    <w:rsid w:val="336D27D3"/>
    <w:rsid w:val="336D3D6E"/>
    <w:rsid w:val="336D632F"/>
    <w:rsid w:val="336D71E9"/>
    <w:rsid w:val="336D741C"/>
    <w:rsid w:val="336E20A7"/>
    <w:rsid w:val="336E3E55"/>
    <w:rsid w:val="336F02F9"/>
    <w:rsid w:val="336F151E"/>
    <w:rsid w:val="336F46CB"/>
    <w:rsid w:val="336F654B"/>
    <w:rsid w:val="33704071"/>
    <w:rsid w:val="33704529"/>
    <w:rsid w:val="33705886"/>
    <w:rsid w:val="33705E1F"/>
    <w:rsid w:val="33707BCD"/>
    <w:rsid w:val="33713745"/>
    <w:rsid w:val="3371497A"/>
    <w:rsid w:val="33714B08"/>
    <w:rsid w:val="33716622"/>
    <w:rsid w:val="33721B98"/>
    <w:rsid w:val="33723946"/>
    <w:rsid w:val="33725F60"/>
    <w:rsid w:val="33727DEA"/>
    <w:rsid w:val="33730D22"/>
    <w:rsid w:val="337374D1"/>
    <w:rsid w:val="337376BE"/>
    <w:rsid w:val="337422FD"/>
    <w:rsid w:val="33745697"/>
    <w:rsid w:val="33745910"/>
    <w:rsid w:val="33747061"/>
    <w:rsid w:val="33751199"/>
    <w:rsid w:val="33751688"/>
    <w:rsid w:val="33752F9F"/>
    <w:rsid w:val="33753436"/>
    <w:rsid w:val="33755FE9"/>
    <w:rsid w:val="33770F5C"/>
    <w:rsid w:val="33772B88"/>
    <w:rsid w:val="33777229"/>
    <w:rsid w:val="33784018"/>
    <w:rsid w:val="33784CD4"/>
    <w:rsid w:val="3378770B"/>
    <w:rsid w:val="33790079"/>
    <w:rsid w:val="337900C3"/>
    <w:rsid w:val="33791178"/>
    <w:rsid w:val="33792F65"/>
    <w:rsid w:val="337931C3"/>
    <w:rsid w:val="337954A8"/>
    <w:rsid w:val="33795DA1"/>
    <w:rsid w:val="337960BD"/>
    <w:rsid w:val="337A2DF5"/>
    <w:rsid w:val="337A55C0"/>
    <w:rsid w:val="337A6C9E"/>
    <w:rsid w:val="337B2065"/>
    <w:rsid w:val="337B2999"/>
    <w:rsid w:val="337B40DA"/>
    <w:rsid w:val="337B4EF0"/>
    <w:rsid w:val="337C29D9"/>
    <w:rsid w:val="337C2A16"/>
    <w:rsid w:val="337C372C"/>
    <w:rsid w:val="337C47C4"/>
    <w:rsid w:val="337D77BC"/>
    <w:rsid w:val="337E13A0"/>
    <w:rsid w:val="337E22EA"/>
    <w:rsid w:val="337F2D55"/>
    <w:rsid w:val="337F3EEB"/>
    <w:rsid w:val="337F42B4"/>
    <w:rsid w:val="33801AA9"/>
    <w:rsid w:val="33802506"/>
    <w:rsid w:val="3380537B"/>
    <w:rsid w:val="33806DB1"/>
    <w:rsid w:val="3381002D"/>
    <w:rsid w:val="33813B89"/>
    <w:rsid w:val="33814A32"/>
    <w:rsid w:val="33815A7D"/>
    <w:rsid w:val="33820815"/>
    <w:rsid w:val="338213DC"/>
    <w:rsid w:val="33821C9C"/>
    <w:rsid w:val="33824B11"/>
    <w:rsid w:val="33826993"/>
    <w:rsid w:val="33826F8A"/>
    <w:rsid w:val="3382746A"/>
    <w:rsid w:val="33827C9B"/>
    <w:rsid w:val="33830649"/>
    <w:rsid w:val="3383112B"/>
    <w:rsid w:val="33831668"/>
    <w:rsid w:val="33833285"/>
    <w:rsid w:val="33835B53"/>
    <w:rsid w:val="3383681E"/>
    <w:rsid w:val="33836C5A"/>
    <w:rsid w:val="338418CB"/>
    <w:rsid w:val="33843679"/>
    <w:rsid w:val="33845CF5"/>
    <w:rsid w:val="3385446A"/>
    <w:rsid w:val="33854A61"/>
    <w:rsid w:val="33857B1D"/>
    <w:rsid w:val="33861640"/>
    <w:rsid w:val="338618CC"/>
    <w:rsid w:val="338631D6"/>
    <w:rsid w:val="33863C2A"/>
    <w:rsid w:val="33865643"/>
    <w:rsid w:val="338673F1"/>
    <w:rsid w:val="33872D43"/>
    <w:rsid w:val="33872F88"/>
    <w:rsid w:val="338754BD"/>
    <w:rsid w:val="33883169"/>
    <w:rsid w:val="33883B0D"/>
    <w:rsid w:val="33884F17"/>
    <w:rsid w:val="33886DEB"/>
    <w:rsid w:val="338907ED"/>
    <w:rsid w:val="33894F9D"/>
    <w:rsid w:val="338A5133"/>
    <w:rsid w:val="338A642D"/>
    <w:rsid w:val="338A662B"/>
    <w:rsid w:val="338B0EAB"/>
    <w:rsid w:val="338B1C61"/>
    <w:rsid w:val="338B248E"/>
    <w:rsid w:val="338B376C"/>
    <w:rsid w:val="338B4A07"/>
    <w:rsid w:val="338D077F"/>
    <w:rsid w:val="338D4DAE"/>
    <w:rsid w:val="338D64EF"/>
    <w:rsid w:val="338E3C34"/>
    <w:rsid w:val="338E62A6"/>
    <w:rsid w:val="338F39E0"/>
    <w:rsid w:val="338F44F8"/>
    <w:rsid w:val="33900270"/>
    <w:rsid w:val="33900364"/>
    <w:rsid w:val="339018EE"/>
    <w:rsid w:val="3390372F"/>
    <w:rsid w:val="33911087"/>
    <w:rsid w:val="33916300"/>
    <w:rsid w:val="3392223A"/>
    <w:rsid w:val="33923FE8"/>
    <w:rsid w:val="33925325"/>
    <w:rsid w:val="3392544A"/>
    <w:rsid w:val="33925D96"/>
    <w:rsid w:val="33927242"/>
    <w:rsid w:val="33931C90"/>
    <w:rsid w:val="33934A8F"/>
    <w:rsid w:val="33944A27"/>
    <w:rsid w:val="33944C81"/>
    <w:rsid w:val="33945FB2"/>
    <w:rsid w:val="3395254A"/>
    <w:rsid w:val="33956C7B"/>
    <w:rsid w:val="339657D2"/>
    <w:rsid w:val="339675A1"/>
    <w:rsid w:val="33970A31"/>
    <w:rsid w:val="33970CD2"/>
    <w:rsid w:val="339732A4"/>
    <w:rsid w:val="33977850"/>
    <w:rsid w:val="33984BB2"/>
    <w:rsid w:val="33985793"/>
    <w:rsid w:val="33985F59"/>
    <w:rsid w:val="339935C8"/>
    <w:rsid w:val="33995376"/>
    <w:rsid w:val="33997124"/>
    <w:rsid w:val="33997663"/>
    <w:rsid w:val="339A10EE"/>
    <w:rsid w:val="339A2CDD"/>
    <w:rsid w:val="339A4184"/>
    <w:rsid w:val="339A4C4A"/>
    <w:rsid w:val="339A7724"/>
    <w:rsid w:val="339B13BA"/>
    <w:rsid w:val="339B7340"/>
    <w:rsid w:val="339C1875"/>
    <w:rsid w:val="339C2976"/>
    <w:rsid w:val="339C4E66"/>
    <w:rsid w:val="339D5FE4"/>
    <w:rsid w:val="339E007A"/>
    <w:rsid w:val="339E0BDF"/>
    <w:rsid w:val="339E473B"/>
    <w:rsid w:val="339E47CD"/>
    <w:rsid w:val="339F04B3"/>
    <w:rsid w:val="339F19D0"/>
    <w:rsid w:val="33A03224"/>
    <w:rsid w:val="33A04957"/>
    <w:rsid w:val="33A06705"/>
    <w:rsid w:val="33A14E8B"/>
    <w:rsid w:val="33A23C26"/>
    <w:rsid w:val="33A27F40"/>
    <w:rsid w:val="33A30715"/>
    <w:rsid w:val="33A361F5"/>
    <w:rsid w:val="33A37A8A"/>
    <w:rsid w:val="33A37FA3"/>
    <w:rsid w:val="33A40FA7"/>
    <w:rsid w:val="33A42273"/>
    <w:rsid w:val="33A425FC"/>
    <w:rsid w:val="33A44248"/>
    <w:rsid w:val="33A47D8E"/>
    <w:rsid w:val="33A52438"/>
    <w:rsid w:val="33A53D1B"/>
    <w:rsid w:val="33A61841"/>
    <w:rsid w:val="33A65AE6"/>
    <w:rsid w:val="33A65CE5"/>
    <w:rsid w:val="33A67A93"/>
    <w:rsid w:val="33A71C67"/>
    <w:rsid w:val="33A721F4"/>
    <w:rsid w:val="33A72B20"/>
    <w:rsid w:val="33A77646"/>
    <w:rsid w:val="33A819B6"/>
    <w:rsid w:val="33A828AD"/>
    <w:rsid w:val="33A8380B"/>
    <w:rsid w:val="33A8483A"/>
    <w:rsid w:val="33A85332"/>
    <w:rsid w:val="33A855B9"/>
    <w:rsid w:val="33A8793A"/>
    <w:rsid w:val="33A95F20"/>
    <w:rsid w:val="33A972F5"/>
    <w:rsid w:val="33AA05E8"/>
    <w:rsid w:val="33AA0F4E"/>
    <w:rsid w:val="33AA12CE"/>
    <w:rsid w:val="33AA7583"/>
    <w:rsid w:val="33AB04A2"/>
    <w:rsid w:val="33AB1A78"/>
    <w:rsid w:val="33AB50A9"/>
    <w:rsid w:val="33AB6E58"/>
    <w:rsid w:val="33AC5AD1"/>
    <w:rsid w:val="33AD0120"/>
    <w:rsid w:val="33AD0E22"/>
    <w:rsid w:val="33AD2BD0"/>
    <w:rsid w:val="33AD3276"/>
    <w:rsid w:val="33AD497E"/>
    <w:rsid w:val="33AD55C7"/>
    <w:rsid w:val="33AD7074"/>
    <w:rsid w:val="33AE03F9"/>
    <w:rsid w:val="33AE06F6"/>
    <w:rsid w:val="33AE4637"/>
    <w:rsid w:val="33AE4BDC"/>
    <w:rsid w:val="33AF226D"/>
    <w:rsid w:val="33AF403A"/>
    <w:rsid w:val="33AF4B9A"/>
    <w:rsid w:val="33B026C0"/>
    <w:rsid w:val="33B02D19"/>
    <w:rsid w:val="33B0446E"/>
    <w:rsid w:val="33B04BF7"/>
    <w:rsid w:val="33B057E3"/>
    <w:rsid w:val="33B1049A"/>
    <w:rsid w:val="33B10912"/>
    <w:rsid w:val="33B158EA"/>
    <w:rsid w:val="33B15FA7"/>
    <w:rsid w:val="33B163B8"/>
    <w:rsid w:val="33B1641E"/>
    <w:rsid w:val="33B16983"/>
    <w:rsid w:val="33B20E60"/>
    <w:rsid w:val="33B2468A"/>
    <w:rsid w:val="33B24B2D"/>
    <w:rsid w:val="33B26438"/>
    <w:rsid w:val="33B3020A"/>
    <w:rsid w:val="33B311AA"/>
    <w:rsid w:val="33B3529D"/>
    <w:rsid w:val="33B41F5F"/>
    <w:rsid w:val="33B421B0"/>
    <w:rsid w:val="33B432F9"/>
    <w:rsid w:val="33B43430"/>
    <w:rsid w:val="33B4426B"/>
    <w:rsid w:val="33B45D0C"/>
    <w:rsid w:val="33B513F0"/>
    <w:rsid w:val="33B51A84"/>
    <w:rsid w:val="33B544EE"/>
    <w:rsid w:val="33B57CD6"/>
    <w:rsid w:val="33B64925"/>
    <w:rsid w:val="33B670A7"/>
    <w:rsid w:val="33B71CA0"/>
    <w:rsid w:val="33B769AF"/>
    <w:rsid w:val="33B81192"/>
    <w:rsid w:val="33B830B8"/>
    <w:rsid w:val="33B96552"/>
    <w:rsid w:val="33BA52ED"/>
    <w:rsid w:val="33BB3E6D"/>
    <w:rsid w:val="33BC1065"/>
    <w:rsid w:val="33BC1310"/>
    <w:rsid w:val="33BC2E13"/>
    <w:rsid w:val="33BC4853"/>
    <w:rsid w:val="33BC611F"/>
    <w:rsid w:val="33BD57D9"/>
    <w:rsid w:val="33BE302F"/>
    <w:rsid w:val="33BE4DDD"/>
    <w:rsid w:val="33BE6B8B"/>
    <w:rsid w:val="33BE7EEE"/>
    <w:rsid w:val="33BF2903"/>
    <w:rsid w:val="33BF2BC8"/>
    <w:rsid w:val="33BF3356"/>
    <w:rsid w:val="33BF3BC8"/>
    <w:rsid w:val="33BF6C69"/>
    <w:rsid w:val="33C00B55"/>
    <w:rsid w:val="33C04CC0"/>
    <w:rsid w:val="33C06DA7"/>
    <w:rsid w:val="33C10429"/>
    <w:rsid w:val="33C13C9E"/>
    <w:rsid w:val="33C1667B"/>
    <w:rsid w:val="33C25C2F"/>
    <w:rsid w:val="33C265A2"/>
    <w:rsid w:val="33C323F3"/>
    <w:rsid w:val="33C35353"/>
    <w:rsid w:val="33C365BE"/>
    <w:rsid w:val="33C4118F"/>
    <w:rsid w:val="33C50534"/>
    <w:rsid w:val="33C53B2B"/>
    <w:rsid w:val="33C543BD"/>
    <w:rsid w:val="33C576F1"/>
    <w:rsid w:val="33C57F19"/>
    <w:rsid w:val="33C61EE3"/>
    <w:rsid w:val="33C63C91"/>
    <w:rsid w:val="33C64F3F"/>
    <w:rsid w:val="33C65A3F"/>
    <w:rsid w:val="33C70135"/>
    <w:rsid w:val="33C7305B"/>
    <w:rsid w:val="33C75133"/>
    <w:rsid w:val="33C817B8"/>
    <w:rsid w:val="33C861DB"/>
    <w:rsid w:val="33C91E40"/>
    <w:rsid w:val="33C934E3"/>
    <w:rsid w:val="33C95D98"/>
    <w:rsid w:val="33C97AF7"/>
    <w:rsid w:val="33CA5530"/>
    <w:rsid w:val="33CB33B6"/>
    <w:rsid w:val="33CB58BD"/>
    <w:rsid w:val="33CB5D8A"/>
    <w:rsid w:val="33CB64A0"/>
    <w:rsid w:val="33CB74FA"/>
    <w:rsid w:val="33CB7921"/>
    <w:rsid w:val="33CC0DB1"/>
    <w:rsid w:val="33CC4289"/>
    <w:rsid w:val="33CC574C"/>
    <w:rsid w:val="33CC7C48"/>
    <w:rsid w:val="33CD5020"/>
    <w:rsid w:val="33CD6DCE"/>
    <w:rsid w:val="33CE728B"/>
    <w:rsid w:val="33CF0D98"/>
    <w:rsid w:val="33CF0E73"/>
    <w:rsid w:val="33CF2B46"/>
    <w:rsid w:val="33CF3557"/>
    <w:rsid w:val="33CF53D3"/>
    <w:rsid w:val="33CF62A2"/>
    <w:rsid w:val="33CF6FEA"/>
    <w:rsid w:val="33D00BC2"/>
    <w:rsid w:val="33D04B10"/>
    <w:rsid w:val="33D068BE"/>
    <w:rsid w:val="33D07732"/>
    <w:rsid w:val="33D12052"/>
    <w:rsid w:val="33D17FCE"/>
    <w:rsid w:val="33D20888"/>
    <w:rsid w:val="33D22636"/>
    <w:rsid w:val="33D24AAE"/>
    <w:rsid w:val="33D26ADA"/>
    <w:rsid w:val="33D30311"/>
    <w:rsid w:val="33D309A5"/>
    <w:rsid w:val="33D30B0B"/>
    <w:rsid w:val="33D30C84"/>
    <w:rsid w:val="33D32DF4"/>
    <w:rsid w:val="33D36691"/>
    <w:rsid w:val="33D377F4"/>
    <w:rsid w:val="33D4015C"/>
    <w:rsid w:val="33D42476"/>
    <w:rsid w:val="33D452AA"/>
    <w:rsid w:val="33D462E0"/>
    <w:rsid w:val="33D463AE"/>
    <w:rsid w:val="33D46F08"/>
    <w:rsid w:val="33D535A4"/>
    <w:rsid w:val="33D53ED4"/>
    <w:rsid w:val="33D55F30"/>
    <w:rsid w:val="33D5696C"/>
    <w:rsid w:val="33D56BC6"/>
    <w:rsid w:val="33D6176C"/>
    <w:rsid w:val="33D62126"/>
    <w:rsid w:val="33D622E7"/>
    <w:rsid w:val="33D628DE"/>
    <w:rsid w:val="33D64760"/>
    <w:rsid w:val="33D70141"/>
    <w:rsid w:val="33D740F0"/>
    <w:rsid w:val="33D77C4D"/>
    <w:rsid w:val="33D8341D"/>
    <w:rsid w:val="33D8389B"/>
    <w:rsid w:val="33D852A4"/>
    <w:rsid w:val="33D87354"/>
    <w:rsid w:val="33D903B5"/>
    <w:rsid w:val="33D91C17"/>
    <w:rsid w:val="33D934D4"/>
    <w:rsid w:val="33D940BA"/>
    <w:rsid w:val="33D9593B"/>
    <w:rsid w:val="33D97E69"/>
    <w:rsid w:val="33DA14EB"/>
    <w:rsid w:val="33DA33B5"/>
    <w:rsid w:val="33DA36C2"/>
    <w:rsid w:val="33DA548E"/>
    <w:rsid w:val="33DB351D"/>
    <w:rsid w:val="33DB4845"/>
    <w:rsid w:val="33DB598F"/>
    <w:rsid w:val="33DB7416"/>
    <w:rsid w:val="33DB773D"/>
    <w:rsid w:val="33DC00FA"/>
    <w:rsid w:val="33DC08A6"/>
    <w:rsid w:val="33DC1707"/>
    <w:rsid w:val="33DC34B5"/>
    <w:rsid w:val="33DC3ACF"/>
    <w:rsid w:val="33DC584C"/>
    <w:rsid w:val="33DD0306"/>
    <w:rsid w:val="33DD1D36"/>
    <w:rsid w:val="33DD6483"/>
    <w:rsid w:val="33DE0FDB"/>
    <w:rsid w:val="33DE31C6"/>
    <w:rsid w:val="33DE722D"/>
    <w:rsid w:val="33DF321B"/>
    <w:rsid w:val="33DF6B01"/>
    <w:rsid w:val="33E006B7"/>
    <w:rsid w:val="33E00E06"/>
    <w:rsid w:val="33E01AE2"/>
    <w:rsid w:val="33E01DF8"/>
    <w:rsid w:val="33E0318C"/>
    <w:rsid w:val="33E07C5F"/>
    <w:rsid w:val="33E10ACB"/>
    <w:rsid w:val="33E115C7"/>
    <w:rsid w:val="33E12879"/>
    <w:rsid w:val="33E15564"/>
    <w:rsid w:val="33E16D1D"/>
    <w:rsid w:val="33E22FD7"/>
    <w:rsid w:val="33E32226"/>
    <w:rsid w:val="33E45B7D"/>
    <w:rsid w:val="33E505BB"/>
    <w:rsid w:val="33E52369"/>
    <w:rsid w:val="33E55B90"/>
    <w:rsid w:val="33E6190A"/>
    <w:rsid w:val="33E644F4"/>
    <w:rsid w:val="33E660E2"/>
    <w:rsid w:val="33E67E90"/>
    <w:rsid w:val="33E73EF9"/>
    <w:rsid w:val="33E774AE"/>
    <w:rsid w:val="33E800AC"/>
    <w:rsid w:val="33E81E5A"/>
    <w:rsid w:val="33E83900"/>
    <w:rsid w:val="33E86E49"/>
    <w:rsid w:val="33E87939"/>
    <w:rsid w:val="33E902D9"/>
    <w:rsid w:val="33E90C0F"/>
    <w:rsid w:val="33E91A1A"/>
    <w:rsid w:val="33E948F3"/>
    <w:rsid w:val="33E95580"/>
    <w:rsid w:val="33E966A5"/>
    <w:rsid w:val="33EA0AAD"/>
    <w:rsid w:val="33EA1139"/>
    <w:rsid w:val="33EA3E24"/>
    <w:rsid w:val="33EA5BD2"/>
    <w:rsid w:val="33EB0C99"/>
    <w:rsid w:val="33EB330D"/>
    <w:rsid w:val="33EC194A"/>
    <w:rsid w:val="33EC787F"/>
    <w:rsid w:val="33EC7B9C"/>
    <w:rsid w:val="33ED121E"/>
    <w:rsid w:val="33ED4CCA"/>
    <w:rsid w:val="33EE0BD5"/>
    <w:rsid w:val="33EE6425"/>
    <w:rsid w:val="33EF07FB"/>
    <w:rsid w:val="33EF143A"/>
    <w:rsid w:val="33EF31E8"/>
    <w:rsid w:val="33EF4A11"/>
    <w:rsid w:val="33EF5F4F"/>
    <w:rsid w:val="33F001AC"/>
    <w:rsid w:val="33F0093A"/>
    <w:rsid w:val="33F00D0E"/>
    <w:rsid w:val="33F01BCB"/>
    <w:rsid w:val="33F025D3"/>
    <w:rsid w:val="33F02ACD"/>
    <w:rsid w:val="33F06363"/>
    <w:rsid w:val="33F151B2"/>
    <w:rsid w:val="33F16F60"/>
    <w:rsid w:val="33F16FF6"/>
    <w:rsid w:val="33F20F2A"/>
    <w:rsid w:val="33F22CD8"/>
    <w:rsid w:val="33F23A9A"/>
    <w:rsid w:val="33F2420D"/>
    <w:rsid w:val="33F25EAA"/>
    <w:rsid w:val="33F26834"/>
    <w:rsid w:val="33F35330"/>
    <w:rsid w:val="33F425AD"/>
    <w:rsid w:val="33F4698B"/>
    <w:rsid w:val="33F46A50"/>
    <w:rsid w:val="33F46B2D"/>
    <w:rsid w:val="33F52433"/>
    <w:rsid w:val="33F54F4C"/>
    <w:rsid w:val="33F5523E"/>
    <w:rsid w:val="33F56325"/>
    <w:rsid w:val="33F566D9"/>
    <w:rsid w:val="33F627C9"/>
    <w:rsid w:val="33F628DD"/>
    <w:rsid w:val="33F66D4D"/>
    <w:rsid w:val="33F702EF"/>
    <w:rsid w:val="33F7209D"/>
    <w:rsid w:val="33F7717A"/>
    <w:rsid w:val="33F8203A"/>
    <w:rsid w:val="33F840DF"/>
    <w:rsid w:val="33F848B7"/>
    <w:rsid w:val="33F8693E"/>
    <w:rsid w:val="33F87A58"/>
    <w:rsid w:val="33F93952"/>
    <w:rsid w:val="33FA2B2F"/>
    <w:rsid w:val="33FA3E2F"/>
    <w:rsid w:val="33FA5A5A"/>
    <w:rsid w:val="33FB1B8D"/>
    <w:rsid w:val="33FB585A"/>
    <w:rsid w:val="33FC0AE5"/>
    <w:rsid w:val="33FC5BC9"/>
    <w:rsid w:val="33FC76B3"/>
    <w:rsid w:val="33FD33C5"/>
    <w:rsid w:val="33FD7BDF"/>
    <w:rsid w:val="33FE093E"/>
    <w:rsid w:val="33FE167D"/>
    <w:rsid w:val="33FE27B0"/>
    <w:rsid w:val="33FE2F6A"/>
    <w:rsid w:val="33FE342B"/>
    <w:rsid w:val="33FE78CF"/>
    <w:rsid w:val="33FF3953"/>
    <w:rsid w:val="33FF5F40"/>
    <w:rsid w:val="33FF696C"/>
    <w:rsid w:val="33FF738F"/>
    <w:rsid w:val="33FF7791"/>
    <w:rsid w:val="34000D04"/>
    <w:rsid w:val="34000F51"/>
    <w:rsid w:val="3400165C"/>
    <w:rsid w:val="340053F5"/>
    <w:rsid w:val="34012F1B"/>
    <w:rsid w:val="34013646"/>
    <w:rsid w:val="34014CC9"/>
    <w:rsid w:val="3402116D"/>
    <w:rsid w:val="340225C1"/>
    <w:rsid w:val="34023EEC"/>
    <w:rsid w:val="34025849"/>
    <w:rsid w:val="340268A2"/>
    <w:rsid w:val="34027C3F"/>
    <w:rsid w:val="34030A42"/>
    <w:rsid w:val="34031DE2"/>
    <w:rsid w:val="34033A51"/>
    <w:rsid w:val="34034EE6"/>
    <w:rsid w:val="34036C94"/>
    <w:rsid w:val="3404139C"/>
    <w:rsid w:val="340437F6"/>
    <w:rsid w:val="34044EE1"/>
    <w:rsid w:val="34046622"/>
    <w:rsid w:val="34050C5E"/>
    <w:rsid w:val="34051700"/>
    <w:rsid w:val="34052A0C"/>
    <w:rsid w:val="340541A5"/>
    <w:rsid w:val="34055E60"/>
    <w:rsid w:val="34056568"/>
    <w:rsid w:val="34056867"/>
    <w:rsid w:val="34060532"/>
    <w:rsid w:val="34060A6A"/>
    <w:rsid w:val="340622E0"/>
    <w:rsid w:val="340623D2"/>
    <w:rsid w:val="340647B9"/>
    <w:rsid w:val="34065948"/>
    <w:rsid w:val="3407106E"/>
    <w:rsid w:val="34073117"/>
    <w:rsid w:val="34073E91"/>
    <w:rsid w:val="34074FA3"/>
    <w:rsid w:val="34076784"/>
    <w:rsid w:val="340812DE"/>
    <w:rsid w:val="34081C5C"/>
    <w:rsid w:val="340837F0"/>
    <w:rsid w:val="34086058"/>
    <w:rsid w:val="34087DDA"/>
    <w:rsid w:val="34091C4D"/>
    <w:rsid w:val="340940D6"/>
    <w:rsid w:val="34095F58"/>
    <w:rsid w:val="340978C3"/>
    <w:rsid w:val="340A0C8D"/>
    <w:rsid w:val="340A1DD0"/>
    <w:rsid w:val="340A3924"/>
    <w:rsid w:val="340A4964"/>
    <w:rsid w:val="340A7BE9"/>
    <w:rsid w:val="340B0B33"/>
    <w:rsid w:val="340B21E3"/>
    <w:rsid w:val="340B47DF"/>
    <w:rsid w:val="340B4DB4"/>
    <w:rsid w:val="340C4962"/>
    <w:rsid w:val="340C55C1"/>
    <w:rsid w:val="340C5B48"/>
    <w:rsid w:val="340D06C2"/>
    <w:rsid w:val="340D18C0"/>
    <w:rsid w:val="340D3972"/>
    <w:rsid w:val="340D76D4"/>
    <w:rsid w:val="340E07E5"/>
    <w:rsid w:val="340E22A5"/>
    <w:rsid w:val="340F089F"/>
    <w:rsid w:val="340F216A"/>
    <w:rsid w:val="340F388A"/>
    <w:rsid w:val="340F4BF8"/>
    <w:rsid w:val="340F5638"/>
    <w:rsid w:val="340F73E6"/>
    <w:rsid w:val="34102DB7"/>
    <w:rsid w:val="3410342A"/>
    <w:rsid w:val="341036FE"/>
    <w:rsid w:val="34112694"/>
    <w:rsid w:val="3411315F"/>
    <w:rsid w:val="34117602"/>
    <w:rsid w:val="34121BF1"/>
    <w:rsid w:val="34123FA9"/>
    <w:rsid w:val="34125129"/>
    <w:rsid w:val="34125F30"/>
    <w:rsid w:val="341307E8"/>
    <w:rsid w:val="341313F2"/>
    <w:rsid w:val="34134B7D"/>
    <w:rsid w:val="34136117"/>
    <w:rsid w:val="34136664"/>
    <w:rsid w:val="341408B9"/>
    <w:rsid w:val="34140EA1"/>
    <w:rsid w:val="34142F77"/>
    <w:rsid w:val="341449D6"/>
    <w:rsid w:val="341472E4"/>
    <w:rsid w:val="341475A7"/>
    <w:rsid w:val="3416085D"/>
    <w:rsid w:val="34160A52"/>
    <w:rsid w:val="34161FDC"/>
    <w:rsid w:val="341669C7"/>
    <w:rsid w:val="3417273F"/>
    <w:rsid w:val="341744ED"/>
    <w:rsid w:val="34174A98"/>
    <w:rsid w:val="3418084C"/>
    <w:rsid w:val="34180991"/>
    <w:rsid w:val="3419013B"/>
    <w:rsid w:val="34190265"/>
    <w:rsid w:val="341911B2"/>
    <w:rsid w:val="341964B7"/>
    <w:rsid w:val="34196E9E"/>
    <w:rsid w:val="341973B8"/>
    <w:rsid w:val="341A3419"/>
    <w:rsid w:val="341B1B9D"/>
    <w:rsid w:val="341B1CD8"/>
    <w:rsid w:val="341B222F"/>
    <w:rsid w:val="341B5D8B"/>
    <w:rsid w:val="341B63D9"/>
    <w:rsid w:val="341B6D3C"/>
    <w:rsid w:val="341C1B03"/>
    <w:rsid w:val="341C3168"/>
    <w:rsid w:val="341C352D"/>
    <w:rsid w:val="341C41F2"/>
    <w:rsid w:val="341C4349"/>
    <w:rsid w:val="341C5D39"/>
    <w:rsid w:val="341C7D31"/>
    <w:rsid w:val="341D364B"/>
    <w:rsid w:val="341D57DB"/>
    <w:rsid w:val="341D7D55"/>
    <w:rsid w:val="341E3ACD"/>
    <w:rsid w:val="341F30CD"/>
    <w:rsid w:val="341F4EED"/>
    <w:rsid w:val="341F4EFA"/>
    <w:rsid w:val="342033A2"/>
    <w:rsid w:val="34203A18"/>
    <w:rsid w:val="34203F89"/>
    <w:rsid w:val="34204A7E"/>
    <w:rsid w:val="34205DBC"/>
    <w:rsid w:val="34207607"/>
    <w:rsid w:val="34210FE7"/>
    <w:rsid w:val="342157CF"/>
    <w:rsid w:val="34216A9E"/>
    <w:rsid w:val="3421711A"/>
    <w:rsid w:val="34220DE7"/>
    <w:rsid w:val="3422128C"/>
    <w:rsid w:val="34223076"/>
    <w:rsid w:val="342235BE"/>
    <w:rsid w:val="34226C1D"/>
    <w:rsid w:val="3422714C"/>
    <w:rsid w:val="342310E4"/>
    <w:rsid w:val="3423303B"/>
    <w:rsid w:val="34235BF7"/>
    <w:rsid w:val="34237214"/>
    <w:rsid w:val="34237336"/>
    <w:rsid w:val="342420DD"/>
    <w:rsid w:val="34242218"/>
    <w:rsid w:val="34245FBB"/>
    <w:rsid w:val="3425052C"/>
    <w:rsid w:val="342509B8"/>
    <w:rsid w:val="3425147A"/>
    <w:rsid w:val="34253333"/>
    <w:rsid w:val="34254E5C"/>
    <w:rsid w:val="34256C0A"/>
    <w:rsid w:val="34260809"/>
    <w:rsid w:val="342618F4"/>
    <w:rsid w:val="342619BC"/>
    <w:rsid w:val="34264730"/>
    <w:rsid w:val="34270BD4"/>
    <w:rsid w:val="34271721"/>
    <w:rsid w:val="34272982"/>
    <w:rsid w:val="34273D32"/>
    <w:rsid w:val="342842DC"/>
    <w:rsid w:val="3428494C"/>
    <w:rsid w:val="3428514B"/>
    <w:rsid w:val="342866FA"/>
    <w:rsid w:val="342A033D"/>
    <w:rsid w:val="342A06C4"/>
    <w:rsid w:val="342A1032"/>
    <w:rsid w:val="342A15B1"/>
    <w:rsid w:val="342A1F36"/>
    <w:rsid w:val="342A2472"/>
    <w:rsid w:val="342A26B9"/>
    <w:rsid w:val="342A4220"/>
    <w:rsid w:val="342B057B"/>
    <w:rsid w:val="342B06AB"/>
    <w:rsid w:val="342B17CD"/>
    <w:rsid w:val="342B2C5D"/>
    <w:rsid w:val="342B3E71"/>
    <w:rsid w:val="342B5703"/>
    <w:rsid w:val="342C301B"/>
    <w:rsid w:val="342C61EA"/>
    <w:rsid w:val="342C6516"/>
    <w:rsid w:val="342D3D10"/>
    <w:rsid w:val="342D5ABF"/>
    <w:rsid w:val="342E67C0"/>
    <w:rsid w:val="342E6B39"/>
    <w:rsid w:val="342F12EA"/>
    <w:rsid w:val="342F477E"/>
    <w:rsid w:val="342F4EEE"/>
    <w:rsid w:val="342F7A89"/>
    <w:rsid w:val="343011E9"/>
    <w:rsid w:val="34302A6E"/>
    <w:rsid w:val="3430563F"/>
    <w:rsid w:val="34306827"/>
    <w:rsid w:val="34306A4C"/>
    <w:rsid w:val="34311A53"/>
    <w:rsid w:val="34313801"/>
    <w:rsid w:val="343155AF"/>
    <w:rsid w:val="3431732F"/>
    <w:rsid w:val="3431735D"/>
    <w:rsid w:val="34321327"/>
    <w:rsid w:val="343230D5"/>
    <w:rsid w:val="34324DB1"/>
    <w:rsid w:val="3432631B"/>
    <w:rsid w:val="34327F5F"/>
    <w:rsid w:val="34332B30"/>
    <w:rsid w:val="34337579"/>
    <w:rsid w:val="343435B3"/>
    <w:rsid w:val="3434509F"/>
    <w:rsid w:val="34346E4D"/>
    <w:rsid w:val="34350851"/>
    <w:rsid w:val="343520A9"/>
    <w:rsid w:val="343527C6"/>
    <w:rsid w:val="343540C1"/>
    <w:rsid w:val="34355450"/>
    <w:rsid w:val="34355EEC"/>
    <w:rsid w:val="3435730A"/>
    <w:rsid w:val="34360163"/>
    <w:rsid w:val="34362709"/>
    <w:rsid w:val="34362916"/>
    <w:rsid w:val="34372941"/>
    <w:rsid w:val="34373A8F"/>
    <w:rsid w:val="34375386"/>
    <w:rsid w:val="3438165E"/>
    <w:rsid w:val="34384B8F"/>
    <w:rsid w:val="343A2A35"/>
    <w:rsid w:val="343A43BC"/>
    <w:rsid w:val="343B03EC"/>
    <w:rsid w:val="343B0B29"/>
    <w:rsid w:val="343B122F"/>
    <w:rsid w:val="343B2752"/>
    <w:rsid w:val="343B467F"/>
    <w:rsid w:val="343B50BA"/>
    <w:rsid w:val="343B7289"/>
    <w:rsid w:val="343C4A44"/>
    <w:rsid w:val="343D03F7"/>
    <w:rsid w:val="343E790F"/>
    <w:rsid w:val="343E7B4C"/>
    <w:rsid w:val="343F1AB8"/>
    <w:rsid w:val="343F3CA4"/>
    <w:rsid w:val="343F59E5"/>
    <w:rsid w:val="343F7812"/>
    <w:rsid w:val="343F7D3D"/>
    <w:rsid w:val="34400BA3"/>
    <w:rsid w:val="34402563"/>
    <w:rsid w:val="34403A44"/>
    <w:rsid w:val="344076FA"/>
    <w:rsid w:val="34407CAD"/>
    <w:rsid w:val="344165C4"/>
    <w:rsid w:val="34417936"/>
    <w:rsid w:val="3442156A"/>
    <w:rsid w:val="34424367"/>
    <w:rsid w:val="34425158"/>
    <w:rsid w:val="34425A0E"/>
    <w:rsid w:val="34430EE4"/>
    <w:rsid w:val="34432ACD"/>
    <w:rsid w:val="34433534"/>
    <w:rsid w:val="34435BB6"/>
    <w:rsid w:val="344363B2"/>
    <w:rsid w:val="344420DD"/>
    <w:rsid w:val="34442374"/>
    <w:rsid w:val="34443542"/>
    <w:rsid w:val="34445C59"/>
    <w:rsid w:val="3445105A"/>
    <w:rsid w:val="34452E08"/>
    <w:rsid w:val="34453929"/>
    <w:rsid w:val="344563D5"/>
    <w:rsid w:val="344572AC"/>
    <w:rsid w:val="34463464"/>
    <w:rsid w:val="34465607"/>
    <w:rsid w:val="34465748"/>
    <w:rsid w:val="344707B4"/>
    <w:rsid w:val="34474DD2"/>
    <w:rsid w:val="34480B4A"/>
    <w:rsid w:val="344828F8"/>
    <w:rsid w:val="34485450"/>
    <w:rsid w:val="34486840"/>
    <w:rsid w:val="34493546"/>
    <w:rsid w:val="3449659A"/>
    <w:rsid w:val="344A2B14"/>
    <w:rsid w:val="344A5B75"/>
    <w:rsid w:val="344A6670"/>
    <w:rsid w:val="344A72F5"/>
    <w:rsid w:val="344B2247"/>
    <w:rsid w:val="344B5BDD"/>
    <w:rsid w:val="344C063B"/>
    <w:rsid w:val="344C23E9"/>
    <w:rsid w:val="344C4197"/>
    <w:rsid w:val="344E070B"/>
    <w:rsid w:val="344E43B3"/>
    <w:rsid w:val="344E5FF7"/>
    <w:rsid w:val="344F4802"/>
    <w:rsid w:val="34501CFF"/>
    <w:rsid w:val="34510D07"/>
    <w:rsid w:val="345117AD"/>
    <w:rsid w:val="34516FBA"/>
    <w:rsid w:val="34517831"/>
    <w:rsid w:val="34525525"/>
    <w:rsid w:val="34527775"/>
    <w:rsid w:val="34532DAB"/>
    <w:rsid w:val="34533777"/>
    <w:rsid w:val="345353D5"/>
    <w:rsid w:val="3454129D"/>
    <w:rsid w:val="345435AA"/>
    <w:rsid w:val="34544A3A"/>
    <w:rsid w:val="34544A90"/>
    <w:rsid w:val="34545741"/>
    <w:rsid w:val="34546D5F"/>
    <w:rsid w:val="34547D28"/>
    <w:rsid w:val="34555ECA"/>
    <w:rsid w:val="34563267"/>
    <w:rsid w:val="34563E84"/>
    <w:rsid w:val="34565768"/>
    <w:rsid w:val="34571B5B"/>
    <w:rsid w:val="34573FFE"/>
    <w:rsid w:val="34574699"/>
    <w:rsid w:val="3458496D"/>
    <w:rsid w:val="34592D57"/>
    <w:rsid w:val="34594155"/>
    <w:rsid w:val="345943B5"/>
    <w:rsid w:val="3459484B"/>
    <w:rsid w:val="34594B05"/>
    <w:rsid w:val="345968B4"/>
    <w:rsid w:val="345A5CDB"/>
    <w:rsid w:val="345A6C36"/>
    <w:rsid w:val="345B06C7"/>
    <w:rsid w:val="345B087E"/>
    <w:rsid w:val="345B0BBF"/>
    <w:rsid w:val="345B1D3C"/>
    <w:rsid w:val="345C0152"/>
    <w:rsid w:val="345C1EAB"/>
    <w:rsid w:val="345C6FA6"/>
    <w:rsid w:val="345C7FC5"/>
    <w:rsid w:val="345D00B8"/>
    <w:rsid w:val="345D2848"/>
    <w:rsid w:val="345D2E98"/>
    <w:rsid w:val="345D465C"/>
    <w:rsid w:val="345D5B0D"/>
    <w:rsid w:val="345D5BA7"/>
    <w:rsid w:val="345D63A4"/>
    <w:rsid w:val="345E036E"/>
    <w:rsid w:val="345E211C"/>
    <w:rsid w:val="345E3ECA"/>
    <w:rsid w:val="345E5AEC"/>
    <w:rsid w:val="345F06BD"/>
    <w:rsid w:val="345F6EAF"/>
    <w:rsid w:val="346040E6"/>
    <w:rsid w:val="34605E94"/>
    <w:rsid w:val="34607C42"/>
    <w:rsid w:val="34610250"/>
    <w:rsid w:val="34613C76"/>
    <w:rsid w:val="3461446D"/>
    <w:rsid w:val="34615BAE"/>
    <w:rsid w:val="346164CE"/>
    <w:rsid w:val="34621C0C"/>
    <w:rsid w:val="346239BA"/>
    <w:rsid w:val="346258FD"/>
    <w:rsid w:val="34627E5E"/>
    <w:rsid w:val="346304CE"/>
    <w:rsid w:val="346314E0"/>
    <w:rsid w:val="346317C9"/>
    <w:rsid w:val="3463469C"/>
    <w:rsid w:val="34636D8D"/>
    <w:rsid w:val="34637172"/>
    <w:rsid w:val="34637732"/>
    <w:rsid w:val="346534AA"/>
    <w:rsid w:val="34656A1F"/>
    <w:rsid w:val="3466053C"/>
    <w:rsid w:val="34670FD0"/>
    <w:rsid w:val="3467570E"/>
    <w:rsid w:val="3467692F"/>
    <w:rsid w:val="34677222"/>
    <w:rsid w:val="34682EB0"/>
    <w:rsid w:val="346831E7"/>
    <w:rsid w:val="3468735D"/>
    <w:rsid w:val="346908FA"/>
    <w:rsid w:val="346911EC"/>
    <w:rsid w:val="34692F9B"/>
    <w:rsid w:val="34695BBC"/>
    <w:rsid w:val="34697018"/>
    <w:rsid w:val="346B6C5F"/>
    <w:rsid w:val="346C157F"/>
    <w:rsid w:val="346C2A8B"/>
    <w:rsid w:val="346C2CC0"/>
    <w:rsid w:val="346C4839"/>
    <w:rsid w:val="346C48D4"/>
    <w:rsid w:val="346C4DEB"/>
    <w:rsid w:val="346D0EDE"/>
    <w:rsid w:val="346D235F"/>
    <w:rsid w:val="346D2A0F"/>
    <w:rsid w:val="346D4150"/>
    <w:rsid w:val="346E05B1"/>
    <w:rsid w:val="346E55E0"/>
    <w:rsid w:val="346F085F"/>
    <w:rsid w:val="346F257B"/>
    <w:rsid w:val="346F4329"/>
    <w:rsid w:val="346F78A6"/>
    <w:rsid w:val="347100A1"/>
    <w:rsid w:val="34711E4F"/>
    <w:rsid w:val="34712160"/>
    <w:rsid w:val="34713BFD"/>
    <w:rsid w:val="34713F61"/>
    <w:rsid w:val="34722C7B"/>
    <w:rsid w:val="347253F1"/>
    <w:rsid w:val="347276EF"/>
    <w:rsid w:val="34727975"/>
    <w:rsid w:val="347303D3"/>
    <w:rsid w:val="3473104E"/>
    <w:rsid w:val="34733E19"/>
    <w:rsid w:val="34735BC7"/>
    <w:rsid w:val="34736881"/>
    <w:rsid w:val="34737FC2"/>
    <w:rsid w:val="34740178"/>
    <w:rsid w:val="347436ED"/>
    <w:rsid w:val="347440B5"/>
    <w:rsid w:val="3474419F"/>
    <w:rsid w:val="34750A95"/>
    <w:rsid w:val="347528E2"/>
    <w:rsid w:val="34763909"/>
    <w:rsid w:val="347656B7"/>
    <w:rsid w:val="3476575D"/>
    <w:rsid w:val="347742DB"/>
    <w:rsid w:val="34775202"/>
    <w:rsid w:val="347764D7"/>
    <w:rsid w:val="347831DE"/>
    <w:rsid w:val="34783FA8"/>
    <w:rsid w:val="34784F8C"/>
    <w:rsid w:val="347850E8"/>
    <w:rsid w:val="34790000"/>
    <w:rsid w:val="34790D04"/>
    <w:rsid w:val="34791888"/>
    <w:rsid w:val="34792841"/>
    <w:rsid w:val="3479381D"/>
    <w:rsid w:val="34796F56"/>
    <w:rsid w:val="34797724"/>
    <w:rsid w:val="347A3B83"/>
    <w:rsid w:val="347A51A8"/>
    <w:rsid w:val="347A6754"/>
    <w:rsid w:val="347A7915"/>
    <w:rsid w:val="347B0B65"/>
    <w:rsid w:val="347B0F20"/>
    <w:rsid w:val="347B2917"/>
    <w:rsid w:val="347B4917"/>
    <w:rsid w:val="347B5013"/>
    <w:rsid w:val="347C0614"/>
    <w:rsid w:val="347C06A8"/>
    <w:rsid w:val="347D1F39"/>
    <w:rsid w:val="347D25A2"/>
    <w:rsid w:val="347D2EAB"/>
    <w:rsid w:val="347D3BDA"/>
    <w:rsid w:val="347E456C"/>
    <w:rsid w:val="347E50D2"/>
    <w:rsid w:val="347E631A"/>
    <w:rsid w:val="347F4209"/>
    <w:rsid w:val="347F6565"/>
    <w:rsid w:val="34801E58"/>
    <w:rsid w:val="348022C0"/>
    <w:rsid w:val="348025C6"/>
    <w:rsid w:val="34806536"/>
    <w:rsid w:val="34810E85"/>
    <w:rsid w:val="3481181D"/>
    <w:rsid w:val="34820DBE"/>
    <w:rsid w:val="34821AD6"/>
    <w:rsid w:val="34821F10"/>
    <w:rsid w:val="348222AE"/>
    <w:rsid w:val="3482405C"/>
    <w:rsid w:val="34825852"/>
    <w:rsid w:val="34825E0A"/>
    <w:rsid w:val="348278B1"/>
    <w:rsid w:val="348313C3"/>
    <w:rsid w:val="34831B82"/>
    <w:rsid w:val="34832F39"/>
    <w:rsid w:val="34833930"/>
    <w:rsid w:val="34840842"/>
    <w:rsid w:val="3484268B"/>
    <w:rsid w:val="348466E9"/>
    <w:rsid w:val="34847806"/>
    <w:rsid w:val="34850C96"/>
    <w:rsid w:val="34852185"/>
    <w:rsid w:val="348523D7"/>
    <w:rsid w:val="34853B4C"/>
    <w:rsid w:val="34854D79"/>
    <w:rsid w:val="348558FB"/>
    <w:rsid w:val="34856DA1"/>
    <w:rsid w:val="348575AD"/>
    <w:rsid w:val="34863867"/>
    <w:rsid w:val="3487087B"/>
    <w:rsid w:val="34873421"/>
    <w:rsid w:val="3487385B"/>
    <w:rsid w:val="34880F47"/>
    <w:rsid w:val="348849E1"/>
    <w:rsid w:val="34887617"/>
    <w:rsid w:val="3489363D"/>
    <w:rsid w:val="34897199"/>
    <w:rsid w:val="348A1090"/>
    <w:rsid w:val="348A1163"/>
    <w:rsid w:val="348A2FDD"/>
    <w:rsid w:val="348A4CBF"/>
    <w:rsid w:val="348B4B08"/>
    <w:rsid w:val="348B5182"/>
    <w:rsid w:val="348B570B"/>
    <w:rsid w:val="348B6E58"/>
    <w:rsid w:val="348B76D9"/>
    <w:rsid w:val="348C0A37"/>
    <w:rsid w:val="348C1E64"/>
    <w:rsid w:val="348C4EDB"/>
    <w:rsid w:val="348C55CC"/>
    <w:rsid w:val="348D1FF9"/>
    <w:rsid w:val="348D4B95"/>
    <w:rsid w:val="348E0C53"/>
    <w:rsid w:val="348E3489"/>
    <w:rsid w:val="348E44D7"/>
    <w:rsid w:val="348E6D9B"/>
    <w:rsid w:val="348F0527"/>
    <w:rsid w:val="348F10FF"/>
    <w:rsid w:val="348F22D5"/>
    <w:rsid w:val="348F32D8"/>
    <w:rsid w:val="348F4919"/>
    <w:rsid w:val="348F6779"/>
    <w:rsid w:val="34906F65"/>
    <w:rsid w:val="3491064E"/>
    <w:rsid w:val="349124F1"/>
    <w:rsid w:val="34916002"/>
    <w:rsid w:val="3491604D"/>
    <w:rsid w:val="349161B8"/>
    <w:rsid w:val="349166D9"/>
    <w:rsid w:val="34921C5F"/>
    <w:rsid w:val="349232BA"/>
    <w:rsid w:val="349249DB"/>
    <w:rsid w:val="349264D8"/>
    <w:rsid w:val="3492696B"/>
    <w:rsid w:val="34930017"/>
    <w:rsid w:val="34935E6B"/>
    <w:rsid w:val="349472FB"/>
    <w:rsid w:val="34957054"/>
    <w:rsid w:val="34961031"/>
    <w:rsid w:val="349618B6"/>
    <w:rsid w:val="349647EC"/>
    <w:rsid w:val="34965214"/>
    <w:rsid w:val="34967B08"/>
    <w:rsid w:val="34970E80"/>
    <w:rsid w:val="349725A9"/>
    <w:rsid w:val="34975C7C"/>
    <w:rsid w:val="34983106"/>
    <w:rsid w:val="34983880"/>
    <w:rsid w:val="3498562E"/>
    <w:rsid w:val="3498710C"/>
    <w:rsid w:val="34991CDD"/>
    <w:rsid w:val="34992955"/>
    <w:rsid w:val="34993154"/>
    <w:rsid w:val="34996054"/>
    <w:rsid w:val="349A1100"/>
    <w:rsid w:val="349A75F8"/>
    <w:rsid w:val="349B2BDB"/>
    <w:rsid w:val="349B511E"/>
    <w:rsid w:val="349B56DA"/>
    <w:rsid w:val="349B6ECC"/>
    <w:rsid w:val="349C5A8D"/>
    <w:rsid w:val="349D1AEE"/>
    <w:rsid w:val="349E1F2B"/>
    <w:rsid w:val="349E653C"/>
    <w:rsid w:val="349E6C09"/>
    <w:rsid w:val="349F440E"/>
    <w:rsid w:val="349F46E1"/>
    <w:rsid w:val="349F531F"/>
    <w:rsid w:val="349F69BC"/>
    <w:rsid w:val="34A00986"/>
    <w:rsid w:val="34A02734"/>
    <w:rsid w:val="34A04DDB"/>
    <w:rsid w:val="34A053E5"/>
    <w:rsid w:val="34A2025B"/>
    <w:rsid w:val="34A22009"/>
    <w:rsid w:val="34A22779"/>
    <w:rsid w:val="34A24282"/>
    <w:rsid w:val="34A26096"/>
    <w:rsid w:val="34A264AC"/>
    <w:rsid w:val="34A302D1"/>
    <w:rsid w:val="34A36469"/>
    <w:rsid w:val="34A42225"/>
    <w:rsid w:val="34A506D9"/>
    <w:rsid w:val="34A51AF9"/>
    <w:rsid w:val="34A7178A"/>
    <w:rsid w:val="34A71D15"/>
    <w:rsid w:val="34A73AC3"/>
    <w:rsid w:val="34A74831"/>
    <w:rsid w:val="34A75771"/>
    <w:rsid w:val="34A75871"/>
    <w:rsid w:val="34A825F9"/>
    <w:rsid w:val="34A83397"/>
    <w:rsid w:val="34A8429C"/>
    <w:rsid w:val="34A87B90"/>
    <w:rsid w:val="34A915E9"/>
    <w:rsid w:val="34A92B42"/>
    <w:rsid w:val="34A94A3B"/>
    <w:rsid w:val="34A94D8D"/>
    <w:rsid w:val="34AA5361"/>
    <w:rsid w:val="34AA6CA9"/>
    <w:rsid w:val="34AB30B1"/>
    <w:rsid w:val="34AB3C61"/>
    <w:rsid w:val="34AB4E8C"/>
    <w:rsid w:val="34AC2E87"/>
    <w:rsid w:val="34AC5F82"/>
    <w:rsid w:val="34AC732B"/>
    <w:rsid w:val="34AD34E4"/>
    <w:rsid w:val="34AE2A73"/>
    <w:rsid w:val="34AE30A3"/>
    <w:rsid w:val="34AE499D"/>
    <w:rsid w:val="34AE4E51"/>
    <w:rsid w:val="34AE58A6"/>
    <w:rsid w:val="34AE6BFF"/>
    <w:rsid w:val="34AF2977"/>
    <w:rsid w:val="34AF6494"/>
    <w:rsid w:val="34AF6AD4"/>
    <w:rsid w:val="34AF7BFE"/>
    <w:rsid w:val="34B00BC9"/>
    <w:rsid w:val="34B00FB0"/>
    <w:rsid w:val="34B0467B"/>
    <w:rsid w:val="34B07F64"/>
    <w:rsid w:val="34B1049E"/>
    <w:rsid w:val="34B13CB8"/>
    <w:rsid w:val="34B166F0"/>
    <w:rsid w:val="34B20807"/>
    <w:rsid w:val="34B30267"/>
    <w:rsid w:val="34B30567"/>
    <w:rsid w:val="34B3085E"/>
    <w:rsid w:val="34B32468"/>
    <w:rsid w:val="34B328FD"/>
    <w:rsid w:val="34B34216"/>
    <w:rsid w:val="34B41D3C"/>
    <w:rsid w:val="34B451A4"/>
    <w:rsid w:val="34B468E5"/>
    <w:rsid w:val="34B50FEB"/>
    <w:rsid w:val="34B561E0"/>
    <w:rsid w:val="34B57F48"/>
    <w:rsid w:val="34B608DE"/>
    <w:rsid w:val="34B61F58"/>
    <w:rsid w:val="34B644B3"/>
    <w:rsid w:val="34B65E4F"/>
    <w:rsid w:val="34B66F6C"/>
    <w:rsid w:val="34B70DA5"/>
    <w:rsid w:val="34B75266"/>
    <w:rsid w:val="34B8182C"/>
    <w:rsid w:val="34B858B5"/>
    <w:rsid w:val="34B85CD0"/>
    <w:rsid w:val="34B866F6"/>
    <w:rsid w:val="34B91D91"/>
    <w:rsid w:val="34B94FEE"/>
    <w:rsid w:val="34B955A4"/>
    <w:rsid w:val="34BA0CA2"/>
    <w:rsid w:val="34BA1016"/>
    <w:rsid w:val="34BA2110"/>
    <w:rsid w:val="34BA4404"/>
    <w:rsid w:val="34BA457F"/>
    <w:rsid w:val="34BA7517"/>
    <w:rsid w:val="34BB24A6"/>
    <w:rsid w:val="34BB30CA"/>
    <w:rsid w:val="34BB5C72"/>
    <w:rsid w:val="34BB6924"/>
    <w:rsid w:val="34BC14C9"/>
    <w:rsid w:val="34BC1EC5"/>
    <w:rsid w:val="34BC4B44"/>
    <w:rsid w:val="34BC66EF"/>
    <w:rsid w:val="34BD32E6"/>
    <w:rsid w:val="34BD4DA3"/>
    <w:rsid w:val="34BD5094"/>
    <w:rsid w:val="34BD763A"/>
    <w:rsid w:val="34BD7997"/>
    <w:rsid w:val="34BD7DAD"/>
    <w:rsid w:val="34BF01D4"/>
    <w:rsid w:val="34BF0E0C"/>
    <w:rsid w:val="34BF2BBB"/>
    <w:rsid w:val="34BF39F8"/>
    <w:rsid w:val="34C0325F"/>
    <w:rsid w:val="34C04B85"/>
    <w:rsid w:val="34C12DD7"/>
    <w:rsid w:val="34C16318"/>
    <w:rsid w:val="34C208FD"/>
    <w:rsid w:val="34C24459"/>
    <w:rsid w:val="34C268E2"/>
    <w:rsid w:val="34C33809"/>
    <w:rsid w:val="34C44675"/>
    <w:rsid w:val="34C4476B"/>
    <w:rsid w:val="34C44C99"/>
    <w:rsid w:val="34C46423"/>
    <w:rsid w:val="34C50739"/>
    <w:rsid w:val="34C5161C"/>
    <w:rsid w:val="34C5219B"/>
    <w:rsid w:val="34C53876"/>
    <w:rsid w:val="34C53F49"/>
    <w:rsid w:val="34C60101"/>
    <w:rsid w:val="34C603ED"/>
    <w:rsid w:val="34C60CFA"/>
    <w:rsid w:val="34C6218A"/>
    <w:rsid w:val="34C627D4"/>
    <w:rsid w:val="34C628F3"/>
    <w:rsid w:val="34C661E7"/>
    <w:rsid w:val="34C67163"/>
    <w:rsid w:val="34C71A6F"/>
    <w:rsid w:val="34C74165"/>
    <w:rsid w:val="34C7560C"/>
    <w:rsid w:val="34C75D3D"/>
    <w:rsid w:val="34C76CAC"/>
    <w:rsid w:val="34C77CC1"/>
    <w:rsid w:val="34C82960"/>
    <w:rsid w:val="34C85673"/>
    <w:rsid w:val="34C93A39"/>
    <w:rsid w:val="34C957E7"/>
    <w:rsid w:val="34CA0B0B"/>
    <w:rsid w:val="34CA36DC"/>
    <w:rsid w:val="34CA514E"/>
    <w:rsid w:val="34CB006F"/>
    <w:rsid w:val="34CB5A03"/>
    <w:rsid w:val="34CC3529"/>
    <w:rsid w:val="34CC3DC9"/>
    <w:rsid w:val="34CC4008"/>
    <w:rsid w:val="34CC4DC2"/>
    <w:rsid w:val="34CC52D7"/>
    <w:rsid w:val="34CD1294"/>
    <w:rsid w:val="34CD579B"/>
    <w:rsid w:val="34CD71AE"/>
    <w:rsid w:val="34CD748C"/>
    <w:rsid w:val="34CE1050"/>
    <w:rsid w:val="34CE205D"/>
    <w:rsid w:val="34CE45EB"/>
    <w:rsid w:val="34CF34ED"/>
    <w:rsid w:val="34CF6B76"/>
    <w:rsid w:val="34D0301A"/>
    <w:rsid w:val="34D04DC8"/>
    <w:rsid w:val="34D109DE"/>
    <w:rsid w:val="34D12E7F"/>
    <w:rsid w:val="34D15E0D"/>
    <w:rsid w:val="34D16D92"/>
    <w:rsid w:val="34D23966"/>
    <w:rsid w:val="34D348B8"/>
    <w:rsid w:val="34D4418C"/>
    <w:rsid w:val="34D50630"/>
    <w:rsid w:val="34D523DE"/>
    <w:rsid w:val="34D5438B"/>
    <w:rsid w:val="34D56606"/>
    <w:rsid w:val="34D56638"/>
    <w:rsid w:val="34D57E3D"/>
    <w:rsid w:val="34D61609"/>
    <w:rsid w:val="34D643A8"/>
    <w:rsid w:val="34D65C5C"/>
    <w:rsid w:val="34D670AE"/>
    <w:rsid w:val="34D67F04"/>
    <w:rsid w:val="34D80120"/>
    <w:rsid w:val="34D81ECE"/>
    <w:rsid w:val="34D8459F"/>
    <w:rsid w:val="34D86E04"/>
    <w:rsid w:val="34D9107F"/>
    <w:rsid w:val="34D92F01"/>
    <w:rsid w:val="34DA16F4"/>
    <w:rsid w:val="34DA79F4"/>
    <w:rsid w:val="34DB0A4B"/>
    <w:rsid w:val="34DB19BE"/>
    <w:rsid w:val="34DB1C6D"/>
    <w:rsid w:val="34DB2264"/>
    <w:rsid w:val="34DB29A0"/>
    <w:rsid w:val="34DB376C"/>
    <w:rsid w:val="34DB5C7F"/>
    <w:rsid w:val="34DB6D6E"/>
    <w:rsid w:val="34DB7534"/>
    <w:rsid w:val="34DB7C9A"/>
    <w:rsid w:val="34DC09D9"/>
    <w:rsid w:val="34DC655F"/>
    <w:rsid w:val="34DD15C7"/>
    <w:rsid w:val="34DD6F81"/>
    <w:rsid w:val="34DF0095"/>
    <w:rsid w:val="34DF27AB"/>
    <w:rsid w:val="34DF325D"/>
    <w:rsid w:val="34E00D83"/>
    <w:rsid w:val="34E0231B"/>
    <w:rsid w:val="34E02B31"/>
    <w:rsid w:val="34E02DA2"/>
    <w:rsid w:val="34E0339A"/>
    <w:rsid w:val="34E054EE"/>
    <w:rsid w:val="34E05C7F"/>
    <w:rsid w:val="34E14CC3"/>
    <w:rsid w:val="34E16FD5"/>
    <w:rsid w:val="34E20818"/>
    <w:rsid w:val="34E20B4C"/>
    <w:rsid w:val="34E20EC7"/>
    <w:rsid w:val="34E21B0E"/>
    <w:rsid w:val="34E22007"/>
    <w:rsid w:val="34E2301E"/>
    <w:rsid w:val="34E24AFB"/>
    <w:rsid w:val="34E268A9"/>
    <w:rsid w:val="34E268CB"/>
    <w:rsid w:val="34E30A14"/>
    <w:rsid w:val="34E34B75"/>
    <w:rsid w:val="34E369F8"/>
    <w:rsid w:val="34E4026A"/>
    <w:rsid w:val="34E40E71"/>
    <w:rsid w:val="34E432EA"/>
    <w:rsid w:val="34E45C07"/>
    <w:rsid w:val="34E46AC5"/>
    <w:rsid w:val="34E55763"/>
    <w:rsid w:val="34E56399"/>
    <w:rsid w:val="34E569A2"/>
    <w:rsid w:val="34E61774"/>
    <w:rsid w:val="34E70363"/>
    <w:rsid w:val="34E72111"/>
    <w:rsid w:val="34E72F6C"/>
    <w:rsid w:val="34E72FB8"/>
    <w:rsid w:val="34E73EBF"/>
    <w:rsid w:val="34E86ED7"/>
    <w:rsid w:val="34E87D1C"/>
    <w:rsid w:val="34E93910"/>
    <w:rsid w:val="34E940DB"/>
    <w:rsid w:val="34E97C37"/>
    <w:rsid w:val="34EA00F5"/>
    <w:rsid w:val="34EA242E"/>
    <w:rsid w:val="34EA69B4"/>
    <w:rsid w:val="34EB1585"/>
    <w:rsid w:val="34EB5A9A"/>
    <w:rsid w:val="34EB5AA1"/>
    <w:rsid w:val="34EB7E44"/>
    <w:rsid w:val="34EB7E53"/>
    <w:rsid w:val="34EC0CCA"/>
    <w:rsid w:val="34EC2011"/>
    <w:rsid w:val="34EC2A15"/>
    <w:rsid w:val="34EC3BCC"/>
    <w:rsid w:val="34EC5908"/>
    <w:rsid w:val="34ED0158"/>
    <w:rsid w:val="34ED3780"/>
    <w:rsid w:val="34ED539A"/>
    <w:rsid w:val="34ED64D5"/>
    <w:rsid w:val="34EE16F2"/>
    <w:rsid w:val="34EE293C"/>
    <w:rsid w:val="34EE34A0"/>
    <w:rsid w:val="34EE6733"/>
    <w:rsid w:val="34EF5164"/>
    <w:rsid w:val="34F00B88"/>
    <w:rsid w:val="34F050FF"/>
    <w:rsid w:val="34F07218"/>
    <w:rsid w:val="34F12F90"/>
    <w:rsid w:val="34F13CB6"/>
    <w:rsid w:val="34F14D3E"/>
    <w:rsid w:val="34F25146"/>
    <w:rsid w:val="34F30AB6"/>
    <w:rsid w:val="34F32864"/>
    <w:rsid w:val="34F34F5A"/>
    <w:rsid w:val="34F364B7"/>
    <w:rsid w:val="34F36D08"/>
    <w:rsid w:val="34F42B9B"/>
    <w:rsid w:val="34F4400C"/>
    <w:rsid w:val="34F51994"/>
    <w:rsid w:val="34F551C2"/>
    <w:rsid w:val="34F605A6"/>
    <w:rsid w:val="34F6133E"/>
    <w:rsid w:val="34F62354"/>
    <w:rsid w:val="34F7201F"/>
    <w:rsid w:val="34F753B5"/>
    <w:rsid w:val="34F7542B"/>
    <w:rsid w:val="34F767F8"/>
    <w:rsid w:val="34F77B28"/>
    <w:rsid w:val="34F77CDD"/>
    <w:rsid w:val="34F82570"/>
    <w:rsid w:val="34F82673"/>
    <w:rsid w:val="34F859FF"/>
    <w:rsid w:val="34F867B5"/>
    <w:rsid w:val="34F87F04"/>
    <w:rsid w:val="34F90962"/>
    <w:rsid w:val="34F9247A"/>
    <w:rsid w:val="34F93561"/>
    <w:rsid w:val="34FA1E45"/>
    <w:rsid w:val="34FA3BF3"/>
    <w:rsid w:val="34FA4844"/>
    <w:rsid w:val="34FA62E8"/>
    <w:rsid w:val="34FB1F2C"/>
    <w:rsid w:val="34FB250A"/>
    <w:rsid w:val="34FB667B"/>
    <w:rsid w:val="34FB796B"/>
    <w:rsid w:val="34FB7AAE"/>
    <w:rsid w:val="34FC1069"/>
    <w:rsid w:val="34FC3924"/>
    <w:rsid w:val="34FC399A"/>
    <w:rsid w:val="34FC6629"/>
    <w:rsid w:val="34FC76DE"/>
    <w:rsid w:val="34FD0098"/>
    <w:rsid w:val="34FD123F"/>
    <w:rsid w:val="34FD1935"/>
    <w:rsid w:val="34FD36E3"/>
    <w:rsid w:val="34FD7B87"/>
    <w:rsid w:val="34FE27C0"/>
    <w:rsid w:val="34FE2B51"/>
    <w:rsid w:val="34FE4881"/>
    <w:rsid w:val="34FE57B5"/>
    <w:rsid w:val="34FE79FB"/>
    <w:rsid w:val="34FE7F67"/>
    <w:rsid w:val="34FF119A"/>
    <w:rsid w:val="34FF39B2"/>
    <w:rsid w:val="34FF56AD"/>
    <w:rsid w:val="34FF745B"/>
    <w:rsid w:val="34FF774A"/>
    <w:rsid w:val="350009AC"/>
    <w:rsid w:val="3500447C"/>
    <w:rsid w:val="35006703"/>
    <w:rsid w:val="350071FF"/>
    <w:rsid w:val="35011425"/>
    <w:rsid w:val="350137AB"/>
    <w:rsid w:val="35015CD2"/>
    <w:rsid w:val="35020BCF"/>
    <w:rsid w:val="350324C6"/>
    <w:rsid w:val="35032E12"/>
    <w:rsid w:val="35033F2A"/>
    <w:rsid w:val="350360CB"/>
    <w:rsid w:val="350406C1"/>
    <w:rsid w:val="35040F69"/>
    <w:rsid w:val="35041261"/>
    <w:rsid w:val="350420CE"/>
    <w:rsid w:val="350422DF"/>
    <w:rsid w:val="35042CC3"/>
    <w:rsid w:val="350434A5"/>
    <w:rsid w:val="35044A71"/>
    <w:rsid w:val="3504697F"/>
    <w:rsid w:val="350525E2"/>
    <w:rsid w:val="350535BC"/>
    <w:rsid w:val="35054CFD"/>
    <w:rsid w:val="350601EF"/>
    <w:rsid w:val="350607E9"/>
    <w:rsid w:val="35062F61"/>
    <w:rsid w:val="35064A4C"/>
    <w:rsid w:val="35064C8D"/>
    <w:rsid w:val="350672C8"/>
    <w:rsid w:val="350678BF"/>
    <w:rsid w:val="350715B1"/>
    <w:rsid w:val="35072D1F"/>
    <w:rsid w:val="35076310"/>
    <w:rsid w:val="350779E6"/>
    <w:rsid w:val="35084251"/>
    <w:rsid w:val="350848E9"/>
    <w:rsid w:val="350902DA"/>
    <w:rsid w:val="35092088"/>
    <w:rsid w:val="35094B0E"/>
    <w:rsid w:val="35097219"/>
    <w:rsid w:val="350A7012"/>
    <w:rsid w:val="350B22A4"/>
    <w:rsid w:val="350B4052"/>
    <w:rsid w:val="350B49CD"/>
    <w:rsid w:val="350B5E00"/>
    <w:rsid w:val="350C1B78"/>
    <w:rsid w:val="350C2877"/>
    <w:rsid w:val="350C3926"/>
    <w:rsid w:val="350C5CD9"/>
    <w:rsid w:val="350D0FEC"/>
    <w:rsid w:val="350D601C"/>
    <w:rsid w:val="350E0038"/>
    <w:rsid w:val="350E3961"/>
    <w:rsid w:val="350E3B42"/>
    <w:rsid w:val="350E60B0"/>
    <w:rsid w:val="350E769E"/>
    <w:rsid w:val="350F085F"/>
    <w:rsid w:val="350F596E"/>
    <w:rsid w:val="35103416"/>
    <w:rsid w:val="351078BA"/>
    <w:rsid w:val="3511105F"/>
    <w:rsid w:val="35113872"/>
    <w:rsid w:val="351153E0"/>
    <w:rsid w:val="35120157"/>
    <w:rsid w:val="351233DF"/>
    <w:rsid w:val="35123632"/>
    <w:rsid w:val="35124730"/>
    <w:rsid w:val="35127301"/>
    <w:rsid w:val="35131158"/>
    <w:rsid w:val="35132F06"/>
    <w:rsid w:val="35134CB4"/>
    <w:rsid w:val="35137027"/>
    <w:rsid w:val="351373EC"/>
    <w:rsid w:val="35141C21"/>
    <w:rsid w:val="35152A79"/>
    <w:rsid w:val="351530B1"/>
    <w:rsid w:val="35154ED0"/>
    <w:rsid w:val="35156C7E"/>
    <w:rsid w:val="35164541"/>
    <w:rsid w:val="351647A5"/>
    <w:rsid w:val="35167112"/>
    <w:rsid w:val="351729F7"/>
    <w:rsid w:val="35172D44"/>
    <w:rsid w:val="35174CFE"/>
    <w:rsid w:val="3518051D"/>
    <w:rsid w:val="351849C1"/>
    <w:rsid w:val="3518572C"/>
    <w:rsid w:val="351902E0"/>
    <w:rsid w:val="35193479"/>
    <w:rsid w:val="35194603"/>
    <w:rsid w:val="35194CEC"/>
    <w:rsid w:val="35196602"/>
    <w:rsid w:val="351B0B66"/>
    <w:rsid w:val="351B1DBB"/>
    <w:rsid w:val="351B3146"/>
    <w:rsid w:val="351B590C"/>
    <w:rsid w:val="351B68BA"/>
    <w:rsid w:val="351B6F23"/>
    <w:rsid w:val="351C2F84"/>
    <w:rsid w:val="351D1A6D"/>
    <w:rsid w:val="351D3D85"/>
    <w:rsid w:val="351D5B33"/>
    <w:rsid w:val="351E2AC5"/>
    <w:rsid w:val="351F18AB"/>
    <w:rsid w:val="351F1BB1"/>
    <w:rsid w:val="352001C4"/>
    <w:rsid w:val="3520281E"/>
    <w:rsid w:val="35202D66"/>
    <w:rsid w:val="35205FD8"/>
    <w:rsid w:val="352073D1"/>
    <w:rsid w:val="35212E2D"/>
    <w:rsid w:val="35213875"/>
    <w:rsid w:val="35215623"/>
    <w:rsid w:val="35217E24"/>
    <w:rsid w:val="352275ED"/>
    <w:rsid w:val="3523502A"/>
    <w:rsid w:val="3524080F"/>
    <w:rsid w:val="352411D5"/>
    <w:rsid w:val="35243365"/>
    <w:rsid w:val="35245113"/>
    <w:rsid w:val="352463CC"/>
    <w:rsid w:val="35246EC1"/>
    <w:rsid w:val="35260D5F"/>
    <w:rsid w:val="35262C3A"/>
    <w:rsid w:val="35266EDB"/>
    <w:rsid w:val="352670DE"/>
    <w:rsid w:val="35270760"/>
    <w:rsid w:val="352754C6"/>
    <w:rsid w:val="35281527"/>
    <w:rsid w:val="35282F0D"/>
    <w:rsid w:val="35284044"/>
    <w:rsid w:val="35284C04"/>
    <w:rsid w:val="352878CD"/>
    <w:rsid w:val="35287CD5"/>
    <w:rsid w:val="3529097C"/>
    <w:rsid w:val="3529272A"/>
    <w:rsid w:val="352930DB"/>
    <w:rsid w:val="352944D8"/>
    <w:rsid w:val="352973E7"/>
    <w:rsid w:val="352B0250"/>
    <w:rsid w:val="352B46F4"/>
    <w:rsid w:val="352B52D7"/>
    <w:rsid w:val="352B64A2"/>
    <w:rsid w:val="352B6A18"/>
    <w:rsid w:val="352C04E1"/>
    <w:rsid w:val="352C2B82"/>
    <w:rsid w:val="352C3FC8"/>
    <w:rsid w:val="352C65E0"/>
    <w:rsid w:val="352D221A"/>
    <w:rsid w:val="352D662B"/>
    <w:rsid w:val="352E1AEE"/>
    <w:rsid w:val="352E5F92"/>
    <w:rsid w:val="352F4E5B"/>
    <w:rsid w:val="352F7C8F"/>
    <w:rsid w:val="35301D0A"/>
    <w:rsid w:val="3530288A"/>
    <w:rsid w:val="3530432C"/>
    <w:rsid w:val="35305866"/>
    <w:rsid w:val="35310A84"/>
    <w:rsid w:val="35316BA1"/>
    <w:rsid w:val="35316D9D"/>
    <w:rsid w:val="353225D9"/>
    <w:rsid w:val="35325A82"/>
    <w:rsid w:val="35327394"/>
    <w:rsid w:val="35327830"/>
    <w:rsid w:val="353313C9"/>
    <w:rsid w:val="353335A8"/>
    <w:rsid w:val="35337105"/>
    <w:rsid w:val="3533798B"/>
    <w:rsid w:val="353451D8"/>
    <w:rsid w:val="35347AC7"/>
    <w:rsid w:val="3535269B"/>
    <w:rsid w:val="353558B1"/>
    <w:rsid w:val="35357321"/>
    <w:rsid w:val="35357A3E"/>
    <w:rsid w:val="35363B2B"/>
    <w:rsid w:val="35366BF5"/>
    <w:rsid w:val="35373099"/>
    <w:rsid w:val="35374C5F"/>
    <w:rsid w:val="35374E47"/>
    <w:rsid w:val="35374FBB"/>
    <w:rsid w:val="3538101C"/>
    <w:rsid w:val="3538296D"/>
    <w:rsid w:val="3538471B"/>
    <w:rsid w:val="353847C5"/>
    <w:rsid w:val="3538611C"/>
    <w:rsid w:val="35386E11"/>
    <w:rsid w:val="353910B7"/>
    <w:rsid w:val="353916AE"/>
    <w:rsid w:val="35392129"/>
    <w:rsid w:val="35397235"/>
    <w:rsid w:val="353A0493"/>
    <w:rsid w:val="353A393C"/>
    <w:rsid w:val="353B76D6"/>
    <w:rsid w:val="353C06AF"/>
    <w:rsid w:val="353C0A11"/>
    <w:rsid w:val="353C0E2D"/>
    <w:rsid w:val="353C245D"/>
    <w:rsid w:val="353C420B"/>
    <w:rsid w:val="353C4D85"/>
    <w:rsid w:val="353C6936"/>
    <w:rsid w:val="353D0169"/>
    <w:rsid w:val="353D499B"/>
    <w:rsid w:val="353D5549"/>
    <w:rsid w:val="353D5904"/>
    <w:rsid w:val="353D62D1"/>
    <w:rsid w:val="353D7F83"/>
    <w:rsid w:val="353E5964"/>
    <w:rsid w:val="353E77B3"/>
    <w:rsid w:val="353F1F4D"/>
    <w:rsid w:val="35400618"/>
    <w:rsid w:val="35400C23"/>
    <w:rsid w:val="35400CFF"/>
    <w:rsid w:val="354077AE"/>
    <w:rsid w:val="3541380F"/>
    <w:rsid w:val="35417A73"/>
    <w:rsid w:val="35421061"/>
    <w:rsid w:val="354210AB"/>
    <w:rsid w:val="354220CE"/>
    <w:rsid w:val="354237EC"/>
    <w:rsid w:val="35424BEE"/>
    <w:rsid w:val="35424C9F"/>
    <w:rsid w:val="3542559A"/>
    <w:rsid w:val="354322AC"/>
    <w:rsid w:val="35432D6C"/>
    <w:rsid w:val="3543612F"/>
    <w:rsid w:val="3544129A"/>
    <w:rsid w:val="35441312"/>
    <w:rsid w:val="35447327"/>
    <w:rsid w:val="35447564"/>
    <w:rsid w:val="354506F2"/>
    <w:rsid w:val="35451D0B"/>
    <w:rsid w:val="35452190"/>
    <w:rsid w:val="35461B75"/>
    <w:rsid w:val="354632DC"/>
    <w:rsid w:val="3546508A"/>
    <w:rsid w:val="35466E38"/>
    <w:rsid w:val="35470E02"/>
    <w:rsid w:val="35480556"/>
    <w:rsid w:val="3548235F"/>
    <w:rsid w:val="35484B2A"/>
    <w:rsid w:val="35485368"/>
    <w:rsid w:val="35487054"/>
    <w:rsid w:val="35491FB2"/>
    <w:rsid w:val="35492712"/>
    <w:rsid w:val="35492DCC"/>
    <w:rsid w:val="35494B7A"/>
    <w:rsid w:val="35496928"/>
    <w:rsid w:val="354A0A90"/>
    <w:rsid w:val="354A1E5A"/>
    <w:rsid w:val="354A1FFA"/>
    <w:rsid w:val="354A46FA"/>
    <w:rsid w:val="354B08F2"/>
    <w:rsid w:val="354B1502"/>
    <w:rsid w:val="354B444E"/>
    <w:rsid w:val="354B48C1"/>
    <w:rsid w:val="354C01C6"/>
    <w:rsid w:val="354C30B8"/>
    <w:rsid w:val="354D049D"/>
    <w:rsid w:val="354D1D3D"/>
    <w:rsid w:val="354D6418"/>
    <w:rsid w:val="354D7439"/>
    <w:rsid w:val="354D7CD9"/>
    <w:rsid w:val="354E3F3E"/>
    <w:rsid w:val="354F3B80"/>
    <w:rsid w:val="354F4D6B"/>
    <w:rsid w:val="354F5B11"/>
    <w:rsid w:val="35505F08"/>
    <w:rsid w:val="35507CB7"/>
    <w:rsid w:val="35511E69"/>
    <w:rsid w:val="35512113"/>
    <w:rsid w:val="35521C81"/>
    <w:rsid w:val="35523A2F"/>
    <w:rsid w:val="355273E2"/>
    <w:rsid w:val="35527ED3"/>
    <w:rsid w:val="355359F9"/>
    <w:rsid w:val="35535C24"/>
    <w:rsid w:val="355371D5"/>
    <w:rsid w:val="355377A7"/>
    <w:rsid w:val="355404B5"/>
    <w:rsid w:val="35541719"/>
    <w:rsid w:val="35553359"/>
    <w:rsid w:val="3555351F"/>
    <w:rsid w:val="355552CD"/>
    <w:rsid w:val="355572ED"/>
    <w:rsid w:val="35557622"/>
    <w:rsid w:val="35563115"/>
    <w:rsid w:val="3556631F"/>
    <w:rsid w:val="3557527D"/>
    <w:rsid w:val="355754E9"/>
    <w:rsid w:val="35577435"/>
    <w:rsid w:val="35590355"/>
    <w:rsid w:val="3559105A"/>
    <w:rsid w:val="3559324D"/>
    <w:rsid w:val="355A0B35"/>
    <w:rsid w:val="355A17E5"/>
    <w:rsid w:val="355A2F26"/>
    <w:rsid w:val="355B2FCB"/>
    <w:rsid w:val="355B33A2"/>
    <w:rsid w:val="355B43B6"/>
    <w:rsid w:val="355C2AFF"/>
    <w:rsid w:val="355C36F2"/>
    <w:rsid w:val="355C48AD"/>
    <w:rsid w:val="355C5AB3"/>
    <w:rsid w:val="355C665B"/>
    <w:rsid w:val="355D01F0"/>
    <w:rsid w:val="355D1318"/>
    <w:rsid w:val="355D23D3"/>
    <w:rsid w:val="355D4AD0"/>
    <w:rsid w:val="355D6513"/>
    <w:rsid w:val="355D751B"/>
    <w:rsid w:val="355E0625"/>
    <w:rsid w:val="355E4769"/>
    <w:rsid w:val="355E6877"/>
    <w:rsid w:val="355F058A"/>
    <w:rsid w:val="355F439E"/>
    <w:rsid w:val="35602A24"/>
    <w:rsid w:val="35607A21"/>
    <w:rsid w:val="35610116"/>
    <w:rsid w:val="35610228"/>
    <w:rsid w:val="35611EC4"/>
    <w:rsid w:val="35613C72"/>
    <w:rsid w:val="35616AE7"/>
    <w:rsid w:val="356208F4"/>
    <w:rsid w:val="356236AB"/>
    <w:rsid w:val="35623920"/>
    <w:rsid w:val="3562636F"/>
    <w:rsid w:val="356279EA"/>
    <w:rsid w:val="35630703"/>
    <w:rsid w:val="35633C30"/>
    <w:rsid w:val="35633E8E"/>
    <w:rsid w:val="35633FD8"/>
    <w:rsid w:val="35634299"/>
    <w:rsid w:val="35635C3C"/>
    <w:rsid w:val="35637D8C"/>
    <w:rsid w:val="35640B61"/>
    <w:rsid w:val="356419B4"/>
    <w:rsid w:val="35643670"/>
    <w:rsid w:val="35643762"/>
    <w:rsid w:val="35645510"/>
    <w:rsid w:val="35647C06"/>
    <w:rsid w:val="356526B2"/>
    <w:rsid w:val="35653EA9"/>
    <w:rsid w:val="3565547E"/>
    <w:rsid w:val="35661288"/>
    <w:rsid w:val="356614C9"/>
    <w:rsid w:val="3566572C"/>
    <w:rsid w:val="356674DA"/>
    <w:rsid w:val="35672F27"/>
    <w:rsid w:val="35675000"/>
    <w:rsid w:val="3567552A"/>
    <w:rsid w:val="356803AD"/>
    <w:rsid w:val="356814A4"/>
    <w:rsid w:val="356830A9"/>
    <w:rsid w:val="35683252"/>
    <w:rsid w:val="35690D78"/>
    <w:rsid w:val="3569521C"/>
    <w:rsid w:val="35695279"/>
    <w:rsid w:val="356953CF"/>
    <w:rsid w:val="35695E72"/>
    <w:rsid w:val="356960CA"/>
    <w:rsid w:val="35696FCA"/>
    <w:rsid w:val="356A122E"/>
    <w:rsid w:val="356A12DA"/>
    <w:rsid w:val="356A72E8"/>
    <w:rsid w:val="356B23A6"/>
    <w:rsid w:val="356B276A"/>
    <w:rsid w:val="356B2D42"/>
    <w:rsid w:val="356B3BC1"/>
    <w:rsid w:val="356B4AF0"/>
    <w:rsid w:val="356B689E"/>
    <w:rsid w:val="356C00F9"/>
    <w:rsid w:val="356C2CFE"/>
    <w:rsid w:val="356C4366"/>
    <w:rsid w:val="356C533B"/>
    <w:rsid w:val="356C7DA6"/>
    <w:rsid w:val="356D0868"/>
    <w:rsid w:val="356D29E5"/>
    <w:rsid w:val="356D67CB"/>
    <w:rsid w:val="356E45E1"/>
    <w:rsid w:val="356E638F"/>
    <w:rsid w:val="356F14F8"/>
    <w:rsid w:val="356F3369"/>
    <w:rsid w:val="356F33DA"/>
    <w:rsid w:val="356F73BF"/>
    <w:rsid w:val="35700359"/>
    <w:rsid w:val="3570514C"/>
    <w:rsid w:val="357065AB"/>
    <w:rsid w:val="35716893"/>
    <w:rsid w:val="35717D1D"/>
    <w:rsid w:val="35724B19"/>
    <w:rsid w:val="35725E7F"/>
    <w:rsid w:val="35726605"/>
    <w:rsid w:val="35726F5A"/>
    <w:rsid w:val="35727C2D"/>
    <w:rsid w:val="35733ACD"/>
    <w:rsid w:val="3574003B"/>
    <w:rsid w:val="35747E49"/>
    <w:rsid w:val="35750699"/>
    <w:rsid w:val="35753BC1"/>
    <w:rsid w:val="357563ED"/>
    <w:rsid w:val="3575771D"/>
    <w:rsid w:val="35760FBE"/>
    <w:rsid w:val="35763460"/>
    <w:rsid w:val="35765888"/>
    <w:rsid w:val="3576787D"/>
    <w:rsid w:val="35771E61"/>
    <w:rsid w:val="35773495"/>
    <w:rsid w:val="35775E53"/>
    <w:rsid w:val="3577606A"/>
    <w:rsid w:val="35781C6D"/>
    <w:rsid w:val="35781E67"/>
    <w:rsid w:val="35785DEE"/>
    <w:rsid w:val="35794D6E"/>
    <w:rsid w:val="35796153"/>
    <w:rsid w:val="357961FE"/>
    <w:rsid w:val="35797736"/>
    <w:rsid w:val="3579793F"/>
    <w:rsid w:val="357A11D7"/>
    <w:rsid w:val="357A1680"/>
    <w:rsid w:val="357A2F85"/>
    <w:rsid w:val="357A422A"/>
    <w:rsid w:val="357B2164"/>
    <w:rsid w:val="357B4E27"/>
    <w:rsid w:val="357B58D9"/>
    <w:rsid w:val="357B78A7"/>
    <w:rsid w:val="357C0AAC"/>
    <w:rsid w:val="357C4E30"/>
    <w:rsid w:val="357C6CFE"/>
    <w:rsid w:val="357C7723"/>
    <w:rsid w:val="357D4824"/>
    <w:rsid w:val="357D5F0F"/>
    <w:rsid w:val="357D65D2"/>
    <w:rsid w:val="357E0CC8"/>
    <w:rsid w:val="357F059C"/>
    <w:rsid w:val="357F0CD9"/>
    <w:rsid w:val="357F54C0"/>
    <w:rsid w:val="357F67EE"/>
    <w:rsid w:val="35803500"/>
    <w:rsid w:val="35803758"/>
    <w:rsid w:val="35814314"/>
    <w:rsid w:val="35815E16"/>
    <w:rsid w:val="358160C2"/>
    <w:rsid w:val="35816156"/>
    <w:rsid w:val="35825819"/>
    <w:rsid w:val="35827561"/>
    <w:rsid w:val="3583008C"/>
    <w:rsid w:val="35831DBC"/>
    <w:rsid w:val="35831E3A"/>
    <w:rsid w:val="358362DE"/>
    <w:rsid w:val="35843D34"/>
    <w:rsid w:val="35843E04"/>
    <w:rsid w:val="35844A52"/>
    <w:rsid w:val="35845033"/>
    <w:rsid w:val="358465DE"/>
    <w:rsid w:val="35847960"/>
    <w:rsid w:val="35855EE2"/>
    <w:rsid w:val="35860AB3"/>
    <w:rsid w:val="358636D8"/>
    <w:rsid w:val="35867372"/>
    <w:rsid w:val="35867B7C"/>
    <w:rsid w:val="35870802"/>
    <w:rsid w:val="35877E06"/>
    <w:rsid w:val="358833D3"/>
    <w:rsid w:val="35884863"/>
    <w:rsid w:val="358856A2"/>
    <w:rsid w:val="35885D52"/>
    <w:rsid w:val="35887450"/>
    <w:rsid w:val="35891125"/>
    <w:rsid w:val="3589141A"/>
    <w:rsid w:val="358931C8"/>
    <w:rsid w:val="35893C06"/>
    <w:rsid w:val="358A322F"/>
    <w:rsid w:val="358A764F"/>
    <w:rsid w:val="358A766C"/>
    <w:rsid w:val="358B1D54"/>
    <w:rsid w:val="358B5193"/>
    <w:rsid w:val="358B6F41"/>
    <w:rsid w:val="358C1F9B"/>
    <w:rsid w:val="358C31E4"/>
    <w:rsid w:val="358C5FA8"/>
    <w:rsid w:val="358C62E7"/>
    <w:rsid w:val="358D08B4"/>
    <w:rsid w:val="358D0F0B"/>
    <w:rsid w:val="358D27C7"/>
    <w:rsid w:val="358D4A67"/>
    <w:rsid w:val="358D5451"/>
    <w:rsid w:val="358D7245"/>
    <w:rsid w:val="358E07DF"/>
    <w:rsid w:val="358E0BDF"/>
    <w:rsid w:val="358E12FD"/>
    <w:rsid w:val="358E5B04"/>
    <w:rsid w:val="358E6A31"/>
    <w:rsid w:val="358E6AC1"/>
    <w:rsid w:val="358F3395"/>
    <w:rsid w:val="358F4D4F"/>
    <w:rsid w:val="358F78CC"/>
    <w:rsid w:val="35900660"/>
    <w:rsid w:val="35901A73"/>
    <w:rsid w:val="35902BA0"/>
    <w:rsid w:val="359032C1"/>
    <w:rsid w:val="35904557"/>
    <w:rsid w:val="35906305"/>
    <w:rsid w:val="3590650E"/>
    <w:rsid w:val="3591457C"/>
    <w:rsid w:val="35915B04"/>
    <w:rsid w:val="35916DD5"/>
    <w:rsid w:val="359202CF"/>
    <w:rsid w:val="3592064F"/>
    <w:rsid w:val="3592554A"/>
    <w:rsid w:val="359305B1"/>
    <w:rsid w:val="359330B7"/>
    <w:rsid w:val="35935DF5"/>
    <w:rsid w:val="35944547"/>
    <w:rsid w:val="3594672F"/>
    <w:rsid w:val="35951B6D"/>
    <w:rsid w:val="35952548"/>
    <w:rsid w:val="35953021"/>
    <w:rsid w:val="359559D7"/>
    <w:rsid w:val="35956011"/>
    <w:rsid w:val="35957DBF"/>
    <w:rsid w:val="359608D5"/>
    <w:rsid w:val="35962AB6"/>
    <w:rsid w:val="35964678"/>
    <w:rsid w:val="359702F7"/>
    <w:rsid w:val="35971A38"/>
    <w:rsid w:val="35973B37"/>
    <w:rsid w:val="359758E5"/>
    <w:rsid w:val="35976A1B"/>
    <w:rsid w:val="35980CEA"/>
    <w:rsid w:val="3598340C"/>
    <w:rsid w:val="359978AF"/>
    <w:rsid w:val="359A03B9"/>
    <w:rsid w:val="359A1BE3"/>
    <w:rsid w:val="359A3628"/>
    <w:rsid w:val="359A7184"/>
    <w:rsid w:val="359B1849"/>
    <w:rsid w:val="359C26E3"/>
    <w:rsid w:val="359C73A0"/>
    <w:rsid w:val="359D044F"/>
    <w:rsid w:val="359D1B3C"/>
    <w:rsid w:val="359D3355"/>
    <w:rsid w:val="359E01CA"/>
    <w:rsid w:val="359E4EC6"/>
    <w:rsid w:val="359F0C3E"/>
    <w:rsid w:val="359F29EC"/>
    <w:rsid w:val="359F3438"/>
    <w:rsid w:val="359F3953"/>
    <w:rsid w:val="359F479A"/>
    <w:rsid w:val="359F6A89"/>
    <w:rsid w:val="35A02AEA"/>
    <w:rsid w:val="35A079C5"/>
    <w:rsid w:val="35A10338"/>
    <w:rsid w:val="35A123C6"/>
    <w:rsid w:val="35A13F7A"/>
    <w:rsid w:val="35A16764"/>
    <w:rsid w:val="35A17A0D"/>
    <w:rsid w:val="35A214FE"/>
    <w:rsid w:val="35A21B04"/>
    <w:rsid w:val="35A240D4"/>
    <w:rsid w:val="35A26038"/>
    <w:rsid w:val="35A27608"/>
    <w:rsid w:val="35A3072E"/>
    <w:rsid w:val="35A3178F"/>
    <w:rsid w:val="35A31B3B"/>
    <w:rsid w:val="35A33881"/>
    <w:rsid w:val="35A353A2"/>
    <w:rsid w:val="35A35958"/>
    <w:rsid w:val="35A37FDB"/>
    <w:rsid w:val="35A40002"/>
    <w:rsid w:val="35A40E99"/>
    <w:rsid w:val="35A4338E"/>
    <w:rsid w:val="35A5410F"/>
    <w:rsid w:val="35A55415"/>
    <w:rsid w:val="35A60BB2"/>
    <w:rsid w:val="35A61254"/>
    <w:rsid w:val="35A61FCC"/>
    <w:rsid w:val="35A63772"/>
    <w:rsid w:val="35A63D7A"/>
    <w:rsid w:val="35A6695C"/>
    <w:rsid w:val="35A818A1"/>
    <w:rsid w:val="35A85D44"/>
    <w:rsid w:val="35A9181E"/>
    <w:rsid w:val="35A940DE"/>
    <w:rsid w:val="35A952DD"/>
    <w:rsid w:val="35A95619"/>
    <w:rsid w:val="35A973C7"/>
    <w:rsid w:val="35A974FE"/>
    <w:rsid w:val="35AA386B"/>
    <w:rsid w:val="35AB0499"/>
    <w:rsid w:val="35AB3040"/>
    <w:rsid w:val="35AB313F"/>
    <w:rsid w:val="35AB73C8"/>
    <w:rsid w:val="35AB75E3"/>
    <w:rsid w:val="35AC3F28"/>
    <w:rsid w:val="35AC3F99"/>
    <w:rsid w:val="35AC6479"/>
    <w:rsid w:val="35AD6EB7"/>
    <w:rsid w:val="35AE50EE"/>
    <w:rsid w:val="35AE5C63"/>
    <w:rsid w:val="35AE5FE3"/>
    <w:rsid w:val="35AE657E"/>
    <w:rsid w:val="35AE7065"/>
    <w:rsid w:val="35AF0E81"/>
    <w:rsid w:val="35AF114F"/>
    <w:rsid w:val="35AF22C3"/>
    <w:rsid w:val="35AF70D3"/>
    <w:rsid w:val="35B00755"/>
    <w:rsid w:val="35B01B43"/>
    <w:rsid w:val="35B025DF"/>
    <w:rsid w:val="35B03024"/>
    <w:rsid w:val="35B04BF9"/>
    <w:rsid w:val="35B05499"/>
    <w:rsid w:val="35B069A7"/>
    <w:rsid w:val="35B1383E"/>
    <w:rsid w:val="35B171E8"/>
    <w:rsid w:val="35B20971"/>
    <w:rsid w:val="35B222D2"/>
    <w:rsid w:val="35B2251A"/>
    <w:rsid w:val="35B2271F"/>
    <w:rsid w:val="35B244CD"/>
    <w:rsid w:val="35B30245"/>
    <w:rsid w:val="35B37715"/>
    <w:rsid w:val="35B41B1F"/>
    <w:rsid w:val="35B427C1"/>
    <w:rsid w:val="35B43C28"/>
    <w:rsid w:val="35B46497"/>
    <w:rsid w:val="35B50461"/>
    <w:rsid w:val="35B53B86"/>
    <w:rsid w:val="35B54FC1"/>
    <w:rsid w:val="35B57B4E"/>
    <w:rsid w:val="35B634BA"/>
    <w:rsid w:val="35B71A6F"/>
    <w:rsid w:val="35B71AE4"/>
    <w:rsid w:val="35B75F88"/>
    <w:rsid w:val="35B778E1"/>
    <w:rsid w:val="35B77D36"/>
    <w:rsid w:val="35B80D71"/>
    <w:rsid w:val="35B85373"/>
    <w:rsid w:val="35B91D00"/>
    <w:rsid w:val="35B92201"/>
    <w:rsid w:val="35B92C54"/>
    <w:rsid w:val="35B935D0"/>
    <w:rsid w:val="35B93AAE"/>
    <w:rsid w:val="35B95440"/>
    <w:rsid w:val="35BA1818"/>
    <w:rsid w:val="35BA4666"/>
    <w:rsid w:val="35BA547C"/>
    <w:rsid w:val="35BB1575"/>
    <w:rsid w:val="35BB1FB7"/>
    <w:rsid w:val="35BB5A78"/>
    <w:rsid w:val="35BB7A10"/>
    <w:rsid w:val="35BC0907"/>
    <w:rsid w:val="35BC17F0"/>
    <w:rsid w:val="35BC22C3"/>
    <w:rsid w:val="35BC359E"/>
    <w:rsid w:val="35BC3837"/>
    <w:rsid w:val="35BC534C"/>
    <w:rsid w:val="35BC53C9"/>
    <w:rsid w:val="35BC75A7"/>
    <w:rsid w:val="35BD1563"/>
    <w:rsid w:val="35BD2BA5"/>
    <w:rsid w:val="35BE10C4"/>
    <w:rsid w:val="35BE29BF"/>
    <w:rsid w:val="35BE2E72"/>
    <w:rsid w:val="35BE6073"/>
    <w:rsid w:val="35BE7316"/>
    <w:rsid w:val="35BF7503"/>
    <w:rsid w:val="35C00616"/>
    <w:rsid w:val="35C0308E"/>
    <w:rsid w:val="35C052EA"/>
    <w:rsid w:val="35C07BE1"/>
    <w:rsid w:val="35C10BB4"/>
    <w:rsid w:val="35C12962"/>
    <w:rsid w:val="35C15DF1"/>
    <w:rsid w:val="35C16E06"/>
    <w:rsid w:val="35C23D27"/>
    <w:rsid w:val="35C30488"/>
    <w:rsid w:val="35C3393B"/>
    <w:rsid w:val="35C3492C"/>
    <w:rsid w:val="35C366DA"/>
    <w:rsid w:val="35C36C7C"/>
    <w:rsid w:val="35C408FE"/>
    <w:rsid w:val="35C42453"/>
    <w:rsid w:val="35C506A4"/>
    <w:rsid w:val="35C54200"/>
    <w:rsid w:val="35C54F98"/>
    <w:rsid w:val="35C566BF"/>
    <w:rsid w:val="35C618CA"/>
    <w:rsid w:val="35C62D64"/>
    <w:rsid w:val="35C64010"/>
    <w:rsid w:val="35C67F79"/>
    <w:rsid w:val="35C74E92"/>
    <w:rsid w:val="35C75E43"/>
    <w:rsid w:val="35C773D6"/>
    <w:rsid w:val="35C80195"/>
    <w:rsid w:val="35C8047F"/>
    <w:rsid w:val="35C92674"/>
    <w:rsid w:val="35C929DE"/>
    <w:rsid w:val="35C948C7"/>
    <w:rsid w:val="35C97A69"/>
    <w:rsid w:val="35CA0AFF"/>
    <w:rsid w:val="35CA164F"/>
    <w:rsid w:val="35CA5CBB"/>
    <w:rsid w:val="35CB1A33"/>
    <w:rsid w:val="35CB5AD6"/>
    <w:rsid w:val="35CB71E7"/>
    <w:rsid w:val="35CB721C"/>
    <w:rsid w:val="35CC0677"/>
    <w:rsid w:val="35CC3248"/>
    <w:rsid w:val="35CC5041"/>
    <w:rsid w:val="35CD1307"/>
    <w:rsid w:val="35CD1B07"/>
    <w:rsid w:val="35CD4458"/>
    <w:rsid w:val="35CE05E0"/>
    <w:rsid w:val="35CE0913"/>
    <w:rsid w:val="35CE6E2D"/>
    <w:rsid w:val="35CF1523"/>
    <w:rsid w:val="35CF32D1"/>
    <w:rsid w:val="35CF507F"/>
    <w:rsid w:val="35CF6E3C"/>
    <w:rsid w:val="35D1164F"/>
    <w:rsid w:val="35D11918"/>
    <w:rsid w:val="35D13059"/>
    <w:rsid w:val="35D14489"/>
    <w:rsid w:val="35D1573B"/>
    <w:rsid w:val="35D176E8"/>
    <w:rsid w:val="35D223AE"/>
    <w:rsid w:val="35D22CE1"/>
    <w:rsid w:val="35D23CD1"/>
    <w:rsid w:val="35D24B6F"/>
    <w:rsid w:val="35D2691D"/>
    <w:rsid w:val="35D35979"/>
    <w:rsid w:val="35D52E6A"/>
    <w:rsid w:val="35D54660"/>
    <w:rsid w:val="35D5640E"/>
    <w:rsid w:val="35D63EB0"/>
    <w:rsid w:val="35D642FA"/>
    <w:rsid w:val="35D65FFF"/>
    <w:rsid w:val="35D72186"/>
    <w:rsid w:val="35D723E7"/>
    <w:rsid w:val="35D76401"/>
    <w:rsid w:val="35D76ECB"/>
    <w:rsid w:val="35D8035B"/>
    <w:rsid w:val="35D817EB"/>
    <w:rsid w:val="35D92C7B"/>
    <w:rsid w:val="35D97CAC"/>
    <w:rsid w:val="35DA1C76"/>
    <w:rsid w:val="35DA34B7"/>
    <w:rsid w:val="35DA410B"/>
    <w:rsid w:val="35DA5BCC"/>
    <w:rsid w:val="35DA5E0B"/>
    <w:rsid w:val="35DB1105"/>
    <w:rsid w:val="35DB559B"/>
    <w:rsid w:val="35DC016C"/>
    <w:rsid w:val="35DC59EE"/>
    <w:rsid w:val="35DC74C1"/>
    <w:rsid w:val="35DD15FC"/>
    <w:rsid w:val="35DE1B86"/>
    <w:rsid w:val="35DE52C2"/>
    <w:rsid w:val="35DE565D"/>
    <w:rsid w:val="35DE68EB"/>
    <w:rsid w:val="35DF103A"/>
    <w:rsid w:val="35DF6AED"/>
    <w:rsid w:val="35E01BEA"/>
    <w:rsid w:val="35E022B4"/>
    <w:rsid w:val="35E054DE"/>
    <w:rsid w:val="35E0728C"/>
    <w:rsid w:val="35E1035F"/>
    <w:rsid w:val="35E11256"/>
    <w:rsid w:val="35E1140C"/>
    <w:rsid w:val="35E120F0"/>
    <w:rsid w:val="35E121E1"/>
    <w:rsid w:val="35E12977"/>
    <w:rsid w:val="35E12B4D"/>
    <w:rsid w:val="35E13004"/>
    <w:rsid w:val="35E14DB3"/>
    <w:rsid w:val="35E23B4D"/>
    <w:rsid w:val="35E328D9"/>
    <w:rsid w:val="35E339BD"/>
    <w:rsid w:val="35E34BD6"/>
    <w:rsid w:val="35E36D7D"/>
    <w:rsid w:val="35E425B5"/>
    <w:rsid w:val="35E43FB4"/>
    <w:rsid w:val="35E45E36"/>
    <w:rsid w:val="35E46651"/>
    <w:rsid w:val="35E54BA2"/>
    <w:rsid w:val="35E56A24"/>
    <w:rsid w:val="35E6061B"/>
    <w:rsid w:val="35E60E9D"/>
    <w:rsid w:val="35E623C9"/>
    <w:rsid w:val="35E65199"/>
    <w:rsid w:val="35E6686D"/>
    <w:rsid w:val="35E67AD9"/>
    <w:rsid w:val="35E70325"/>
    <w:rsid w:val="35E80200"/>
    <w:rsid w:val="35E825E5"/>
    <w:rsid w:val="35E84393"/>
    <w:rsid w:val="35E84EB3"/>
    <w:rsid w:val="35E86141"/>
    <w:rsid w:val="35E8670E"/>
    <w:rsid w:val="35E928E1"/>
    <w:rsid w:val="35E93135"/>
    <w:rsid w:val="35E93C67"/>
    <w:rsid w:val="35E97B9E"/>
    <w:rsid w:val="35EA1EB9"/>
    <w:rsid w:val="35EA43CF"/>
    <w:rsid w:val="35EA56E1"/>
    <w:rsid w:val="35EB02EA"/>
    <w:rsid w:val="35EB283B"/>
    <w:rsid w:val="35EB3E55"/>
    <w:rsid w:val="35EB3E83"/>
    <w:rsid w:val="35EB401C"/>
    <w:rsid w:val="35EC12F2"/>
    <w:rsid w:val="35EC3017"/>
    <w:rsid w:val="35EC651F"/>
    <w:rsid w:val="35EC7C60"/>
    <w:rsid w:val="35ED3757"/>
    <w:rsid w:val="35ED6387"/>
    <w:rsid w:val="35ED7A71"/>
    <w:rsid w:val="35EE13D3"/>
    <w:rsid w:val="35EE3C29"/>
    <w:rsid w:val="35EE58B4"/>
    <w:rsid w:val="35EF0DFB"/>
    <w:rsid w:val="35EF1EC9"/>
    <w:rsid w:val="35EF3DF5"/>
    <w:rsid w:val="35EF5721"/>
    <w:rsid w:val="35EF6DAA"/>
    <w:rsid w:val="35EF74CF"/>
    <w:rsid w:val="35EF7DA0"/>
    <w:rsid w:val="35F03248"/>
    <w:rsid w:val="35F042E3"/>
    <w:rsid w:val="35F04FF6"/>
    <w:rsid w:val="35F0505E"/>
    <w:rsid w:val="35F150CE"/>
    <w:rsid w:val="35F15135"/>
    <w:rsid w:val="35F16863"/>
    <w:rsid w:val="35F20D6E"/>
    <w:rsid w:val="35F22C3E"/>
    <w:rsid w:val="35F23AD2"/>
    <w:rsid w:val="35F246ED"/>
    <w:rsid w:val="35F25212"/>
    <w:rsid w:val="35F26FC0"/>
    <w:rsid w:val="35F33821"/>
    <w:rsid w:val="35F358CB"/>
    <w:rsid w:val="35F363F2"/>
    <w:rsid w:val="35F3708D"/>
    <w:rsid w:val="35F423C8"/>
    <w:rsid w:val="35F44AE6"/>
    <w:rsid w:val="35F44CB1"/>
    <w:rsid w:val="35F5085E"/>
    <w:rsid w:val="35F50D12"/>
    <w:rsid w:val="35F52189"/>
    <w:rsid w:val="35F55514"/>
    <w:rsid w:val="35F56A39"/>
    <w:rsid w:val="35F62237"/>
    <w:rsid w:val="35F637C4"/>
    <w:rsid w:val="35F66AB0"/>
    <w:rsid w:val="35F72828"/>
    <w:rsid w:val="35F73632"/>
    <w:rsid w:val="35F745D6"/>
    <w:rsid w:val="35F76384"/>
    <w:rsid w:val="35F76AB1"/>
    <w:rsid w:val="35F7792E"/>
    <w:rsid w:val="35F811F6"/>
    <w:rsid w:val="35F84616"/>
    <w:rsid w:val="35F86203"/>
    <w:rsid w:val="35F9034E"/>
    <w:rsid w:val="35F92099"/>
    <w:rsid w:val="35F920FC"/>
    <w:rsid w:val="35F9357F"/>
    <w:rsid w:val="35F97693"/>
    <w:rsid w:val="35FA0B23"/>
    <w:rsid w:val="35FA35B7"/>
    <w:rsid w:val="35FA4D99"/>
    <w:rsid w:val="35FA5A2D"/>
    <w:rsid w:val="35FA5E74"/>
    <w:rsid w:val="35FB2E5A"/>
    <w:rsid w:val="35FB583E"/>
    <w:rsid w:val="35FC3901"/>
    <w:rsid w:val="35FC399A"/>
    <w:rsid w:val="35FC6014"/>
    <w:rsid w:val="35FC7E3E"/>
    <w:rsid w:val="35FD0BE5"/>
    <w:rsid w:val="35FD505D"/>
    <w:rsid w:val="35FD6AF9"/>
    <w:rsid w:val="35FE0934"/>
    <w:rsid w:val="35FE3505"/>
    <w:rsid w:val="35FE3614"/>
    <w:rsid w:val="35FE3BB6"/>
    <w:rsid w:val="35FE7713"/>
    <w:rsid w:val="35FF4995"/>
    <w:rsid w:val="360016DD"/>
    <w:rsid w:val="36005345"/>
    <w:rsid w:val="3600792F"/>
    <w:rsid w:val="36010FB1"/>
    <w:rsid w:val="36011217"/>
    <w:rsid w:val="36015455"/>
    <w:rsid w:val="360200C3"/>
    <w:rsid w:val="360217A9"/>
    <w:rsid w:val="36021E86"/>
    <w:rsid w:val="36030431"/>
    <w:rsid w:val="360307F1"/>
    <w:rsid w:val="360311CD"/>
    <w:rsid w:val="36040D6F"/>
    <w:rsid w:val="36046357"/>
    <w:rsid w:val="36047377"/>
    <w:rsid w:val="36050807"/>
    <w:rsid w:val="36050AA1"/>
    <w:rsid w:val="36052FD1"/>
    <w:rsid w:val="36053676"/>
    <w:rsid w:val="36056CF3"/>
    <w:rsid w:val="36057D40"/>
    <w:rsid w:val="36060747"/>
    <w:rsid w:val="3606180E"/>
    <w:rsid w:val="36061C97"/>
    <w:rsid w:val="36065815"/>
    <w:rsid w:val="36066915"/>
    <w:rsid w:val="36066BE9"/>
    <w:rsid w:val="36070CBD"/>
    <w:rsid w:val="36073127"/>
    <w:rsid w:val="36074328"/>
    <w:rsid w:val="36074A7F"/>
    <w:rsid w:val="36074C05"/>
    <w:rsid w:val="3608233F"/>
    <w:rsid w:val="360857DD"/>
    <w:rsid w:val="360867E3"/>
    <w:rsid w:val="36087656"/>
    <w:rsid w:val="36097188"/>
    <w:rsid w:val="360A00FD"/>
    <w:rsid w:val="360A098E"/>
    <w:rsid w:val="360A1AA8"/>
    <w:rsid w:val="360A4309"/>
    <w:rsid w:val="360A5AD5"/>
    <w:rsid w:val="360A5F70"/>
    <w:rsid w:val="360A60B7"/>
    <w:rsid w:val="360A67BB"/>
    <w:rsid w:val="360A6BB5"/>
    <w:rsid w:val="360B0081"/>
    <w:rsid w:val="360B1C45"/>
    <w:rsid w:val="360B1E2F"/>
    <w:rsid w:val="360B2F38"/>
    <w:rsid w:val="360B77F1"/>
    <w:rsid w:val="360C3B38"/>
    <w:rsid w:val="360C5C1D"/>
    <w:rsid w:val="360C62D3"/>
    <w:rsid w:val="360D204B"/>
    <w:rsid w:val="360D3DFA"/>
    <w:rsid w:val="360D5BA8"/>
    <w:rsid w:val="360D7FBF"/>
    <w:rsid w:val="360E01D9"/>
    <w:rsid w:val="360E7D59"/>
    <w:rsid w:val="360F18B9"/>
    <w:rsid w:val="360F3EB9"/>
    <w:rsid w:val="360F4D09"/>
    <w:rsid w:val="360F7513"/>
    <w:rsid w:val="360F7B72"/>
    <w:rsid w:val="36103826"/>
    <w:rsid w:val="36104FF7"/>
    <w:rsid w:val="36107446"/>
    <w:rsid w:val="361104EB"/>
    <w:rsid w:val="361138EA"/>
    <w:rsid w:val="36116DAA"/>
    <w:rsid w:val="3612197B"/>
    <w:rsid w:val="36122DEB"/>
    <w:rsid w:val="361231BE"/>
    <w:rsid w:val="361246E6"/>
    <w:rsid w:val="36127662"/>
    <w:rsid w:val="36127922"/>
    <w:rsid w:val="361332FF"/>
    <w:rsid w:val="361433DA"/>
    <w:rsid w:val="36145188"/>
    <w:rsid w:val="36145E52"/>
    <w:rsid w:val="36146F36"/>
    <w:rsid w:val="3614749E"/>
    <w:rsid w:val="361502FC"/>
    <w:rsid w:val="361507CA"/>
    <w:rsid w:val="36156A40"/>
    <w:rsid w:val="3616081F"/>
    <w:rsid w:val="36160F00"/>
    <w:rsid w:val="36162CAE"/>
    <w:rsid w:val="361741F4"/>
    <w:rsid w:val="36174A36"/>
    <w:rsid w:val="36174C78"/>
    <w:rsid w:val="36175970"/>
    <w:rsid w:val="36175DA3"/>
    <w:rsid w:val="36175ECB"/>
    <w:rsid w:val="36176A26"/>
    <w:rsid w:val="361775BC"/>
    <w:rsid w:val="361840AC"/>
    <w:rsid w:val="361856AC"/>
    <w:rsid w:val="361857ED"/>
    <w:rsid w:val="361909F0"/>
    <w:rsid w:val="3619279E"/>
    <w:rsid w:val="36193279"/>
    <w:rsid w:val="3619454C"/>
    <w:rsid w:val="36194C10"/>
    <w:rsid w:val="36197C2F"/>
    <w:rsid w:val="361A3DDB"/>
    <w:rsid w:val="361A6E66"/>
    <w:rsid w:val="361B02C4"/>
    <w:rsid w:val="361B0941"/>
    <w:rsid w:val="361B2A2D"/>
    <w:rsid w:val="361C228F"/>
    <w:rsid w:val="361C403D"/>
    <w:rsid w:val="361C55FE"/>
    <w:rsid w:val="361D185A"/>
    <w:rsid w:val="361D359A"/>
    <w:rsid w:val="361D6A8E"/>
    <w:rsid w:val="361E1B63"/>
    <w:rsid w:val="361E6007"/>
    <w:rsid w:val="361E6268"/>
    <w:rsid w:val="361E7DB5"/>
    <w:rsid w:val="361E7F1E"/>
    <w:rsid w:val="361F6D9C"/>
    <w:rsid w:val="36201A3D"/>
    <w:rsid w:val="36201D7F"/>
    <w:rsid w:val="36203B2D"/>
    <w:rsid w:val="3620540F"/>
    <w:rsid w:val="36207238"/>
    <w:rsid w:val="36211653"/>
    <w:rsid w:val="36213DFF"/>
    <w:rsid w:val="362248F3"/>
    <w:rsid w:val="36225A50"/>
    <w:rsid w:val="36226E72"/>
    <w:rsid w:val="36232900"/>
    <w:rsid w:val="36233BDD"/>
    <w:rsid w:val="362353CB"/>
    <w:rsid w:val="3623612D"/>
    <w:rsid w:val="36237179"/>
    <w:rsid w:val="36237C06"/>
    <w:rsid w:val="3624433A"/>
    <w:rsid w:val="362508B9"/>
    <w:rsid w:val="36252EF1"/>
    <w:rsid w:val="362551E1"/>
    <w:rsid w:val="362566B0"/>
    <w:rsid w:val="36257BE2"/>
    <w:rsid w:val="362604DA"/>
    <w:rsid w:val="36266C69"/>
    <w:rsid w:val="36267B40"/>
    <w:rsid w:val="362700C8"/>
    <w:rsid w:val="36272082"/>
    <w:rsid w:val="36272711"/>
    <w:rsid w:val="36273F67"/>
    <w:rsid w:val="36274EBB"/>
    <w:rsid w:val="362778D1"/>
    <w:rsid w:val="36280A96"/>
    <w:rsid w:val="36281361"/>
    <w:rsid w:val="3628183A"/>
    <w:rsid w:val="362829E1"/>
    <w:rsid w:val="36286772"/>
    <w:rsid w:val="36292253"/>
    <w:rsid w:val="3629686E"/>
    <w:rsid w:val="362A0508"/>
    <w:rsid w:val="362A1092"/>
    <w:rsid w:val="362A49AB"/>
    <w:rsid w:val="362A675A"/>
    <w:rsid w:val="362B2522"/>
    <w:rsid w:val="362B577D"/>
    <w:rsid w:val="362B7377"/>
    <w:rsid w:val="362C0724"/>
    <w:rsid w:val="362C30A1"/>
    <w:rsid w:val="362C39B2"/>
    <w:rsid w:val="362C6903"/>
    <w:rsid w:val="362C728E"/>
    <w:rsid w:val="362D0B25"/>
    <w:rsid w:val="362D1DA6"/>
    <w:rsid w:val="362D5F0F"/>
    <w:rsid w:val="362D7FF8"/>
    <w:rsid w:val="362E7A13"/>
    <w:rsid w:val="362F1FC2"/>
    <w:rsid w:val="362F3D70"/>
    <w:rsid w:val="36301896"/>
    <w:rsid w:val="36304F04"/>
    <w:rsid w:val="36305E35"/>
    <w:rsid w:val="363065F7"/>
    <w:rsid w:val="36310AE8"/>
    <w:rsid w:val="36310B5F"/>
    <w:rsid w:val="36310FEF"/>
    <w:rsid w:val="36315D3A"/>
    <w:rsid w:val="36317AE8"/>
    <w:rsid w:val="36321AB2"/>
    <w:rsid w:val="3632258C"/>
    <w:rsid w:val="363236E6"/>
    <w:rsid w:val="36323860"/>
    <w:rsid w:val="3632560E"/>
    <w:rsid w:val="36327824"/>
    <w:rsid w:val="36330CB4"/>
    <w:rsid w:val="36333885"/>
    <w:rsid w:val="36336171"/>
    <w:rsid w:val="36340F17"/>
    <w:rsid w:val="36341386"/>
    <w:rsid w:val="36342144"/>
    <w:rsid w:val="36343134"/>
    <w:rsid w:val="36356EAC"/>
    <w:rsid w:val="3636284E"/>
    <w:rsid w:val="36370AC5"/>
    <w:rsid w:val="36370E76"/>
    <w:rsid w:val="36372C24"/>
    <w:rsid w:val="3638178A"/>
    <w:rsid w:val="363825CE"/>
    <w:rsid w:val="363870C8"/>
    <w:rsid w:val="363904AC"/>
    <w:rsid w:val="36390A6E"/>
    <w:rsid w:val="3639699D"/>
    <w:rsid w:val="36396E21"/>
    <w:rsid w:val="363976F7"/>
    <w:rsid w:val="363A0AED"/>
    <w:rsid w:val="363A1E85"/>
    <w:rsid w:val="363A3D32"/>
    <w:rsid w:val="363B0967"/>
    <w:rsid w:val="363B2017"/>
    <w:rsid w:val="363B2715"/>
    <w:rsid w:val="363B2F66"/>
    <w:rsid w:val="363B36B6"/>
    <w:rsid w:val="363B44C3"/>
    <w:rsid w:val="363C023B"/>
    <w:rsid w:val="363C16DB"/>
    <w:rsid w:val="363C2747"/>
    <w:rsid w:val="363C3B54"/>
    <w:rsid w:val="363C48B7"/>
    <w:rsid w:val="363C59D6"/>
    <w:rsid w:val="363C616A"/>
    <w:rsid w:val="363D1DF8"/>
    <w:rsid w:val="363D4075"/>
    <w:rsid w:val="363D46DF"/>
    <w:rsid w:val="363D4937"/>
    <w:rsid w:val="363D4F7A"/>
    <w:rsid w:val="363E0457"/>
    <w:rsid w:val="363E0998"/>
    <w:rsid w:val="363E2205"/>
    <w:rsid w:val="363E2EB7"/>
    <w:rsid w:val="363E3FB3"/>
    <w:rsid w:val="363E5DD3"/>
    <w:rsid w:val="363E7508"/>
    <w:rsid w:val="363E7E94"/>
    <w:rsid w:val="36401AD9"/>
    <w:rsid w:val="36401C52"/>
    <w:rsid w:val="36405F7D"/>
    <w:rsid w:val="364077D1"/>
    <w:rsid w:val="36407D2B"/>
    <w:rsid w:val="36413AA3"/>
    <w:rsid w:val="36415851"/>
    <w:rsid w:val="3641614E"/>
    <w:rsid w:val="36421CF5"/>
    <w:rsid w:val="36425281"/>
    <w:rsid w:val="36427319"/>
    <w:rsid w:val="36430993"/>
    <w:rsid w:val="36430F88"/>
    <w:rsid w:val="364315C9"/>
    <w:rsid w:val="36432D8A"/>
    <w:rsid w:val="3643374B"/>
    <w:rsid w:val="364341BD"/>
    <w:rsid w:val="36435A6D"/>
    <w:rsid w:val="36435AB2"/>
    <w:rsid w:val="36436E94"/>
    <w:rsid w:val="36440F63"/>
    <w:rsid w:val="3644480A"/>
    <w:rsid w:val="36445BB9"/>
    <w:rsid w:val="36450A49"/>
    <w:rsid w:val="364517E5"/>
    <w:rsid w:val="36453593"/>
    <w:rsid w:val="36461C53"/>
    <w:rsid w:val="36462E68"/>
    <w:rsid w:val="3647730B"/>
    <w:rsid w:val="36483084"/>
    <w:rsid w:val="36486245"/>
    <w:rsid w:val="36486334"/>
    <w:rsid w:val="364863AC"/>
    <w:rsid w:val="36486BE0"/>
    <w:rsid w:val="36490860"/>
    <w:rsid w:val="3649221A"/>
    <w:rsid w:val="36492A4D"/>
    <w:rsid w:val="36494248"/>
    <w:rsid w:val="364A067C"/>
    <w:rsid w:val="364A1ADC"/>
    <w:rsid w:val="364A2958"/>
    <w:rsid w:val="364A59B8"/>
    <w:rsid w:val="364C0923"/>
    <w:rsid w:val="364C13F0"/>
    <w:rsid w:val="364C2B74"/>
    <w:rsid w:val="364C2BB9"/>
    <w:rsid w:val="364C3416"/>
    <w:rsid w:val="364C4922"/>
    <w:rsid w:val="364C66D0"/>
    <w:rsid w:val="364D069A"/>
    <w:rsid w:val="364D2448"/>
    <w:rsid w:val="364D41F6"/>
    <w:rsid w:val="364D442C"/>
    <w:rsid w:val="364D6FFD"/>
    <w:rsid w:val="364E1A1B"/>
    <w:rsid w:val="364E5100"/>
    <w:rsid w:val="364E58BC"/>
    <w:rsid w:val="364F61C0"/>
    <w:rsid w:val="364F6DCA"/>
    <w:rsid w:val="364F71E1"/>
    <w:rsid w:val="36511F38"/>
    <w:rsid w:val="3652180C"/>
    <w:rsid w:val="365256CD"/>
    <w:rsid w:val="36526E0E"/>
    <w:rsid w:val="36527A5E"/>
    <w:rsid w:val="3653029E"/>
    <w:rsid w:val="36530D9D"/>
    <w:rsid w:val="365319B0"/>
    <w:rsid w:val="36536F68"/>
    <w:rsid w:val="36542A66"/>
    <w:rsid w:val="36545584"/>
    <w:rsid w:val="365470E8"/>
    <w:rsid w:val="36561765"/>
    <w:rsid w:val="36562AF9"/>
    <w:rsid w:val="365657A0"/>
    <w:rsid w:val="36566C1F"/>
    <w:rsid w:val="365714D7"/>
    <w:rsid w:val="36573519"/>
    <w:rsid w:val="36575C5C"/>
    <w:rsid w:val="365807A4"/>
    <w:rsid w:val="36581EF8"/>
    <w:rsid w:val="3658344B"/>
    <w:rsid w:val="36590DED"/>
    <w:rsid w:val="36592B9B"/>
    <w:rsid w:val="36594110"/>
    <w:rsid w:val="3659433B"/>
    <w:rsid w:val="365955A0"/>
    <w:rsid w:val="365A2781"/>
    <w:rsid w:val="365A6A5E"/>
    <w:rsid w:val="365A7D10"/>
    <w:rsid w:val="365B2911"/>
    <w:rsid w:val="365B2DB7"/>
    <w:rsid w:val="365B4B65"/>
    <w:rsid w:val="365B6913"/>
    <w:rsid w:val="365C1350"/>
    <w:rsid w:val="365C268B"/>
    <w:rsid w:val="365C285B"/>
    <w:rsid w:val="365C5C7B"/>
    <w:rsid w:val="365D6B2F"/>
    <w:rsid w:val="365E28A7"/>
    <w:rsid w:val="365E3DDF"/>
    <w:rsid w:val="365E4655"/>
    <w:rsid w:val="365E6403"/>
    <w:rsid w:val="365E6AF0"/>
    <w:rsid w:val="365F1C73"/>
    <w:rsid w:val="365F6841"/>
    <w:rsid w:val="365F6894"/>
    <w:rsid w:val="36603F29"/>
    <w:rsid w:val="36612E47"/>
    <w:rsid w:val="36613D32"/>
    <w:rsid w:val="36613DE1"/>
    <w:rsid w:val="36615762"/>
    <w:rsid w:val="36617CA1"/>
    <w:rsid w:val="36617F9C"/>
    <w:rsid w:val="36624145"/>
    <w:rsid w:val="36630A9F"/>
    <w:rsid w:val="36630C68"/>
    <w:rsid w:val="36631C6B"/>
    <w:rsid w:val="36631F96"/>
    <w:rsid w:val="36632356"/>
    <w:rsid w:val="36634F63"/>
    <w:rsid w:val="3663543F"/>
    <w:rsid w:val="36636652"/>
    <w:rsid w:val="36636FE9"/>
    <w:rsid w:val="36637D93"/>
    <w:rsid w:val="36641223"/>
    <w:rsid w:val="36641856"/>
    <w:rsid w:val="366426B3"/>
    <w:rsid w:val="366436D8"/>
    <w:rsid w:val="3664515C"/>
    <w:rsid w:val="36645FCA"/>
    <w:rsid w:val="36653B43"/>
    <w:rsid w:val="36653C36"/>
    <w:rsid w:val="36655284"/>
    <w:rsid w:val="366559E4"/>
    <w:rsid w:val="36656148"/>
    <w:rsid w:val="36657792"/>
    <w:rsid w:val="366604B5"/>
    <w:rsid w:val="3666113A"/>
    <w:rsid w:val="36665F5D"/>
    <w:rsid w:val="3666645F"/>
    <w:rsid w:val="36680DFA"/>
    <w:rsid w:val="36681030"/>
    <w:rsid w:val="36681A4D"/>
    <w:rsid w:val="366831EC"/>
    <w:rsid w:val="36683AAC"/>
    <w:rsid w:val="36684461"/>
    <w:rsid w:val="366854D4"/>
    <w:rsid w:val="366909B3"/>
    <w:rsid w:val="366A124C"/>
    <w:rsid w:val="366A2FFA"/>
    <w:rsid w:val="366B013C"/>
    <w:rsid w:val="366B28CE"/>
    <w:rsid w:val="366B3DF3"/>
    <w:rsid w:val="366B4D83"/>
    <w:rsid w:val="366B53FB"/>
    <w:rsid w:val="366B5748"/>
    <w:rsid w:val="366B5EDA"/>
    <w:rsid w:val="366B6995"/>
    <w:rsid w:val="366B7875"/>
    <w:rsid w:val="366B79B5"/>
    <w:rsid w:val="366C0B20"/>
    <w:rsid w:val="366C15B3"/>
    <w:rsid w:val="366D0B7D"/>
    <w:rsid w:val="366D22D5"/>
    <w:rsid w:val="366D4CA1"/>
    <w:rsid w:val="366D5CE0"/>
    <w:rsid w:val="366D6646"/>
    <w:rsid w:val="366E2AEA"/>
    <w:rsid w:val="366E3101"/>
    <w:rsid w:val="366E4EA6"/>
    <w:rsid w:val="366F0610"/>
    <w:rsid w:val="366F50C7"/>
    <w:rsid w:val="36700C56"/>
    <w:rsid w:val="36702397"/>
    <w:rsid w:val="36702FD5"/>
    <w:rsid w:val="36710518"/>
    <w:rsid w:val="36712B58"/>
    <w:rsid w:val="36714388"/>
    <w:rsid w:val="36716136"/>
    <w:rsid w:val="36721EAF"/>
    <w:rsid w:val="36723C5D"/>
    <w:rsid w:val="36724CB7"/>
    <w:rsid w:val="36732BCF"/>
    <w:rsid w:val="36736147"/>
    <w:rsid w:val="367372E3"/>
    <w:rsid w:val="36745C27"/>
    <w:rsid w:val="36747466"/>
    <w:rsid w:val="36753638"/>
    <w:rsid w:val="367546D6"/>
    <w:rsid w:val="36756265"/>
    <w:rsid w:val="3676199F"/>
    <w:rsid w:val="3677172D"/>
    <w:rsid w:val="367735B1"/>
    <w:rsid w:val="36777699"/>
    <w:rsid w:val="36780C72"/>
    <w:rsid w:val="36785717"/>
    <w:rsid w:val="367873E8"/>
    <w:rsid w:val="3679148F"/>
    <w:rsid w:val="36791D9B"/>
    <w:rsid w:val="3679323D"/>
    <w:rsid w:val="36794FEB"/>
    <w:rsid w:val="36797BFD"/>
    <w:rsid w:val="367A2DC1"/>
    <w:rsid w:val="367A6F3B"/>
    <w:rsid w:val="367B0D63"/>
    <w:rsid w:val="367B48D9"/>
    <w:rsid w:val="367B5344"/>
    <w:rsid w:val="367B5BEF"/>
    <w:rsid w:val="367B6FB5"/>
    <w:rsid w:val="367C093A"/>
    <w:rsid w:val="367C2E83"/>
    <w:rsid w:val="367C34AA"/>
    <w:rsid w:val="367C4A9C"/>
    <w:rsid w:val="367C4ADB"/>
    <w:rsid w:val="367D0F7F"/>
    <w:rsid w:val="367D1DCA"/>
    <w:rsid w:val="367D2D2D"/>
    <w:rsid w:val="367D350B"/>
    <w:rsid w:val="367D4D6D"/>
    <w:rsid w:val="367E0853"/>
    <w:rsid w:val="367E2AAD"/>
    <w:rsid w:val="367E65C1"/>
    <w:rsid w:val="367E6AA5"/>
    <w:rsid w:val="367E6EAB"/>
    <w:rsid w:val="367F28A4"/>
    <w:rsid w:val="367F3118"/>
    <w:rsid w:val="367F46EA"/>
    <w:rsid w:val="367F4CF7"/>
    <w:rsid w:val="367F72CB"/>
    <w:rsid w:val="3680074B"/>
    <w:rsid w:val="3680080C"/>
    <w:rsid w:val="368060EE"/>
    <w:rsid w:val="36806379"/>
    <w:rsid w:val="3681152A"/>
    <w:rsid w:val="36811A5E"/>
    <w:rsid w:val="368154CF"/>
    <w:rsid w:val="36815AA2"/>
    <w:rsid w:val="368220F2"/>
    <w:rsid w:val="36826596"/>
    <w:rsid w:val="36826A0E"/>
    <w:rsid w:val="3683176F"/>
    <w:rsid w:val="36831BF6"/>
    <w:rsid w:val="36835E6A"/>
    <w:rsid w:val="368377DF"/>
    <w:rsid w:val="3684230E"/>
    <w:rsid w:val="3684257F"/>
    <w:rsid w:val="36851BE2"/>
    <w:rsid w:val="3685312D"/>
    <w:rsid w:val="36853990"/>
    <w:rsid w:val="36857E34"/>
    <w:rsid w:val="36862834"/>
    <w:rsid w:val="36873BAC"/>
    <w:rsid w:val="3687595A"/>
    <w:rsid w:val="36877062"/>
    <w:rsid w:val="3687718E"/>
    <w:rsid w:val="36877708"/>
    <w:rsid w:val="3688061E"/>
    <w:rsid w:val="3688265D"/>
    <w:rsid w:val="36883480"/>
    <w:rsid w:val="36893D49"/>
    <w:rsid w:val="36897924"/>
    <w:rsid w:val="368A2FDD"/>
    <w:rsid w:val="368A369C"/>
    <w:rsid w:val="368A4B4C"/>
    <w:rsid w:val="368A71F8"/>
    <w:rsid w:val="368B585E"/>
    <w:rsid w:val="368B5E0B"/>
    <w:rsid w:val="368C18A4"/>
    <w:rsid w:val="368C2F70"/>
    <w:rsid w:val="368C4D1E"/>
    <w:rsid w:val="368C5843"/>
    <w:rsid w:val="368D0151"/>
    <w:rsid w:val="368D0A96"/>
    <w:rsid w:val="368D6CE8"/>
    <w:rsid w:val="368E123B"/>
    <w:rsid w:val="368E2E80"/>
    <w:rsid w:val="368E31A7"/>
    <w:rsid w:val="368E4441"/>
    <w:rsid w:val="368E4F3A"/>
    <w:rsid w:val="368E62C3"/>
    <w:rsid w:val="368F0CB2"/>
    <w:rsid w:val="368F41DF"/>
    <w:rsid w:val="368F480F"/>
    <w:rsid w:val="368F71CD"/>
    <w:rsid w:val="36900240"/>
    <w:rsid w:val="36901ADC"/>
    <w:rsid w:val="36901C61"/>
    <w:rsid w:val="369031AC"/>
    <w:rsid w:val="369074A8"/>
    <w:rsid w:val="36911F18"/>
    <w:rsid w:val="36914A2B"/>
    <w:rsid w:val="3692250F"/>
    <w:rsid w:val="36923549"/>
    <w:rsid w:val="36923616"/>
    <w:rsid w:val="369242A1"/>
    <w:rsid w:val="369260AD"/>
    <w:rsid w:val="3692680B"/>
    <w:rsid w:val="36932551"/>
    <w:rsid w:val="36933874"/>
    <w:rsid w:val="369342FF"/>
    <w:rsid w:val="369351D6"/>
    <w:rsid w:val="36935731"/>
    <w:rsid w:val="36940077"/>
    <w:rsid w:val="36941227"/>
    <w:rsid w:val="36941E25"/>
    <w:rsid w:val="3694591B"/>
    <w:rsid w:val="369462C9"/>
    <w:rsid w:val="36951E69"/>
    <w:rsid w:val="369605DD"/>
    <w:rsid w:val="36960BD4"/>
    <w:rsid w:val="36962041"/>
    <w:rsid w:val="369736C3"/>
    <w:rsid w:val="3697776B"/>
    <w:rsid w:val="3698769C"/>
    <w:rsid w:val="36987F37"/>
    <w:rsid w:val="36991E67"/>
    <w:rsid w:val="369938DF"/>
    <w:rsid w:val="3699568D"/>
    <w:rsid w:val="36996EBE"/>
    <w:rsid w:val="369A0BA5"/>
    <w:rsid w:val="369A1099"/>
    <w:rsid w:val="369A111C"/>
    <w:rsid w:val="369A5257"/>
    <w:rsid w:val="369B0ED9"/>
    <w:rsid w:val="369B1539"/>
    <w:rsid w:val="369B1541"/>
    <w:rsid w:val="369B17DA"/>
    <w:rsid w:val="369B41FA"/>
    <w:rsid w:val="369B5287"/>
    <w:rsid w:val="369B7657"/>
    <w:rsid w:val="369C440D"/>
    <w:rsid w:val="369D0375"/>
    <w:rsid w:val="369D33CF"/>
    <w:rsid w:val="369D6F2B"/>
    <w:rsid w:val="369E0C1F"/>
    <w:rsid w:val="369E54F7"/>
    <w:rsid w:val="369E742A"/>
    <w:rsid w:val="369F6FC3"/>
    <w:rsid w:val="36A011EB"/>
    <w:rsid w:val="36A06A1C"/>
    <w:rsid w:val="36A06A70"/>
    <w:rsid w:val="36A13D31"/>
    <w:rsid w:val="36A1493B"/>
    <w:rsid w:val="36A15698"/>
    <w:rsid w:val="36A16AB3"/>
    <w:rsid w:val="36A209E6"/>
    <w:rsid w:val="36A20A49"/>
    <w:rsid w:val="36A21DFD"/>
    <w:rsid w:val="36A24542"/>
    <w:rsid w:val="36A25E99"/>
    <w:rsid w:val="36A302BA"/>
    <w:rsid w:val="36A30D41"/>
    <w:rsid w:val="36A335F1"/>
    <w:rsid w:val="36A33AE5"/>
    <w:rsid w:val="36A43530"/>
    <w:rsid w:val="36A4435D"/>
    <w:rsid w:val="36A4475E"/>
    <w:rsid w:val="36A44F75"/>
    <w:rsid w:val="36A4601E"/>
    <w:rsid w:val="36A466B6"/>
    <w:rsid w:val="36A468E5"/>
    <w:rsid w:val="36A47195"/>
    <w:rsid w:val="36A50FD6"/>
    <w:rsid w:val="36A52284"/>
    <w:rsid w:val="36A55DE0"/>
    <w:rsid w:val="36A57B46"/>
    <w:rsid w:val="36A6094E"/>
    <w:rsid w:val="36A71B58"/>
    <w:rsid w:val="36A723C2"/>
    <w:rsid w:val="36A73F0A"/>
    <w:rsid w:val="36A75037"/>
    <w:rsid w:val="36A75FFC"/>
    <w:rsid w:val="36A77DAA"/>
    <w:rsid w:val="36A858D0"/>
    <w:rsid w:val="36A864C7"/>
    <w:rsid w:val="36A91D74"/>
    <w:rsid w:val="36A92AAB"/>
    <w:rsid w:val="36A92D96"/>
    <w:rsid w:val="36AA1BA4"/>
    <w:rsid w:val="36AA5AEC"/>
    <w:rsid w:val="36AA7F03"/>
    <w:rsid w:val="36AA7F2F"/>
    <w:rsid w:val="36AB033E"/>
    <w:rsid w:val="36AB2277"/>
    <w:rsid w:val="36AB4E80"/>
    <w:rsid w:val="36AB5819"/>
    <w:rsid w:val="36AC2A75"/>
    <w:rsid w:val="36AC306F"/>
    <w:rsid w:val="36AC3612"/>
    <w:rsid w:val="36AC62D8"/>
    <w:rsid w:val="36AD2EE7"/>
    <w:rsid w:val="36AD7768"/>
    <w:rsid w:val="36AE08DD"/>
    <w:rsid w:val="36AE1139"/>
    <w:rsid w:val="36AE14E4"/>
    <w:rsid w:val="36AE37D4"/>
    <w:rsid w:val="36AE433B"/>
    <w:rsid w:val="36AE738B"/>
    <w:rsid w:val="36AF3103"/>
    <w:rsid w:val="36AF6C5F"/>
    <w:rsid w:val="36B00B53"/>
    <w:rsid w:val="36B0782A"/>
    <w:rsid w:val="36B10C29"/>
    <w:rsid w:val="36B129D7"/>
    <w:rsid w:val="36B13AD8"/>
    <w:rsid w:val="36B205FF"/>
    <w:rsid w:val="36B21704"/>
    <w:rsid w:val="36B23B78"/>
    <w:rsid w:val="36B31C26"/>
    <w:rsid w:val="36B349A1"/>
    <w:rsid w:val="36B35E1F"/>
    <w:rsid w:val="36B3674F"/>
    <w:rsid w:val="36B37058"/>
    <w:rsid w:val="36B424C7"/>
    <w:rsid w:val="36B44275"/>
    <w:rsid w:val="36B4763B"/>
    <w:rsid w:val="36B50719"/>
    <w:rsid w:val="36B50ACB"/>
    <w:rsid w:val="36B52C84"/>
    <w:rsid w:val="36B55EFA"/>
    <w:rsid w:val="36B61AC2"/>
    <w:rsid w:val="36B64491"/>
    <w:rsid w:val="36B6461D"/>
    <w:rsid w:val="36B6623F"/>
    <w:rsid w:val="36B66706"/>
    <w:rsid w:val="36B66BCB"/>
    <w:rsid w:val="36B67FED"/>
    <w:rsid w:val="36B75FBF"/>
    <w:rsid w:val="36B81FB7"/>
    <w:rsid w:val="36B83D65"/>
    <w:rsid w:val="36B83DE8"/>
    <w:rsid w:val="36B85B13"/>
    <w:rsid w:val="36B87CCB"/>
    <w:rsid w:val="36B91A9C"/>
    <w:rsid w:val="36B97ADD"/>
    <w:rsid w:val="36BA08DC"/>
    <w:rsid w:val="36BA0F57"/>
    <w:rsid w:val="36BA3BAA"/>
    <w:rsid w:val="36BA3D31"/>
    <w:rsid w:val="36BB1B5C"/>
    <w:rsid w:val="36BB3856"/>
    <w:rsid w:val="36BB5604"/>
    <w:rsid w:val="36BC09D6"/>
    <w:rsid w:val="36BC6F7C"/>
    <w:rsid w:val="36BC78D9"/>
    <w:rsid w:val="36BD0C45"/>
    <w:rsid w:val="36BD137C"/>
    <w:rsid w:val="36BD19ED"/>
    <w:rsid w:val="36BD312A"/>
    <w:rsid w:val="36BD56F1"/>
    <w:rsid w:val="36BD5820"/>
    <w:rsid w:val="36BE16D6"/>
    <w:rsid w:val="36BE1E2E"/>
    <w:rsid w:val="36BE50F4"/>
    <w:rsid w:val="36BF2BD1"/>
    <w:rsid w:val="36BF4A54"/>
    <w:rsid w:val="36BF504B"/>
    <w:rsid w:val="36BF55EA"/>
    <w:rsid w:val="36BF76FF"/>
    <w:rsid w:val="36BF7DA4"/>
    <w:rsid w:val="36C00174"/>
    <w:rsid w:val="36C02C1A"/>
    <w:rsid w:val="36C05BDE"/>
    <w:rsid w:val="36C066E4"/>
    <w:rsid w:val="36C24BE4"/>
    <w:rsid w:val="36C26992"/>
    <w:rsid w:val="36C26F24"/>
    <w:rsid w:val="36C31297"/>
    <w:rsid w:val="36C3270A"/>
    <w:rsid w:val="36C330CF"/>
    <w:rsid w:val="36C3389F"/>
    <w:rsid w:val="36C344B8"/>
    <w:rsid w:val="36C4095C"/>
    <w:rsid w:val="36C41F09"/>
    <w:rsid w:val="36C46BAE"/>
    <w:rsid w:val="36C50230"/>
    <w:rsid w:val="36C505C0"/>
    <w:rsid w:val="36C52756"/>
    <w:rsid w:val="36C5420C"/>
    <w:rsid w:val="36C546D4"/>
    <w:rsid w:val="36C56482"/>
    <w:rsid w:val="36C6077F"/>
    <w:rsid w:val="36C61936"/>
    <w:rsid w:val="36C63BC0"/>
    <w:rsid w:val="36C66D6E"/>
    <w:rsid w:val="36C7044C"/>
    <w:rsid w:val="36C72EE0"/>
    <w:rsid w:val="36C85AB1"/>
    <w:rsid w:val="36C869A9"/>
    <w:rsid w:val="36C941C4"/>
    <w:rsid w:val="36C95F18"/>
    <w:rsid w:val="36C95F72"/>
    <w:rsid w:val="36C97A64"/>
    <w:rsid w:val="36C97D20"/>
    <w:rsid w:val="36CA5810"/>
    <w:rsid w:val="36CB14ED"/>
    <w:rsid w:val="36CB4A75"/>
    <w:rsid w:val="36CB53E3"/>
    <w:rsid w:val="36CC15BF"/>
    <w:rsid w:val="36CC23AE"/>
    <w:rsid w:val="36CC4181"/>
    <w:rsid w:val="36CC5A63"/>
    <w:rsid w:val="36CC7811"/>
    <w:rsid w:val="36CD1936"/>
    <w:rsid w:val="36CD3F40"/>
    <w:rsid w:val="36CE17DB"/>
    <w:rsid w:val="36CE5337"/>
    <w:rsid w:val="36CF02B4"/>
    <w:rsid w:val="36CF281E"/>
    <w:rsid w:val="36CF7301"/>
    <w:rsid w:val="36D00C2B"/>
    <w:rsid w:val="36D018D9"/>
    <w:rsid w:val="36D05553"/>
    <w:rsid w:val="36D06057"/>
    <w:rsid w:val="36D14E27"/>
    <w:rsid w:val="36D278BC"/>
    <w:rsid w:val="36D30B9F"/>
    <w:rsid w:val="36D3294D"/>
    <w:rsid w:val="36D3575F"/>
    <w:rsid w:val="36D42991"/>
    <w:rsid w:val="36D4313E"/>
    <w:rsid w:val="36D44917"/>
    <w:rsid w:val="36D466C5"/>
    <w:rsid w:val="36D500B5"/>
    <w:rsid w:val="36D51C66"/>
    <w:rsid w:val="36D52B69"/>
    <w:rsid w:val="36D554E4"/>
    <w:rsid w:val="36D6068F"/>
    <w:rsid w:val="36D61545"/>
    <w:rsid w:val="36D617AE"/>
    <w:rsid w:val="36D61881"/>
    <w:rsid w:val="36D6243D"/>
    <w:rsid w:val="36D641EB"/>
    <w:rsid w:val="36D65108"/>
    <w:rsid w:val="36D665A2"/>
    <w:rsid w:val="36D668E1"/>
    <w:rsid w:val="36D66974"/>
    <w:rsid w:val="36D77E55"/>
    <w:rsid w:val="36D83A68"/>
    <w:rsid w:val="36D843B3"/>
    <w:rsid w:val="36D84407"/>
    <w:rsid w:val="36D86195"/>
    <w:rsid w:val="36D861B6"/>
    <w:rsid w:val="36D87F64"/>
    <w:rsid w:val="36D93CDC"/>
    <w:rsid w:val="36D9587A"/>
    <w:rsid w:val="36DA075E"/>
    <w:rsid w:val="36DA1F2E"/>
    <w:rsid w:val="36DA4CBE"/>
    <w:rsid w:val="36DA67BC"/>
    <w:rsid w:val="36DB23A0"/>
    <w:rsid w:val="36DB3EF8"/>
    <w:rsid w:val="36DB7C3A"/>
    <w:rsid w:val="36DC08C9"/>
    <w:rsid w:val="36DC09A8"/>
    <w:rsid w:val="36DC1557"/>
    <w:rsid w:val="36DC3C76"/>
    <w:rsid w:val="36DD0212"/>
    <w:rsid w:val="36DD1A1E"/>
    <w:rsid w:val="36DD28D0"/>
    <w:rsid w:val="36DD557A"/>
    <w:rsid w:val="36DD6847"/>
    <w:rsid w:val="36DE12F2"/>
    <w:rsid w:val="36DE362E"/>
    <w:rsid w:val="36DE3F2B"/>
    <w:rsid w:val="36DE4FA7"/>
    <w:rsid w:val="36DF5ACB"/>
    <w:rsid w:val="36DF7544"/>
    <w:rsid w:val="36E032BC"/>
    <w:rsid w:val="36E0506A"/>
    <w:rsid w:val="36E075C0"/>
    <w:rsid w:val="36E16658"/>
    <w:rsid w:val="36E20DE2"/>
    <w:rsid w:val="36E2294F"/>
    <w:rsid w:val="36E22B83"/>
    <w:rsid w:val="36E23743"/>
    <w:rsid w:val="36E24D6B"/>
    <w:rsid w:val="36E25286"/>
    <w:rsid w:val="36E361EF"/>
    <w:rsid w:val="36E36908"/>
    <w:rsid w:val="36E42DAC"/>
    <w:rsid w:val="36E44B48"/>
    <w:rsid w:val="36E44B5A"/>
    <w:rsid w:val="36E52680"/>
    <w:rsid w:val="36E55C49"/>
    <w:rsid w:val="36E56B24"/>
    <w:rsid w:val="36E670F8"/>
    <w:rsid w:val="36E678F9"/>
    <w:rsid w:val="36E67CE5"/>
    <w:rsid w:val="36E7289C"/>
    <w:rsid w:val="36E763F9"/>
    <w:rsid w:val="36E8128E"/>
    <w:rsid w:val="36E83F1F"/>
    <w:rsid w:val="36E85390"/>
    <w:rsid w:val="36E87DF4"/>
    <w:rsid w:val="36E903C3"/>
    <w:rsid w:val="36E92171"/>
    <w:rsid w:val="36E95DB3"/>
    <w:rsid w:val="36EA0568"/>
    <w:rsid w:val="36EA5704"/>
    <w:rsid w:val="36EA5EE9"/>
    <w:rsid w:val="36EB313E"/>
    <w:rsid w:val="36EB413B"/>
    <w:rsid w:val="36EC09FF"/>
    <w:rsid w:val="36EC1002"/>
    <w:rsid w:val="36EC2A2B"/>
    <w:rsid w:val="36EC376B"/>
    <w:rsid w:val="36EC3A0F"/>
    <w:rsid w:val="36EC7D25"/>
    <w:rsid w:val="36EC7EB3"/>
    <w:rsid w:val="36ED2D71"/>
    <w:rsid w:val="36ED4BFB"/>
    <w:rsid w:val="36ED5D04"/>
    <w:rsid w:val="36ED7533"/>
    <w:rsid w:val="36ED7A89"/>
    <w:rsid w:val="36EE2BAD"/>
    <w:rsid w:val="36EE3C2B"/>
    <w:rsid w:val="36EE5616"/>
    <w:rsid w:val="36EE59D9"/>
    <w:rsid w:val="36EE7787"/>
    <w:rsid w:val="36EE77CC"/>
    <w:rsid w:val="36EF34FF"/>
    <w:rsid w:val="36EF6EE9"/>
    <w:rsid w:val="36F01751"/>
    <w:rsid w:val="36F020EC"/>
    <w:rsid w:val="36F04CBD"/>
    <w:rsid w:val="36F079A3"/>
    <w:rsid w:val="36F11025"/>
    <w:rsid w:val="36F11F50"/>
    <w:rsid w:val="36F14000"/>
    <w:rsid w:val="36F143CA"/>
    <w:rsid w:val="36F154C9"/>
    <w:rsid w:val="36F1614D"/>
    <w:rsid w:val="36F17277"/>
    <w:rsid w:val="36F2780E"/>
    <w:rsid w:val="36F34D9D"/>
    <w:rsid w:val="36F35F61"/>
    <w:rsid w:val="36F40B16"/>
    <w:rsid w:val="36F4146E"/>
    <w:rsid w:val="36F4271E"/>
    <w:rsid w:val="36F45565"/>
    <w:rsid w:val="36F461D7"/>
    <w:rsid w:val="36F51668"/>
    <w:rsid w:val="36F55F5E"/>
    <w:rsid w:val="36F56BFC"/>
    <w:rsid w:val="36F56D67"/>
    <w:rsid w:val="36F62AE0"/>
    <w:rsid w:val="36F6333B"/>
    <w:rsid w:val="36F6488E"/>
    <w:rsid w:val="36F6663C"/>
    <w:rsid w:val="36F6781D"/>
    <w:rsid w:val="36F705B9"/>
    <w:rsid w:val="36F727C5"/>
    <w:rsid w:val="36F73E43"/>
    <w:rsid w:val="36F779A3"/>
    <w:rsid w:val="36F80606"/>
    <w:rsid w:val="36F80C99"/>
    <w:rsid w:val="36F87E3A"/>
    <w:rsid w:val="36F90584"/>
    <w:rsid w:val="36F948DF"/>
    <w:rsid w:val="36F95BAA"/>
    <w:rsid w:val="36FA2093"/>
    <w:rsid w:val="36FA25D0"/>
    <w:rsid w:val="36FB00F6"/>
    <w:rsid w:val="36FB1EA4"/>
    <w:rsid w:val="36FB3B12"/>
    <w:rsid w:val="36FB4AC5"/>
    <w:rsid w:val="36FB5F12"/>
    <w:rsid w:val="36FB69A4"/>
    <w:rsid w:val="36FB79E7"/>
    <w:rsid w:val="36FC12FD"/>
    <w:rsid w:val="36FC3260"/>
    <w:rsid w:val="36FD1B1F"/>
    <w:rsid w:val="36FD2684"/>
    <w:rsid w:val="36FD384D"/>
    <w:rsid w:val="36FD46F0"/>
    <w:rsid w:val="36FD5C1C"/>
    <w:rsid w:val="36FD7088"/>
    <w:rsid w:val="36FE03E7"/>
    <w:rsid w:val="36FE72C1"/>
    <w:rsid w:val="36FF1994"/>
    <w:rsid w:val="36FF649E"/>
    <w:rsid w:val="36FF7BE6"/>
    <w:rsid w:val="3700570C"/>
    <w:rsid w:val="370074BA"/>
    <w:rsid w:val="3701395E"/>
    <w:rsid w:val="37014E77"/>
    <w:rsid w:val="37017D0B"/>
    <w:rsid w:val="370203A6"/>
    <w:rsid w:val="37021484"/>
    <w:rsid w:val="37024FE0"/>
    <w:rsid w:val="370270D2"/>
    <w:rsid w:val="370276D6"/>
    <w:rsid w:val="37033109"/>
    <w:rsid w:val="370336B9"/>
    <w:rsid w:val="37033C98"/>
    <w:rsid w:val="370419F2"/>
    <w:rsid w:val="370451FC"/>
    <w:rsid w:val="370459E3"/>
    <w:rsid w:val="37046FAB"/>
    <w:rsid w:val="37052D23"/>
    <w:rsid w:val="37054044"/>
    <w:rsid w:val="37054AD1"/>
    <w:rsid w:val="37055A53"/>
    <w:rsid w:val="37060284"/>
    <w:rsid w:val="37061527"/>
    <w:rsid w:val="37070849"/>
    <w:rsid w:val="37076A9B"/>
    <w:rsid w:val="370838BC"/>
    <w:rsid w:val="37083F2D"/>
    <w:rsid w:val="370914CC"/>
    <w:rsid w:val="37092813"/>
    <w:rsid w:val="370945C1"/>
    <w:rsid w:val="3709636F"/>
    <w:rsid w:val="3709770D"/>
    <w:rsid w:val="370A0339"/>
    <w:rsid w:val="370A2B55"/>
    <w:rsid w:val="370A73E6"/>
    <w:rsid w:val="370B18C5"/>
    <w:rsid w:val="370B2AD8"/>
    <w:rsid w:val="370B658B"/>
    <w:rsid w:val="370B7515"/>
    <w:rsid w:val="370C40B1"/>
    <w:rsid w:val="370C4E09"/>
    <w:rsid w:val="370C5A9D"/>
    <w:rsid w:val="370C5E5F"/>
    <w:rsid w:val="370D0E17"/>
    <w:rsid w:val="370D3628"/>
    <w:rsid w:val="370D7DD7"/>
    <w:rsid w:val="370E1BD7"/>
    <w:rsid w:val="370E75C3"/>
    <w:rsid w:val="370F0FC4"/>
    <w:rsid w:val="370F16D6"/>
    <w:rsid w:val="370F6192"/>
    <w:rsid w:val="37105A48"/>
    <w:rsid w:val="37105C0F"/>
    <w:rsid w:val="37107F95"/>
    <w:rsid w:val="37113761"/>
    <w:rsid w:val="37115340"/>
    <w:rsid w:val="37116504"/>
    <w:rsid w:val="371177BA"/>
    <w:rsid w:val="37121815"/>
    <w:rsid w:val="37121AEC"/>
    <w:rsid w:val="37125486"/>
    <w:rsid w:val="37125F2E"/>
    <w:rsid w:val="37126AB2"/>
    <w:rsid w:val="37130230"/>
    <w:rsid w:val="37133692"/>
    <w:rsid w:val="37133FFD"/>
    <w:rsid w:val="37135440"/>
    <w:rsid w:val="37135596"/>
    <w:rsid w:val="37136642"/>
    <w:rsid w:val="37136916"/>
    <w:rsid w:val="371371EE"/>
    <w:rsid w:val="37144D14"/>
    <w:rsid w:val="37147113"/>
    <w:rsid w:val="37151119"/>
    <w:rsid w:val="371511B8"/>
    <w:rsid w:val="37152977"/>
    <w:rsid w:val="37152F66"/>
    <w:rsid w:val="3715740A"/>
    <w:rsid w:val="37160A8C"/>
    <w:rsid w:val="3716483A"/>
    <w:rsid w:val="371649C0"/>
    <w:rsid w:val="37166CDE"/>
    <w:rsid w:val="37172C01"/>
    <w:rsid w:val="37175449"/>
    <w:rsid w:val="37177E68"/>
    <w:rsid w:val="371829F7"/>
    <w:rsid w:val="37182A56"/>
    <w:rsid w:val="371843D8"/>
    <w:rsid w:val="37191AD4"/>
    <w:rsid w:val="37192788"/>
    <w:rsid w:val="37193956"/>
    <w:rsid w:val="371939A5"/>
    <w:rsid w:val="371941D2"/>
    <w:rsid w:val="37196CDC"/>
    <w:rsid w:val="37197F7D"/>
    <w:rsid w:val="371A0249"/>
    <w:rsid w:val="371A057C"/>
    <w:rsid w:val="371A4A20"/>
    <w:rsid w:val="371A5359"/>
    <w:rsid w:val="371A5AC4"/>
    <w:rsid w:val="371A67CE"/>
    <w:rsid w:val="371B1F75"/>
    <w:rsid w:val="371B2546"/>
    <w:rsid w:val="371B50A8"/>
    <w:rsid w:val="371B60A2"/>
    <w:rsid w:val="371C3939"/>
    <w:rsid w:val="371D006C"/>
    <w:rsid w:val="371D1594"/>
    <w:rsid w:val="371D1E1A"/>
    <w:rsid w:val="371D3CDA"/>
    <w:rsid w:val="371E0F33"/>
    <w:rsid w:val="371E3A29"/>
    <w:rsid w:val="371E516A"/>
    <w:rsid w:val="371F2036"/>
    <w:rsid w:val="371F5089"/>
    <w:rsid w:val="371F65FA"/>
    <w:rsid w:val="371F762E"/>
    <w:rsid w:val="37213AEB"/>
    <w:rsid w:val="37215636"/>
    <w:rsid w:val="37215DAE"/>
    <w:rsid w:val="3721760E"/>
    <w:rsid w:val="372223AA"/>
    <w:rsid w:val="37224778"/>
    <w:rsid w:val="37224F7B"/>
    <w:rsid w:val="37225683"/>
    <w:rsid w:val="37225876"/>
    <w:rsid w:val="37227431"/>
    <w:rsid w:val="37240FDC"/>
    <w:rsid w:val="372413FB"/>
    <w:rsid w:val="37241E32"/>
    <w:rsid w:val="37243096"/>
    <w:rsid w:val="3724789B"/>
    <w:rsid w:val="37264630"/>
    <w:rsid w:val="37265173"/>
    <w:rsid w:val="37266931"/>
    <w:rsid w:val="372676EE"/>
    <w:rsid w:val="372721A3"/>
    <w:rsid w:val="3727713D"/>
    <w:rsid w:val="37277746"/>
    <w:rsid w:val="37296970"/>
    <w:rsid w:val="37296A11"/>
    <w:rsid w:val="372A370D"/>
    <w:rsid w:val="372A4537"/>
    <w:rsid w:val="372B229B"/>
    <w:rsid w:val="372B2789"/>
    <w:rsid w:val="372C02AF"/>
    <w:rsid w:val="372C24C9"/>
    <w:rsid w:val="372C4030"/>
    <w:rsid w:val="372C6F3C"/>
    <w:rsid w:val="372D0645"/>
    <w:rsid w:val="372E0276"/>
    <w:rsid w:val="372E04CB"/>
    <w:rsid w:val="372E206C"/>
    <w:rsid w:val="372E5DD5"/>
    <w:rsid w:val="372E7C30"/>
    <w:rsid w:val="372E7E9B"/>
    <w:rsid w:val="372F02B2"/>
    <w:rsid w:val="372F1B4E"/>
    <w:rsid w:val="372F7BDC"/>
    <w:rsid w:val="372F7D91"/>
    <w:rsid w:val="372F7EB5"/>
    <w:rsid w:val="37310A0F"/>
    <w:rsid w:val="37310D12"/>
    <w:rsid w:val="37313B18"/>
    <w:rsid w:val="37321D6A"/>
    <w:rsid w:val="37321E9F"/>
    <w:rsid w:val="37324A70"/>
    <w:rsid w:val="373256D5"/>
    <w:rsid w:val="3732571E"/>
    <w:rsid w:val="373303C1"/>
    <w:rsid w:val="3733163E"/>
    <w:rsid w:val="37332CA0"/>
    <w:rsid w:val="37335AE2"/>
    <w:rsid w:val="37337890"/>
    <w:rsid w:val="37340AF7"/>
    <w:rsid w:val="37342108"/>
    <w:rsid w:val="37343517"/>
    <w:rsid w:val="3735277C"/>
    <w:rsid w:val="37353608"/>
    <w:rsid w:val="373553B6"/>
    <w:rsid w:val="37360CCE"/>
    <w:rsid w:val="37362EDC"/>
    <w:rsid w:val="37364881"/>
    <w:rsid w:val="37370BAF"/>
    <w:rsid w:val="37376CC2"/>
    <w:rsid w:val="37377380"/>
    <w:rsid w:val="373808E2"/>
    <w:rsid w:val="3738264A"/>
    <w:rsid w:val="373830F8"/>
    <w:rsid w:val="373843F6"/>
    <w:rsid w:val="37384EA6"/>
    <w:rsid w:val="37393030"/>
    <w:rsid w:val="37393AE7"/>
    <w:rsid w:val="373976B2"/>
    <w:rsid w:val="373A29CC"/>
    <w:rsid w:val="373A3202"/>
    <w:rsid w:val="373B479E"/>
    <w:rsid w:val="373C24D0"/>
    <w:rsid w:val="373C4996"/>
    <w:rsid w:val="373D070E"/>
    <w:rsid w:val="373D24BC"/>
    <w:rsid w:val="373D63C5"/>
    <w:rsid w:val="373D6FB2"/>
    <w:rsid w:val="373E23B9"/>
    <w:rsid w:val="373F4487"/>
    <w:rsid w:val="373F5FFA"/>
    <w:rsid w:val="373F7FE3"/>
    <w:rsid w:val="37400F61"/>
    <w:rsid w:val="374028EC"/>
    <w:rsid w:val="374046CA"/>
    <w:rsid w:val="374101FF"/>
    <w:rsid w:val="37411FAD"/>
    <w:rsid w:val="37421881"/>
    <w:rsid w:val="37421A31"/>
    <w:rsid w:val="37425B98"/>
    <w:rsid w:val="374376E2"/>
    <w:rsid w:val="37440E83"/>
    <w:rsid w:val="37441A9D"/>
    <w:rsid w:val="3744384B"/>
    <w:rsid w:val="37446E85"/>
    <w:rsid w:val="374530BA"/>
    <w:rsid w:val="3745548B"/>
    <w:rsid w:val="37457726"/>
    <w:rsid w:val="37460314"/>
    <w:rsid w:val="37461371"/>
    <w:rsid w:val="37464376"/>
    <w:rsid w:val="37465815"/>
    <w:rsid w:val="3746636E"/>
    <w:rsid w:val="374675C3"/>
    <w:rsid w:val="37467BE1"/>
    <w:rsid w:val="3747191A"/>
    <w:rsid w:val="37475806"/>
    <w:rsid w:val="37476E97"/>
    <w:rsid w:val="374774CE"/>
    <w:rsid w:val="37482D6F"/>
    <w:rsid w:val="37483973"/>
    <w:rsid w:val="374866F6"/>
    <w:rsid w:val="37491867"/>
    <w:rsid w:val="37494952"/>
    <w:rsid w:val="374970B3"/>
    <w:rsid w:val="374971DB"/>
    <w:rsid w:val="374A15B6"/>
    <w:rsid w:val="374A4A1C"/>
    <w:rsid w:val="374A5526"/>
    <w:rsid w:val="374A5A5C"/>
    <w:rsid w:val="374B3469"/>
    <w:rsid w:val="374B4187"/>
    <w:rsid w:val="374B5E63"/>
    <w:rsid w:val="374B6987"/>
    <w:rsid w:val="374C4166"/>
    <w:rsid w:val="374C44AA"/>
    <w:rsid w:val="374D4C61"/>
    <w:rsid w:val="374E0226"/>
    <w:rsid w:val="374E239E"/>
    <w:rsid w:val="374E6478"/>
    <w:rsid w:val="374F156F"/>
    <w:rsid w:val="374F1751"/>
    <w:rsid w:val="374F3F98"/>
    <w:rsid w:val="37500442"/>
    <w:rsid w:val="37503F9E"/>
    <w:rsid w:val="37504688"/>
    <w:rsid w:val="3751127F"/>
    <w:rsid w:val="37517D16"/>
    <w:rsid w:val="375223CF"/>
    <w:rsid w:val="37522798"/>
    <w:rsid w:val="37523A8E"/>
    <w:rsid w:val="375241BA"/>
    <w:rsid w:val="375262E3"/>
    <w:rsid w:val="37531CE0"/>
    <w:rsid w:val="37532A4E"/>
    <w:rsid w:val="37533A8E"/>
    <w:rsid w:val="37536AF3"/>
    <w:rsid w:val="37537F32"/>
    <w:rsid w:val="37543FE1"/>
    <w:rsid w:val="37544833"/>
    <w:rsid w:val="375515B4"/>
    <w:rsid w:val="37551C2D"/>
    <w:rsid w:val="37555A58"/>
    <w:rsid w:val="3756129A"/>
    <w:rsid w:val="37561EBF"/>
    <w:rsid w:val="3756532C"/>
    <w:rsid w:val="3757272A"/>
    <w:rsid w:val="3757357E"/>
    <w:rsid w:val="375768C5"/>
    <w:rsid w:val="37576E4F"/>
    <w:rsid w:val="37581047"/>
    <w:rsid w:val="375810A4"/>
    <w:rsid w:val="37597C1A"/>
    <w:rsid w:val="375A10AA"/>
    <w:rsid w:val="375A23DD"/>
    <w:rsid w:val="375A306E"/>
    <w:rsid w:val="375A4E1C"/>
    <w:rsid w:val="375A6BCB"/>
    <w:rsid w:val="375A77DC"/>
    <w:rsid w:val="375B253A"/>
    <w:rsid w:val="375B2943"/>
    <w:rsid w:val="375C10BD"/>
    <w:rsid w:val="375C1FD6"/>
    <w:rsid w:val="375C6DE7"/>
    <w:rsid w:val="375D15CD"/>
    <w:rsid w:val="375D16D8"/>
    <w:rsid w:val="375D66BB"/>
    <w:rsid w:val="375E0EBB"/>
    <w:rsid w:val="375E15F4"/>
    <w:rsid w:val="375E5659"/>
    <w:rsid w:val="375F2433"/>
    <w:rsid w:val="375F2AE6"/>
    <w:rsid w:val="37602D37"/>
    <w:rsid w:val="37604F1C"/>
    <w:rsid w:val="37607AED"/>
    <w:rsid w:val="37607F59"/>
    <w:rsid w:val="376161AB"/>
    <w:rsid w:val="37620175"/>
    <w:rsid w:val="37621F23"/>
    <w:rsid w:val="3762240D"/>
    <w:rsid w:val="37623FD6"/>
    <w:rsid w:val="37625F23"/>
    <w:rsid w:val="3763389D"/>
    <w:rsid w:val="3764396F"/>
    <w:rsid w:val="37643EED"/>
    <w:rsid w:val="37644D2D"/>
    <w:rsid w:val="3764646E"/>
    <w:rsid w:val="37646AB9"/>
    <w:rsid w:val="37652EC4"/>
    <w:rsid w:val="376561BD"/>
    <w:rsid w:val="37667C65"/>
    <w:rsid w:val="3767221E"/>
    <w:rsid w:val="37674DEF"/>
    <w:rsid w:val="376767F5"/>
    <w:rsid w:val="37677539"/>
    <w:rsid w:val="37681C26"/>
    <w:rsid w:val="37684E74"/>
    <w:rsid w:val="3768578B"/>
    <w:rsid w:val="3768627F"/>
    <w:rsid w:val="376867AB"/>
    <w:rsid w:val="37691503"/>
    <w:rsid w:val="376932B2"/>
    <w:rsid w:val="37693B77"/>
    <w:rsid w:val="37694EE0"/>
    <w:rsid w:val="37695060"/>
    <w:rsid w:val="376A17D3"/>
    <w:rsid w:val="376B0DD8"/>
    <w:rsid w:val="376B4503"/>
    <w:rsid w:val="376B5AE8"/>
    <w:rsid w:val="376B67C5"/>
    <w:rsid w:val="376C160B"/>
    <w:rsid w:val="376C1FD7"/>
    <w:rsid w:val="376C2FAF"/>
    <w:rsid w:val="376C34BF"/>
    <w:rsid w:val="376C7B87"/>
    <w:rsid w:val="376D0FF4"/>
    <w:rsid w:val="376D2028"/>
    <w:rsid w:val="376D427E"/>
    <w:rsid w:val="376D4904"/>
    <w:rsid w:val="376E08C8"/>
    <w:rsid w:val="376E20F1"/>
    <w:rsid w:val="376E2676"/>
    <w:rsid w:val="376E2B0E"/>
    <w:rsid w:val="376E6B1A"/>
    <w:rsid w:val="376F1E40"/>
    <w:rsid w:val="376F25E6"/>
    <w:rsid w:val="376F2908"/>
    <w:rsid w:val="376F3581"/>
    <w:rsid w:val="37702892"/>
    <w:rsid w:val="37704640"/>
    <w:rsid w:val="37705379"/>
    <w:rsid w:val="377063EE"/>
    <w:rsid w:val="37710326"/>
    <w:rsid w:val="37713757"/>
    <w:rsid w:val="37721963"/>
    <w:rsid w:val="37725592"/>
    <w:rsid w:val="377260CD"/>
    <w:rsid w:val="37727331"/>
    <w:rsid w:val="37730541"/>
    <w:rsid w:val="37732382"/>
    <w:rsid w:val="37736785"/>
    <w:rsid w:val="37736B55"/>
    <w:rsid w:val="37736FA9"/>
    <w:rsid w:val="377374A0"/>
    <w:rsid w:val="37737C8C"/>
    <w:rsid w:val="37744822"/>
    <w:rsid w:val="377459C8"/>
    <w:rsid w:val="377519B3"/>
    <w:rsid w:val="37753A04"/>
    <w:rsid w:val="37755D43"/>
    <w:rsid w:val="37757132"/>
    <w:rsid w:val="37757331"/>
    <w:rsid w:val="377573F3"/>
    <w:rsid w:val="37761D13"/>
    <w:rsid w:val="37762164"/>
    <w:rsid w:val="37765AA1"/>
    <w:rsid w:val="3776777C"/>
    <w:rsid w:val="377736A6"/>
    <w:rsid w:val="37773A9F"/>
    <w:rsid w:val="37773C20"/>
    <w:rsid w:val="377759CE"/>
    <w:rsid w:val="37781747"/>
    <w:rsid w:val="37784633"/>
    <w:rsid w:val="37790B63"/>
    <w:rsid w:val="377958EC"/>
    <w:rsid w:val="37795AC3"/>
    <w:rsid w:val="37795F17"/>
    <w:rsid w:val="377A101B"/>
    <w:rsid w:val="377A2070"/>
    <w:rsid w:val="377A726D"/>
    <w:rsid w:val="377B1AA7"/>
    <w:rsid w:val="377B341C"/>
    <w:rsid w:val="377B3594"/>
    <w:rsid w:val="377B46F5"/>
    <w:rsid w:val="377C2FB4"/>
    <w:rsid w:val="377C2FE5"/>
    <w:rsid w:val="377C4957"/>
    <w:rsid w:val="377C4D93"/>
    <w:rsid w:val="377C501B"/>
    <w:rsid w:val="377D043D"/>
    <w:rsid w:val="377D1455"/>
    <w:rsid w:val="377D1925"/>
    <w:rsid w:val="377D5464"/>
    <w:rsid w:val="377D6D5D"/>
    <w:rsid w:val="377E4FAF"/>
    <w:rsid w:val="377F0D27"/>
    <w:rsid w:val="377F2AD5"/>
    <w:rsid w:val="377F6FB1"/>
    <w:rsid w:val="37802DC5"/>
    <w:rsid w:val="3780410B"/>
    <w:rsid w:val="378105FB"/>
    <w:rsid w:val="37814AE6"/>
    <w:rsid w:val="37815996"/>
    <w:rsid w:val="37817DBD"/>
    <w:rsid w:val="37823F12"/>
    <w:rsid w:val="37824373"/>
    <w:rsid w:val="37826121"/>
    <w:rsid w:val="37831746"/>
    <w:rsid w:val="378325C5"/>
    <w:rsid w:val="37832E87"/>
    <w:rsid w:val="378347D7"/>
    <w:rsid w:val="378400EB"/>
    <w:rsid w:val="37841E99"/>
    <w:rsid w:val="37842BD6"/>
    <w:rsid w:val="3784543E"/>
    <w:rsid w:val="37850378"/>
    <w:rsid w:val="378620B5"/>
    <w:rsid w:val="37862F75"/>
    <w:rsid w:val="37864EE5"/>
    <w:rsid w:val="37865C12"/>
    <w:rsid w:val="37872C98"/>
    <w:rsid w:val="37873A2F"/>
    <w:rsid w:val="378815D4"/>
    <w:rsid w:val="37887101"/>
    <w:rsid w:val="37893186"/>
    <w:rsid w:val="37895702"/>
    <w:rsid w:val="378A6A48"/>
    <w:rsid w:val="378B147A"/>
    <w:rsid w:val="378B1619"/>
    <w:rsid w:val="378B3228"/>
    <w:rsid w:val="378B763B"/>
    <w:rsid w:val="378B76CC"/>
    <w:rsid w:val="378C0D4E"/>
    <w:rsid w:val="378C1ED8"/>
    <w:rsid w:val="378C60F3"/>
    <w:rsid w:val="378C69AC"/>
    <w:rsid w:val="378D0380"/>
    <w:rsid w:val="378D6B0A"/>
    <w:rsid w:val="378D6FA0"/>
    <w:rsid w:val="378E0F6A"/>
    <w:rsid w:val="378E4AC6"/>
    <w:rsid w:val="378E58F0"/>
    <w:rsid w:val="378E6C36"/>
    <w:rsid w:val="378E7F9A"/>
    <w:rsid w:val="378F5969"/>
    <w:rsid w:val="378F5AB8"/>
    <w:rsid w:val="3790083E"/>
    <w:rsid w:val="37903FFB"/>
    <w:rsid w:val="37904CE2"/>
    <w:rsid w:val="37913D4A"/>
    <w:rsid w:val="37920A5A"/>
    <w:rsid w:val="37922808"/>
    <w:rsid w:val="379320DC"/>
    <w:rsid w:val="37936580"/>
    <w:rsid w:val="37937D20"/>
    <w:rsid w:val="37941132"/>
    <w:rsid w:val="37943E0C"/>
    <w:rsid w:val="379453B8"/>
    <w:rsid w:val="379467EE"/>
    <w:rsid w:val="379522F8"/>
    <w:rsid w:val="3795312A"/>
    <w:rsid w:val="379540A7"/>
    <w:rsid w:val="37955E55"/>
    <w:rsid w:val="3795623B"/>
    <w:rsid w:val="379612FD"/>
    <w:rsid w:val="379645D9"/>
    <w:rsid w:val="37971E95"/>
    <w:rsid w:val="3797278D"/>
    <w:rsid w:val="37976071"/>
    <w:rsid w:val="37977641"/>
    <w:rsid w:val="37977BBC"/>
    <w:rsid w:val="37977E1F"/>
    <w:rsid w:val="37980CF6"/>
    <w:rsid w:val="3798138B"/>
    <w:rsid w:val="37983B97"/>
    <w:rsid w:val="379876F3"/>
    <w:rsid w:val="379911B9"/>
    <w:rsid w:val="379911F8"/>
    <w:rsid w:val="379950AD"/>
    <w:rsid w:val="379A1801"/>
    <w:rsid w:val="379A346B"/>
    <w:rsid w:val="379A790F"/>
    <w:rsid w:val="379A7C7E"/>
    <w:rsid w:val="379B49DE"/>
    <w:rsid w:val="379C3687"/>
    <w:rsid w:val="379C5435"/>
    <w:rsid w:val="379C71E3"/>
    <w:rsid w:val="379D1740"/>
    <w:rsid w:val="379D2A8C"/>
    <w:rsid w:val="379D2F5B"/>
    <w:rsid w:val="379E11AD"/>
    <w:rsid w:val="379E1863"/>
    <w:rsid w:val="379E4675"/>
    <w:rsid w:val="379E4AB3"/>
    <w:rsid w:val="379E73FF"/>
    <w:rsid w:val="379E7A8F"/>
    <w:rsid w:val="379F06A1"/>
    <w:rsid w:val="379F21AA"/>
    <w:rsid w:val="379F27F3"/>
    <w:rsid w:val="379F30D0"/>
    <w:rsid w:val="379F4F25"/>
    <w:rsid w:val="379F6CD3"/>
    <w:rsid w:val="37A02F1C"/>
    <w:rsid w:val="37A03513"/>
    <w:rsid w:val="37A12F76"/>
    <w:rsid w:val="37A16684"/>
    <w:rsid w:val="37A30D30"/>
    <w:rsid w:val="37A332B4"/>
    <w:rsid w:val="37A34A15"/>
    <w:rsid w:val="37A3615F"/>
    <w:rsid w:val="37A367C3"/>
    <w:rsid w:val="37A4253C"/>
    <w:rsid w:val="37A53650"/>
    <w:rsid w:val="37A53EFF"/>
    <w:rsid w:val="37A61E10"/>
    <w:rsid w:val="37A647F6"/>
    <w:rsid w:val="37A66221"/>
    <w:rsid w:val="37A662B4"/>
    <w:rsid w:val="37A7515D"/>
    <w:rsid w:val="37A75B88"/>
    <w:rsid w:val="37A76B65"/>
    <w:rsid w:val="37A80209"/>
    <w:rsid w:val="37A83712"/>
    <w:rsid w:val="37A83DDA"/>
    <w:rsid w:val="37A87AE3"/>
    <w:rsid w:val="37A91900"/>
    <w:rsid w:val="37A94BA2"/>
    <w:rsid w:val="37A95DA4"/>
    <w:rsid w:val="37A97B52"/>
    <w:rsid w:val="37AA5DF1"/>
    <w:rsid w:val="37AB1B1C"/>
    <w:rsid w:val="37AB5678"/>
    <w:rsid w:val="37AC319E"/>
    <w:rsid w:val="37AC3523"/>
    <w:rsid w:val="37AC619F"/>
    <w:rsid w:val="37AD2E8A"/>
    <w:rsid w:val="37AD5F5C"/>
    <w:rsid w:val="37AD7642"/>
    <w:rsid w:val="37AE3B24"/>
    <w:rsid w:val="37AE3F90"/>
    <w:rsid w:val="37AE6A66"/>
    <w:rsid w:val="37AF02CF"/>
    <w:rsid w:val="37AF23E2"/>
    <w:rsid w:val="37AF3EFB"/>
    <w:rsid w:val="37AF4A8C"/>
    <w:rsid w:val="37B02C8E"/>
    <w:rsid w:val="37B05C56"/>
    <w:rsid w:val="37B05FEC"/>
    <w:rsid w:val="37B07132"/>
    <w:rsid w:val="37B207B5"/>
    <w:rsid w:val="37B22EAA"/>
    <w:rsid w:val="37B24C58"/>
    <w:rsid w:val="37B3277F"/>
    <w:rsid w:val="37B32E86"/>
    <w:rsid w:val="37B330A1"/>
    <w:rsid w:val="37B3452D"/>
    <w:rsid w:val="37B36771"/>
    <w:rsid w:val="37B370E4"/>
    <w:rsid w:val="37B37F19"/>
    <w:rsid w:val="37B409D1"/>
    <w:rsid w:val="37B42706"/>
    <w:rsid w:val="37B51345"/>
    <w:rsid w:val="37B53639"/>
    <w:rsid w:val="37B54749"/>
    <w:rsid w:val="37B645D5"/>
    <w:rsid w:val="37B704C1"/>
    <w:rsid w:val="37B70636"/>
    <w:rsid w:val="37B7226F"/>
    <w:rsid w:val="37B7351B"/>
    <w:rsid w:val="37B7401D"/>
    <w:rsid w:val="37B805E5"/>
    <w:rsid w:val="37B85CC9"/>
    <w:rsid w:val="37B876E9"/>
    <w:rsid w:val="37BA1D5F"/>
    <w:rsid w:val="37BA3B0D"/>
    <w:rsid w:val="37BA43E6"/>
    <w:rsid w:val="37BA58BB"/>
    <w:rsid w:val="37BC1699"/>
    <w:rsid w:val="37BC7885"/>
    <w:rsid w:val="37BC7FF8"/>
    <w:rsid w:val="37BD1F8E"/>
    <w:rsid w:val="37BD5C4C"/>
    <w:rsid w:val="37BD63AE"/>
    <w:rsid w:val="37BD704F"/>
    <w:rsid w:val="37BE129D"/>
    <w:rsid w:val="37BE1457"/>
    <w:rsid w:val="37BE184F"/>
    <w:rsid w:val="37BE29FD"/>
    <w:rsid w:val="37BE2D67"/>
    <w:rsid w:val="37BE35FD"/>
    <w:rsid w:val="37BE5938"/>
    <w:rsid w:val="37BF0A7E"/>
    <w:rsid w:val="37BF1123"/>
    <w:rsid w:val="37BF2ED1"/>
    <w:rsid w:val="37BF30B7"/>
    <w:rsid w:val="37BF6F5F"/>
    <w:rsid w:val="37C00785"/>
    <w:rsid w:val="37C02607"/>
    <w:rsid w:val="37C02FEE"/>
    <w:rsid w:val="37C04489"/>
    <w:rsid w:val="37C07E87"/>
    <w:rsid w:val="37C116E8"/>
    <w:rsid w:val="37C12946"/>
    <w:rsid w:val="37C12BFE"/>
    <w:rsid w:val="37C130EE"/>
    <w:rsid w:val="37C14304"/>
    <w:rsid w:val="37C16C4A"/>
    <w:rsid w:val="37C175FA"/>
    <w:rsid w:val="37C20DF1"/>
    <w:rsid w:val="37C242B9"/>
    <w:rsid w:val="37C2473F"/>
    <w:rsid w:val="37C24DD6"/>
    <w:rsid w:val="37C26FAB"/>
    <w:rsid w:val="37C3031A"/>
    <w:rsid w:val="37C32558"/>
    <w:rsid w:val="37C32629"/>
    <w:rsid w:val="37C3284E"/>
    <w:rsid w:val="37C329C2"/>
    <w:rsid w:val="37C35C65"/>
    <w:rsid w:val="37C36E66"/>
    <w:rsid w:val="37C406D5"/>
    <w:rsid w:val="37C40972"/>
    <w:rsid w:val="37C417AA"/>
    <w:rsid w:val="37C4498C"/>
    <w:rsid w:val="37C453A8"/>
    <w:rsid w:val="37C4673A"/>
    <w:rsid w:val="37C51E88"/>
    <w:rsid w:val="37C52BDE"/>
    <w:rsid w:val="37C57671"/>
    <w:rsid w:val="37C60704"/>
    <w:rsid w:val="37C6373D"/>
    <w:rsid w:val="37C64260"/>
    <w:rsid w:val="37C661FD"/>
    <w:rsid w:val="37C66C9B"/>
    <w:rsid w:val="37C71594"/>
    <w:rsid w:val="37C77AC6"/>
    <w:rsid w:val="37C8447C"/>
    <w:rsid w:val="37C8566B"/>
    <w:rsid w:val="37C87FD8"/>
    <w:rsid w:val="37C93D50"/>
    <w:rsid w:val="37C956F2"/>
    <w:rsid w:val="37CA01F4"/>
    <w:rsid w:val="37CA1448"/>
    <w:rsid w:val="37CA40E8"/>
    <w:rsid w:val="37CA5B2D"/>
    <w:rsid w:val="37CB124E"/>
    <w:rsid w:val="37CB1876"/>
    <w:rsid w:val="37CB7AC8"/>
    <w:rsid w:val="37CC1C72"/>
    <w:rsid w:val="37CC393A"/>
    <w:rsid w:val="37CD175A"/>
    <w:rsid w:val="37CD1A92"/>
    <w:rsid w:val="37CD1D19"/>
    <w:rsid w:val="37CD285C"/>
    <w:rsid w:val="37CD34EE"/>
    <w:rsid w:val="37CD3840"/>
    <w:rsid w:val="37CD69A4"/>
    <w:rsid w:val="37CE1367"/>
    <w:rsid w:val="37CE4E76"/>
    <w:rsid w:val="37CE542D"/>
    <w:rsid w:val="37CE6CEE"/>
    <w:rsid w:val="37D00F61"/>
    <w:rsid w:val="37D01714"/>
    <w:rsid w:val="37D050DF"/>
    <w:rsid w:val="37D07D4D"/>
    <w:rsid w:val="37D1291E"/>
    <w:rsid w:val="37D13A1C"/>
    <w:rsid w:val="37D13DAE"/>
    <w:rsid w:val="37D144CC"/>
    <w:rsid w:val="37D20E57"/>
    <w:rsid w:val="37D22C05"/>
    <w:rsid w:val="37D237DB"/>
    <w:rsid w:val="37D24F2F"/>
    <w:rsid w:val="37D2523E"/>
    <w:rsid w:val="37D270A9"/>
    <w:rsid w:val="37D3572B"/>
    <w:rsid w:val="37D3697D"/>
    <w:rsid w:val="37D4129F"/>
    <w:rsid w:val="37D41523"/>
    <w:rsid w:val="37D415B2"/>
    <w:rsid w:val="37D41629"/>
    <w:rsid w:val="37D42E21"/>
    <w:rsid w:val="37D44006"/>
    <w:rsid w:val="37D4403E"/>
    <w:rsid w:val="37D44D0C"/>
    <w:rsid w:val="37D4728E"/>
    <w:rsid w:val="37D50947"/>
    <w:rsid w:val="37D52D2F"/>
    <w:rsid w:val="37D535D3"/>
    <w:rsid w:val="37D545F8"/>
    <w:rsid w:val="37D55F61"/>
    <w:rsid w:val="37D62C29"/>
    <w:rsid w:val="37D657F3"/>
    <w:rsid w:val="37D72007"/>
    <w:rsid w:val="37D72911"/>
    <w:rsid w:val="37D7504F"/>
    <w:rsid w:val="37D7646D"/>
    <w:rsid w:val="37D77C20"/>
    <w:rsid w:val="37D80EB2"/>
    <w:rsid w:val="37D83F93"/>
    <w:rsid w:val="37D90437"/>
    <w:rsid w:val="37D91B36"/>
    <w:rsid w:val="37D921E5"/>
    <w:rsid w:val="37D92D07"/>
    <w:rsid w:val="37DA14BE"/>
    <w:rsid w:val="37DA41AF"/>
    <w:rsid w:val="37DA4D71"/>
    <w:rsid w:val="37DA5F5D"/>
    <w:rsid w:val="37DA7D0B"/>
    <w:rsid w:val="37DB1A53"/>
    <w:rsid w:val="37DB4E60"/>
    <w:rsid w:val="37DC0EC1"/>
    <w:rsid w:val="37DC3A83"/>
    <w:rsid w:val="37DC6099"/>
    <w:rsid w:val="37DC7F27"/>
    <w:rsid w:val="37DD15AA"/>
    <w:rsid w:val="37DD5A4E"/>
    <w:rsid w:val="37DE77FC"/>
    <w:rsid w:val="37DF3574"/>
    <w:rsid w:val="37DF5322"/>
    <w:rsid w:val="37DF6C9C"/>
    <w:rsid w:val="37E00298"/>
    <w:rsid w:val="37E0355E"/>
    <w:rsid w:val="37E10CD2"/>
    <w:rsid w:val="37E1109A"/>
    <w:rsid w:val="37E12BD5"/>
    <w:rsid w:val="37E1553E"/>
    <w:rsid w:val="37E22DB7"/>
    <w:rsid w:val="37E22FE1"/>
    <w:rsid w:val="37E25A49"/>
    <w:rsid w:val="37E312B6"/>
    <w:rsid w:val="37E34E12"/>
    <w:rsid w:val="37E3789B"/>
    <w:rsid w:val="37E402B3"/>
    <w:rsid w:val="37E4079F"/>
    <w:rsid w:val="37E40B8A"/>
    <w:rsid w:val="37E42938"/>
    <w:rsid w:val="37E4576F"/>
    <w:rsid w:val="37E53FE3"/>
    <w:rsid w:val="37E55368"/>
    <w:rsid w:val="37E568E8"/>
    <w:rsid w:val="37E56DDC"/>
    <w:rsid w:val="37E615B1"/>
    <w:rsid w:val="37E636B4"/>
    <w:rsid w:val="37E638DB"/>
    <w:rsid w:val="37E64902"/>
    <w:rsid w:val="37E666B0"/>
    <w:rsid w:val="37E73C43"/>
    <w:rsid w:val="37E80C10"/>
    <w:rsid w:val="37E817B0"/>
    <w:rsid w:val="37E8483E"/>
    <w:rsid w:val="37E85459"/>
    <w:rsid w:val="37E857EC"/>
    <w:rsid w:val="37E868CC"/>
    <w:rsid w:val="37E94BF6"/>
    <w:rsid w:val="37E961A0"/>
    <w:rsid w:val="37EA0216"/>
    <w:rsid w:val="37EA2644"/>
    <w:rsid w:val="37EA3B73"/>
    <w:rsid w:val="37EA43F2"/>
    <w:rsid w:val="37EA7BB0"/>
    <w:rsid w:val="37EB016A"/>
    <w:rsid w:val="37EB7E62"/>
    <w:rsid w:val="37EC40FE"/>
    <w:rsid w:val="37EC4B73"/>
    <w:rsid w:val="37ED1188"/>
    <w:rsid w:val="37ED1E46"/>
    <w:rsid w:val="37ED5AA5"/>
    <w:rsid w:val="37ED5C91"/>
    <w:rsid w:val="37ED5EFF"/>
    <w:rsid w:val="37ED6FC5"/>
    <w:rsid w:val="37EE32C1"/>
    <w:rsid w:val="37EE37B7"/>
    <w:rsid w:val="37EE5D3C"/>
    <w:rsid w:val="37EE6DEC"/>
    <w:rsid w:val="37EE75A4"/>
    <w:rsid w:val="37F04CBB"/>
    <w:rsid w:val="37F05781"/>
    <w:rsid w:val="37F107C7"/>
    <w:rsid w:val="37F12C1A"/>
    <w:rsid w:val="37F12DDF"/>
    <w:rsid w:val="37F133F5"/>
    <w:rsid w:val="37F214F9"/>
    <w:rsid w:val="37F21986"/>
    <w:rsid w:val="37F232A7"/>
    <w:rsid w:val="37F24828"/>
    <w:rsid w:val="37F2750D"/>
    <w:rsid w:val="37F330E7"/>
    <w:rsid w:val="37F35CB8"/>
    <w:rsid w:val="37F36A7F"/>
    <w:rsid w:val="37F43457"/>
    <w:rsid w:val="37F4450D"/>
    <w:rsid w:val="37F45271"/>
    <w:rsid w:val="37F457DC"/>
    <w:rsid w:val="37F46573"/>
    <w:rsid w:val="37F46E66"/>
    <w:rsid w:val="37F47148"/>
    <w:rsid w:val="37F51C38"/>
    <w:rsid w:val="37F52D97"/>
    <w:rsid w:val="37F60FE9"/>
    <w:rsid w:val="37F61B5C"/>
    <w:rsid w:val="37F61E14"/>
    <w:rsid w:val="37F73375"/>
    <w:rsid w:val="37F766E0"/>
    <w:rsid w:val="37F77A04"/>
    <w:rsid w:val="37F814F6"/>
    <w:rsid w:val="37F841D1"/>
    <w:rsid w:val="37F92887"/>
    <w:rsid w:val="37F963E3"/>
    <w:rsid w:val="37FA202F"/>
    <w:rsid w:val="37FA25CF"/>
    <w:rsid w:val="37FA2A25"/>
    <w:rsid w:val="37FA4E3E"/>
    <w:rsid w:val="37FA6504"/>
    <w:rsid w:val="37FB5357"/>
    <w:rsid w:val="37FB65FF"/>
    <w:rsid w:val="37FC4126"/>
    <w:rsid w:val="37FC474B"/>
    <w:rsid w:val="37FC56A4"/>
    <w:rsid w:val="37FE39FA"/>
    <w:rsid w:val="37FE3DAD"/>
    <w:rsid w:val="37FF09E1"/>
    <w:rsid w:val="37FF11A1"/>
    <w:rsid w:val="37FF2AAC"/>
    <w:rsid w:val="37FF425B"/>
    <w:rsid w:val="37FF4F3B"/>
    <w:rsid w:val="37FF5ED0"/>
    <w:rsid w:val="37FF7772"/>
    <w:rsid w:val="38002A97"/>
    <w:rsid w:val="38003C16"/>
    <w:rsid w:val="38006913"/>
    <w:rsid w:val="38006E2C"/>
    <w:rsid w:val="38012A70"/>
    <w:rsid w:val="38012CA6"/>
    <w:rsid w:val="380134EA"/>
    <w:rsid w:val="38015DB8"/>
    <w:rsid w:val="38016E3C"/>
    <w:rsid w:val="3801798E"/>
    <w:rsid w:val="38022BDC"/>
    <w:rsid w:val="38023C3D"/>
    <w:rsid w:val="380253FC"/>
    <w:rsid w:val="38025B32"/>
    <w:rsid w:val="38031C51"/>
    <w:rsid w:val="38033706"/>
    <w:rsid w:val="380354B4"/>
    <w:rsid w:val="380357AD"/>
    <w:rsid w:val="38037262"/>
    <w:rsid w:val="380422E5"/>
    <w:rsid w:val="38044D88"/>
    <w:rsid w:val="380454D5"/>
    <w:rsid w:val="380454FC"/>
    <w:rsid w:val="38046C3D"/>
    <w:rsid w:val="38057C75"/>
    <w:rsid w:val="38060B00"/>
    <w:rsid w:val="3806412E"/>
    <w:rsid w:val="38064FA4"/>
    <w:rsid w:val="38065BFD"/>
    <w:rsid w:val="380724D4"/>
    <w:rsid w:val="380745A8"/>
    <w:rsid w:val="38080281"/>
    <w:rsid w:val="38080D1C"/>
    <w:rsid w:val="38082ACA"/>
    <w:rsid w:val="38083E7D"/>
    <w:rsid w:val="38086BA9"/>
    <w:rsid w:val="38091F6E"/>
    <w:rsid w:val="3809239F"/>
    <w:rsid w:val="380A0674"/>
    <w:rsid w:val="380A6843"/>
    <w:rsid w:val="380A6C6B"/>
    <w:rsid w:val="380B0A9B"/>
    <w:rsid w:val="380B25BB"/>
    <w:rsid w:val="380B49E0"/>
    <w:rsid w:val="380C3C8E"/>
    <w:rsid w:val="380D1E8F"/>
    <w:rsid w:val="380D5CB5"/>
    <w:rsid w:val="380D6333"/>
    <w:rsid w:val="380E47C1"/>
    <w:rsid w:val="380F20AB"/>
    <w:rsid w:val="380F3D50"/>
    <w:rsid w:val="380F3E59"/>
    <w:rsid w:val="3810372D"/>
    <w:rsid w:val="381049C5"/>
    <w:rsid w:val="38107BD1"/>
    <w:rsid w:val="38112EB7"/>
    <w:rsid w:val="38117DB1"/>
    <w:rsid w:val="381318A5"/>
    <w:rsid w:val="381319CF"/>
    <w:rsid w:val="38137AD8"/>
    <w:rsid w:val="38137B64"/>
    <w:rsid w:val="381417FE"/>
    <w:rsid w:val="38143507"/>
    <w:rsid w:val="3814696F"/>
    <w:rsid w:val="381476C1"/>
    <w:rsid w:val="38150487"/>
    <w:rsid w:val="38156F95"/>
    <w:rsid w:val="38157BC2"/>
    <w:rsid w:val="3816120D"/>
    <w:rsid w:val="38163439"/>
    <w:rsid w:val="38167911"/>
    <w:rsid w:val="38170F5F"/>
    <w:rsid w:val="381724E2"/>
    <w:rsid w:val="38172D0E"/>
    <w:rsid w:val="38173086"/>
    <w:rsid w:val="38174ABC"/>
    <w:rsid w:val="38174FE4"/>
    <w:rsid w:val="38175E46"/>
    <w:rsid w:val="38180ACA"/>
    <w:rsid w:val="3818343F"/>
    <w:rsid w:val="38190834"/>
    <w:rsid w:val="38194CD8"/>
    <w:rsid w:val="38196A86"/>
    <w:rsid w:val="381A1F07"/>
    <w:rsid w:val="381A45AC"/>
    <w:rsid w:val="381A45FF"/>
    <w:rsid w:val="381A4EAB"/>
    <w:rsid w:val="381A520E"/>
    <w:rsid w:val="381B0A50"/>
    <w:rsid w:val="381B27FE"/>
    <w:rsid w:val="381B487F"/>
    <w:rsid w:val="381C0324"/>
    <w:rsid w:val="381C20D2"/>
    <w:rsid w:val="381C47C8"/>
    <w:rsid w:val="381C63F3"/>
    <w:rsid w:val="381C69BD"/>
    <w:rsid w:val="381D515F"/>
    <w:rsid w:val="381D531B"/>
    <w:rsid w:val="381E22EE"/>
    <w:rsid w:val="381E5E4A"/>
    <w:rsid w:val="381F1BC2"/>
    <w:rsid w:val="381F3845"/>
    <w:rsid w:val="38202DFD"/>
    <w:rsid w:val="38203594"/>
    <w:rsid w:val="38203879"/>
    <w:rsid w:val="38204D8E"/>
    <w:rsid w:val="38205161"/>
    <w:rsid w:val="38207D33"/>
    <w:rsid w:val="38207E14"/>
    <w:rsid w:val="38210D36"/>
    <w:rsid w:val="38211DDE"/>
    <w:rsid w:val="38213B8C"/>
    <w:rsid w:val="38225C9E"/>
    <w:rsid w:val="38230A85"/>
    <w:rsid w:val="382316B2"/>
    <w:rsid w:val="38233460"/>
    <w:rsid w:val="38237904"/>
    <w:rsid w:val="38247F7B"/>
    <w:rsid w:val="38250D07"/>
    <w:rsid w:val="3825367C"/>
    <w:rsid w:val="38257597"/>
    <w:rsid w:val="38257A48"/>
    <w:rsid w:val="38260B47"/>
    <w:rsid w:val="382611A3"/>
    <w:rsid w:val="382673F4"/>
    <w:rsid w:val="38267406"/>
    <w:rsid w:val="38271FD7"/>
    <w:rsid w:val="38276F30"/>
    <w:rsid w:val="3828316D"/>
    <w:rsid w:val="38284F1B"/>
    <w:rsid w:val="38286CC9"/>
    <w:rsid w:val="382947EF"/>
    <w:rsid w:val="38296BB0"/>
    <w:rsid w:val="3829763F"/>
    <w:rsid w:val="382A0958"/>
    <w:rsid w:val="382A0C93"/>
    <w:rsid w:val="382A2A41"/>
    <w:rsid w:val="382A4840"/>
    <w:rsid w:val="382A7217"/>
    <w:rsid w:val="382A7667"/>
    <w:rsid w:val="382B0347"/>
    <w:rsid w:val="382B0567"/>
    <w:rsid w:val="382B3573"/>
    <w:rsid w:val="382B4B2E"/>
    <w:rsid w:val="382B5847"/>
    <w:rsid w:val="382B5936"/>
    <w:rsid w:val="382C4767"/>
    <w:rsid w:val="382C4A0B"/>
    <w:rsid w:val="382D05C5"/>
    <w:rsid w:val="382D0783"/>
    <w:rsid w:val="382D2531"/>
    <w:rsid w:val="382D30D1"/>
    <w:rsid w:val="382D672D"/>
    <w:rsid w:val="382D72D9"/>
    <w:rsid w:val="382E0C5D"/>
    <w:rsid w:val="382F0057"/>
    <w:rsid w:val="38300B21"/>
    <w:rsid w:val="3830238B"/>
    <w:rsid w:val="38303DCF"/>
    <w:rsid w:val="38305B7D"/>
    <w:rsid w:val="38314519"/>
    <w:rsid w:val="38314F56"/>
    <w:rsid w:val="38315C5A"/>
    <w:rsid w:val="38325586"/>
    <w:rsid w:val="383270EA"/>
    <w:rsid w:val="38327A91"/>
    <w:rsid w:val="38327FA3"/>
    <w:rsid w:val="3833314B"/>
    <w:rsid w:val="383342F5"/>
    <w:rsid w:val="383355A0"/>
    <w:rsid w:val="38335EE8"/>
    <w:rsid w:val="38336E80"/>
    <w:rsid w:val="38337513"/>
    <w:rsid w:val="38337A8F"/>
    <w:rsid w:val="38341B11"/>
    <w:rsid w:val="38342AA2"/>
    <w:rsid w:val="38342C58"/>
    <w:rsid w:val="38343275"/>
    <w:rsid w:val="383438BF"/>
    <w:rsid w:val="3834566E"/>
    <w:rsid w:val="38351604"/>
    <w:rsid w:val="38353194"/>
    <w:rsid w:val="3835384F"/>
    <w:rsid w:val="383603DD"/>
    <w:rsid w:val="38360A5C"/>
    <w:rsid w:val="38361688"/>
    <w:rsid w:val="3836588A"/>
    <w:rsid w:val="38367638"/>
    <w:rsid w:val="3837038B"/>
    <w:rsid w:val="38371ACC"/>
    <w:rsid w:val="383729BD"/>
    <w:rsid w:val="38372F5C"/>
    <w:rsid w:val="383733B0"/>
    <w:rsid w:val="3837515E"/>
    <w:rsid w:val="38376F0C"/>
    <w:rsid w:val="3838336F"/>
    <w:rsid w:val="383843EC"/>
    <w:rsid w:val="38390ED6"/>
    <w:rsid w:val="38392B2F"/>
    <w:rsid w:val="38393E83"/>
    <w:rsid w:val="383A33F0"/>
    <w:rsid w:val="383A69FC"/>
    <w:rsid w:val="383B019C"/>
    <w:rsid w:val="383B04F4"/>
    <w:rsid w:val="383B234D"/>
    <w:rsid w:val="383B2EA0"/>
    <w:rsid w:val="383B4C4E"/>
    <w:rsid w:val="383B62E8"/>
    <w:rsid w:val="383B7E47"/>
    <w:rsid w:val="383C09C6"/>
    <w:rsid w:val="383C2774"/>
    <w:rsid w:val="383C2D6D"/>
    <w:rsid w:val="383C4522"/>
    <w:rsid w:val="383D19AE"/>
    <w:rsid w:val="383D2FAF"/>
    <w:rsid w:val="383D3075"/>
    <w:rsid w:val="383E025E"/>
    <w:rsid w:val="383E029A"/>
    <w:rsid w:val="383E31C8"/>
    <w:rsid w:val="383E473E"/>
    <w:rsid w:val="383F08C7"/>
    <w:rsid w:val="383F16EE"/>
    <w:rsid w:val="383F2718"/>
    <w:rsid w:val="383F499B"/>
    <w:rsid w:val="384004B6"/>
    <w:rsid w:val="38402264"/>
    <w:rsid w:val="38404012"/>
    <w:rsid w:val="38406CB8"/>
    <w:rsid w:val="3841574F"/>
    <w:rsid w:val="3842422E"/>
    <w:rsid w:val="38424E28"/>
    <w:rsid w:val="3842549E"/>
    <w:rsid w:val="38431D54"/>
    <w:rsid w:val="38451629"/>
    <w:rsid w:val="384521D9"/>
    <w:rsid w:val="384533B7"/>
    <w:rsid w:val="38453489"/>
    <w:rsid w:val="38455388"/>
    <w:rsid w:val="3845787B"/>
    <w:rsid w:val="384653A1"/>
    <w:rsid w:val="38470B1A"/>
    <w:rsid w:val="38471BCC"/>
    <w:rsid w:val="38472D48"/>
    <w:rsid w:val="38472FCF"/>
    <w:rsid w:val="38475E58"/>
    <w:rsid w:val="38477E80"/>
    <w:rsid w:val="38481119"/>
    <w:rsid w:val="38481310"/>
    <w:rsid w:val="38486DD2"/>
    <w:rsid w:val="38490FD2"/>
    <w:rsid w:val="38495371"/>
    <w:rsid w:val="384966DC"/>
    <w:rsid w:val="3849786F"/>
    <w:rsid w:val="384A30E3"/>
    <w:rsid w:val="384A6C3F"/>
    <w:rsid w:val="384A70AD"/>
    <w:rsid w:val="384A70F8"/>
    <w:rsid w:val="384B0C09"/>
    <w:rsid w:val="384B354A"/>
    <w:rsid w:val="384B399F"/>
    <w:rsid w:val="384C203E"/>
    <w:rsid w:val="384D3DA8"/>
    <w:rsid w:val="384E6BC3"/>
    <w:rsid w:val="384F06F9"/>
    <w:rsid w:val="384F2476"/>
    <w:rsid w:val="384F24A7"/>
    <w:rsid w:val="384F4255"/>
    <w:rsid w:val="384F6612"/>
    <w:rsid w:val="385007D9"/>
    <w:rsid w:val="385044BE"/>
    <w:rsid w:val="38506603"/>
    <w:rsid w:val="38511E70"/>
    <w:rsid w:val="38514471"/>
    <w:rsid w:val="3851621F"/>
    <w:rsid w:val="385201EA"/>
    <w:rsid w:val="38520936"/>
    <w:rsid w:val="38520A98"/>
    <w:rsid w:val="38523D46"/>
    <w:rsid w:val="38524BCD"/>
    <w:rsid w:val="385321A1"/>
    <w:rsid w:val="385353FE"/>
    <w:rsid w:val="38545666"/>
    <w:rsid w:val="38550242"/>
    <w:rsid w:val="38553914"/>
    <w:rsid w:val="385555E4"/>
    <w:rsid w:val="38561A88"/>
    <w:rsid w:val="385641A8"/>
    <w:rsid w:val="3857135C"/>
    <w:rsid w:val="385719C9"/>
    <w:rsid w:val="38575800"/>
    <w:rsid w:val="38580E05"/>
    <w:rsid w:val="385822C4"/>
    <w:rsid w:val="38582C02"/>
    <w:rsid w:val="38591578"/>
    <w:rsid w:val="385924A3"/>
    <w:rsid w:val="385A0D9B"/>
    <w:rsid w:val="385B52F0"/>
    <w:rsid w:val="385B709E"/>
    <w:rsid w:val="385C6972"/>
    <w:rsid w:val="385D4C77"/>
    <w:rsid w:val="385E093C"/>
    <w:rsid w:val="385E4201"/>
    <w:rsid w:val="385F2910"/>
    <w:rsid w:val="38602168"/>
    <w:rsid w:val="38604563"/>
    <w:rsid w:val="386077BA"/>
    <w:rsid w:val="386121DB"/>
    <w:rsid w:val="386125D0"/>
    <w:rsid w:val="386135F8"/>
    <w:rsid w:val="38613748"/>
    <w:rsid w:val="38613F89"/>
    <w:rsid w:val="3862042D"/>
    <w:rsid w:val="38621389"/>
    <w:rsid w:val="38631600"/>
    <w:rsid w:val="386341A5"/>
    <w:rsid w:val="38653A79"/>
    <w:rsid w:val="38663405"/>
    <w:rsid w:val="38664899"/>
    <w:rsid w:val="386677F1"/>
    <w:rsid w:val="38670992"/>
    <w:rsid w:val="386733BD"/>
    <w:rsid w:val="38673C95"/>
    <w:rsid w:val="3867746A"/>
    <w:rsid w:val="38681530"/>
    <w:rsid w:val="38685317"/>
    <w:rsid w:val="38685B4A"/>
    <w:rsid w:val="386A4252"/>
    <w:rsid w:val="386A46AA"/>
    <w:rsid w:val="386A541B"/>
    <w:rsid w:val="386A5533"/>
    <w:rsid w:val="386A5DEB"/>
    <w:rsid w:val="386A72E1"/>
    <w:rsid w:val="386B0176"/>
    <w:rsid w:val="386B6361"/>
    <w:rsid w:val="386C12AB"/>
    <w:rsid w:val="386C3059"/>
    <w:rsid w:val="386C32DC"/>
    <w:rsid w:val="386C4DD4"/>
    <w:rsid w:val="386C7F93"/>
    <w:rsid w:val="386D02B5"/>
    <w:rsid w:val="386D0C61"/>
    <w:rsid w:val="386D5023"/>
    <w:rsid w:val="386E0F57"/>
    <w:rsid w:val="386E2DF5"/>
    <w:rsid w:val="386E373F"/>
    <w:rsid w:val="386E5DD4"/>
    <w:rsid w:val="386F1159"/>
    <w:rsid w:val="386F66A6"/>
    <w:rsid w:val="38700130"/>
    <w:rsid w:val="38701D47"/>
    <w:rsid w:val="3870241E"/>
    <w:rsid w:val="38703DE3"/>
    <w:rsid w:val="3870436D"/>
    <w:rsid w:val="3870709A"/>
    <w:rsid w:val="387119AC"/>
    <w:rsid w:val="38712880"/>
    <w:rsid w:val="387130ED"/>
    <w:rsid w:val="3871483A"/>
    <w:rsid w:val="38714CB8"/>
    <w:rsid w:val="38726196"/>
    <w:rsid w:val="387278BA"/>
    <w:rsid w:val="38730DA8"/>
    <w:rsid w:val="387313FA"/>
    <w:rsid w:val="38736E44"/>
    <w:rsid w:val="387371E8"/>
    <w:rsid w:val="38737E89"/>
    <w:rsid w:val="38740453"/>
    <w:rsid w:val="38741F0E"/>
    <w:rsid w:val="3874244B"/>
    <w:rsid w:val="387452EC"/>
    <w:rsid w:val="387463B2"/>
    <w:rsid w:val="387502E8"/>
    <w:rsid w:val="387512E9"/>
    <w:rsid w:val="3875186D"/>
    <w:rsid w:val="38752EFE"/>
    <w:rsid w:val="38763ED8"/>
    <w:rsid w:val="38767A34"/>
    <w:rsid w:val="3877062A"/>
    <w:rsid w:val="38771243"/>
    <w:rsid w:val="38771BE8"/>
    <w:rsid w:val="38776F5F"/>
    <w:rsid w:val="38787C50"/>
    <w:rsid w:val="38791610"/>
    <w:rsid w:val="38792D0F"/>
    <w:rsid w:val="387936C4"/>
    <w:rsid w:val="387939C8"/>
    <w:rsid w:val="38794C50"/>
    <w:rsid w:val="387973A5"/>
    <w:rsid w:val="387A1915"/>
    <w:rsid w:val="387A6293"/>
    <w:rsid w:val="387B329C"/>
    <w:rsid w:val="387B642C"/>
    <w:rsid w:val="387B7CAD"/>
    <w:rsid w:val="387C4814"/>
    <w:rsid w:val="387C536A"/>
    <w:rsid w:val="387C6A88"/>
    <w:rsid w:val="387D0F92"/>
    <w:rsid w:val="387D1690"/>
    <w:rsid w:val="387E0FDF"/>
    <w:rsid w:val="387E2D8D"/>
    <w:rsid w:val="387E5815"/>
    <w:rsid w:val="387F3E0B"/>
    <w:rsid w:val="38804D57"/>
    <w:rsid w:val="3880545D"/>
    <w:rsid w:val="38806B05"/>
    <w:rsid w:val="3880737C"/>
    <w:rsid w:val="38810CA6"/>
    <w:rsid w:val="388163D9"/>
    <w:rsid w:val="38820FC4"/>
    <w:rsid w:val="3882287D"/>
    <w:rsid w:val="3882410B"/>
    <w:rsid w:val="38831852"/>
    <w:rsid w:val="38833910"/>
    <w:rsid w:val="388365F5"/>
    <w:rsid w:val="38836BF8"/>
    <w:rsid w:val="38841601"/>
    <w:rsid w:val="38843C8D"/>
    <w:rsid w:val="388468B1"/>
    <w:rsid w:val="3885411B"/>
    <w:rsid w:val="3885418B"/>
    <w:rsid w:val="38863871"/>
    <w:rsid w:val="3886751A"/>
    <w:rsid w:val="3886773D"/>
    <w:rsid w:val="38871C41"/>
    <w:rsid w:val="38873661"/>
    <w:rsid w:val="38875FF8"/>
    <w:rsid w:val="388760E5"/>
    <w:rsid w:val="38877957"/>
    <w:rsid w:val="38887767"/>
    <w:rsid w:val="38897735"/>
    <w:rsid w:val="388A1F8A"/>
    <w:rsid w:val="388A201F"/>
    <w:rsid w:val="388A34DF"/>
    <w:rsid w:val="388A3C94"/>
    <w:rsid w:val="388A42AC"/>
    <w:rsid w:val="388A4D91"/>
    <w:rsid w:val="388B6865"/>
    <w:rsid w:val="388B7B2C"/>
    <w:rsid w:val="388C12CE"/>
    <w:rsid w:val="388C36FB"/>
    <w:rsid w:val="388C7258"/>
    <w:rsid w:val="388C759E"/>
    <w:rsid w:val="388D041F"/>
    <w:rsid w:val="388D1222"/>
    <w:rsid w:val="388D140A"/>
    <w:rsid w:val="388D2FD0"/>
    <w:rsid w:val="388D4D7E"/>
    <w:rsid w:val="388E0019"/>
    <w:rsid w:val="388E1903"/>
    <w:rsid w:val="388E2AF1"/>
    <w:rsid w:val="388E6FFE"/>
    <w:rsid w:val="388E7474"/>
    <w:rsid w:val="388F002C"/>
    <w:rsid w:val="388F2CA4"/>
    <w:rsid w:val="388F3388"/>
    <w:rsid w:val="388F4F35"/>
    <w:rsid w:val="388F6D48"/>
    <w:rsid w:val="38916378"/>
    <w:rsid w:val="389205E6"/>
    <w:rsid w:val="38921C79"/>
    <w:rsid w:val="38924FF7"/>
    <w:rsid w:val="38926838"/>
    <w:rsid w:val="38935666"/>
    <w:rsid w:val="3894435E"/>
    <w:rsid w:val="38944AC6"/>
    <w:rsid w:val="3894610C"/>
    <w:rsid w:val="38947917"/>
    <w:rsid w:val="38950DA7"/>
    <w:rsid w:val="38961E84"/>
    <w:rsid w:val="38962237"/>
    <w:rsid w:val="38963978"/>
    <w:rsid w:val="38964330"/>
    <w:rsid w:val="38966C10"/>
    <w:rsid w:val="389706FB"/>
    <w:rsid w:val="38971D55"/>
    <w:rsid w:val="389820A0"/>
    <w:rsid w:val="38983C36"/>
    <w:rsid w:val="38983D44"/>
    <w:rsid w:val="38985BEB"/>
    <w:rsid w:val="38991974"/>
    <w:rsid w:val="38995E18"/>
    <w:rsid w:val="38997BC6"/>
    <w:rsid w:val="389A0168"/>
    <w:rsid w:val="389A3DC6"/>
    <w:rsid w:val="389A553C"/>
    <w:rsid w:val="389B393F"/>
    <w:rsid w:val="389B4C19"/>
    <w:rsid w:val="389B5520"/>
    <w:rsid w:val="389B56ED"/>
    <w:rsid w:val="389B749B"/>
    <w:rsid w:val="389C1E13"/>
    <w:rsid w:val="389C3213"/>
    <w:rsid w:val="389C7CF3"/>
    <w:rsid w:val="389D7539"/>
    <w:rsid w:val="389D76B7"/>
    <w:rsid w:val="389E09C9"/>
    <w:rsid w:val="389E0B7E"/>
    <w:rsid w:val="389E359A"/>
    <w:rsid w:val="389E51DD"/>
    <w:rsid w:val="389E6CFC"/>
    <w:rsid w:val="389E6DEE"/>
    <w:rsid w:val="389F35EE"/>
    <w:rsid w:val="389F4470"/>
    <w:rsid w:val="389F78EA"/>
    <w:rsid w:val="38A00F55"/>
    <w:rsid w:val="38A0235A"/>
    <w:rsid w:val="38A02D03"/>
    <w:rsid w:val="38A039D8"/>
    <w:rsid w:val="38A05EBA"/>
    <w:rsid w:val="38A0696D"/>
    <w:rsid w:val="38A071A7"/>
    <w:rsid w:val="38A0725E"/>
    <w:rsid w:val="38A074E8"/>
    <w:rsid w:val="38A07EE1"/>
    <w:rsid w:val="38A1431F"/>
    <w:rsid w:val="38A1653E"/>
    <w:rsid w:val="38A1665C"/>
    <w:rsid w:val="38A17DF7"/>
    <w:rsid w:val="38A2146E"/>
    <w:rsid w:val="38A22DB6"/>
    <w:rsid w:val="38A23437"/>
    <w:rsid w:val="38A26A7B"/>
    <w:rsid w:val="38A333AB"/>
    <w:rsid w:val="38A345A1"/>
    <w:rsid w:val="38A3783B"/>
    <w:rsid w:val="38A4740C"/>
    <w:rsid w:val="38A50319"/>
    <w:rsid w:val="38A51C82"/>
    <w:rsid w:val="38A52A35"/>
    <w:rsid w:val="38A6160E"/>
    <w:rsid w:val="38A62BCF"/>
    <w:rsid w:val="38A65E3F"/>
    <w:rsid w:val="38A703B1"/>
    <w:rsid w:val="38A748FD"/>
    <w:rsid w:val="38A76104"/>
    <w:rsid w:val="38A80187"/>
    <w:rsid w:val="38A81BB8"/>
    <w:rsid w:val="38A8464C"/>
    <w:rsid w:val="38A85143"/>
    <w:rsid w:val="38A85508"/>
    <w:rsid w:val="38A85A9D"/>
    <w:rsid w:val="38A8605B"/>
    <w:rsid w:val="38A905AC"/>
    <w:rsid w:val="38AA06AD"/>
    <w:rsid w:val="38AA2AF1"/>
    <w:rsid w:val="38AA5930"/>
    <w:rsid w:val="38AB1071"/>
    <w:rsid w:val="38AB6D10"/>
    <w:rsid w:val="38AC16A8"/>
    <w:rsid w:val="38AC461D"/>
    <w:rsid w:val="38AC5B4C"/>
    <w:rsid w:val="38AD5420"/>
    <w:rsid w:val="38AD71CE"/>
    <w:rsid w:val="38AD73DB"/>
    <w:rsid w:val="38AE1203"/>
    <w:rsid w:val="38AE3672"/>
    <w:rsid w:val="38AE4154"/>
    <w:rsid w:val="38AF5FD1"/>
    <w:rsid w:val="38AF69CC"/>
    <w:rsid w:val="38AF73EA"/>
    <w:rsid w:val="38B02373"/>
    <w:rsid w:val="38B03F30"/>
    <w:rsid w:val="38B04C5E"/>
    <w:rsid w:val="38B04DE6"/>
    <w:rsid w:val="38B059AF"/>
    <w:rsid w:val="38B07E6C"/>
    <w:rsid w:val="38B13162"/>
    <w:rsid w:val="38B16CBE"/>
    <w:rsid w:val="38B201AB"/>
    <w:rsid w:val="38B202CF"/>
    <w:rsid w:val="38B22046"/>
    <w:rsid w:val="38B22A36"/>
    <w:rsid w:val="38B23191"/>
    <w:rsid w:val="38B247E4"/>
    <w:rsid w:val="38B302F9"/>
    <w:rsid w:val="38B30C88"/>
    <w:rsid w:val="38B367B1"/>
    <w:rsid w:val="38B36EDA"/>
    <w:rsid w:val="38B4055C"/>
    <w:rsid w:val="38B44A00"/>
    <w:rsid w:val="38B467AE"/>
    <w:rsid w:val="38B46F01"/>
    <w:rsid w:val="38B60778"/>
    <w:rsid w:val="38B62526"/>
    <w:rsid w:val="38B75103"/>
    <w:rsid w:val="38B81017"/>
    <w:rsid w:val="38B81E0D"/>
    <w:rsid w:val="38B82C9F"/>
    <w:rsid w:val="38B84141"/>
    <w:rsid w:val="38B8579A"/>
    <w:rsid w:val="38B85882"/>
    <w:rsid w:val="38B85B40"/>
    <w:rsid w:val="38B85DC6"/>
    <w:rsid w:val="38B863F8"/>
    <w:rsid w:val="38B86D12"/>
    <w:rsid w:val="38B90269"/>
    <w:rsid w:val="38B92017"/>
    <w:rsid w:val="38B93DC5"/>
    <w:rsid w:val="38B95B73"/>
    <w:rsid w:val="38BA221A"/>
    <w:rsid w:val="38BA69AF"/>
    <w:rsid w:val="38BA72EF"/>
    <w:rsid w:val="38BB2A6C"/>
    <w:rsid w:val="38BB2AC2"/>
    <w:rsid w:val="38BB468E"/>
    <w:rsid w:val="38BC16AF"/>
    <w:rsid w:val="38BD0E96"/>
    <w:rsid w:val="38BD1B07"/>
    <w:rsid w:val="38BD38B5"/>
    <w:rsid w:val="38BD4C7D"/>
    <w:rsid w:val="38BD6B23"/>
    <w:rsid w:val="38BD6CF4"/>
    <w:rsid w:val="38BE07E1"/>
    <w:rsid w:val="38BE13DB"/>
    <w:rsid w:val="38BE57BC"/>
    <w:rsid w:val="38BE762D"/>
    <w:rsid w:val="38C033A5"/>
    <w:rsid w:val="38C03C2B"/>
    <w:rsid w:val="38C04D8B"/>
    <w:rsid w:val="38C06F01"/>
    <w:rsid w:val="38C075B5"/>
    <w:rsid w:val="38C07793"/>
    <w:rsid w:val="38C16934"/>
    <w:rsid w:val="38C2096A"/>
    <w:rsid w:val="38C23579"/>
    <w:rsid w:val="38C2711D"/>
    <w:rsid w:val="38C27DC4"/>
    <w:rsid w:val="38C31254"/>
    <w:rsid w:val="38C33D58"/>
    <w:rsid w:val="38C34C43"/>
    <w:rsid w:val="38C35EBE"/>
    <w:rsid w:val="38C369F1"/>
    <w:rsid w:val="38C40DB2"/>
    <w:rsid w:val="38C41A58"/>
    <w:rsid w:val="38C42E95"/>
    <w:rsid w:val="38C473A0"/>
    <w:rsid w:val="38C5276A"/>
    <w:rsid w:val="38C56745"/>
    <w:rsid w:val="38C56C0D"/>
    <w:rsid w:val="38C61F6A"/>
    <w:rsid w:val="38C63934"/>
    <w:rsid w:val="38C65992"/>
    <w:rsid w:val="38C73354"/>
    <w:rsid w:val="38C74734"/>
    <w:rsid w:val="38C8225A"/>
    <w:rsid w:val="38C84008"/>
    <w:rsid w:val="38C84E8F"/>
    <w:rsid w:val="38C91EDE"/>
    <w:rsid w:val="38C97430"/>
    <w:rsid w:val="38CA6556"/>
    <w:rsid w:val="38CA67D0"/>
    <w:rsid w:val="38CA7D80"/>
    <w:rsid w:val="38CA7E9D"/>
    <w:rsid w:val="38CB25B7"/>
    <w:rsid w:val="38CC1654"/>
    <w:rsid w:val="38CC1D4A"/>
    <w:rsid w:val="38CC1E2F"/>
    <w:rsid w:val="38CC3A8D"/>
    <w:rsid w:val="38CC5188"/>
    <w:rsid w:val="38CC58A6"/>
    <w:rsid w:val="38CC7F9C"/>
    <w:rsid w:val="38CD161E"/>
    <w:rsid w:val="38CD535F"/>
    <w:rsid w:val="38CD7599"/>
    <w:rsid w:val="38CE2D0D"/>
    <w:rsid w:val="38CE5AC2"/>
    <w:rsid w:val="38CF0211"/>
    <w:rsid w:val="38CF0F38"/>
    <w:rsid w:val="38CF183A"/>
    <w:rsid w:val="38CF2BFD"/>
    <w:rsid w:val="38CF3B09"/>
    <w:rsid w:val="38CF5396"/>
    <w:rsid w:val="38CF7007"/>
    <w:rsid w:val="38CF7493"/>
    <w:rsid w:val="38D023C8"/>
    <w:rsid w:val="38D03858"/>
    <w:rsid w:val="38D10DC2"/>
    <w:rsid w:val="38D1110E"/>
    <w:rsid w:val="38D155B2"/>
    <w:rsid w:val="38D16429"/>
    <w:rsid w:val="38D16792"/>
    <w:rsid w:val="38D2416E"/>
    <w:rsid w:val="38D32489"/>
    <w:rsid w:val="38D34E86"/>
    <w:rsid w:val="38D34FF7"/>
    <w:rsid w:val="38D4103E"/>
    <w:rsid w:val="38D4127B"/>
    <w:rsid w:val="38D421D8"/>
    <w:rsid w:val="38D429AD"/>
    <w:rsid w:val="38D44AE9"/>
    <w:rsid w:val="38D44DA9"/>
    <w:rsid w:val="38D50C4B"/>
    <w:rsid w:val="38D5676B"/>
    <w:rsid w:val="38D57418"/>
    <w:rsid w:val="38D62BC9"/>
    <w:rsid w:val="38D64BEE"/>
    <w:rsid w:val="38D66725"/>
    <w:rsid w:val="38D72FFB"/>
    <w:rsid w:val="38D806EF"/>
    <w:rsid w:val="38D8249D"/>
    <w:rsid w:val="38D86941"/>
    <w:rsid w:val="38D92C1B"/>
    <w:rsid w:val="38D932F3"/>
    <w:rsid w:val="38D94467"/>
    <w:rsid w:val="38D94B84"/>
    <w:rsid w:val="38D9535F"/>
    <w:rsid w:val="38DA2A21"/>
    <w:rsid w:val="38DA3AD5"/>
    <w:rsid w:val="38DA6684"/>
    <w:rsid w:val="38DB01DF"/>
    <w:rsid w:val="38DB1F8D"/>
    <w:rsid w:val="38DB3D3B"/>
    <w:rsid w:val="38DB7001"/>
    <w:rsid w:val="38DD36A2"/>
    <w:rsid w:val="38DD3F57"/>
    <w:rsid w:val="38DD5D05"/>
    <w:rsid w:val="38DD610C"/>
    <w:rsid w:val="38DD7AB3"/>
    <w:rsid w:val="38DD7C7E"/>
    <w:rsid w:val="38DE382B"/>
    <w:rsid w:val="38DE55D9"/>
    <w:rsid w:val="38DE5E5B"/>
    <w:rsid w:val="38DF1EBC"/>
    <w:rsid w:val="38DF7CCF"/>
    <w:rsid w:val="38E0053B"/>
    <w:rsid w:val="38E01351"/>
    <w:rsid w:val="38E0190C"/>
    <w:rsid w:val="38E042BB"/>
    <w:rsid w:val="38E057F5"/>
    <w:rsid w:val="38E06914"/>
    <w:rsid w:val="38E16588"/>
    <w:rsid w:val="38E21359"/>
    <w:rsid w:val="38E2156D"/>
    <w:rsid w:val="38E2331B"/>
    <w:rsid w:val="38E250CA"/>
    <w:rsid w:val="38E27111"/>
    <w:rsid w:val="38E3340E"/>
    <w:rsid w:val="38E34C0D"/>
    <w:rsid w:val="38E35C8E"/>
    <w:rsid w:val="38E3642D"/>
    <w:rsid w:val="38E408CA"/>
    <w:rsid w:val="38E41866"/>
    <w:rsid w:val="38E41A7B"/>
    <w:rsid w:val="38E47BB0"/>
    <w:rsid w:val="38E5105E"/>
    <w:rsid w:val="38E5182D"/>
    <w:rsid w:val="38E52E0C"/>
    <w:rsid w:val="38E5315D"/>
    <w:rsid w:val="38E53AD0"/>
    <w:rsid w:val="38E54BBA"/>
    <w:rsid w:val="38E56968"/>
    <w:rsid w:val="38E6232B"/>
    <w:rsid w:val="38E7059D"/>
    <w:rsid w:val="38E70932"/>
    <w:rsid w:val="38E7481E"/>
    <w:rsid w:val="38E74F7A"/>
    <w:rsid w:val="38E76B84"/>
    <w:rsid w:val="38E77AEF"/>
    <w:rsid w:val="38E81ADE"/>
    <w:rsid w:val="38E82DD7"/>
    <w:rsid w:val="38E832A8"/>
    <w:rsid w:val="38E86458"/>
    <w:rsid w:val="38E920B8"/>
    <w:rsid w:val="38E928FC"/>
    <w:rsid w:val="38E9376D"/>
    <w:rsid w:val="38E946AA"/>
    <w:rsid w:val="38E95AFB"/>
    <w:rsid w:val="38EA0422"/>
    <w:rsid w:val="38EA0710"/>
    <w:rsid w:val="38EA11EC"/>
    <w:rsid w:val="38EA2262"/>
    <w:rsid w:val="38EA6674"/>
    <w:rsid w:val="38EB00DF"/>
    <w:rsid w:val="38EC419A"/>
    <w:rsid w:val="38EC63F1"/>
    <w:rsid w:val="38EC7CF6"/>
    <w:rsid w:val="38EC7E15"/>
    <w:rsid w:val="38ED44C0"/>
    <w:rsid w:val="38ED6753"/>
    <w:rsid w:val="38ED6D78"/>
    <w:rsid w:val="38ED7091"/>
    <w:rsid w:val="38EE0521"/>
    <w:rsid w:val="38EE1D87"/>
    <w:rsid w:val="38EE7F12"/>
    <w:rsid w:val="38EF1B8D"/>
    <w:rsid w:val="38EF3C8A"/>
    <w:rsid w:val="38EF5A38"/>
    <w:rsid w:val="38EF77E6"/>
    <w:rsid w:val="38F02CC4"/>
    <w:rsid w:val="38F06D8E"/>
    <w:rsid w:val="38F079F7"/>
    <w:rsid w:val="38F117B0"/>
    <w:rsid w:val="38F12CD3"/>
    <w:rsid w:val="38F142D1"/>
    <w:rsid w:val="38F1461C"/>
    <w:rsid w:val="38F17A02"/>
    <w:rsid w:val="38F17D66"/>
    <w:rsid w:val="38F201D7"/>
    <w:rsid w:val="38F207CE"/>
    <w:rsid w:val="38F26EA2"/>
    <w:rsid w:val="38F30332"/>
    <w:rsid w:val="38F35529"/>
    <w:rsid w:val="38F372D7"/>
    <w:rsid w:val="38F413BC"/>
    <w:rsid w:val="38F4218C"/>
    <w:rsid w:val="38F4304F"/>
    <w:rsid w:val="38F43F9A"/>
    <w:rsid w:val="38F53377"/>
    <w:rsid w:val="38F55CAE"/>
    <w:rsid w:val="38F640E2"/>
    <w:rsid w:val="38F65019"/>
    <w:rsid w:val="38F66DC7"/>
    <w:rsid w:val="38F75011"/>
    <w:rsid w:val="38F75608"/>
    <w:rsid w:val="38F7748A"/>
    <w:rsid w:val="38F8045A"/>
    <w:rsid w:val="38F80D91"/>
    <w:rsid w:val="38F81EFA"/>
    <w:rsid w:val="38F8215A"/>
    <w:rsid w:val="38F82B3F"/>
    <w:rsid w:val="38F8669B"/>
    <w:rsid w:val="38F92413"/>
    <w:rsid w:val="38F941A4"/>
    <w:rsid w:val="38F94775"/>
    <w:rsid w:val="38FA44DE"/>
    <w:rsid w:val="38FA68B7"/>
    <w:rsid w:val="38FA7297"/>
    <w:rsid w:val="38FA778D"/>
    <w:rsid w:val="38FB10C2"/>
    <w:rsid w:val="38FB130B"/>
    <w:rsid w:val="38FB43DD"/>
    <w:rsid w:val="38FB618B"/>
    <w:rsid w:val="38FB7AFC"/>
    <w:rsid w:val="38FB7F54"/>
    <w:rsid w:val="38FC0752"/>
    <w:rsid w:val="38FD0155"/>
    <w:rsid w:val="38FD3FB5"/>
    <w:rsid w:val="38FD4DF9"/>
    <w:rsid w:val="38FD5AD9"/>
    <w:rsid w:val="38FD776A"/>
    <w:rsid w:val="38FE0016"/>
    <w:rsid w:val="38FE3627"/>
    <w:rsid w:val="38FE4957"/>
    <w:rsid w:val="38FE5C7B"/>
    <w:rsid w:val="38FF1349"/>
    <w:rsid w:val="38FF14A6"/>
    <w:rsid w:val="38FF284B"/>
    <w:rsid w:val="38FF3ECD"/>
    <w:rsid w:val="38FF5379"/>
    <w:rsid w:val="38FF590E"/>
    <w:rsid w:val="39007C46"/>
    <w:rsid w:val="390100F8"/>
    <w:rsid w:val="39012A56"/>
    <w:rsid w:val="39012BD1"/>
    <w:rsid w:val="390176C1"/>
    <w:rsid w:val="390239BE"/>
    <w:rsid w:val="3902561E"/>
    <w:rsid w:val="39025CC9"/>
    <w:rsid w:val="3902751A"/>
    <w:rsid w:val="39030F3F"/>
    <w:rsid w:val="39032C7F"/>
    <w:rsid w:val="390366E6"/>
    <w:rsid w:val="39036724"/>
    <w:rsid w:val="390414E4"/>
    <w:rsid w:val="39050DB8"/>
    <w:rsid w:val="3905377C"/>
    <w:rsid w:val="39054554"/>
    <w:rsid w:val="3905525C"/>
    <w:rsid w:val="39055318"/>
    <w:rsid w:val="39056F43"/>
    <w:rsid w:val="3905700A"/>
    <w:rsid w:val="39060D9A"/>
    <w:rsid w:val="39061ECE"/>
    <w:rsid w:val="39065D1C"/>
    <w:rsid w:val="39070FD4"/>
    <w:rsid w:val="39072D82"/>
    <w:rsid w:val="39073C73"/>
    <w:rsid w:val="39074B30"/>
    <w:rsid w:val="39087172"/>
    <w:rsid w:val="390908A8"/>
    <w:rsid w:val="39092558"/>
    <w:rsid w:val="39094D4C"/>
    <w:rsid w:val="39095129"/>
    <w:rsid w:val="39096AFA"/>
    <w:rsid w:val="390A0C11"/>
    <w:rsid w:val="390A2872"/>
    <w:rsid w:val="390A39E8"/>
    <w:rsid w:val="390A63CE"/>
    <w:rsid w:val="390B0AC4"/>
    <w:rsid w:val="390B41CA"/>
    <w:rsid w:val="390B4C38"/>
    <w:rsid w:val="390B5C54"/>
    <w:rsid w:val="390C08FB"/>
    <w:rsid w:val="390C0ED9"/>
    <w:rsid w:val="390C2146"/>
    <w:rsid w:val="390C261A"/>
    <w:rsid w:val="390C5000"/>
    <w:rsid w:val="390C7982"/>
    <w:rsid w:val="390D3AAA"/>
    <w:rsid w:val="390E2362"/>
    <w:rsid w:val="390E4110"/>
    <w:rsid w:val="390E43FF"/>
    <w:rsid w:val="390E5BA1"/>
    <w:rsid w:val="390E5E67"/>
    <w:rsid w:val="390E5EBF"/>
    <w:rsid w:val="390F5200"/>
    <w:rsid w:val="390F63CA"/>
    <w:rsid w:val="390F7975"/>
    <w:rsid w:val="390F7E89"/>
    <w:rsid w:val="39100CEA"/>
    <w:rsid w:val="39104FDC"/>
    <w:rsid w:val="391060DB"/>
    <w:rsid w:val="39106A6F"/>
    <w:rsid w:val="3910785A"/>
    <w:rsid w:val="3911359A"/>
    <w:rsid w:val="39114886"/>
    <w:rsid w:val="391157F8"/>
    <w:rsid w:val="391159AF"/>
    <w:rsid w:val="391162B2"/>
    <w:rsid w:val="3911678C"/>
    <w:rsid w:val="39122BEA"/>
    <w:rsid w:val="39122E24"/>
    <w:rsid w:val="39124D4B"/>
    <w:rsid w:val="39126D9F"/>
    <w:rsid w:val="39131727"/>
    <w:rsid w:val="391361DB"/>
    <w:rsid w:val="39137979"/>
    <w:rsid w:val="39140DAC"/>
    <w:rsid w:val="3914549F"/>
    <w:rsid w:val="3914724D"/>
    <w:rsid w:val="3915008D"/>
    <w:rsid w:val="39155CC9"/>
    <w:rsid w:val="39161217"/>
    <w:rsid w:val="39162FC5"/>
    <w:rsid w:val="39167469"/>
    <w:rsid w:val="39170258"/>
    <w:rsid w:val="39175A97"/>
    <w:rsid w:val="39180AEB"/>
    <w:rsid w:val="391817E0"/>
    <w:rsid w:val="39182C57"/>
    <w:rsid w:val="391846DA"/>
    <w:rsid w:val="39184F8F"/>
    <w:rsid w:val="39186D3D"/>
    <w:rsid w:val="39186D60"/>
    <w:rsid w:val="39193D09"/>
    <w:rsid w:val="39194863"/>
    <w:rsid w:val="391A2AB5"/>
    <w:rsid w:val="391A325A"/>
    <w:rsid w:val="391A33B7"/>
    <w:rsid w:val="391A5472"/>
    <w:rsid w:val="391A60AE"/>
    <w:rsid w:val="391B044F"/>
    <w:rsid w:val="391B30EE"/>
    <w:rsid w:val="391B496D"/>
    <w:rsid w:val="391B682D"/>
    <w:rsid w:val="391B753E"/>
    <w:rsid w:val="391C5DFD"/>
    <w:rsid w:val="391D0389"/>
    <w:rsid w:val="391D07F7"/>
    <w:rsid w:val="391D0D8A"/>
    <w:rsid w:val="391D359F"/>
    <w:rsid w:val="391D4354"/>
    <w:rsid w:val="391E1A6F"/>
    <w:rsid w:val="391E1E7A"/>
    <w:rsid w:val="391F477E"/>
    <w:rsid w:val="391F5EBF"/>
    <w:rsid w:val="391F631E"/>
    <w:rsid w:val="392007DF"/>
    <w:rsid w:val="39200FD4"/>
    <w:rsid w:val="39203E44"/>
    <w:rsid w:val="392207EA"/>
    <w:rsid w:val="3922196A"/>
    <w:rsid w:val="39224840"/>
    <w:rsid w:val="39227C60"/>
    <w:rsid w:val="392308A1"/>
    <w:rsid w:val="39240C19"/>
    <w:rsid w:val="392411F9"/>
    <w:rsid w:val="392419CF"/>
    <w:rsid w:val="39241B86"/>
    <w:rsid w:val="39241D31"/>
    <w:rsid w:val="39243934"/>
    <w:rsid w:val="392456E2"/>
    <w:rsid w:val="3925145A"/>
    <w:rsid w:val="39253208"/>
    <w:rsid w:val="39253DDB"/>
    <w:rsid w:val="392562C1"/>
    <w:rsid w:val="39260474"/>
    <w:rsid w:val="39261A80"/>
    <w:rsid w:val="39264A36"/>
    <w:rsid w:val="392731AB"/>
    <w:rsid w:val="39273424"/>
    <w:rsid w:val="392751D2"/>
    <w:rsid w:val="39276F80"/>
    <w:rsid w:val="392774A6"/>
    <w:rsid w:val="39277912"/>
    <w:rsid w:val="39285E70"/>
    <w:rsid w:val="39286F71"/>
    <w:rsid w:val="392921BE"/>
    <w:rsid w:val="39292CF8"/>
    <w:rsid w:val="39294C83"/>
    <w:rsid w:val="39296334"/>
    <w:rsid w:val="3929719C"/>
    <w:rsid w:val="392971ED"/>
    <w:rsid w:val="392A081F"/>
    <w:rsid w:val="392A565E"/>
    <w:rsid w:val="392A5BA3"/>
    <w:rsid w:val="392A6A70"/>
    <w:rsid w:val="392B0F2B"/>
    <w:rsid w:val="392B2513"/>
    <w:rsid w:val="392B4462"/>
    <w:rsid w:val="392B4CC2"/>
    <w:rsid w:val="392C07CD"/>
    <w:rsid w:val="392C0A3B"/>
    <w:rsid w:val="392C18C2"/>
    <w:rsid w:val="392C35B9"/>
    <w:rsid w:val="392C4597"/>
    <w:rsid w:val="392C4729"/>
    <w:rsid w:val="392C5ACA"/>
    <w:rsid w:val="392D24D9"/>
    <w:rsid w:val="392D38B5"/>
    <w:rsid w:val="392D6FD1"/>
    <w:rsid w:val="392E04D8"/>
    <w:rsid w:val="392E26EE"/>
    <w:rsid w:val="392E349F"/>
    <w:rsid w:val="392E47B3"/>
    <w:rsid w:val="392E6561"/>
    <w:rsid w:val="392E6816"/>
    <w:rsid w:val="392E79F8"/>
    <w:rsid w:val="392F06A5"/>
    <w:rsid w:val="392F4087"/>
    <w:rsid w:val="392F65A1"/>
    <w:rsid w:val="393002D4"/>
    <w:rsid w:val="39301A51"/>
    <w:rsid w:val="3930237F"/>
    <w:rsid w:val="39304526"/>
    <w:rsid w:val="39305210"/>
    <w:rsid w:val="39311BAD"/>
    <w:rsid w:val="39314B16"/>
    <w:rsid w:val="3931515B"/>
    <w:rsid w:val="39316051"/>
    <w:rsid w:val="39322BF4"/>
    <w:rsid w:val="3932442C"/>
    <w:rsid w:val="39325651"/>
    <w:rsid w:val="393309C2"/>
    <w:rsid w:val="393330D3"/>
    <w:rsid w:val="39333B77"/>
    <w:rsid w:val="393556F1"/>
    <w:rsid w:val="393578EF"/>
    <w:rsid w:val="393606BC"/>
    <w:rsid w:val="39361575"/>
    <w:rsid w:val="393618B9"/>
    <w:rsid w:val="39363667"/>
    <w:rsid w:val="39364035"/>
    <w:rsid w:val="39364236"/>
    <w:rsid w:val="39365415"/>
    <w:rsid w:val="393670ED"/>
    <w:rsid w:val="393671C3"/>
    <w:rsid w:val="39371FB0"/>
    <w:rsid w:val="3938118D"/>
    <w:rsid w:val="39394185"/>
    <w:rsid w:val="39396CB4"/>
    <w:rsid w:val="39397EF6"/>
    <w:rsid w:val="393A1386"/>
    <w:rsid w:val="393A261F"/>
    <w:rsid w:val="393A4F06"/>
    <w:rsid w:val="393A7F39"/>
    <w:rsid w:val="393B0C7E"/>
    <w:rsid w:val="393B2A2C"/>
    <w:rsid w:val="393B473C"/>
    <w:rsid w:val="393B6790"/>
    <w:rsid w:val="393C5B93"/>
    <w:rsid w:val="393C65B9"/>
    <w:rsid w:val="393C6877"/>
    <w:rsid w:val="393C6ED0"/>
    <w:rsid w:val="393C7266"/>
    <w:rsid w:val="393C7FB8"/>
    <w:rsid w:val="393D0552"/>
    <w:rsid w:val="393D0F86"/>
    <w:rsid w:val="393D16FC"/>
    <w:rsid w:val="393D2C48"/>
    <w:rsid w:val="393D40CC"/>
    <w:rsid w:val="393D55C6"/>
    <w:rsid w:val="393D6CAC"/>
    <w:rsid w:val="393E0439"/>
    <w:rsid w:val="393E24A3"/>
    <w:rsid w:val="393E3E17"/>
    <w:rsid w:val="393F251C"/>
    <w:rsid w:val="393F3379"/>
    <w:rsid w:val="393F3722"/>
    <w:rsid w:val="393F3A4C"/>
    <w:rsid w:val="393F3D68"/>
    <w:rsid w:val="393F6939"/>
    <w:rsid w:val="39400042"/>
    <w:rsid w:val="39404BA7"/>
    <w:rsid w:val="394051F8"/>
    <w:rsid w:val="39406294"/>
    <w:rsid w:val="39407792"/>
    <w:rsid w:val="394144E6"/>
    <w:rsid w:val="3942025E"/>
    <w:rsid w:val="3942200C"/>
    <w:rsid w:val="39423DBA"/>
    <w:rsid w:val="394268F4"/>
    <w:rsid w:val="39433198"/>
    <w:rsid w:val="394336F2"/>
    <w:rsid w:val="394418E0"/>
    <w:rsid w:val="39445009"/>
    <w:rsid w:val="39445D84"/>
    <w:rsid w:val="39446403"/>
    <w:rsid w:val="394538AA"/>
    <w:rsid w:val="39456083"/>
    <w:rsid w:val="39461AFC"/>
    <w:rsid w:val="39463C3B"/>
    <w:rsid w:val="39464C00"/>
    <w:rsid w:val="39475874"/>
    <w:rsid w:val="39481987"/>
    <w:rsid w:val="3948655B"/>
    <w:rsid w:val="394878BA"/>
    <w:rsid w:val="39491F03"/>
    <w:rsid w:val="394928B3"/>
    <w:rsid w:val="39493A7B"/>
    <w:rsid w:val="39495149"/>
    <w:rsid w:val="39497780"/>
    <w:rsid w:val="394A0EC1"/>
    <w:rsid w:val="394A2C6F"/>
    <w:rsid w:val="394B230B"/>
    <w:rsid w:val="394B27E7"/>
    <w:rsid w:val="394B3186"/>
    <w:rsid w:val="394B5386"/>
    <w:rsid w:val="394B7113"/>
    <w:rsid w:val="394C106E"/>
    <w:rsid w:val="394C4C39"/>
    <w:rsid w:val="394C69E7"/>
    <w:rsid w:val="394C70D9"/>
    <w:rsid w:val="394D5E45"/>
    <w:rsid w:val="394D7819"/>
    <w:rsid w:val="394E03A4"/>
    <w:rsid w:val="394E09B1"/>
    <w:rsid w:val="394E0C8C"/>
    <w:rsid w:val="394E23CD"/>
    <w:rsid w:val="394E275F"/>
    <w:rsid w:val="394E45BA"/>
    <w:rsid w:val="394E643C"/>
    <w:rsid w:val="394E6C03"/>
    <w:rsid w:val="394F1D9F"/>
    <w:rsid w:val="394F385D"/>
    <w:rsid w:val="39500DF8"/>
    <w:rsid w:val="3950297B"/>
    <w:rsid w:val="39504414"/>
    <w:rsid w:val="39504729"/>
    <w:rsid w:val="395051AB"/>
    <w:rsid w:val="39511147"/>
    <w:rsid w:val="3951224F"/>
    <w:rsid w:val="39513FFD"/>
    <w:rsid w:val="3951450A"/>
    <w:rsid w:val="3951617D"/>
    <w:rsid w:val="3951760D"/>
    <w:rsid w:val="39520385"/>
    <w:rsid w:val="39520D41"/>
    <w:rsid w:val="39522688"/>
    <w:rsid w:val="39527070"/>
    <w:rsid w:val="39534219"/>
    <w:rsid w:val="39537D75"/>
    <w:rsid w:val="39540AB4"/>
    <w:rsid w:val="395476CF"/>
    <w:rsid w:val="39551D3F"/>
    <w:rsid w:val="39553AED"/>
    <w:rsid w:val="395546F7"/>
    <w:rsid w:val="3955569C"/>
    <w:rsid w:val="39557E4D"/>
    <w:rsid w:val="39557F91"/>
    <w:rsid w:val="39560FE5"/>
    <w:rsid w:val="39561614"/>
    <w:rsid w:val="395654A1"/>
    <w:rsid w:val="39566C33"/>
    <w:rsid w:val="39572FD0"/>
    <w:rsid w:val="39577C58"/>
    <w:rsid w:val="39581830"/>
    <w:rsid w:val="39582D51"/>
    <w:rsid w:val="39583195"/>
    <w:rsid w:val="395835DE"/>
    <w:rsid w:val="39583FDA"/>
    <w:rsid w:val="3958490F"/>
    <w:rsid w:val="3958646F"/>
    <w:rsid w:val="3958652C"/>
    <w:rsid w:val="39587C48"/>
    <w:rsid w:val="39592552"/>
    <w:rsid w:val="39597A46"/>
    <w:rsid w:val="395A0064"/>
    <w:rsid w:val="395A5994"/>
    <w:rsid w:val="395A62E0"/>
    <w:rsid w:val="395B4E7C"/>
    <w:rsid w:val="395B7E6D"/>
    <w:rsid w:val="395C1320"/>
    <w:rsid w:val="395C1A2F"/>
    <w:rsid w:val="395C1CA2"/>
    <w:rsid w:val="395C2DF8"/>
    <w:rsid w:val="395C691F"/>
    <w:rsid w:val="395C6F5A"/>
    <w:rsid w:val="395D051F"/>
    <w:rsid w:val="395D125B"/>
    <w:rsid w:val="395D1FA7"/>
    <w:rsid w:val="395D29A2"/>
    <w:rsid w:val="395D51C9"/>
    <w:rsid w:val="395D57E6"/>
    <w:rsid w:val="395D72F1"/>
    <w:rsid w:val="395F2BBE"/>
    <w:rsid w:val="395F671A"/>
    <w:rsid w:val="395F6B4C"/>
    <w:rsid w:val="39602492"/>
    <w:rsid w:val="3960257B"/>
    <w:rsid w:val="396047E2"/>
    <w:rsid w:val="396146A7"/>
    <w:rsid w:val="39616936"/>
    <w:rsid w:val="396226AE"/>
    <w:rsid w:val="39624079"/>
    <w:rsid w:val="3962445C"/>
    <w:rsid w:val="3962620A"/>
    <w:rsid w:val="39627FB8"/>
    <w:rsid w:val="39633898"/>
    <w:rsid w:val="396414E8"/>
    <w:rsid w:val="39641750"/>
    <w:rsid w:val="39641F82"/>
    <w:rsid w:val="396445F3"/>
    <w:rsid w:val="39653575"/>
    <w:rsid w:val="3965375C"/>
    <w:rsid w:val="39655A83"/>
    <w:rsid w:val="39656602"/>
    <w:rsid w:val="39657AA9"/>
    <w:rsid w:val="39662D1B"/>
    <w:rsid w:val="39663F4D"/>
    <w:rsid w:val="39665CFB"/>
    <w:rsid w:val="39671A73"/>
    <w:rsid w:val="39677CC5"/>
    <w:rsid w:val="396804A5"/>
    <w:rsid w:val="39685B45"/>
    <w:rsid w:val="3968691A"/>
    <w:rsid w:val="39687817"/>
    <w:rsid w:val="39693A3D"/>
    <w:rsid w:val="396A0465"/>
    <w:rsid w:val="396A28D1"/>
    <w:rsid w:val="396A5059"/>
    <w:rsid w:val="396A50BF"/>
    <w:rsid w:val="396A6BF0"/>
    <w:rsid w:val="396B18F5"/>
    <w:rsid w:val="396C2487"/>
    <w:rsid w:val="396C52DB"/>
    <w:rsid w:val="396C5922"/>
    <w:rsid w:val="396C5956"/>
    <w:rsid w:val="396C675D"/>
    <w:rsid w:val="396C7C64"/>
    <w:rsid w:val="396C7F6E"/>
    <w:rsid w:val="396E1053"/>
    <w:rsid w:val="396E2E01"/>
    <w:rsid w:val="396E4BAF"/>
    <w:rsid w:val="396E5440"/>
    <w:rsid w:val="396E7AF5"/>
    <w:rsid w:val="396F270A"/>
    <w:rsid w:val="396F422D"/>
    <w:rsid w:val="396F4D09"/>
    <w:rsid w:val="396F6A8A"/>
    <w:rsid w:val="39700927"/>
    <w:rsid w:val="39705767"/>
    <w:rsid w:val="39706B79"/>
    <w:rsid w:val="39712A2E"/>
    <w:rsid w:val="3971469F"/>
    <w:rsid w:val="39715DC5"/>
    <w:rsid w:val="39720087"/>
    <w:rsid w:val="397216A7"/>
    <w:rsid w:val="397228F1"/>
    <w:rsid w:val="39730417"/>
    <w:rsid w:val="39730801"/>
    <w:rsid w:val="39731517"/>
    <w:rsid w:val="397321C6"/>
    <w:rsid w:val="39732C58"/>
    <w:rsid w:val="39736669"/>
    <w:rsid w:val="39742D64"/>
    <w:rsid w:val="397440E8"/>
    <w:rsid w:val="39745D84"/>
    <w:rsid w:val="397523E2"/>
    <w:rsid w:val="39755F3E"/>
    <w:rsid w:val="397615D9"/>
    <w:rsid w:val="39763A64"/>
    <w:rsid w:val="39773F20"/>
    <w:rsid w:val="39774734"/>
    <w:rsid w:val="39777E98"/>
    <w:rsid w:val="39777F08"/>
    <w:rsid w:val="39783EF9"/>
    <w:rsid w:val="39784D33"/>
    <w:rsid w:val="397871A5"/>
    <w:rsid w:val="397877DC"/>
    <w:rsid w:val="39787CF9"/>
    <w:rsid w:val="397945AE"/>
    <w:rsid w:val="39797D93"/>
    <w:rsid w:val="39797F39"/>
    <w:rsid w:val="397A167B"/>
    <w:rsid w:val="397A17A6"/>
    <w:rsid w:val="397A3554"/>
    <w:rsid w:val="397A79F8"/>
    <w:rsid w:val="397A7F5A"/>
    <w:rsid w:val="397B107A"/>
    <w:rsid w:val="397B2DFA"/>
    <w:rsid w:val="397B51DC"/>
    <w:rsid w:val="397B72CC"/>
    <w:rsid w:val="397C0E0F"/>
    <w:rsid w:val="397C3770"/>
    <w:rsid w:val="397C551E"/>
    <w:rsid w:val="397D1296"/>
    <w:rsid w:val="397D1988"/>
    <w:rsid w:val="397D3044"/>
    <w:rsid w:val="397D4DF2"/>
    <w:rsid w:val="397E5083"/>
    <w:rsid w:val="397F0B6A"/>
    <w:rsid w:val="397F54FD"/>
    <w:rsid w:val="397F663F"/>
    <w:rsid w:val="397F6CAC"/>
    <w:rsid w:val="397F6DBC"/>
    <w:rsid w:val="398048E2"/>
    <w:rsid w:val="39804C10"/>
    <w:rsid w:val="39812B34"/>
    <w:rsid w:val="39814527"/>
    <w:rsid w:val="3982065B"/>
    <w:rsid w:val="39830A43"/>
    <w:rsid w:val="39831452"/>
    <w:rsid w:val="39836BEC"/>
    <w:rsid w:val="398402F3"/>
    <w:rsid w:val="3984249C"/>
    <w:rsid w:val="39842625"/>
    <w:rsid w:val="39843BDD"/>
    <w:rsid w:val="398443D3"/>
    <w:rsid w:val="39861B63"/>
    <w:rsid w:val="3986639D"/>
    <w:rsid w:val="398664FD"/>
    <w:rsid w:val="3986798D"/>
    <w:rsid w:val="39871519"/>
    <w:rsid w:val="39871E79"/>
    <w:rsid w:val="39873EC3"/>
    <w:rsid w:val="39882264"/>
    <w:rsid w:val="398825BD"/>
    <w:rsid w:val="39882A88"/>
    <w:rsid w:val="398919E9"/>
    <w:rsid w:val="39893797"/>
    <w:rsid w:val="39893CD5"/>
    <w:rsid w:val="39894E7E"/>
    <w:rsid w:val="39897C3B"/>
    <w:rsid w:val="398A1D91"/>
    <w:rsid w:val="398A2329"/>
    <w:rsid w:val="398A256A"/>
    <w:rsid w:val="398A4081"/>
    <w:rsid w:val="398A630E"/>
    <w:rsid w:val="398B3128"/>
    <w:rsid w:val="398B5761"/>
    <w:rsid w:val="398C14D9"/>
    <w:rsid w:val="398C3287"/>
    <w:rsid w:val="398C62BA"/>
    <w:rsid w:val="398D63D0"/>
    <w:rsid w:val="398D772B"/>
    <w:rsid w:val="398E059C"/>
    <w:rsid w:val="398E0DAD"/>
    <w:rsid w:val="398E1E73"/>
    <w:rsid w:val="398E4191"/>
    <w:rsid w:val="398E4745"/>
    <w:rsid w:val="398E5251"/>
    <w:rsid w:val="398F2219"/>
    <w:rsid w:val="398F4581"/>
    <w:rsid w:val="398F539F"/>
    <w:rsid w:val="398F5FB5"/>
    <w:rsid w:val="399003FF"/>
    <w:rsid w:val="39901B72"/>
    <w:rsid w:val="3990381C"/>
    <w:rsid w:val="39904B26"/>
    <w:rsid w:val="3991089E"/>
    <w:rsid w:val="39913610"/>
    <w:rsid w:val="399158FC"/>
    <w:rsid w:val="39916502"/>
    <w:rsid w:val="399261B8"/>
    <w:rsid w:val="39930B01"/>
    <w:rsid w:val="39932868"/>
    <w:rsid w:val="39934616"/>
    <w:rsid w:val="39946B4F"/>
    <w:rsid w:val="39947487"/>
    <w:rsid w:val="3995038E"/>
    <w:rsid w:val="3995213C"/>
    <w:rsid w:val="39953421"/>
    <w:rsid w:val="399544BB"/>
    <w:rsid w:val="399565E0"/>
    <w:rsid w:val="3996102B"/>
    <w:rsid w:val="39965B73"/>
    <w:rsid w:val="39965EB4"/>
    <w:rsid w:val="399666D1"/>
    <w:rsid w:val="39972053"/>
    <w:rsid w:val="39972358"/>
    <w:rsid w:val="39976672"/>
    <w:rsid w:val="3997766F"/>
    <w:rsid w:val="39977D5A"/>
    <w:rsid w:val="39981C2C"/>
    <w:rsid w:val="399860D0"/>
    <w:rsid w:val="39987E7E"/>
    <w:rsid w:val="39994973"/>
    <w:rsid w:val="399964A2"/>
    <w:rsid w:val="399A09D4"/>
    <w:rsid w:val="399A3BF6"/>
    <w:rsid w:val="399A5E03"/>
    <w:rsid w:val="399A73C3"/>
    <w:rsid w:val="399A7755"/>
    <w:rsid w:val="399B1B61"/>
    <w:rsid w:val="399B3975"/>
    <w:rsid w:val="399C796E"/>
    <w:rsid w:val="399D1962"/>
    <w:rsid w:val="399D2977"/>
    <w:rsid w:val="399D36E6"/>
    <w:rsid w:val="399D6DB5"/>
    <w:rsid w:val="399D7242"/>
    <w:rsid w:val="399E1134"/>
    <w:rsid w:val="399E7355"/>
    <w:rsid w:val="399F120C"/>
    <w:rsid w:val="399F2FBB"/>
    <w:rsid w:val="399F745E"/>
    <w:rsid w:val="39A02A8E"/>
    <w:rsid w:val="39A03105"/>
    <w:rsid w:val="39A04EA6"/>
    <w:rsid w:val="39A131D7"/>
    <w:rsid w:val="39A13B77"/>
    <w:rsid w:val="39A14F85"/>
    <w:rsid w:val="39A1549D"/>
    <w:rsid w:val="39A15CD6"/>
    <w:rsid w:val="39A20CFD"/>
    <w:rsid w:val="39A2173F"/>
    <w:rsid w:val="39A22387"/>
    <w:rsid w:val="39A22AAB"/>
    <w:rsid w:val="39A23B6D"/>
    <w:rsid w:val="39A24697"/>
    <w:rsid w:val="39A24859"/>
    <w:rsid w:val="39A3219C"/>
    <w:rsid w:val="39A32E4F"/>
    <w:rsid w:val="39A33427"/>
    <w:rsid w:val="39A41A86"/>
    <w:rsid w:val="39A43B03"/>
    <w:rsid w:val="39A44A75"/>
    <w:rsid w:val="39A46823"/>
    <w:rsid w:val="39A52030"/>
    <w:rsid w:val="39A55AE7"/>
    <w:rsid w:val="39A607ED"/>
    <w:rsid w:val="39A624AA"/>
    <w:rsid w:val="39A6259B"/>
    <w:rsid w:val="39A64349"/>
    <w:rsid w:val="39A70784"/>
    <w:rsid w:val="39A71E6F"/>
    <w:rsid w:val="39A75836"/>
    <w:rsid w:val="39A805F2"/>
    <w:rsid w:val="39A81897"/>
    <w:rsid w:val="39A82234"/>
    <w:rsid w:val="39A84565"/>
    <w:rsid w:val="39A84A7C"/>
    <w:rsid w:val="39A863EB"/>
    <w:rsid w:val="39A9281A"/>
    <w:rsid w:val="39A92D27"/>
    <w:rsid w:val="39A93E39"/>
    <w:rsid w:val="39A94468"/>
    <w:rsid w:val="39A95BE7"/>
    <w:rsid w:val="39A9644C"/>
    <w:rsid w:val="39A96A60"/>
    <w:rsid w:val="39AA053B"/>
    <w:rsid w:val="39AA0566"/>
    <w:rsid w:val="39AA281F"/>
    <w:rsid w:val="39AA58F8"/>
    <w:rsid w:val="39AA6524"/>
    <w:rsid w:val="39AB195F"/>
    <w:rsid w:val="39AB7BB1"/>
    <w:rsid w:val="39AC16A8"/>
    <w:rsid w:val="39AD63A0"/>
    <w:rsid w:val="39AE31FE"/>
    <w:rsid w:val="39AE629E"/>
    <w:rsid w:val="39AE72B7"/>
    <w:rsid w:val="39AF02DA"/>
    <w:rsid w:val="39AF523A"/>
    <w:rsid w:val="39AF5F6B"/>
    <w:rsid w:val="39AF6E3D"/>
    <w:rsid w:val="39B0282C"/>
    <w:rsid w:val="39B03C91"/>
    <w:rsid w:val="39B0459E"/>
    <w:rsid w:val="39B06F76"/>
    <w:rsid w:val="39B1140B"/>
    <w:rsid w:val="39B146AC"/>
    <w:rsid w:val="39B24D19"/>
    <w:rsid w:val="39B2551A"/>
    <w:rsid w:val="39B267A3"/>
    <w:rsid w:val="39B27192"/>
    <w:rsid w:val="39B32692"/>
    <w:rsid w:val="39B32F0A"/>
    <w:rsid w:val="39B3406D"/>
    <w:rsid w:val="39B343B1"/>
    <w:rsid w:val="39B369AA"/>
    <w:rsid w:val="39B36A66"/>
    <w:rsid w:val="39B373EB"/>
    <w:rsid w:val="39B44138"/>
    <w:rsid w:val="39B50A30"/>
    <w:rsid w:val="39B5156C"/>
    <w:rsid w:val="39B527DE"/>
    <w:rsid w:val="39B53EE5"/>
    <w:rsid w:val="39B5458C"/>
    <w:rsid w:val="39B621B6"/>
    <w:rsid w:val="39B63FEE"/>
    <w:rsid w:val="39B74B6E"/>
    <w:rsid w:val="39B76556"/>
    <w:rsid w:val="39B77D21"/>
    <w:rsid w:val="39B77E39"/>
    <w:rsid w:val="39B8407C"/>
    <w:rsid w:val="39B8635B"/>
    <w:rsid w:val="39B86D65"/>
    <w:rsid w:val="39B90520"/>
    <w:rsid w:val="39B90B3D"/>
    <w:rsid w:val="39B92F14"/>
    <w:rsid w:val="39BA4298"/>
    <w:rsid w:val="39BA6046"/>
    <w:rsid w:val="39BA7DF4"/>
    <w:rsid w:val="39BC21EA"/>
    <w:rsid w:val="39BC25B5"/>
    <w:rsid w:val="39BC3B6C"/>
    <w:rsid w:val="39BC44C1"/>
    <w:rsid w:val="39BC5EE0"/>
    <w:rsid w:val="39BD1693"/>
    <w:rsid w:val="39BD4473"/>
    <w:rsid w:val="39BD78E5"/>
    <w:rsid w:val="39BE3666"/>
    <w:rsid w:val="39BE51FE"/>
    <w:rsid w:val="39BE5B37"/>
    <w:rsid w:val="39BE5D5A"/>
    <w:rsid w:val="39BF365D"/>
    <w:rsid w:val="39BF526F"/>
    <w:rsid w:val="39BF540B"/>
    <w:rsid w:val="39BF668E"/>
    <w:rsid w:val="39C04D03"/>
    <w:rsid w:val="39C10FAE"/>
    <w:rsid w:val="39C1124F"/>
    <w:rsid w:val="39C1531E"/>
    <w:rsid w:val="39C24EFB"/>
    <w:rsid w:val="39C2500F"/>
    <w:rsid w:val="39C25E73"/>
    <w:rsid w:val="39C26CA9"/>
    <w:rsid w:val="39C27529"/>
    <w:rsid w:val="39C3314D"/>
    <w:rsid w:val="39C331CB"/>
    <w:rsid w:val="39C33FDC"/>
    <w:rsid w:val="39C42A21"/>
    <w:rsid w:val="39C46EC5"/>
    <w:rsid w:val="39C57DD1"/>
    <w:rsid w:val="39C600BB"/>
    <w:rsid w:val="39C600D4"/>
    <w:rsid w:val="39C64E20"/>
    <w:rsid w:val="39C72511"/>
    <w:rsid w:val="39C779F1"/>
    <w:rsid w:val="39C84966"/>
    <w:rsid w:val="39C84B6D"/>
    <w:rsid w:val="39C87740"/>
    <w:rsid w:val="39C901C4"/>
    <w:rsid w:val="39C90F59"/>
    <w:rsid w:val="39C921EB"/>
    <w:rsid w:val="39C946A2"/>
    <w:rsid w:val="39C96289"/>
    <w:rsid w:val="39CA52C1"/>
    <w:rsid w:val="39CA6372"/>
    <w:rsid w:val="39CB0253"/>
    <w:rsid w:val="39CB08C3"/>
    <w:rsid w:val="39CB346E"/>
    <w:rsid w:val="39CB3D5D"/>
    <w:rsid w:val="39CB7802"/>
    <w:rsid w:val="39CC2246"/>
    <w:rsid w:val="39CC22E6"/>
    <w:rsid w:val="39CC367A"/>
    <w:rsid w:val="39CC4F72"/>
    <w:rsid w:val="39CC60C1"/>
    <w:rsid w:val="39CD027D"/>
    <w:rsid w:val="39CD0FCF"/>
    <w:rsid w:val="39CD3FCC"/>
    <w:rsid w:val="39CD5D7A"/>
    <w:rsid w:val="39CD5E80"/>
    <w:rsid w:val="39CD766D"/>
    <w:rsid w:val="39CD7B28"/>
    <w:rsid w:val="39CE1AF2"/>
    <w:rsid w:val="39CE43E0"/>
    <w:rsid w:val="39CE4897"/>
    <w:rsid w:val="39CE4CF3"/>
    <w:rsid w:val="39CE564E"/>
    <w:rsid w:val="39CE5F19"/>
    <w:rsid w:val="39CF4A42"/>
    <w:rsid w:val="39CF50B4"/>
    <w:rsid w:val="39CF5FE7"/>
    <w:rsid w:val="39D0586A"/>
    <w:rsid w:val="39D06D45"/>
    <w:rsid w:val="39D0733C"/>
    <w:rsid w:val="39D07613"/>
    <w:rsid w:val="39D12476"/>
    <w:rsid w:val="39D13637"/>
    <w:rsid w:val="39D154B9"/>
    <w:rsid w:val="39D15C66"/>
    <w:rsid w:val="39D20521"/>
    <w:rsid w:val="39D215E2"/>
    <w:rsid w:val="39D226DB"/>
    <w:rsid w:val="39D22F05"/>
    <w:rsid w:val="39D24A78"/>
    <w:rsid w:val="39D25C82"/>
    <w:rsid w:val="39D279BD"/>
    <w:rsid w:val="39D27A1C"/>
    <w:rsid w:val="39D30EF7"/>
    <w:rsid w:val="39D3638B"/>
    <w:rsid w:val="39D3651F"/>
    <w:rsid w:val="39D37108"/>
    <w:rsid w:val="39D4535A"/>
    <w:rsid w:val="39D467FD"/>
    <w:rsid w:val="39D52E80"/>
    <w:rsid w:val="39D54C2E"/>
    <w:rsid w:val="39D55C47"/>
    <w:rsid w:val="39D56716"/>
    <w:rsid w:val="39D569DC"/>
    <w:rsid w:val="39D57BA1"/>
    <w:rsid w:val="39D602A0"/>
    <w:rsid w:val="39D61D44"/>
    <w:rsid w:val="39D709A6"/>
    <w:rsid w:val="39D70A68"/>
    <w:rsid w:val="39D7105F"/>
    <w:rsid w:val="39D72754"/>
    <w:rsid w:val="39D80976"/>
    <w:rsid w:val="39D8471E"/>
    <w:rsid w:val="39D87235"/>
    <w:rsid w:val="39D90A37"/>
    <w:rsid w:val="39D94169"/>
    <w:rsid w:val="39D94C7A"/>
    <w:rsid w:val="39D95F49"/>
    <w:rsid w:val="39DA0781"/>
    <w:rsid w:val="39DA2A58"/>
    <w:rsid w:val="39DA3FF3"/>
    <w:rsid w:val="39DB4726"/>
    <w:rsid w:val="39DB5205"/>
    <w:rsid w:val="39DB7C2D"/>
    <w:rsid w:val="39DC420F"/>
    <w:rsid w:val="39DC5BB6"/>
    <w:rsid w:val="39DD244A"/>
    <w:rsid w:val="39DD26FE"/>
    <w:rsid w:val="39DD7046"/>
    <w:rsid w:val="39DD7DD2"/>
    <w:rsid w:val="39DE1D35"/>
    <w:rsid w:val="39DE7F87"/>
    <w:rsid w:val="39DF3CFF"/>
    <w:rsid w:val="39DF41CF"/>
    <w:rsid w:val="39DF785B"/>
    <w:rsid w:val="39E059C7"/>
    <w:rsid w:val="39E065D2"/>
    <w:rsid w:val="39E07108"/>
    <w:rsid w:val="39E10B51"/>
    <w:rsid w:val="39E135D3"/>
    <w:rsid w:val="39E13F9F"/>
    <w:rsid w:val="39E210F9"/>
    <w:rsid w:val="39E245F9"/>
    <w:rsid w:val="39E330D2"/>
    <w:rsid w:val="39E33BBF"/>
    <w:rsid w:val="39E37F9A"/>
    <w:rsid w:val="39E42A90"/>
    <w:rsid w:val="39E430C3"/>
    <w:rsid w:val="39E45B52"/>
    <w:rsid w:val="39E46F19"/>
    <w:rsid w:val="39E4772D"/>
    <w:rsid w:val="39E47C8A"/>
    <w:rsid w:val="39E5250A"/>
    <w:rsid w:val="39E52EBF"/>
    <w:rsid w:val="39E54C39"/>
    <w:rsid w:val="39E62997"/>
    <w:rsid w:val="39E64858"/>
    <w:rsid w:val="39E6508D"/>
    <w:rsid w:val="39E65C0C"/>
    <w:rsid w:val="39E66E3B"/>
    <w:rsid w:val="39E676D0"/>
    <w:rsid w:val="39E708B4"/>
    <w:rsid w:val="39E807DD"/>
    <w:rsid w:val="39E82BB3"/>
    <w:rsid w:val="39E84962"/>
    <w:rsid w:val="39E85C1E"/>
    <w:rsid w:val="39E906DA"/>
    <w:rsid w:val="39E918FB"/>
    <w:rsid w:val="39E92488"/>
    <w:rsid w:val="39E934DC"/>
    <w:rsid w:val="39EA0B68"/>
    <w:rsid w:val="39EA164A"/>
    <w:rsid w:val="39EB26A4"/>
    <w:rsid w:val="39EB6200"/>
    <w:rsid w:val="39EC027C"/>
    <w:rsid w:val="39EC3D26"/>
    <w:rsid w:val="39EC4568"/>
    <w:rsid w:val="39EC7B15"/>
    <w:rsid w:val="39ED01CA"/>
    <w:rsid w:val="39ED1F78"/>
    <w:rsid w:val="39ED6B3B"/>
    <w:rsid w:val="39EE5CF0"/>
    <w:rsid w:val="39EE7A9E"/>
    <w:rsid w:val="39EF114E"/>
    <w:rsid w:val="39EF2F96"/>
    <w:rsid w:val="39EF3730"/>
    <w:rsid w:val="39EF3F42"/>
    <w:rsid w:val="39EF402C"/>
    <w:rsid w:val="39F0008D"/>
    <w:rsid w:val="39F01A68"/>
    <w:rsid w:val="39F03816"/>
    <w:rsid w:val="39F0468C"/>
    <w:rsid w:val="39F07CBA"/>
    <w:rsid w:val="39F2758E"/>
    <w:rsid w:val="39F3094C"/>
    <w:rsid w:val="39F344A7"/>
    <w:rsid w:val="39F350B4"/>
    <w:rsid w:val="39F3557E"/>
    <w:rsid w:val="39F37346"/>
    <w:rsid w:val="39F43AD7"/>
    <w:rsid w:val="39F452CD"/>
    <w:rsid w:val="39F500D6"/>
    <w:rsid w:val="39F50E2C"/>
    <w:rsid w:val="39F52AEB"/>
    <w:rsid w:val="39F52E51"/>
    <w:rsid w:val="39F552D0"/>
    <w:rsid w:val="39F56FE3"/>
    <w:rsid w:val="39F5707E"/>
    <w:rsid w:val="39F57E9E"/>
    <w:rsid w:val="39F63A9B"/>
    <w:rsid w:val="39F63EFF"/>
    <w:rsid w:val="39F71049"/>
    <w:rsid w:val="39F7141A"/>
    <w:rsid w:val="39F71FB2"/>
    <w:rsid w:val="39F725D9"/>
    <w:rsid w:val="39F726E6"/>
    <w:rsid w:val="39F72DF7"/>
    <w:rsid w:val="39F74BA5"/>
    <w:rsid w:val="39F7538F"/>
    <w:rsid w:val="39F76DFF"/>
    <w:rsid w:val="39F8091D"/>
    <w:rsid w:val="39F83C4E"/>
    <w:rsid w:val="39F92D25"/>
    <w:rsid w:val="39F94DC1"/>
    <w:rsid w:val="39F96AB2"/>
    <w:rsid w:val="39F96B6F"/>
    <w:rsid w:val="39FA28E7"/>
    <w:rsid w:val="39FB1562"/>
    <w:rsid w:val="39FB25CF"/>
    <w:rsid w:val="39FB5445"/>
    <w:rsid w:val="39FC06C9"/>
    <w:rsid w:val="39FC21BB"/>
    <w:rsid w:val="39FC6630"/>
    <w:rsid w:val="39FC69F5"/>
    <w:rsid w:val="39FC7DAF"/>
    <w:rsid w:val="39FD29EE"/>
    <w:rsid w:val="39FD5B7C"/>
    <w:rsid w:val="39FD7AC0"/>
    <w:rsid w:val="39FD7F1D"/>
    <w:rsid w:val="39FE0F50"/>
    <w:rsid w:val="39FE1DA1"/>
    <w:rsid w:val="39FE23D7"/>
    <w:rsid w:val="39FE4185"/>
    <w:rsid w:val="39FF06EE"/>
    <w:rsid w:val="39FF1CFC"/>
    <w:rsid w:val="39FF3A59"/>
    <w:rsid w:val="39FF7EFD"/>
    <w:rsid w:val="3A0054D6"/>
    <w:rsid w:val="3A00614F"/>
    <w:rsid w:val="3A011012"/>
    <w:rsid w:val="3A011E27"/>
    <w:rsid w:val="3A015A23"/>
    <w:rsid w:val="3A0177D1"/>
    <w:rsid w:val="3A017F46"/>
    <w:rsid w:val="3A0245E6"/>
    <w:rsid w:val="3A03179B"/>
    <w:rsid w:val="3A033549"/>
    <w:rsid w:val="3A033932"/>
    <w:rsid w:val="3A0379ED"/>
    <w:rsid w:val="3A041722"/>
    <w:rsid w:val="3A0440D2"/>
    <w:rsid w:val="3A044DC2"/>
    <w:rsid w:val="3A045513"/>
    <w:rsid w:val="3A04639B"/>
    <w:rsid w:val="3A0472C2"/>
    <w:rsid w:val="3A060E23"/>
    <w:rsid w:val="3A06303A"/>
    <w:rsid w:val="3A064B2B"/>
    <w:rsid w:val="3A064DE8"/>
    <w:rsid w:val="3A0722B3"/>
    <w:rsid w:val="3A07612D"/>
    <w:rsid w:val="3A084B51"/>
    <w:rsid w:val="3A085004"/>
    <w:rsid w:val="3A087A97"/>
    <w:rsid w:val="3A092B2A"/>
    <w:rsid w:val="3A09473E"/>
    <w:rsid w:val="3A0948D8"/>
    <w:rsid w:val="3A095FE4"/>
    <w:rsid w:val="3A0A1EBE"/>
    <w:rsid w:val="3A0B68A2"/>
    <w:rsid w:val="3A0B6CA0"/>
    <w:rsid w:val="3A0B6FE4"/>
    <w:rsid w:val="3A0D261A"/>
    <w:rsid w:val="3A0D3079"/>
    <w:rsid w:val="3A0D6176"/>
    <w:rsid w:val="3A0E01B0"/>
    <w:rsid w:val="3A0E2186"/>
    <w:rsid w:val="3A0E53E2"/>
    <w:rsid w:val="3A0F1ED5"/>
    <w:rsid w:val="3A0F3616"/>
    <w:rsid w:val="3A0F57EA"/>
    <w:rsid w:val="3A0F624A"/>
    <w:rsid w:val="3A0F6392"/>
    <w:rsid w:val="3A105C66"/>
    <w:rsid w:val="3A1061A5"/>
    <w:rsid w:val="3A106D47"/>
    <w:rsid w:val="3A110B07"/>
    <w:rsid w:val="3A111DA8"/>
    <w:rsid w:val="3A114E8D"/>
    <w:rsid w:val="3A115F36"/>
    <w:rsid w:val="3A1219DE"/>
    <w:rsid w:val="3A121F97"/>
    <w:rsid w:val="3A125E82"/>
    <w:rsid w:val="3A127C30"/>
    <w:rsid w:val="3A1439A9"/>
    <w:rsid w:val="3A1471D4"/>
    <w:rsid w:val="3A150C3F"/>
    <w:rsid w:val="3A1514CF"/>
    <w:rsid w:val="3A15327D"/>
    <w:rsid w:val="3A161DA8"/>
    <w:rsid w:val="3A164172"/>
    <w:rsid w:val="3A1671D7"/>
    <w:rsid w:val="3A170283"/>
    <w:rsid w:val="3A1707D2"/>
    <w:rsid w:val="3A1712A2"/>
    <w:rsid w:val="3A17245E"/>
    <w:rsid w:val="3A175247"/>
    <w:rsid w:val="3A175EAD"/>
    <w:rsid w:val="3A181DCC"/>
    <w:rsid w:val="3A184B1B"/>
    <w:rsid w:val="3A187AE0"/>
    <w:rsid w:val="3A190FBF"/>
    <w:rsid w:val="3A192D6D"/>
    <w:rsid w:val="3A194AAD"/>
    <w:rsid w:val="3A197299"/>
    <w:rsid w:val="3A1A3BFF"/>
    <w:rsid w:val="3A1A6AE5"/>
    <w:rsid w:val="3A1B1BB9"/>
    <w:rsid w:val="3A1B7194"/>
    <w:rsid w:val="3A1C0AAF"/>
    <w:rsid w:val="3A1C11D3"/>
    <w:rsid w:val="3A1C1E53"/>
    <w:rsid w:val="3A1C1E87"/>
    <w:rsid w:val="3A1C460B"/>
    <w:rsid w:val="3A1D001C"/>
    <w:rsid w:val="3A1D1339"/>
    <w:rsid w:val="3A1D1EE7"/>
    <w:rsid w:val="3A1D2AE8"/>
    <w:rsid w:val="3A1D6B46"/>
    <w:rsid w:val="3A1E15C1"/>
    <w:rsid w:val="3A1E4827"/>
    <w:rsid w:val="3A1E65D5"/>
    <w:rsid w:val="3A1F348A"/>
    <w:rsid w:val="3A1F40FB"/>
    <w:rsid w:val="3A1F5EA9"/>
    <w:rsid w:val="3A1F61A0"/>
    <w:rsid w:val="3A203FE5"/>
    <w:rsid w:val="3A211C22"/>
    <w:rsid w:val="3A2160C5"/>
    <w:rsid w:val="3A21622C"/>
    <w:rsid w:val="3A216EBB"/>
    <w:rsid w:val="3A217E73"/>
    <w:rsid w:val="3A22133D"/>
    <w:rsid w:val="3A2238BA"/>
    <w:rsid w:val="3A23277D"/>
    <w:rsid w:val="3A232F1C"/>
    <w:rsid w:val="3A23599A"/>
    <w:rsid w:val="3A241712"/>
    <w:rsid w:val="3A24276B"/>
    <w:rsid w:val="3A2443AC"/>
    <w:rsid w:val="3A246994"/>
    <w:rsid w:val="3A255BB6"/>
    <w:rsid w:val="3A257964"/>
    <w:rsid w:val="3A261DC0"/>
    <w:rsid w:val="3A263E74"/>
    <w:rsid w:val="3A26548A"/>
    <w:rsid w:val="3A26689D"/>
    <w:rsid w:val="3A267238"/>
    <w:rsid w:val="3A272D2D"/>
    <w:rsid w:val="3A274104"/>
    <w:rsid w:val="3A276240"/>
    <w:rsid w:val="3A27632A"/>
    <w:rsid w:val="3A281202"/>
    <w:rsid w:val="3A282FB0"/>
    <w:rsid w:val="3A283FE8"/>
    <w:rsid w:val="3A284A62"/>
    <w:rsid w:val="3A285059"/>
    <w:rsid w:val="3A286138"/>
    <w:rsid w:val="3A286EDC"/>
    <w:rsid w:val="3A287454"/>
    <w:rsid w:val="3A2875D5"/>
    <w:rsid w:val="3A2937CE"/>
    <w:rsid w:val="3A29564D"/>
    <w:rsid w:val="3A295650"/>
    <w:rsid w:val="3A296D28"/>
    <w:rsid w:val="3A29797A"/>
    <w:rsid w:val="3A2A00F8"/>
    <w:rsid w:val="3A2A1843"/>
    <w:rsid w:val="3A2A2B20"/>
    <w:rsid w:val="3A2A4F7A"/>
    <w:rsid w:val="3A2B0C9B"/>
    <w:rsid w:val="3A2B0CF2"/>
    <w:rsid w:val="3A2B1E78"/>
    <w:rsid w:val="3A2B237D"/>
    <w:rsid w:val="3A2B2AA0"/>
    <w:rsid w:val="3A2B2B31"/>
    <w:rsid w:val="3A2B2E7D"/>
    <w:rsid w:val="3A2B484E"/>
    <w:rsid w:val="3A2B6F44"/>
    <w:rsid w:val="3A2C340F"/>
    <w:rsid w:val="3A2C570F"/>
    <w:rsid w:val="3A2D2A23"/>
    <w:rsid w:val="3A2D6818"/>
    <w:rsid w:val="3A2E002F"/>
    <w:rsid w:val="3A2E2CFA"/>
    <w:rsid w:val="3A2E433E"/>
    <w:rsid w:val="3A2E618F"/>
    <w:rsid w:val="3A2E68EE"/>
    <w:rsid w:val="3A2F1883"/>
    <w:rsid w:val="3A2F2590"/>
    <w:rsid w:val="3A304090"/>
    <w:rsid w:val="3A30455A"/>
    <w:rsid w:val="3A304AC6"/>
    <w:rsid w:val="3A305520"/>
    <w:rsid w:val="3A305B3B"/>
    <w:rsid w:val="3A306308"/>
    <w:rsid w:val="3A311B44"/>
    <w:rsid w:val="3A317D8E"/>
    <w:rsid w:val="3A321C12"/>
    <w:rsid w:val="3A322EC1"/>
    <w:rsid w:val="3A323E2F"/>
    <w:rsid w:val="3A32526F"/>
    <w:rsid w:val="3A325BDD"/>
    <w:rsid w:val="3A331038"/>
    <w:rsid w:val="3A331955"/>
    <w:rsid w:val="3A336AF2"/>
    <w:rsid w:val="3A341F05"/>
    <w:rsid w:val="3A341F3C"/>
    <w:rsid w:val="3A343373"/>
    <w:rsid w:val="3A343EA1"/>
    <w:rsid w:val="3A34541F"/>
    <w:rsid w:val="3A345DF9"/>
    <w:rsid w:val="3A347666"/>
    <w:rsid w:val="3A347BA7"/>
    <w:rsid w:val="3A352C3B"/>
    <w:rsid w:val="3A35391F"/>
    <w:rsid w:val="3A354915"/>
    <w:rsid w:val="3A35531E"/>
    <w:rsid w:val="3A3557F7"/>
    <w:rsid w:val="3A361B71"/>
    <w:rsid w:val="3A3624BA"/>
    <w:rsid w:val="3A3676C2"/>
    <w:rsid w:val="3A37184F"/>
    <w:rsid w:val="3A375D56"/>
    <w:rsid w:val="3A375DDF"/>
    <w:rsid w:val="3A377ACD"/>
    <w:rsid w:val="3A39023E"/>
    <w:rsid w:val="3A39033A"/>
    <w:rsid w:val="3A39340F"/>
    <w:rsid w:val="3A3951BD"/>
    <w:rsid w:val="3A396F6B"/>
    <w:rsid w:val="3A3A0F35"/>
    <w:rsid w:val="3A3A2CE3"/>
    <w:rsid w:val="3A3B1377"/>
    <w:rsid w:val="3A3B2666"/>
    <w:rsid w:val="3A3B3AE3"/>
    <w:rsid w:val="3A3B7187"/>
    <w:rsid w:val="3A3C0EF2"/>
    <w:rsid w:val="3A3C2EFF"/>
    <w:rsid w:val="3A3C4CAD"/>
    <w:rsid w:val="3A3C61D2"/>
    <w:rsid w:val="3A3C7C37"/>
    <w:rsid w:val="3A3E0A25"/>
    <w:rsid w:val="3A3E27D3"/>
    <w:rsid w:val="3A3E4582"/>
    <w:rsid w:val="3A3E73F2"/>
    <w:rsid w:val="3A3E7CD6"/>
    <w:rsid w:val="3A3F02FA"/>
    <w:rsid w:val="3A3F269E"/>
    <w:rsid w:val="3A3F5AA3"/>
    <w:rsid w:val="3A3F654C"/>
    <w:rsid w:val="3A3F77F4"/>
    <w:rsid w:val="3A3F7873"/>
    <w:rsid w:val="3A400616"/>
    <w:rsid w:val="3A402444"/>
    <w:rsid w:val="3A40479E"/>
    <w:rsid w:val="3A405E9B"/>
    <w:rsid w:val="3A406600"/>
    <w:rsid w:val="3A40736F"/>
    <w:rsid w:val="3A410516"/>
    <w:rsid w:val="3A4122C4"/>
    <w:rsid w:val="3A4127BE"/>
    <w:rsid w:val="3A414072"/>
    <w:rsid w:val="3A415561"/>
    <w:rsid w:val="3A422F6F"/>
    <w:rsid w:val="3A430DC5"/>
    <w:rsid w:val="3A432F17"/>
    <w:rsid w:val="3A43428E"/>
    <w:rsid w:val="3A434ABC"/>
    <w:rsid w:val="3A435481"/>
    <w:rsid w:val="3A437DEA"/>
    <w:rsid w:val="3A443902"/>
    <w:rsid w:val="3A443B62"/>
    <w:rsid w:val="3A445910"/>
    <w:rsid w:val="3A447D37"/>
    <w:rsid w:val="3A451DB4"/>
    <w:rsid w:val="3A4550CC"/>
    <w:rsid w:val="3A4553FC"/>
    <w:rsid w:val="3A461688"/>
    <w:rsid w:val="3A462A03"/>
    <w:rsid w:val="3A464B75"/>
    <w:rsid w:val="3A465B2C"/>
    <w:rsid w:val="3A4662B6"/>
    <w:rsid w:val="3A4666D7"/>
    <w:rsid w:val="3A46761D"/>
    <w:rsid w:val="3A4678DA"/>
    <w:rsid w:val="3A4818A4"/>
    <w:rsid w:val="3A485400"/>
    <w:rsid w:val="3A487FB1"/>
    <w:rsid w:val="3A490E23"/>
    <w:rsid w:val="3A49130D"/>
    <w:rsid w:val="3A4923D1"/>
    <w:rsid w:val="3A4934F6"/>
    <w:rsid w:val="3A4A012B"/>
    <w:rsid w:val="3A4A49ED"/>
    <w:rsid w:val="3A4B2127"/>
    <w:rsid w:val="3A4B4EF0"/>
    <w:rsid w:val="3A4B5D3A"/>
    <w:rsid w:val="3A4B7556"/>
    <w:rsid w:val="3A4B7697"/>
    <w:rsid w:val="3A4C09E6"/>
    <w:rsid w:val="3A4D0C68"/>
    <w:rsid w:val="3A4D1B50"/>
    <w:rsid w:val="3A4D1FBF"/>
    <w:rsid w:val="3A4D2A17"/>
    <w:rsid w:val="3A4D4A47"/>
    <w:rsid w:val="3A4E2F2F"/>
    <w:rsid w:val="3A4E5ED7"/>
    <w:rsid w:val="3A4F0AA8"/>
    <w:rsid w:val="3A4F678F"/>
    <w:rsid w:val="3A5016A5"/>
    <w:rsid w:val="3A5053FA"/>
    <w:rsid w:val="3A512573"/>
    <w:rsid w:val="3A51267C"/>
    <w:rsid w:val="3A5133C8"/>
    <w:rsid w:val="3A5169AB"/>
    <w:rsid w:val="3A517415"/>
    <w:rsid w:val="3A52002D"/>
    <w:rsid w:val="3A523949"/>
    <w:rsid w:val="3A52627F"/>
    <w:rsid w:val="3A53023B"/>
    <w:rsid w:val="3A532800"/>
    <w:rsid w:val="3A534EB2"/>
    <w:rsid w:val="3A534F95"/>
    <w:rsid w:val="3A540249"/>
    <w:rsid w:val="3A540C2A"/>
    <w:rsid w:val="3A541CD3"/>
    <w:rsid w:val="3A541D49"/>
    <w:rsid w:val="3A541FF7"/>
    <w:rsid w:val="3A543DA5"/>
    <w:rsid w:val="3A5531D9"/>
    <w:rsid w:val="3A555D6F"/>
    <w:rsid w:val="3A557B1D"/>
    <w:rsid w:val="3A56221F"/>
    <w:rsid w:val="3A56389A"/>
    <w:rsid w:val="3A563FC1"/>
    <w:rsid w:val="3A571AE7"/>
    <w:rsid w:val="3A5726C8"/>
    <w:rsid w:val="3A575643"/>
    <w:rsid w:val="3A583C64"/>
    <w:rsid w:val="3A590E27"/>
    <w:rsid w:val="3A5913BB"/>
    <w:rsid w:val="3A592FEA"/>
    <w:rsid w:val="3A593149"/>
    <w:rsid w:val="3A5937BD"/>
    <w:rsid w:val="3A59585F"/>
    <w:rsid w:val="3A59760D"/>
    <w:rsid w:val="3A5A1425"/>
    <w:rsid w:val="3A5A447A"/>
    <w:rsid w:val="3A5A5641"/>
    <w:rsid w:val="3A5A5BBB"/>
    <w:rsid w:val="3A5A5F28"/>
    <w:rsid w:val="3A5B1BDA"/>
    <w:rsid w:val="3A5B4920"/>
    <w:rsid w:val="3A5C0EAC"/>
    <w:rsid w:val="3A5C3144"/>
    <w:rsid w:val="3A5C534F"/>
    <w:rsid w:val="3A5C5A79"/>
    <w:rsid w:val="3A5D196B"/>
    <w:rsid w:val="3A5E26DB"/>
    <w:rsid w:val="3A5E2E76"/>
    <w:rsid w:val="3A5E4C24"/>
    <w:rsid w:val="3A5E548C"/>
    <w:rsid w:val="3A5E650F"/>
    <w:rsid w:val="3A5E69D2"/>
    <w:rsid w:val="3A5F0404"/>
    <w:rsid w:val="3A5F2394"/>
    <w:rsid w:val="3A5F3A1F"/>
    <w:rsid w:val="3A5F444E"/>
    <w:rsid w:val="3A5F6096"/>
    <w:rsid w:val="3A60099C"/>
    <w:rsid w:val="3A60682E"/>
    <w:rsid w:val="3A606C0C"/>
    <w:rsid w:val="3A612EBD"/>
    <w:rsid w:val="3A613F18"/>
    <w:rsid w:val="3A614714"/>
    <w:rsid w:val="3A615CF4"/>
    <w:rsid w:val="3A623F06"/>
    <w:rsid w:val="3A62434D"/>
    <w:rsid w:val="3A6271E6"/>
    <w:rsid w:val="3A627476"/>
    <w:rsid w:val="3A6277F8"/>
    <w:rsid w:val="3A63223A"/>
    <w:rsid w:val="3A6366DE"/>
    <w:rsid w:val="3A6438F4"/>
    <w:rsid w:val="3A6467EB"/>
    <w:rsid w:val="3A647D60"/>
    <w:rsid w:val="3A651FCE"/>
    <w:rsid w:val="3A654204"/>
    <w:rsid w:val="3A655AA9"/>
    <w:rsid w:val="3A655FB2"/>
    <w:rsid w:val="3A661D2A"/>
    <w:rsid w:val="3A667B03"/>
    <w:rsid w:val="3A667F7C"/>
    <w:rsid w:val="3A67745F"/>
    <w:rsid w:val="3A68164F"/>
    <w:rsid w:val="3A685AA2"/>
    <w:rsid w:val="3A6915F1"/>
    <w:rsid w:val="3A693BCA"/>
    <w:rsid w:val="3A693FB0"/>
    <w:rsid w:val="3A695377"/>
    <w:rsid w:val="3A6A35C8"/>
    <w:rsid w:val="3A6A4B1A"/>
    <w:rsid w:val="3A6A56B0"/>
    <w:rsid w:val="3A6A7593"/>
    <w:rsid w:val="3A6A7A6C"/>
    <w:rsid w:val="3A6B2252"/>
    <w:rsid w:val="3A6B5D8F"/>
    <w:rsid w:val="3A6C0536"/>
    <w:rsid w:val="3A6C413F"/>
    <w:rsid w:val="3A6C54CE"/>
    <w:rsid w:val="3A6C5593"/>
    <w:rsid w:val="3A6C7FD0"/>
    <w:rsid w:val="3A6D130B"/>
    <w:rsid w:val="3A6D30B9"/>
    <w:rsid w:val="3A6D4E67"/>
    <w:rsid w:val="3A6E53CB"/>
    <w:rsid w:val="3A6F4F90"/>
    <w:rsid w:val="3A6F5083"/>
    <w:rsid w:val="3A6F6E31"/>
    <w:rsid w:val="3A704957"/>
    <w:rsid w:val="3A7063AD"/>
    <w:rsid w:val="3A706698"/>
    <w:rsid w:val="3A7129B2"/>
    <w:rsid w:val="3A712BA9"/>
    <w:rsid w:val="3A714F0A"/>
    <w:rsid w:val="3A7171E1"/>
    <w:rsid w:val="3A717D9C"/>
    <w:rsid w:val="3A7206CF"/>
    <w:rsid w:val="3A726921"/>
    <w:rsid w:val="3A734CD9"/>
    <w:rsid w:val="3A7355CD"/>
    <w:rsid w:val="3A744447"/>
    <w:rsid w:val="3A7601BF"/>
    <w:rsid w:val="3A760293"/>
    <w:rsid w:val="3A781144"/>
    <w:rsid w:val="3A791A5E"/>
    <w:rsid w:val="3A7934DC"/>
    <w:rsid w:val="3A79380C"/>
    <w:rsid w:val="3A794B4B"/>
    <w:rsid w:val="3A796379"/>
    <w:rsid w:val="3A7972E6"/>
    <w:rsid w:val="3A797CAF"/>
    <w:rsid w:val="3A7A36C5"/>
    <w:rsid w:val="3A7A5315"/>
    <w:rsid w:val="3A7A7584"/>
    <w:rsid w:val="3A7A7FD9"/>
    <w:rsid w:val="3A7B1078"/>
    <w:rsid w:val="3A7B3A28"/>
    <w:rsid w:val="3A7B73AB"/>
    <w:rsid w:val="3A7C154E"/>
    <w:rsid w:val="3A7C32FC"/>
    <w:rsid w:val="3A7C4549"/>
    <w:rsid w:val="3A7C4BBA"/>
    <w:rsid w:val="3A7D0F55"/>
    <w:rsid w:val="3A7D1602"/>
    <w:rsid w:val="3A7D2182"/>
    <w:rsid w:val="3A7D68D2"/>
    <w:rsid w:val="3A7E0E22"/>
    <w:rsid w:val="3A7E4FB6"/>
    <w:rsid w:val="3A7E52C6"/>
    <w:rsid w:val="3A7E5897"/>
    <w:rsid w:val="3A7E7074"/>
    <w:rsid w:val="3A7E7719"/>
    <w:rsid w:val="3A7E7E4B"/>
    <w:rsid w:val="3A7F09EA"/>
    <w:rsid w:val="3A7F366D"/>
    <w:rsid w:val="3A7F5E8E"/>
    <w:rsid w:val="3A8005C7"/>
    <w:rsid w:val="3A8008B4"/>
    <w:rsid w:val="3A80103E"/>
    <w:rsid w:val="3A802DEC"/>
    <w:rsid w:val="3A80311E"/>
    <w:rsid w:val="3A804B9A"/>
    <w:rsid w:val="3A8060F7"/>
    <w:rsid w:val="3A806F03"/>
    <w:rsid w:val="3A811F62"/>
    <w:rsid w:val="3A8151F0"/>
    <w:rsid w:val="3A81625C"/>
    <w:rsid w:val="3A816B64"/>
    <w:rsid w:val="3A81766A"/>
    <w:rsid w:val="3A820F1D"/>
    <w:rsid w:val="3A824DB6"/>
    <w:rsid w:val="3A824DC7"/>
    <w:rsid w:val="3A83084F"/>
    <w:rsid w:val="3A832677"/>
    <w:rsid w:val="3A8328DC"/>
    <w:rsid w:val="3A832FE3"/>
    <w:rsid w:val="3A8343F8"/>
    <w:rsid w:val="3A8371B6"/>
    <w:rsid w:val="3A8421D1"/>
    <w:rsid w:val="3A84686A"/>
    <w:rsid w:val="3A84717F"/>
    <w:rsid w:val="3A8476E7"/>
    <w:rsid w:val="3A8522B8"/>
    <w:rsid w:val="3A853CFC"/>
    <w:rsid w:val="3A854DFF"/>
    <w:rsid w:val="3A856654"/>
    <w:rsid w:val="3A861A44"/>
    <w:rsid w:val="3A861AC1"/>
    <w:rsid w:val="3A86202B"/>
    <w:rsid w:val="3A86417A"/>
    <w:rsid w:val="3A865F28"/>
    <w:rsid w:val="3A872856"/>
    <w:rsid w:val="3A875D7D"/>
    <w:rsid w:val="3A881CA1"/>
    <w:rsid w:val="3A88522E"/>
    <w:rsid w:val="3A886145"/>
    <w:rsid w:val="3A8874F8"/>
    <w:rsid w:val="3A887EF3"/>
    <w:rsid w:val="3A89155A"/>
    <w:rsid w:val="3A896195"/>
    <w:rsid w:val="3A8A3559"/>
    <w:rsid w:val="3A8A3C6B"/>
    <w:rsid w:val="3A8A5A19"/>
    <w:rsid w:val="3A8A661D"/>
    <w:rsid w:val="3A8A77C7"/>
    <w:rsid w:val="3A8B00B7"/>
    <w:rsid w:val="3A8B153D"/>
    <w:rsid w:val="3A8B353F"/>
    <w:rsid w:val="3A8B3D9F"/>
    <w:rsid w:val="3A8B611B"/>
    <w:rsid w:val="3A8D1EDA"/>
    <w:rsid w:val="3A8D34C0"/>
    <w:rsid w:val="3A8D5509"/>
    <w:rsid w:val="3A8D5E3B"/>
    <w:rsid w:val="3A8E18B2"/>
    <w:rsid w:val="3A8F1281"/>
    <w:rsid w:val="3A8F302F"/>
    <w:rsid w:val="3A8F3A46"/>
    <w:rsid w:val="3A8F3C23"/>
    <w:rsid w:val="3A8F47FA"/>
    <w:rsid w:val="3A8F5F3B"/>
    <w:rsid w:val="3A9037E0"/>
    <w:rsid w:val="3A905662"/>
    <w:rsid w:val="3A905C8A"/>
    <w:rsid w:val="3A9073CB"/>
    <w:rsid w:val="3A907704"/>
    <w:rsid w:val="3A911F05"/>
    <w:rsid w:val="3A913650"/>
    <w:rsid w:val="3A917828"/>
    <w:rsid w:val="3A920D71"/>
    <w:rsid w:val="3A9248CD"/>
    <w:rsid w:val="3A926364"/>
    <w:rsid w:val="3A9269E7"/>
    <w:rsid w:val="3A935D4C"/>
    <w:rsid w:val="3A940645"/>
    <w:rsid w:val="3A941057"/>
    <w:rsid w:val="3A944AE9"/>
    <w:rsid w:val="3A9471DC"/>
    <w:rsid w:val="3A95066C"/>
    <w:rsid w:val="3A95522D"/>
    <w:rsid w:val="3A9574F3"/>
    <w:rsid w:val="3A960861"/>
    <w:rsid w:val="3A961AFC"/>
    <w:rsid w:val="3A96260F"/>
    <w:rsid w:val="3A971EE4"/>
    <w:rsid w:val="3A974082"/>
    <w:rsid w:val="3A974676"/>
    <w:rsid w:val="3A9746CD"/>
    <w:rsid w:val="3A97734C"/>
    <w:rsid w:val="3A980E73"/>
    <w:rsid w:val="3A986FB2"/>
    <w:rsid w:val="3A99047D"/>
    <w:rsid w:val="3A991B74"/>
    <w:rsid w:val="3A991BBE"/>
    <w:rsid w:val="3A9A25C6"/>
    <w:rsid w:val="3A9A304E"/>
    <w:rsid w:val="3A9A4B81"/>
    <w:rsid w:val="3A9A629F"/>
    <w:rsid w:val="3A9B19D4"/>
    <w:rsid w:val="3A9B29E4"/>
    <w:rsid w:val="3A9B3D72"/>
    <w:rsid w:val="3A9B44DE"/>
    <w:rsid w:val="3A9B5E78"/>
    <w:rsid w:val="3A9B7C26"/>
    <w:rsid w:val="3A9C53AF"/>
    <w:rsid w:val="3A9C574C"/>
    <w:rsid w:val="3A9C596E"/>
    <w:rsid w:val="3A9C59E4"/>
    <w:rsid w:val="3A9C74FA"/>
    <w:rsid w:val="3A9D1C37"/>
    <w:rsid w:val="3A9D265B"/>
    <w:rsid w:val="3A9D6DFE"/>
    <w:rsid w:val="3A9E1D72"/>
    <w:rsid w:val="3A9E7716"/>
    <w:rsid w:val="3A9F1D00"/>
    <w:rsid w:val="3A9F783C"/>
    <w:rsid w:val="3AA0348E"/>
    <w:rsid w:val="3AA0523C"/>
    <w:rsid w:val="3AA07A73"/>
    <w:rsid w:val="3AA12D62"/>
    <w:rsid w:val="3AA208B9"/>
    <w:rsid w:val="3AA20FB4"/>
    <w:rsid w:val="3AA217E0"/>
    <w:rsid w:val="3AA264E9"/>
    <w:rsid w:val="3AA27F72"/>
    <w:rsid w:val="3AA30083"/>
    <w:rsid w:val="3AA3079E"/>
    <w:rsid w:val="3AA30888"/>
    <w:rsid w:val="3AA34D2C"/>
    <w:rsid w:val="3AA35841"/>
    <w:rsid w:val="3AA36ADA"/>
    <w:rsid w:val="3AA47176"/>
    <w:rsid w:val="3AA477EB"/>
    <w:rsid w:val="3AA50161"/>
    <w:rsid w:val="3AA50AA5"/>
    <w:rsid w:val="3AA53954"/>
    <w:rsid w:val="3AA54601"/>
    <w:rsid w:val="3AA60379"/>
    <w:rsid w:val="3AA72A81"/>
    <w:rsid w:val="3AA72BBA"/>
    <w:rsid w:val="3AA72BF3"/>
    <w:rsid w:val="3AA75652"/>
    <w:rsid w:val="3AA765CB"/>
    <w:rsid w:val="3AA76B33"/>
    <w:rsid w:val="3AA80421"/>
    <w:rsid w:val="3AA80482"/>
    <w:rsid w:val="3AA840F1"/>
    <w:rsid w:val="3AA84C6A"/>
    <w:rsid w:val="3AA92294"/>
    <w:rsid w:val="3AA937CE"/>
    <w:rsid w:val="3AA94C1B"/>
    <w:rsid w:val="3AAA1C17"/>
    <w:rsid w:val="3AAA2FF5"/>
    <w:rsid w:val="3AAA330E"/>
    <w:rsid w:val="3AAA60BB"/>
    <w:rsid w:val="3AAA7E69"/>
    <w:rsid w:val="3AAB2892"/>
    <w:rsid w:val="3AAB3AE0"/>
    <w:rsid w:val="3AAB3E6B"/>
    <w:rsid w:val="3AAB3FD3"/>
    <w:rsid w:val="3AAB598F"/>
    <w:rsid w:val="3AAB5A42"/>
    <w:rsid w:val="3AAC3BE1"/>
    <w:rsid w:val="3AAC3ECB"/>
    <w:rsid w:val="3AAC5463"/>
    <w:rsid w:val="3AAD0AAC"/>
    <w:rsid w:val="3AAD0FC0"/>
    <w:rsid w:val="3AAD1208"/>
    <w:rsid w:val="3AAD14C4"/>
    <w:rsid w:val="3AAD52BC"/>
    <w:rsid w:val="3AAD68F3"/>
    <w:rsid w:val="3AAE1213"/>
    <w:rsid w:val="3AAE574A"/>
    <w:rsid w:val="3AAE6056"/>
    <w:rsid w:val="3AAF1923"/>
    <w:rsid w:val="3AAF26A3"/>
    <w:rsid w:val="3AAF26BA"/>
    <w:rsid w:val="3AAF3DE4"/>
    <w:rsid w:val="3AAF4028"/>
    <w:rsid w:val="3AAF547F"/>
    <w:rsid w:val="3AAF5655"/>
    <w:rsid w:val="3AAF5FEA"/>
    <w:rsid w:val="3AAF722D"/>
    <w:rsid w:val="3AB05274"/>
    <w:rsid w:val="3AB076C9"/>
    <w:rsid w:val="3AB111F7"/>
    <w:rsid w:val="3AB12212"/>
    <w:rsid w:val="3AB1274D"/>
    <w:rsid w:val="3AB16931"/>
    <w:rsid w:val="3AB17686"/>
    <w:rsid w:val="3AB23F78"/>
    <w:rsid w:val="3AB24F6F"/>
    <w:rsid w:val="3AB26B1D"/>
    <w:rsid w:val="3AB30E44"/>
    <w:rsid w:val="3AB331C1"/>
    <w:rsid w:val="3AB363E3"/>
    <w:rsid w:val="3AB40CE8"/>
    <w:rsid w:val="3AB41065"/>
    <w:rsid w:val="3AB42A96"/>
    <w:rsid w:val="3AB500A0"/>
    <w:rsid w:val="3AB56515"/>
    <w:rsid w:val="3AB57F4E"/>
    <w:rsid w:val="3AB64C95"/>
    <w:rsid w:val="3AB6680E"/>
    <w:rsid w:val="3AB67613"/>
    <w:rsid w:val="3AB679A5"/>
    <w:rsid w:val="3AB742BD"/>
    <w:rsid w:val="3AB756D6"/>
    <w:rsid w:val="3AB807D8"/>
    <w:rsid w:val="3AB814CD"/>
    <w:rsid w:val="3AB865D7"/>
    <w:rsid w:val="3AB900AC"/>
    <w:rsid w:val="3AB914EF"/>
    <w:rsid w:val="3AB94550"/>
    <w:rsid w:val="3AB94CB9"/>
    <w:rsid w:val="3AB962FE"/>
    <w:rsid w:val="3ABA01E1"/>
    <w:rsid w:val="3ABA6E10"/>
    <w:rsid w:val="3ABB2076"/>
    <w:rsid w:val="3ABB2755"/>
    <w:rsid w:val="3ABB3E24"/>
    <w:rsid w:val="3ABB5F6B"/>
    <w:rsid w:val="3ABC194A"/>
    <w:rsid w:val="3ABC7B9C"/>
    <w:rsid w:val="3ABC7D9E"/>
    <w:rsid w:val="3ABD092C"/>
    <w:rsid w:val="3ABD1DF1"/>
    <w:rsid w:val="3ABD5DEE"/>
    <w:rsid w:val="3ABE1B66"/>
    <w:rsid w:val="3ABE2449"/>
    <w:rsid w:val="3ABE3914"/>
    <w:rsid w:val="3ABE4A0B"/>
    <w:rsid w:val="3ABE56C2"/>
    <w:rsid w:val="3ABF0814"/>
    <w:rsid w:val="3ABF2198"/>
    <w:rsid w:val="3ABF22AD"/>
    <w:rsid w:val="3AC0143A"/>
    <w:rsid w:val="3AC03628"/>
    <w:rsid w:val="3AC0687D"/>
    <w:rsid w:val="3AC0768C"/>
    <w:rsid w:val="3AC10794"/>
    <w:rsid w:val="3AC15543"/>
    <w:rsid w:val="3AC16F61"/>
    <w:rsid w:val="3AC21656"/>
    <w:rsid w:val="3AC21781"/>
    <w:rsid w:val="3AC2225A"/>
    <w:rsid w:val="3AC23405"/>
    <w:rsid w:val="3AC26874"/>
    <w:rsid w:val="3AC26A9E"/>
    <w:rsid w:val="3AC26FDB"/>
    <w:rsid w:val="3AC27952"/>
    <w:rsid w:val="3AC30F2B"/>
    <w:rsid w:val="3AC31057"/>
    <w:rsid w:val="3AC31729"/>
    <w:rsid w:val="3AC336EA"/>
    <w:rsid w:val="3AC37AC8"/>
    <w:rsid w:val="3AC37F79"/>
    <w:rsid w:val="3AC41873"/>
    <w:rsid w:val="3AC44B7A"/>
    <w:rsid w:val="3AC473B9"/>
    <w:rsid w:val="3AC51937"/>
    <w:rsid w:val="3AC52EF5"/>
    <w:rsid w:val="3AC54CA3"/>
    <w:rsid w:val="3AC60BDB"/>
    <w:rsid w:val="3AC70B80"/>
    <w:rsid w:val="3AC727C9"/>
    <w:rsid w:val="3AC75CB5"/>
    <w:rsid w:val="3AC76101"/>
    <w:rsid w:val="3AC76C6D"/>
    <w:rsid w:val="3AC802EF"/>
    <w:rsid w:val="3AC834FB"/>
    <w:rsid w:val="3AC83F8C"/>
    <w:rsid w:val="3AC84307"/>
    <w:rsid w:val="3AC84793"/>
    <w:rsid w:val="3AC86541"/>
    <w:rsid w:val="3AC87203"/>
    <w:rsid w:val="3AC91136"/>
    <w:rsid w:val="3AC9252D"/>
    <w:rsid w:val="3AC950EC"/>
    <w:rsid w:val="3AC96F6F"/>
    <w:rsid w:val="3ACA050B"/>
    <w:rsid w:val="3ACA41FD"/>
    <w:rsid w:val="3ACB0163"/>
    <w:rsid w:val="3ACB0C21"/>
    <w:rsid w:val="3ACB26E4"/>
    <w:rsid w:val="3ACB2B17"/>
    <w:rsid w:val="3ACB2F69"/>
    <w:rsid w:val="3ACC0BF2"/>
    <w:rsid w:val="3ACC5F1B"/>
    <w:rsid w:val="3ACC6031"/>
    <w:rsid w:val="3ACD0200"/>
    <w:rsid w:val="3ACD1DA9"/>
    <w:rsid w:val="3ACE2322"/>
    <w:rsid w:val="3ACE5C2C"/>
    <w:rsid w:val="3ACE7BB5"/>
    <w:rsid w:val="3ACE7FFB"/>
    <w:rsid w:val="3ACF1C8D"/>
    <w:rsid w:val="3ACF4152"/>
    <w:rsid w:val="3ACF78CF"/>
    <w:rsid w:val="3AD00993"/>
    <w:rsid w:val="3AD01F55"/>
    <w:rsid w:val="3AD02761"/>
    <w:rsid w:val="3AD1189A"/>
    <w:rsid w:val="3AD13648"/>
    <w:rsid w:val="3AD14E00"/>
    <w:rsid w:val="3AD15273"/>
    <w:rsid w:val="3AD153F6"/>
    <w:rsid w:val="3AD2116E"/>
    <w:rsid w:val="3AD2467C"/>
    <w:rsid w:val="3AD24EEF"/>
    <w:rsid w:val="3AD273C0"/>
    <w:rsid w:val="3AD3060E"/>
    <w:rsid w:val="3AD31E39"/>
    <w:rsid w:val="3AD354E6"/>
    <w:rsid w:val="3AD35612"/>
    <w:rsid w:val="3AD4138A"/>
    <w:rsid w:val="3AD43138"/>
    <w:rsid w:val="3AD44EE6"/>
    <w:rsid w:val="3AD46C94"/>
    <w:rsid w:val="3AD53A07"/>
    <w:rsid w:val="3AD55AFF"/>
    <w:rsid w:val="3AD56380"/>
    <w:rsid w:val="3AD56CC2"/>
    <w:rsid w:val="3AD61B8E"/>
    <w:rsid w:val="3AD62A0C"/>
    <w:rsid w:val="3AD66EB0"/>
    <w:rsid w:val="3AD71B60"/>
    <w:rsid w:val="3AD731E5"/>
    <w:rsid w:val="3AD74461"/>
    <w:rsid w:val="3AD778B0"/>
    <w:rsid w:val="3AD819E4"/>
    <w:rsid w:val="3AD82C28"/>
    <w:rsid w:val="3AD83758"/>
    <w:rsid w:val="3AD84480"/>
    <w:rsid w:val="3AD84799"/>
    <w:rsid w:val="3AD9074E"/>
    <w:rsid w:val="3AD924FC"/>
    <w:rsid w:val="3AD939ED"/>
    <w:rsid w:val="3AD94B78"/>
    <w:rsid w:val="3AD96070"/>
    <w:rsid w:val="3AD9720A"/>
    <w:rsid w:val="3ADA04E1"/>
    <w:rsid w:val="3ADA1683"/>
    <w:rsid w:val="3ADA1814"/>
    <w:rsid w:val="3ADA5387"/>
    <w:rsid w:val="3ADA6DA0"/>
    <w:rsid w:val="3ADB03EF"/>
    <w:rsid w:val="3ADB1971"/>
    <w:rsid w:val="3ADB1C7A"/>
    <w:rsid w:val="3ADB2101"/>
    <w:rsid w:val="3ADB2271"/>
    <w:rsid w:val="3ADB2718"/>
    <w:rsid w:val="3ADC2E01"/>
    <w:rsid w:val="3ADC3D9A"/>
    <w:rsid w:val="3ADC3E11"/>
    <w:rsid w:val="3ADC6B63"/>
    <w:rsid w:val="3ADC721E"/>
    <w:rsid w:val="3ADD1FEC"/>
    <w:rsid w:val="3ADD4053"/>
    <w:rsid w:val="3ADD4C82"/>
    <w:rsid w:val="3ADD6E62"/>
    <w:rsid w:val="3ADE30CF"/>
    <w:rsid w:val="3ADE5D64"/>
    <w:rsid w:val="3ADE7B13"/>
    <w:rsid w:val="3ADF714E"/>
    <w:rsid w:val="3AE02F20"/>
    <w:rsid w:val="3AE07D2F"/>
    <w:rsid w:val="3AE113B1"/>
    <w:rsid w:val="3AE140A2"/>
    <w:rsid w:val="3AE16FC9"/>
    <w:rsid w:val="3AE25855"/>
    <w:rsid w:val="3AE27603"/>
    <w:rsid w:val="3AE35766"/>
    <w:rsid w:val="3AE44164"/>
    <w:rsid w:val="3AE50EA1"/>
    <w:rsid w:val="3AE555F4"/>
    <w:rsid w:val="3AE570F3"/>
    <w:rsid w:val="3AE57546"/>
    <w:rsid w:val="3AE62523"/>
    <w:rsid w:val="3AE72AE5"/>
    <w:rsid w:val="3AE72E6B"/>
    <w:rsid w:val="3AE813A4"/>
    <w:rsid w:val="3AE846CC"/>
    <w:rsid w:val="3AE84B95"/>
    <w:rsid w:val="3AE91D59"/>
    <w:rsid w:val="3AE97570"/>
    <w:rsid w:val="3AEA4709"/>
    <w:rsid w:val="3AEA64B7"/>
    <w:rsid w:val="3AEB03C3"/>
    <w:rsid w:val="3AEB1466"/>
    <w:rsid w:val="3AEC1ABC"/>
    <w:rsid w:val="3AEC222F"/>
    <w:rsid w:val="3AEC2602"/>
    <w:rsid w:val="3AEC28F6"/>
    <w:rsid w:val="3AEC6340"/>
    <w:rsid w:val="3AED36B0"/>
    <w:rsid w:val="3AED3D86"/>
    <w:rsid w:val="3AED5FA8"/>
    <w:rsid w:val="3AED7D56"/>
    <w:rsid w:val="3AEE2436"/>
    <w:rsid w:val="3AEE244B"/>
    <w:rsid w:val="3AEE41FA"/>
    <w:rsid w:val="3AEE7DE7"/>
    <w:rsid w:val="3AEF08D3"/>
    <w:rsid w:val="3AEF1C22"/>
    <w:rsid w:val="3AEF1D20"/>
    <w:rsid w:val="3AEF3ACE"/>
    <w:rsid w:val="3AEF5DC1"/>
    <w:rsid w:val="3AEF66A6"/>
    <w:rsid w:val="3AEF7B36"/>
    <w:rsid w:val="3AEF7F72"/>
    <w:rsid w:val="3AF03D3D"/>
    <w:rsid w:val="3AF13CEA"/>
    <w:rsid w:val="3AF17846"/>
    <w:rsid w:val="3AF235BE"/>
    <w:rsid w:val="3AF27F23"/>
    <w:rsid w:val="3AF31088"/>
    <w:rsid w:val="3AF31810"/>
    <w:rsid w:val="3AF32F39"/>
    <w:rsid w:val="3AF37A62"/>
    <w:rsid w:val="3AF410E4"/>
    <w:rsid w:val="3AF47336"/>
    <w:rsid w:val="3AF537FF"/>
    <w:rsid w:val="3AF56386"/>
    <w:rsid w:val="3AF60425"/>
    <w:rsid w:val="3AF609C1"/>
    <w:rsid w:val="3AF61EDC"/>
    <w:rsid w:val="3AF630AE"/>
    <w:rsid w:val="3AF64C56"/>
    <w:rsid w:val="3AF64E5C"/>
    <w:rsid w:val="3AF64F6D"/>
    <w:rsid w:val="3AF70579"/>
    <w:rsid w:val="3AF7075A"/>
    <w:rsid w:val="3AF74508"/>
    <w:rsid w:val="3AF77A09"/>
    <w:rsid w:val="3AF8064C"/>
    <w:rsid w:val="3AF82D2C"/>
    <w:rsid w:val="3AF85078"/>
    <w:rsid w:val="3AF91BA6"/>
    <w:rsid w:val="3AF92B9E"/>
    <w:rsid w:val="3AF94EFA"/>
    <w:rsid w:val="3AF97B60"/>
    <w:rsid w:val="3AFB06C4"/>
    <w:rsid w:val="3AFB0FA6"/>
    <w:rsid w:val="3AFB2473"/>
    <w:rsid w:val="3AFB3F3C"/>
    <w:rsid w:val="3AFB6916"/>
    <w:rsid w:val="3AFB73A9"/>
    <w:rsid w:val="3AFB781A"/>
    <w:rsid w:val="3AFB7F6E"/>
    <w:rsid w:val="3AFC0CAA"/>
    <w:rsid w:val="3AFC23EB"/>
    <w:rsid w:val="3AFC52A7"/>
    <w:rsid w:val="3AFC5601"/>
    <w:rsid w:val="3AFC57B7"/>
    <w:rsid w:val="3AFD213A"/>
    <w:rsid w:val="3AFD268F"/>
    <w:rsid w:val="3AFD2F47"/>
    <w:rsid w:val="3AFD348D"/>
    <w:rsid w:val="3AFD387B"/>
    <w:rsid w:val="3AFD443D"/>
    <w:rsid w:val="3AFD5AE8"/>
    <w:rsid w:val="3AFE2B41"/>
    <w:rsid w:val="3AFE2E55"/>
    <w:rsid w:val="3AFE3138"/>
    <w:rsid w:val="3AFE387A"/>
    <w:rsid w:val="3AFE4D0B"/>
    <w:rsid w:val="3AFE6E3D"/>
    <w:rsid w:val="3AFF1B61"/>
    <w:rsid w:val="3AFF372F"/>
    <w:rsid w:val="3AFF6407"/>
    <w:rsid w:val="3AFF7B26"/>
    <w:rsid w:val="3B0003BE"/>
    <w:rsid w:val="3B00217F"/>
    <w:rsid w:val="3B0021FC"/>
    <w:rsid w:val="3B003F2D"/>
    <w:rsid w:val="3B005CDB"/>
    <w:rsid w:val="3B0150F2"/>
    <w:rsid w:val="3B020A8C"/>
    <w:rsid w:val="3B021B0C"/>
    <w:rsid w:val="3B0227A0"/>
    <w:rsid w:val="3B0237ED"/>
    <w:rsid w:val="3B023801"/>
    <w:rsid w:val="3B024B1C"/>
    <w:rsid w:val="3B025502"/>
    <w:rsid w:val="3B0276ED"/>
    <w:rsid w:val="3B027CA5"/>
    <w:rsid w:val="3B030B7D"/>
    <w:rsid w:val="3B031573"/>
    <w:rsid w:val="3B035B63"/>
    <w:rsid w:val="3B037579"/>
    <w:rsid w:val="3B041E79"/>
    <w:rsid w:val="3B043A1D"/>
    <w:rsid w:val="3B045146"/>
    <w:rsid w:val="3B04743C"/>
    <w:rsid w:val="3B051543"/>
    <w:rsid w:val="3B05727F"/>
    <w:rsid w:val="3B057D0F"/>
    <w:rsid w:val="3B063330"/>
    <w:rsid w:val="3B065453"/>
    <w:rsid w:val="3B065A58"/>
    <w:rsid w:val="3B06606E"/>
    <w:rsid w:val="3B070E17"/>
    <w:rsid w:val="3B071428"/>
    <w:rsid w:val="3B071493"/>
    <w:rsid w:val="3B07233C"/>
    <w:rsid w:val="3B073BC8"/>
    <w:rsid w:val="3B076041"/>
    <w:rsid w:val="3B08077E"/>
    <w:rsid w:val="3B080DC0"/>
    <w:rsid w:val="3B081687"/>
    <w:rsid w:val="3B082DE1"/>
    <w:rsid w:val="3B086638"/>
    <w:rsid w:val="3B091033"/>
    <w:rsid w:val="3B091405"/>
    <w:rsid w:val="3B0932AE"/>
    <w:rsid w:val="3B094CBE"/>
    <w:rsid w:val="3B097226"/>
    <w:rsid w:val="3B0A0908"/>
    <w:rsid w:val="3B0A473E"/>
    <w:rsid w:val="3B0A5E7F"/>
    <w:rsid w:val="3B0A781D"/>
    <w:rsid w:val="3B0A7E14"/>
    <w:rsid w:val="3B0B6CC6"/>
    <w:rsid w:val="3B0B75E8"/>
    <w:rsid w:val="3B0C0B24"/>
    <w:rsid w:val="3B0C4680"/>
    <w:rsid w:val="3B0C481F"/>
    <w:rsid w:val="3B0D1C2F"/>
    <w:rsid w:val="3B0D4800"/>
    <w:rsid w:val="3B0D4E78"/>
    <w:rsid w:val="3B0D65F4"/>
    <w:rsid w:val="3B0E03F8"/>
    <w:rsid w:val="3B0E35B9"/>
    <w:rsid w:val="3B0E4915"/>
    <w:rsid w:val="3B0E5C90"/>
    <w:rsid w:val="3B0E664A"/>
    <w:rsid w:val="3B0E6670"/>
    <w:rsid w:val="3B0E6926"/>
    <w:rsid w:val="3B0E6CD4"/>
    <w:rsid w:val="3B0F0EC4"/>
    <w:rsid w:val="3B0F23C2"/>
    <w:rsid w:val="3B0F3D8E"/>
    <w:rsid w:val="3B0F5F1E"/>
    <w:rsid w:val="3B0F6D5D"/>
    <w:rsid w:val="3B1005B0"/>
    <w:rsid w:val="3B111C96"/>
    <w:rsid w:val="3B113181"/>
    <w:rsid w:val="3B113E3C"/>
    <w:rsid w:val="3B11613A"/>
    <w:rsid w:val="3B117EE8"/>
    <w:rsid w:val="3B130286"/>
    <w:rsid w:val="3B133C60"/>
    <w:rsid w:val="3B134DE1"/>
    <w:rsid w:val="3B135613"/>
    <w:rsid w:val="3B135AA1"/>
    <w:rsid w:val="3B136075"/>
    <w:rsid w:val="3B141786"/>
    <w:rsid w:val="3B1420DC"/>
    <w:rsid w:val="3B143534"/>
    <w:rsid w:val="3B146EC5"/>
    <w:rsid w:val="3B1479D8"/>
    <w:rsid w:val="3B1503C1"/>
    <w:rsid w:val="3B151DA3"/>
    <w:rsid w:val="3B152F92"/>
    <w:rsid w:val="3B162E81"/>
    <w:rsid w:val="3B163750"/>
    <w:rsid w:val="3B16452F"/>
    <w:rsid w:val="3B1654FE"/>
    <w:rsid w:val="3B1720BE"/>
    <w:rsid w:val="3B172AF9"/>
    <w:rsid w:val="3B173341"/>
    <w:rsid w:val="3B1735A9"/>
    <w:rsid w:val="3B174005"/>
    <w:rsid w:val="3B1758B2"/>
    <w:rsid w:val="3B180483"/>
    <w:rsid w:val="3B181246"/>
    <w:rsid w:val="3B181276"/>
    <w:rsid w:val="3B182225"/>
    <w:rsid w:val="3B182811"/>
    <w:rsid w:val="3B184EAF"/>
    <w:rsid w:val="3B1869EE"/>
    <w:rsid w:val="3B186D42"/>
    <w:rsid w:val="3B1874C8"/>
    <w:rsid w:val="3B190B4B"/>
    <w:rsid w:val="3B19335F"/>
    <w:rsid w:val="3B194FEF"/>
    <w:rsid w:val="3B1B0D67"/>
    <w:rsid w:val="3B1B48C3"/>
    <w:rsid w:val="3B1B530D"/>
    <w:rsid w:val="3B1B7823"/>
    <w:rsid w:val="3B1C4441"/>
    <w:rsid w:val="3B1C69EE"/>
    <w:rsid w:val="3B1D063B"/>
    <w:rsid w:val="3B1D2B2E"/>
    <w:rsid w:val="3B1D4ADF"/>
    <w:rsid w:val="3B1D688D"/>
    <w:rsid w:val="3B1E43B3"/>
    <w:rsid w:val="3B1F0857"/>
    <w:rsid w:val="3B1F2473"/>
    <w:rsid w:val="3B1F2605"/>
    <w:rsid w:val="3B20012B"/>
    <w:rsid w:val="3B20085A"/>
    <w:rsid w:val="3B201ED9"/>
    <w:rsid w:val="3B204171"/>
    <w:rsid w:val="3B206839"/>
    <w:rsid w:val="3B215782"/>
    <w:rsid w:val="3B220AEA"/>
    <w:rsid w:val="3B221632"/>
    <w:rsid w:val="3B2218F3"/>
    <w:rsid w:val="3B2220F5"/>
    <w:rsid w:val="3B223EA3"/>
    <w:rsid w:val="3B224106"/>
    <w:rsid w:val="3B2318A6"/>
    <w:rsid w:val="3B2319C9"/>
    <w:rsid w:val="3B235596"/>
    <w:rsid w:val="3B2408F8"/>
    <w:rsid w:val="3B245E6D"/>
    <w:rsid w:val="3B24667E"/>
    <w:rsid w:val="3B247C1B"/>
    <w:rsid w:val="3B251BE5"/>
    <w:rsid w:val="3B253993"/>
    <w:rsid w:val="3B255741"/>
    <w:rsid w:val="3B266695"/>
    <w:rsid w:val="3B266B9E"/>
    <w:rsid w:val="3B266E3B"/>
    <w:rsid w:val="3B2714BA"/>
    <w:rsid w:val="3B27745B"/>
    <w:rsid w:val="3B277B82"/>
    <w:rsid w:val="3B286FE0"/>
    <w:rsid w:val="3B293484"/>
    <w:rsid w:val="3B295232"/>
    <w:rsid w:val="3B296002"/>
    <w:rsid w:val="3B2976F5"/>
    <w:rsid w:val="3B297CC7"/>
    <w:rsid w:val="3B2A0025"/>
    <w:rsid w:val="3B2A6F08"/>
    <w:rsid w:val="3B2B01F3"/>
    <w:rsid w:val="3B2B51B8"/>
    <w:rsid w:val="3B2B592A"/>
    <w:rsid w:val="3B2B7EB1"/>
    <w:rsid w:val="3B2C0ABB"/>
    <w:rsid w:val="3B2C6648"/>
    <w:rsid w:val="3B2C6B2A"/>
    <w:rsid w:val="3B2C73A6"/>
    <w:rsid w:val="3B2D17A6"/>
    <w:rsid w:val="3B2D6485"/>
    <w:rsid w:val="3B2E0A9A"/>
    <w:rsid w:val="3B2E2848"/>
    <w:rsid w:val="3B2E7848"/>
    <w:rsid w:val="3B2F1111"/>
    <w:rsid w:val="3B2F181C"/>
    <w:rsid w:val="3B2F3B39"/>
    <w:rsid w:val="3B2F65C0"/>
    <w:rsid w:val="3B300983"/>
    <w:rsid w:val="3B31058A"/>
    <w:rsid w:val="3B312338"/>
    <w:rsid w:val="3B312F46"/>
    <w:rsid w:val="3B316DAA"/>
    <w:rsid w:val="3B3224BA"/>
    <w:rsid w:val="3B322A7A"/>
    <w:rsid w:val="3B324F3C"/>
    <w:rsid w:val="3B325189"/>
    <w:rsid w:val="3B330450"/>
    <w:rsid w:val="3B331C0C"/>
    <w:rsid w:val="3B3334E3"/>
    <w:rsid w:val="3B33394A"/>
    <w:rsid w:val="3B334302"/>
    <w:rsid w:val="3B3360B0"/>
    <w:rsid w:val="3B337E5E"/>
    <w:rsid w:val="3B342408"/>
    <w:rsid w:val="3B343BD6"/>
    <w:rsid w:val="3B3442E2"/>
    <w:rsid w:val="3B350E3B"/>
    <w:rsid w:val="3B3518E2"/>
    <w:rsid w:val="3B352FF6"/>
    <w:rsid w:val="3B356024"/>
    <w:rsid w:val="3B356CFA"/>
    <w:rsid w:val="3B36176B"/>
    <w:rsid w:val="3B36222D"/>
    <w:rsid w:val="3B363734"/>
    <w:rsid w:val="3B3659B5"/>
    <w:rsid w:val="3B365BA1"/>
    <w:rsid w:val="3B36794F"/>
    <w:rsid w:val="3B374678"/>
    <w:rsid w:val="3B375346"/>
    <w:rsid w:val="3B3763D1"/>
    <w:rsid w:val="3B380EFD"/>
    <w:rsid w:val="3B3833A9"/>
    <w:rsid w:val="3B385475"/>
    <w:rsid w:val="3B3903DC"/>
    <w:rsid w:val="3B3911ED"/>
    <w:rsid w:val="3B395D65"/>
    <w:rsid w:val="3B396421"/>
    <w:rsid w:val="3B3A2FD8"/>
    <w:rsid w:val="3B3B20DC"/>
    <w:rsid w:val="3B3B31B7"/>
    <w:rsid w:val="3B3B4CAD"/>
    <w:rsid w:val="3B3B4F65"/>
    <w:rsid w:val="3B3B5E33"/>
    <w:rsid w:val="3B3C7398"/>
    <w:rsid w:val="3B3D0CDD"/>
    <w:rsid w:val="3B3D2A8B"/>
    <w:rsid w:val="3B3D603B"/>
    <w:rsid w:val="3B3D75CD"/>
    <w:rsid w:val="3B3E04E6"/>
    <w:rsid w:val="3B3E0A5D"/>
    <w:rsid w:val="3B3E362E"/>
    <w:rsid w:val="3B3F1A96"/>
    <w:rsid w:val="3B3F4A55"/>
    <w:rsid w:val="3B3F4ABE"/>
    <w:rsid w:val="3B3F61FF"/>
    <w:rsid w:val="3B4007CD"/>
    <w:rsid w:val="3B401014"/>
    <w:rsid w:val="3B40257B"/>
    <w:rsid w:val="3B4031A6"/>
    <w:rsid w:val="3B405482"/>
    <w:rsid w:val="3B405F4E"/>
    <w:rsid w:val="3B406C80"/>
    <w:rsid w:val="3B412456"/>
    <w:rsid w:val="3B416606"/>
    <w:rsid w:val="3B4172BD"/>
    <w:rsid w:val="3B417D02"/>
    <w:rsid w:val="3B424545"/>
    <w:rsid w:val="3B4262F3"/>
    <w:rsid w:val="3B427552"/>
    <w:rsid w:val="3B4325CE"/>
    <w:rsid w:val="3B433FC5"/>
    <w:rsid w:val="3B4430A4"/>
    <w:rsid w:val="3B443E1A"/>
    <w:rsid w:val="3B444C64"/>
    <w:rsid w:val="3B4459D7"/>
    <w:rsid w:val="3B450930"/>
    <w:rsid w:val="3B450C3B"/>
    <w:rsid w:val="3B4515C9"/>
    <w:rsid w:val="3B454020"/>
    <w:rsid w:val="3B455D5F"/>
    <w:rsid w:val="3B4605FB"/>
    <w:rsid w:val="3B461B7C"/>
    <w:rsid w:val="3B461DC0"/>
    <w:rsid w:val="3B4721DE"/>
    <w:rsid w:val="3B473250"/>
    <w:rsid w:val="3B47390A"/>
    <w:rsid w:val="3B4756B8"/>
    <w:rsid w:val="3B4801C4"/>
    <w:rsid w:val="3B485E21"/>
    <w:rsid w:val="3B486A4A"/>
    <w:rsid w:val="3B4958D4"/>
    <w:rsid w:val="3B4A33FA"/>
    <w:rsid w:val="3B4A51A8"/>
    <w:rsid w:val="3B4B164C"/>
    <w:rsid w:val="3B4B6F81"/>
    <w:rsid w:val="3B4C0F20"/>
    <w:rsid w:val="3B4C2CCE"/>
    <w:rsid w:val="3B4C7172"/>
    <w:rsid w:val="3B4D0803"/>
    <w:rsid w:val="3B4D5186"/>
    <w:rsid w:val="3B4E00D3"/>
    <w:rsid w:val="3B4E2EEA"/>
    <w:rsid w:val="3B4F27BE"/>
    <w:rsid w:val="3B4F413C"/>
    <w:rsid w:val="3B502453"/>
    <w:rsid w:val="3B5070A0"/>
    <w:rsid w:val="3B510614"/>
    <w:rsid w:val="3B514E5E"/>
    <w:rsid w:val="3B516ED3"/>
    <w:rsid w:val="3B517414"/>
    <w:rsid w:val="3B522FDE"/>
    <w:rsid w:val="3B527BAD"/>
    <w:rsid w:val="3B530501"/>
    <w:rsid w:val="3B5322AF"/>
    <w:rsid w:val="3B53405D"/>
    <w:rsid w:val="3B535F17"/>
    <w:rsid w:val="3B537319"/>
    <w:rsid w:val="3B540607"/>
    <w:rsid w:val="3B541666"/>
    <w:rsid w:val="3B5427DE"/>
    <w:rsid w:val="3B546F95"/>
    <w:rsid w:val="3B547DD5"/>
    <w:rsid w:val="3B550425"/>
    <w:rsid w:val="3B555854"/>
    <w:rsid w:val="3B556027"/>
    <w:rsid w:val="3B563B4D"/>
    <w:rsid w:val="3B567FF1"/>
    <w:rsid w:val="3B571D54"/>
    <w:rsid w:val="3B572962"/>
    <w:rsid w:val="3B575748"/>
    <w:rsid w:val="3B575B0D"/>
    <w:rsid w:val="3B581673"/>
    <w:rsid w:val="3B582C7C"/>
    <w:rsid w:val="3B5878C5"/>
    <w:rsid w:val="3B590236"/>
    <w:rsid w:val="3B59226A"/>
    <w:rsid w:val="3B5953EB"/>
    <w:rsid w:val="3B596336"/>
    <w:rsid w:val="3B5A188F"/>
    <w:rsid w:val="3B5A363D"/>
    <w:rsid w:val="3B5A5594"/>
    <w:rsid w:val="3B5A6F24"/>
    <w:rsid w:val="3B5B1163"/>
    <w:rsid w:val="3B5B1995"/>
    <w:rsid w:val="3B5B1A73"/>
    <w:rsid w:val="3B5B2AC3"/>
    <w:rsid w:val="3B5B4297"/>
    <w:rsid w:val="3B5B5607"/>
    <w:rsid w:val="3B5B608A"/>
    <w:rsid w:val="3B5B73B5"/>
    <w:rsid w:val="3B5C0109"/>
    <w:rsid w:val="3B5C11F3"/>
    <w:rsid w:val="3B5C3FE6"/>
    <w:rsid w:val="3B5C4405"/>
    <w:rsid w:val="3B5C6287"/>
    <w:rsid w:val="3B5D137F"/>
    <w:rsid w:val="3B5D312D"/>
    <w:rsid w:val="3B5D4EDB"/>
    <w:rsid w:val="3B5D718D"/>
    <w:rsid w:val="3B5E10C5"/>
    <w:rsid w:val="3B5E2A01"/>
    <w:rsid w:val="3B5E51F7"/>
    <w:rsid w:val="3B5E64C8"/>
    <w:rsid w:val="3B5F0C53"/>
    <w:rsid w:val="3B5F40A8"/>
    <w:rsid w:val="3B5F60B3"/>
    <w:rsid w:val="3B5F694D"/>
    <w:rsid w:val="3B5F6EA5"/>
    <w:rsid w:val="3B6000E8"/>
    <w:rsid w:val="3B600A24"/>
    <w:rsid w:val="3B602018"/>
    <w:rsid w:val="3B602C1D"/>
    <w:rsid w:val="3B6030DC"/>
    <w:rsid w:val="3B606F61"/>
    <w:rsid w:val="3B6074C4"/>
    <w:rsid w:val="3B611C17"/>
    <w:rsid w:val="3B614F44"/>
    <w:rsid w:val="3B61689A"/>
    <w:rsid w:val="3B61723E"/>
    <w:rsid w:val="3B620744"/>
    <w:rsid w:val="3B6224F2"/>
    <w:rsid w:val="3B623169"/>
    <w:rsid w:val="3B625D71"/>
    <w:rsid w:val="3B626996"/>
    <w:rsid w:val="3B63549C"/>
    <w:rsid w:val="3B635567"/>
    <w:rsid w:val="3B636CF2"/>
    <w:rsid w:val="3B63740A"/>
    <w:rsid w:val="3B64373D"/>
    <w:rsid w:val="3B645B70"/>
    <w:rsid w:val="3B645C5D"/>
    <w:rsid w:val="3B651FE2"/>
    <w:rsid w:val="3B653D90"/>
    <w:rsid w:val="3B6567D9"/>
    <w:rsid w:val="3B656BCD"/>
    <w:rsid w:val="3B657F1A"/>
    <w:rsid w:val="3B660234"/>
    <w:rsid w:val="3B6613AA"/>
    <w:rsid w:val="3B6641AA"/>
    <w:rsid w:val="3B6643B5"/>
    <w:rsid w:val="3B6653A1"/>
    <w:rsid w:val="3B672905"/>
    <w:rsid w:val="3B673FAC"/>
    <w:rsid w:val="3B675D5A"/>
    <w:rsid w:val="3B676E45"/>
    <w:rsid w:val="3B677B08"/>
    <w:rsid w:val="3B6906F7"/>
    <w:rsid w:val="3B691AD2"/>
    <w:rsid w:val="3B693880"/>
    <w:rsid w:val="3B697D24"/>
    <w:rsid w:val="3B697D2B"/>
    <w:rsid w:val="3B6A11BB"/>
    <w:rsid w:val="3B6A2639"/>
    <w:rsid w:val="3B6A5A63"/>
    <w:rsid w:val="3B6A69F9"/>
    <w:rsid w:val="3B6A75F8"/>
    <w:rsid w:val="3B6B264B"/>
    <w:rsid w:val="3B6C3370"/>
    <w:rsid w:val="3B6C4DB0"/>
    <w:rsid w:val="3B6C511E"/>
    <w:rsid w:val="3B6C521C"/>
    <w:rsid w:val="3B6C6D0D"/>
    <w:rsid w:val="3B6E0E96"/>
    <w:rsid w:val="3B6E34BE"/>
    <w:rsid w:val="3B6E70E8"/>
    <w:rsid w:val="3B6E73CD"/>
    <w:rsid w:val="3B6F0DFD"/>
    <w:rsid w:val="3B6F0FCC"/>
    <w:rsid w:val="3B702638"/>
    <w:rsid w:val="3B702E61"/>
    <w:rsid w:val="3B7038EC"/>
    <w:rsid w:val="3B70502D"/>
    <w:rsid w:val="3B705B51"/>
    <w:rsid w:val="3B710987"/>
    <w:rsid w:val="3B712735"/>
    <w:rsid w:val="3B713FED"/>
    <w:rsid w:val="3B714E2B"/>
    <w:rsid w:val="3B72551C"/>
    <w:rsid w:val="3B730374"/>
    <w:rsid w:val="3B73251E"/>
    <w:rsid w:val="3B732951"/>
    <w:rsid w:val="3B7356E5"/>
    <w:rsid w:val="3B7364AD"/>
    <w:rsid w:val="3B742225"/>
    <w:rsid w:val="3B744119"/>
    <w:rsid w:val="3B7442D3"/>
    <w:rsid w:val="3B74772A"/>
    <w:rsid w:val="3B750CE3"/>
    <w:rsid w:val="3B7566C9"/>
    <w:rsid w:val="3B763CAD"/>
    <w:rsid w:val="3B7641EF"/>
    <w:rsid w:val="3B7839DE"/>
    <w:rsid w:val="3B787F67"/>
    <w:rsid w:val="3B794D55"/>
    <w:rsid w:val="3B7A3831"/>
    <w:rsid w:val="3B7A5A8D"/>
    <w:rsid w:val="3B7A751C"/>
    <w:rsid w:val="3B7B0563"/>
    <w:rsid w:val="3B7B0E8F"/>
    <w:rsid w:val="3B7B1805"/>
    <w:rsid w:val="3B7B35B3"/>
    <w:rsid w:val="3B7B539D"/>
    <w:rsid w:val="3B7B7106"/>
    <w:rsid w:val="3B7B78DB"/>
    <w:rsid w:val="3B7C1587"/>
    <w:rsid w:val="3B7C1772"/>
    <w:rsid w:val="3B7C35D0"/>
    <w:rsid w:val="3B7C3B0C"/>
    <w:rsid w:val="3B7C3C46"/>
    <w:rsid w:val="3B7C575C"/>
    <w:rsid w:val="3B7C659E"/>
    <w:rsid w:val="3B7C7A57"/>
    <w:rsid w:val="3B7D37CF"/>
    <w:rsid w:val="3B7D732B"/>
    <w:rsid w:val="3B7E2844"/>
    <w:rsid w:val="3B7E47E2"/>
    <w:rsid w:val="3B7E4A28"/>
    <w:rsid w:val="3B7E5EF0"/>
    <w:rsid w:val="3B7F0AC1"/>
    <w:rsid w:val="3B7F4A29"/>
    <w:rsid w:val="3B7F4E52"/>
    <w:rsid w:val="3B7F7254"/>
    <w:rsid w:val="3B7F7878"/>
    <w:rsid w:val="3B80015F"/>
    <w:rsid w:val="3B804F38"/>
    <w:rsid w:val="3B806E1C"/>
    <w:rsid w:val="3B810BBA"/>
    <w:rsid w:val="3B81470D"/>
    <w:rsid w:val="3B815FB2"/>
    <w:rsid w:val="3B817D3C"/>
    <w:rsid w:val="3B8209E4"/>
    <w:rsid w:val="3B820DE6"/>
    <w:rsid w:val="3B827442"/>
    <w:rsid w:val="3B830043"/>
    <w:rsid w:val="3B83192B"/>
    <w:rsid w:val="3B83362A"/>
    <w:rsid w:val="3B837FF7"/>
    <w:rsid w:val="3B842468"/>
    <w:rsid w:val="3B843992"/>
    <w:rsid w:val="3B844B5E"/>
    <w:rsid w:val="3B84690C"/>
    <w:rsid w:val="3B855DC3"/>
    <w:rsid w:val="3B8561E0"/>
    <w:rsid w:val="3B862684"/>
    <w:rsid w:val="3B8669F9"/>
    <w:rsid w:val="3B8701AA"/>
    <w:rsid w:val="3B87051C"/>
    <w:rsid w:val="3B8718C9"/>
    <w:rsid w:val="3B871E24"/>
    <w:rsid w:val="3B873FDB"/>
    <w:rsid w:val="3B8763FC"/>
    <w:rsid w:val="3B880A2E"/>
    <w:rsid w:val="3B8817F2"/>
    <w:rsid w:val="3B8845D3"/>
    <w:rsid w:val="3B89175E"/>
    <w:rsid w:val="3B892174"/>
    <w:rsid w:val="3B892DE0"/>
    <w:rsid w:val="3B895CD0"/>
    <w:rsid w:val="3B896353"/>
    <w:rsid w:val="3B89694A"/>
    <w:rsid w:val="3B8A1716"/>
    <w:rsid w:val="3B8A184B"/>
    <w:rsid w:val="3B8A37F6"/>
    <w:rsid w:val="3B8A478E"/>
    <w:rsid w:val="3B8A77A2"/>
    <w:rsid w:val="3B8B0E9F"/>
    <w:rsid w:val="3B8B18E9"/>
    <w:rsid w:val="3B8B1A48"/>
    <w:rsid w:val="3B8B1C35"/>
    <w:rsid w:val="3B8B282F"/>
    <w:rsid w:val="3B8B7C9A"/>
    <w:rsid w:val="3B8C0126"/>
    <w:rsid w:val="3B8C1067"/>
    <w:rsid w:val="3B8C17C0"/>
    <w:rsid w:val="3B8C3A12"/>
    <w:rsid w:val="3B8C57C0"/>
    <w:rsid w:val="3B8C62A3"/>
    <w:rsid w:val="3B8C756F"/>
    <w:rsid w:val="3B8D6E91"/>
    <w:rsid w:val="3B8E1539"/>
    <w:rsid w:val="3B8E30D9"/>
    <w:rsid w:val="3B8E32E7"/>
    <w:rsid w:val="3B8E3F34"/>
    <w:rsid w:val="3B8E59E5"/>
    <w:rsid w:val="3B8E778B"/>
    <w:rsid w:val="3B8F1A46"/>
    <w:rsid w:val="3B8F25DD"/>
    <w:rsid w:val="3B8F2824"/>
    <w:rsid w:val="3B8F440C"/>
    <w:rsid w:val="3B903503"/>
    <w:rsid w:val="3B9052B1"/>
    <w:rsid w:val="3B90705F"/>
    <w:rsid w:val="3B911029"/>
    <w:rsid w:val="3B912DD7"/>
    <w:rsid w:val="3B914282"/>
    <w:rsid w:val="3B914366"/>
    <w:rsid w:val="3B9303C7"/>
    <w:rsid w:val="3B9308FD"/>
    <w:rsid w:val="3B940235"/>
    <w:rsid w:val="3B9528C7"/>
    <w:rsid w:val="3B955524"/>
    <w:rsid w:val="3B9557DF"/>
    <w:rsid w:val="3B9577BF"/>
    <w:rsid w:val="3B9603ED"/>
    <w:rsid w:val="3B9620CF"/>
    <w:rsid w:val="3B9630B1"/>
    <w:rsid w:val="3B96315A"/>
    <w:rsid w:val="3B96663F"/>
    <w:rsid w:val="3B970B74"/>
    <w:rsid w:val="3B974891"/>
    <w:rsid w:val="3B975037"/>
    <w:rsid w:val="3B9823B7"/>
    <w:rsid w:val="3B985F13"/>
    <w:rsid w:val="3B993EA8"/>
    <w:rsid w:val="3B9956C9"/>
    <w:rsid w:val="3B99661C"/>
    <w:rsid w:val="3B9968D7"/>
    <w:rsid w:val="3B9A1AB3"/>
    <w:rsid w:val="3B9A1C8B"/>
    <w:rsid w:val="3B9A612F"/>
    <w:rsid w:val="3B9A6B59"/>
    <w:rsid w:val="3B9B45FE"/>
    <w:rsid w:val="3B9B5A04"/>
    <w:rsid w:val="3B9B79B4"/>
    <w:rsid w:val="3B9B7FE9"/>
    <w:rsid w:val="3B9C35D4"/>
    <w:rsid w:val="3B9C3FA1"/>
    <w:rsid w:val="3B9C4873"/>
    <w:rsid w:val="3B9C4E9E"/>
    <w:rsid w:val="3B9C6430"/>
    <w:rsid w:val="3B9C6D8C"/>
    <w:rsid w:val="3B9D0507"/>
    <w:rsid w:val="3B9D177C"/>
    <w:rsid w:val="3B9D2DB0"/>
    <w:rsid w:val="3B9D352A"/>
    <w:rsid w:val="3B9D404A"/>
    <w:rsid w:val="3B9D5C20"/>
    <w:rsid w:val="3B9D79CE"/>
    <w:rsid w:val="3B9E62AC"/>
    <w:rsid w:val="3B9F07E0"/>
    <w:rsid w:val="3B9F0ED7"/>
    <w:rsid w:val="3B9F2873"/>
    <w:rsid w:val="3B9F547B"/>
    <w:rsid w:val="3B9F54F4"/>
    <w:rsid w:val="3B9F696A"/>
    <w:rsid w:val="3BA05455"/>
    <w:rsid w:val="3BA05F2A"/>
    <w:rsid w:val="3BA1100F"/>
    <w:rsid w:val="3BA1126C"/>
    <w:rsid w:val="3BA17A3E"/>
    <w:rsid w:val="3BA26A2C"/>
    <w:rsid w:val="3BA26D92"/>
    <w:rsid w:val="3BA27A73"/>
    <w:rsid w:val="3BA33D80"/>
    <w:rsid w:val="3BA36271"/>
    <w:rsid w:val="3BA40D5C"/>
    <w:rsid w:val="3BA448B8"/>
    <w:rsid w:val="3BA46CC8"/>
    <w:rsid w:val="3BA50630"/>
    <w:rsid w:val="3BA527DC"/>
    <w:rsid w:val="3BA54780"/>
    <w:rsid w:val="3BA650FC"/>
    <w:rsid w:val="3BA6683D"/>
    <w:rsid w:val="3BA66882"/>
    <w:rsid w:val="3BA67C8D"/>
    <w:rsid w:val="3BA7084C"/>
    <w:rsid w:val="3BA725FA"/>
    <w:rsid w:val="3BA743A8"/>
    <w:rsid w:val="3BA77DEB"/>
    <w:rsid w:val="3BA82BFD"/>
    <w:rsid w:val="3BA90120"/>
    <w:rsid w:val="3BA925ED"/>
    <w:rsid w:val="3BA945C4"/>
    <w:rsid w:val="3BA947A4"/>
    <w:rsid w:val="3BA951BE"/>
    <w:rsid w:val="3BA96372"/>
    <w:rsid w:val="3BAA3213"/>
    <w:rsid w:val="3BAA5C47"/>
    <w:rsid w:val="3BAB20EB"/>
    <w:rsid w:val="3BAB3E99"/>
    <w:rsid w:val="3BAB4F4B"/>
    <w:rsid w:val="3BAB5CA3"/>
    <w:rsid w:val="3BAB7972"/>
    <w:rsid w:val="3BAC0F6E"/>
    <w:rsid w:val="3BAC5E63"/>
    <w:rsid w:val="3BAC6C1F"/>
    <w:rsid w:val="3BAC7C11"/>
    <w:rsid w:val="3BAD140E"/>
    <w:rsid w:val="3BAD2280"/>
    <w:rsid w:val="3BAD23FE"/>
    <w:rsid w:val="3BAD6C67"/>
    <w:rsid w:val="3BAD6F5C"/>
    <w:rsid w:val="3BAE0BE3"/>
    <w:rsid w:val="3BAE1BDB"/>
    <w:rsid w:val="3BAE2C90"/>
    <w:rsid w:val="3BAE32ED"/>
    <w:rsid w:val="3BAE3989"/>
    <w:rsid w:val="3BAE3AF7"/>
    <w:rsid w:val="3BAE4FCF"/>
    <w:rsid w:val="3BAE6660"/>
    <w:rsid w:val="3BAE6B74"/>
    <w:rsid w:val="3BAF44AE"/>
    <w:rsid w:val="3BAF7DE8"/>
    <w:rsid w:val="3BB0325D"/>
    <w:rsid w:val="3BB03B58"/>
    <w:rsid w:val="3BB03E89"/>
    <w:rsid w:val="3BB05953"/>
    <w:rsid w:val="3BB06FF2"/>
    <w:rsid w:val="3BB11CC4"/>
    <w:rsid w:val="3BB15227"/>
    <w:rsid w:val="3BB16FD5"/>
    <w:rsid w:val="3BB22DC0"/>
    <w:rsid w:val="3BB25E44"/>
    <w:rsid w:val="3BB30F9F"/>
    <w:rsid w:val="3BB35830"/>
    <w:rsid w:val="3BB36270"/>
    <w:rsid w:val="3BB371F1"/>
    <w:rsid w:val="3BB413CC"/>
    <w:rsid w:val="3BB43896"/>
    <w:rsid w:val="3BB47759"/>
    <w:rsid w:val="3BB5459C"/>
    <w:rsid w:val="3BB56A09"/>
    <w:rsid w:val="3BB56AC5"/>
    <w:rsid w:val="3BB645EB"/>
    <w:rsid w:val="3BB66F9B"/>
    <w:rsid w:val="3BB70A8F"/>
    <w:rsid w:val="3BB71250"/>
    <w:rsid w:val="3BB7355B"/>
    <w:rsid w:val="3BB801F1"/>
    <w:rsid w:val="3BB80364"/>
    <w:rsid w:val="3BB82073"/>
    <w:rsid w:val="3BB84807"/>
    <w:rsid w:val="3BB865B6"/>
    <w:rsid w:val="3BB920E2"/>
    <w:rsid w:val="3BB92C61"/>
    <w:rsid w:val="3BB96966"/>
    <w:rsid w:val="3BB9735A"/>
    <w:rsid w:val="3BBA3572"/>
    <w:rsid w:val="3BBA40DC"/>
    <w:rsid w:val="3BBB11DD"/>
    <w:rsid w:val="3BBB266D"/>
    <w:rsid w:val="3BBB4A02"/>
    <w:rsid w:val="3BBB61F5"/>
    <w:rsid w:val="3BBB75D3"/>
    <w:rsid w:val="3BBB7E54"/>
    <w:rsid w:val="3BBC0A63"/>
    <w:rsid w:val="3BBC42F8"/>
    <w:rsid w:val="3BBD3BCC"/>
    <w:rsid w:val="3BBD50FF"/>
    <w:rsid w:val="3BBD597A"/>
    <w:rsid w:val="3BBD6848"/>
    <w:rsid w:val="3BBF16F2"/>
    <w:rsid w:val="3BBF5B96"/>
    <w:rsid w:val="3BBF5F54"/>
    <w:rsid w:val="3BBF63A5"/>
    <w:rsid w:val="3BBF6B43"/>
    <w:rsid w:val="3BBF7944"/>
    <w:rsid w:val="3BC011B7"/>
    <w:rsid w:val="3BC0302D"/>
    <w:rsid w:val="3BC1190E"/>
    <w:rsid w:val="3BC12505"/>
    <w:rsid w:val="3BC1546A"/>
    <w:rsid w:val="3BC154C6"/>
    <w:rsid w:val="3BC21E3F"/>
    <w:rsid w:val="3BC307F3"/>
    <w:rsid w:val="3BC33D23"/>
    <w:rsid w:val="3BC33E98"/>
    <w:rsid w:val="3BC35686"/>
    <w:rsid w:val="3BC35D64"/>
    <w:rsid w:val="3BC437A7"/>
    <w:rsid w:val="3BC44F5A"/>
    <w:rsid w:val="3BC46D08"/>
    <w:rsid w:val="3BC471F4"/>
    <w:rsid w:val="3BC53255"/>
    <w:rsid w:val="3BC60CD2"/>
    <w:rsid w:val="3BC6175E"/>
    <w:rsid w:val="3BC61B14"/>
    <w:rsid w:val="3BC62A80"/>
    <w:rsid w:val="3BC6640D"/>
    <w:rsid w:val="3BC6673E"/>
    <w:rsid w:val="3BC71D31"/>
    <w:rsid w:val="3BC75B75"/>
    <w:rsid w:val="3BC767F9"/>
    <w:rsid w:val="3BC80364"/>
    <w:rsid w:val="3BC804D9"/>
    <w:rsid w:val="3BC82897"/>
    <w:rsid w:val="3BC82C9D"/>
    <w:rsid w:val="3BC87005"/>
    <w:rsid w:val="3BC90495"/>
    <w:rsid w:val="3BC907C3"/>
    <w:rsid w:val="3BC9431F"/>
    <w:rsid w:val="3BC9502C"/>
    <w:rsid w:val="3BC95088"/>
    <w:rsid w:val="3BC9545E"/>
    <w:rsid w:val="3BC96A15"/>
    <w:rsid w:val="3BC978A1"/>
    <w:rsid w:val="3BCA3066"/>
    <w:rsid w:val="3BCA4B63"/>
    <w:rsid w:val="3BCB453B"/>
    <w:rsid w:val="3BCB62E9"/>
    <w:rsid w:val="3BCB7DC1"/>
    <w:rsid w:val="3BCC15F6"/>
    <w:rsid w:val="3BCC2061"/>
    <w:rsid w:val="3BCD0D8C"/>
    <w:rsid w:val="3BCD3B2E"/>
    <w:rsid w:val="3BCE376E"/>
    <w:rsid w:val="3BCE6204"/>
    <w:rsid w:val="3BCE68C3"/>
    <w:rsid w:val="3BD01B51"/>
    <w:rsid w:val="3BD020FB"/>
    <w:rsid w:val="3BD06913"/>
    <w:rsid w:val="3BD11425"/>
    <w:rsid w:val="3BD17677"/>
    <w:rsid w:val="3BD213A0"/>
    <w:rsid w:val="3BD315E2"/>
    <w:rsid w:val="3BD31641"/>
    <w:rsid w:val="3BD35859"/>
    <w:rsid w:val="3BD376F2"/>
    <w:rsid w:val="3BD46CE9"/>
    <w:rsid w:val="3BD50179"/>
    <w:rsid w:val="3BD50F16"/>
    <w:rsid w:val="3BD51F6C"/>
    <w:rsid w:val="3BD57167"/>
    <w:rsid w:val="3BD60C4D"/>
    <w:rsid w:val="3BD623AD"/>
    <w:rsid w:val="3BD66A3C"/>
    <w:rsid w:val="3BD72EE0"/>
    <w:rsid w:val="3BD74C8E"/>
    <w:rsid w:val="3BD827B4"/>
    <w:rsid w:val="3BD916CB"/>
    <w:rsid w:val="3BD92649"/>
    <w:rsid w:val="3BD966E0"/>
    <w:rsid w:val="3BDA18A4"/>
    <w:rsid w:val="3BDA5B95"/>
    <w:rsid w:val="3BDA652C"/>
    <w:rsid w:val="3BDA6648"/>
    <w:rsid w:val="3BDB0AC1"/>
    <w:rsid w:val="3BDB4052"/>
    <w:rsid w:val="3BDB4111"/>
    <w:rsid w:val="3BDB7553"/>
    <w:rsid w:val="3BDC04F6"/>
    <w:rsid w:val="3BDC0B1B"/>
    <w:rsid w:val="3BDC5EF7"/>
    <w:rsid w:val="3BDC61A7"/>
    <w:rsid w:val="3BDC6748"/>
    <w:rsid w:val="3BDC690B"/>
    <w:rsid w:val="3BDD1B30"/>
    <w:rsid w:val="3BDD426E"/>
    <w:rsid w:val="3BDD601C"/>
    <w:rsid w:val="3BDD7DED"/>
    <w:rsid w:val="3BDE22A4"/>
    <w:rsid w:val="3BDE296C"/>
    <w:rsid w:val="3BDE522C"/>
    <w:rsid w:val="3BDE7738"/>
    <w:rsid w:val="3BDF14CC"/>
    <w:rsid w:val="3BDF1D94"/>
    <w:rsid w:val="3BDF2E8B"/>
    <w:rsid w:val="3BDF3901"/>
    <w:rsid w:val="3BDF3B42"/>
    <w:rsid w:val="3BDF3DFC"/>
    <w:rsid w:val="3BDF7FE6"/>
    <w:rsid w:val="3BE01154"/>
    <w:rsid w:val="3BE03287"/>
    <w:rsid w:val="3BE0528C"/>
    <w:rsid w:val="3BE07E5D"/>
    <w:rsid w:val="3BE112ED"/>
    <w:rsid w:val="3BE11DA1"/>
    <w:rsid w:val="3BE1308D"/>
    <w:rsid w:val="3BE13D5E"/>
    <w:rsid w:val="3BE1671C"/>
    <w:rsid w:val="3BE178BA"/>
    <w:rsid w:val="3BE21111"/>
    <w:rsid w:val="3BE23632"/>
    <w:rsid w:val="3BE253E0"/>
    <w:rsid w:val="3BE26A3C"/>
    <w:rsid w:val="3BE31551"/>
    <w:rsid w:val="3BE35255"/>
    <w:rsid w:val="3BE41159"/>
    <w:rsid w:val="3BE41B48"/>
    <w:rsid w:val="3BE4509D"/>
    <w:rsid w:val="3BE455FD"/>
    <w:rsid w:val="3BE473AB"/>
    <w:rsid w:val="3BE47E9E"/>
    <w:rsid w:val="3BE524B4"/>
    <w:rsid w:val="3BE52EAA"/>
    <w:rsid w:val="3BE54950"/>
    <w:rsid w:val="3BE5768C"/>
    <w:rsid w:val="3BE607D1"/>
    <w:rsid w:val="3BE61375"/>
    <w:rsid w:val="3BE63123"/>
    <w:rsid w:val="3BE63CCF"/>
    <w:rsid w:val="3BE640C5"/>
    <w:rsid w:val="3BE70C49"/>
    <w:rsid w:val="3BE7257A"/>
    <w:rsid w:val="3BE823B3"/>
    <w:rsid w:val="3BE82523"/>
    <w:rsid w:val="3BE850ED"/>
    <w:rsid w:val="3BE92650"/>
    <w:rsid w:val="3BE93EDE"/>
    <w:rsid w:val="3BE949C1"/>
    <w:rsid w:val="3BE9676F"/>
    <w:rsid w:val="3BE97A7F"/>
    <w:rsid w:val="3BEB239F"/>
    <w:rsid w:val="3BEB24E7"/>
    <w:rsid w:val="3BEC05F4"/>
    <w:rsid w:val="3BEC5690"/>
    <w:rsid w:val="3BEC625F"/>
    <w:rsid w:val="3BEC6400"/>
    <w:rsid w:val="3BEC778C"/>
    <w:rsid w:val="3BED2703"/>
    <w:rsid w:val="3BED4A31"/>
    <w:rsid w:val="3BEE0229"/>
    <w:rsid w:val="3BEE11EF"/>
    <w:rsid w:val="3BEE1FD4"/>
    <w:rsid w:val="3BEE2789"/>
    <w:rsid w:val="3BEE5019"/>
    <w:rsid w:val="3BEE647B"/>
    <w:rsid w:val="3BEF38F1"/>
    <w:rsid w:val="3BF01611"/>
    <w:rsid w:val="3BF04D81"/>
    <w:rsid w:val="3BF053AA"/>
    <w:rsid w:val="3BF055E2"/>
    <w:rsid w:val="3BF05D4F"/>
    <w:rsid w:val="3BF07261"/>
    <w:rsid w:val="3BF07AFD"/>
    <w:rsid w:val="3BF110A2"/>
    <w:rsid w:val="3BF13876"/>
    <w:rsid w:val="3BF20F2D"/>
    <w:rsid w:val="3BF21AC7"/>
    <w:rsid w:val="3BF22272"/>
    <w:rsid w:val="3BF27D19"/>
    <w:rsid w:val="3BF301AB"/>
    <w:rsid w:val="3BF33702"/>
    <w:rsid w:val="3BF33A92"/>
    <w:rsid w:val="3BF35840"/>
    <w:rsid w:val="3BF375EE"/>
    <w:rsid w:val="3BF47456"/>
    <w:rsid w:val="3BF47763"/>
    <w:rsid w:val="3BF515B8"/>
    <w:rsid w:val="3BF53366"/>
    <w:rsid w:val="3BF55114"/>
    <w:rsid w:val="3BF57A7D"/>
    <w:rsid w:val="3BF62083"/>
    <w:rsid w:val="3BF63677"/>
    <w:rsid w:val="3BF70E8C"/>
    <w:rsid w:val="3BF71BF8"/>
    <w:rsid w:val="3BF75330"/>
    <w:rsid w:val="3BF770DE"/>
    <w:rsid w:val="3BF81C23"/>
    <w:rsid w:val="3BF82E56"/>
    <w:rsid w:val="3BF860E4"/>
    <w:rsid w:val="3BF87CCA"/>
    <w:rsid w:val="3BF905BC"/>
    <w:rsid w:val="3BF910A8"/>
    <w:rsid w:val="3BF91E9E"/>
    <w:rsid w:val="3BFA1E11"/>
    <w:rsid w:val="3BFA4E20"/>
    <w:rsid w:val="3BFA5DC5"/>
    <w:rsid w:val="3BFA6BCE"/>
    <w:rsid w:val="3BFB3F1A"/>
    <w:rsid w:val="3BFB4A65"/>
    <w:rsid w:val="3BFC2946"/>
    <w:rsid w:val="3BFC5062"/>
    <w:rsid w:val="3BFC591D"/>
    <w:rsid w:val="3BFC5EF5"/>
    <w:rsid w:val="3BFC64A2"/>
    <w:rsid w:val="3BFC69C1"/>
    <w:rsid w:val="3BFD046C"/>
    <w:rsid w:val="3BFD26A6"/>
    <w:rsid w:val="3BFD7530"/>
    <w:rsid w:val="3BFE0DB7"/>
    <w:rsid w:val="3BFE2600"/>
    <w:rsid w:val="3BFE77A0"/>
    <w:rsid w:val="3BFF06C7"/>
    <w:rsid w:val="3BFF1BB0"/>
    <w:rsid w:val="3BFF1F27"/>
    <w:rsid w:val="3BFF41E4"/>
    <w:rsid w:val="3BFF5DC1"/>
    <w:rsid w:val="3BFF5F92"/>
    <w:rsid w:val="3C004876"/>
    <w:rsid w:val="3C004B5C"/>
    <w:rsid w:val="3C0059B2"/>
    <w:rsid w:val="3C0108D7"/>
    <w:rsid w:val="3C011B7F"/>
    <w:rsid w:val="3C011D0B"/>
    <w:rsid w:val="3C014B0A"/>
    <w:rsid w:val="3C020626"/>
    <w:rsid w:val="3C026139"/>
    <w:rsid w:val="3C027831"/>
    <w:rsid w:val="3C027F6F"/>
    <w:rsid w:val="3C0307C2"/>
    <w:rsid w:val="3C033CD5"/>
    <w:rsid w:val="3C034FCA"/>
    <w:rsid w:val="3C0356E6"/>
    <w:rsid w:val="3C0401BA"/>
    <w:rsid w:val="3C0417FB"/>
    <w:rsid w:val="3C0435A9"/>
    <w:rsid w:val="3C044687"/>
    <w:rsid w:val="3C047A4D"/>
    <w:rsid w:val="3C052377"/>
    <w:rsid w:val="3C0531A8"/>
    <w:rsid w:val="3C055B17"/>
    <w:rsid w:val="3C057788"/>
    <w:rsid w:val="3C061489"/>
    <w:rsid w:val="3C06291E"/>
    <w:rsid w:val="3C0637C5"/>
    <w:rsid w:val="3C06429A"/>
    <w:rsid w:val="3C065C66"/>
    <w:rsid w:val="3C067321"/>
    <w:rsid w:val="3C073008"/>
    <w:rsid w:val="3C073099"/>
    <w:rsid w:val="3C074E47"/>
    <w:rsid w:val="3C0812EB"/>
    <w:rsid w:val="3C081C27"/>
    <w:rsid w:val="3C08263E"/>
    <w:rsid w:val="3C08441A"/>
    <w:rsid w:val="3C085B82"/>
    <w:rsid w:val="3C085BD9"/>
    <w:rsid w:val="3C087302"/>
    <w:rsid w:val="3C093BF4"/>
    <w:rsid w:val="3C094DE6"/>
    <w:rsid w:val="3C095063"/>
    <w:rsid w:val="3C097069"/>
    <w:rsid w:val="3C0A04E7"/>
    <w:rsid w:val="3C0A0ADE"/>
    <w:rsid w:val="3C0A10B1"/>
    <w:rsid w:val="3C0A3FE8"/>
    <w:rsid w:val="3C0A62BC"/>
    <w:rsid w:val="3C0A65B6"/>
    <w:rsid w:val="3C0B0DDB"/>
    <w:rsid w:val="3C0B1989"/>
    <w:rsid w:val="3C0B36C2"/>
    <w:rsid w:val="3C0B4937"/>
    <w:rsid w:val="3C0B666F"/>
    <w:rsid w:val="3C0B7252"/>
    <w:rsid w:val="3C0C59EA"/>
    <w:rsid w:val="3C0C77B3"/>
    <w:rsid w:val="3C0D06AF"/>
    <w:rsid w:val="3C0D168A"/>
    <w:rsid w:val="3C0D4232"/>
    <w:rsid w:val="3C0D452D"/>
    <w:rsid w:val="3C0D4B53"/>
    <w:rsid w:val="3C0D6901"/>
    <w:rsid w:val="3C0D6E7A"/>
    <w:rsid w:val="3C0E4427"/>
    <w:rsid w:val="3C0E6BAC"/>
    <w:rsid w:val="3C0E6D23"/>
    <w:rsid w:val="3C0E7877"/>
    <w:rsid w:val="3C0F179A"/>
    <w:rsid w:val="3C0F2797"/>
    <w:rsid w:val="3C1001A0"/>
    <w:rsid w:val="3C101F4E"/>
    <w:rsid w:val="3C102C2A"/>
    <w:rsid w:val="3C103FD8"/>
    <w:rsid w:val="3C105604"/>
    <w:rsid w:val="3C105682"/>
    <w:rsid w:val="3C1057C0"/>
    <w:rsid w:val="3C1057FB"/>
    <w:rsid w:val="3C1063F2"/>
    <w:rsid w:val="3C1135DB"/>
    <w:rsid w:val="3C115673"/>
    <w:rsid w:val="3C12216A"/>
    <w:rsid w:val="3C123954"/>
    <w:rsid w:val="3C125A73"/>
    <w:rsid w:val="3C125CC6"/>
    <w:rsid w:val="3C131A3E"/>
    <w:rsid w:val="3C132650"/>
    <w:rsid w:val="3C144002"/>
    <w:rsid w:val="3C145EE2"/>
    <w:rsid w:val="3C150B5C"/>
    <w:rsid w:val="3C163B20"/>
    <w:rsid w:val="3C170BAA"/>
    <w:rsid w:val="3C17152E"/>
    <w:rsid w:val="3C173922"/>
    <w:rsid w:val="3C176D92"/>
    <w:rsid w:val="3C17787E"/>
    <w:rsid w:val="3C182D02"/>
    <w:rsid w:val="3C1852A6"/>
    <w:rsid w:val="3C186796"/>
    <w:rsid w:val="3C1934F8"/>
    <w:rsid w:val="3C196B5E"/>
    <w:rsid w:val="3C1A0E55"/>
    <w:rsid w:val="3C1A3DBA"/>
    <w:rsid w:val="3C1A5799"/>
    <w:rsid w:val="3C1A7FEE"/>
    <w:rsid w:val="3C1B789D"/>
    <w:rsid w:val="3C1C08F2"/>
    <w:rsid w:val="3C1D28C0"/>
    <w:rsid w:val="3C1D2973"/>
    <w:rsid w:val="3C1D466B"/>
    <w:rsid w:val="3C1D696F"/>
    <w:rsid w:val="3C1E08C4"/>
    <w:rsid w:val="3C1E0B0E"/>
    <w:rsid w:val="3C1E1B48"/>
    <w:rsid w:val="3C1E28BD"/>
    <w:rsid w:val="3C1E61B9"/>
    <w:rsid w:val="3C1F03E3"/>
    <w:rsid w:val="3C1F3252"/>
    <w:rsid w:val="3C1F3E60"/>
    <w:rsid w:val="3C1F6635"/>
    <w:rsid w:val="3C2003CD"/>
    <w:rsid w:val="3C2019E3"/>
    <w:rsid w:val="3C202D31"/>
    <w:rsid w:val="3C210515"/>
    <w:rsid w:val="3C2105FF"/>
    <w:rsid w:val="3C2110A1"/>
    <w:rsid w:val="3C211DCF"/>
    <w:rsid w:val="3C2123AD"/>
    <w:rsid w:val="3C215F09"/>
    <w:rsid w:val="3C242530"/>
    <w:rsid w:val="3C242C88"/>
    <w:rsid w:val="3C2459F9"/>
    <w:rsid w:val="3C261771"/>
    <w:rsid w:val="3C262651"/>
    <w:rsid w:val="3C2638F5"/>
    <w:rsid w:val="3C2647E2"/>
    <w:rsid w:val="3C265C15"/>
    <w:rsid w:val="3C2679C3"/>
    <w:rsid w:val="3C272FA6"/>
    <w:rsid w:val="3C27405D"/>
    <w:rsid w:val="3C277297"/>
    <w:rsid w:val="3C280697"/>
    <w:rsid w:val="3C28373B"/>
    <w:rsid w:val="3C283EE7"/>
    <w:rsid w:val="3C29097F"/>
    <w:rsid w:val="3C291261"/>
    <w:rsid w:val="3C29300F"/>
    <w:rsid w:val="3C296BBC"/>
    <w:rsid w:val="3C2979A9"/>
    <w:rsid w:val="3C297AE3"/>
    <w:rsid w:val="3C2A0062"/>
    <w:rsid w:val="3C2B1813"/>
    <w:rsid w:val="3C2B322B"/>
    <w:rsid w:val="3C2C3F73"/>
    <w:rsid w:val="3C2D0D52"/>
    <w:rsid w:val="3C2D2B00"/>
    <w:rsid w:val="3C2E0626"/>
    <w:rsid w:val="3C2E6878"/>
    <w:rsid w:val="3C2F4E38"/>
    <w:rsid w:val="3C2F632F"/>
    <w:rsid w:val="3C2F6E1E"/>
    <w:rsid w:val="3C301089"/>
    <w:rsid w:val="3C30439E"/>
    <w:rsid w:val="3C305AC0"/>
    <w:rsid w:val="3C3074D8"/>
    <w:rsid w:val="3C3148A8"/>
    <w:rsid w:val="3C320116"/>
    <w:rsid w:val="3C3230AB"/>
    <w:rsid w:val="3C323556"/>
    <w:rsid w:val="3C324B34"/>
    <w:rsid w:val="3C326368"/>
    <w:rsid w:val="3C327705"/>
    <w:rsid w:val="3C333E8E"/>
    <w:rsid w:val="3C33495D"/>
    <w:rsid w:val="3C334B45"/>
    <w:rsid w:val="3C335C3C"/>
    <w:rsid w:val="3C337A30"/>
    <w:rsid w:val="3C340332"/>
    <w:rsid w:val="3C341846"/>
    <w:rsid w:val="3C342025"/>
    <w:rsid w:val="3C347002"/>
    <w:rsid w:val="3C35191C"/>
    <w:rsid w:val="3C3519B4"/>
    <w:rsid w:val="3C354958"/>
    <w:rsid w:val="3C355B42"/>
    <w:rsid w:val="3C355E58"/>
    <w:rsid w:val="3C355FA3"/>
    <w:rsid w:val="3C357C06"/>
    <w:rsid w:val="3C365A97"/>
    <w:rsid w:val="3C366065"/>
    <w:rsid w:val="3C370BA9"/>
    <w:rsid w:val="3C371BD0"/>
    <w:rsid w:val="3C3723B9"/>
    <w:rsid w:val="3C373022"/>
    <w:rsid w:val="3C3814A4"/>
    <w:rsid w:val="3C383577"/>
    <w:rsid w:val="3C390503"/>
    <w:rsid w:val="3C391EAE"/>
    <w:rsid w:val="3C3928EC"/>
    <w:rsid w:val="3C394A07"/>
    <w:rsid w:val="3C3A521C"/>
    <w:rsid w:val="3C3A6FCB"/>
    <w:rsid w:val="3C3B53EC"/>
    <w:rsid w:val="3C3B55A9"/>
    <w:rsid w:val="3C3B65FE"/>
    <w:rsid w:val="3C3B7DAE"/>
    <w:rsid w:val="3C3C0F95"/>
    <w:rsid w:val="3C3C2B3B"/>
    <w:rsid w:val="3C3C2D43"/>
    <w:rsid w:val="3C3C5882"/>
    <w:rsid w:val="3C3D2DE4"/>
    <w:rsid w:val="3C3D6ABB"/>
    <w:rsid w:val="3C3D6D89"/>
    <w:rsid w:val="3C3E05FB"/>
    <w:rsid w:val="3C3E0628"/>
    <w:rsid w:val="3C3E3D5C"/>
    <w:rsid w:val="3C3F0A85"/>
    <w:rsid w:val="3C3F2833"/>
    <w:rsid w:val="3C3F2F88"/>
    <w:rsid w:val="3C410359"/>
    <w:rsid w:val="3C413199"/>
    <w:rsid w:val="3C413397"/>
    <w:rsid w:val="3C4147FD"/>
    <w:rsid w:val="3C415D6A"/>
    <w:rsid w:val="3C4165AB"/>
    <w:rsid w:val="3C426591"/>
    <w:rsid w:val="3C430575"/>
    <w:rsid w:val="3C43068A"/>
    <w:rsid w:val="3C432323"/>
    <w:rsid w:val="3C437D2E"/>
    <w:rsid w:val="3C4413FC"/>
    <w:rsid w:val="3C44609B"/>
    <w:rsid w:val="3C4472D5"/>
    <w:rsid w:val="3C447D62"/>
    <w:rsid w:val="3C447E49"/>
    <w:rsid w:val="3C452A09"/>
    <w:rsid w:val="3C452FAA"/>
    <w:rsid w:val="3C4542ED"/>
    <w:rsid w:val="3C455140"/>
    <w:rsid w:val="3C45750D"/>
    <w:rsid w:val="3C460065"/>
    <w:rsid w:val="3C4612AF"/>
    <w:rsid w:val="3C461E13"/>
    <w:rsid w:val="3C464E2D"/>
    <w:rsid w:val="3C46700B"/>
    <w:rsid w:val="3C474D2F"/>
    <w:rsid w:val="3C477133"/>
    <w:rsid w:val="3C4816E7"/>
    <w:rsid w:val="3C481FF0"/>
    <w:rsid w:val="3C483E5C"/>
    <w:rsid w:val="3C484908"/>
    <w:rsid w:val="3C485B8B"/>
    <w:rsid w:val="3C487939"/>
    <w:rsid w:val="3C49034A"/>
    <w:rsid w:val="3C492DBB"/>
    <w:rsid w:val="3C495460"/>
    <w:rsid w:val="3C4A142A"/>
    <w:rsid w:val="3C4A2668"/>
    <w:rsid w:val="3C4A424B"/>
    <w:rsid w:val="3C4A5420"/>
    <w:rsid w:val="3C4B11D8"/>
    <w:rsid w:val="3C4B19ED"/>
    <w:rsid w:val="3C4B2C56"/>
    <w:rsid w:val="3C4B567C"/>
    <w:rsid w:val="3C4B6577"/>
    <w:rsid w:val="3C4B742A"/>
    <w:rsid w:val="3C4B7798"/>
    <w:rsid w:val="3C4C0B25"/>
    <w:rsid w:val="3C4C132E"/>
    <w:rsid w:val="3C4C13FF"/>
    <w:rsid w:val="3C4C170C"/>
    <w:rsid w:val="3C4C173C"/>
    <w:rsid w:val="3C4C43ED"/>
    <w:rsid w:val="3C4D3F3F"/>
    <w:rsid w:val="3C4D5506"/>
    <w:rsid w:val="3C4D5E72"/>
    <w:rsid w:val="3C4D6CFE"/>
    <w:rsid w:val="3C4E0CC8"/>
    <w:rsid w:val="3C4F2EE0"/>
    <w:rsid w:val="3C4F5BAE"/>
    <w:rsid w:val="3C4F64BA"/>
    <w:rsid w:val="3C4F65B4"/>
    <w:rsid w:val="3C4F6F1A"/>
    <w:rsid w:val="3C5000BD"/>
    <w:rsid w:val="3C5017FE"/>
    <w:rsid w:val="3C505D24"/>
    <w:rsid w:val="3C5067EE"/>
    <w:rsid w:val="3C50711C"/>
    <w:rsid w:val="3C5107FB"/>
    <w:rsid w:val="3C51154D"/>
    <w:rsid w:val="3C5140EB"/>
    <w:rsid w:val="3C51411E"/>
    <w:rsid w:val="3C516F2C"/>
    <w:rsid w:val="3C520284"/>
    <w:rsid w:val="3C5207B8"/>
    <w:rsid w:val="3C522566"/>
    <w:rsid w:val="3C522D8D"/>
    <w:rsid w:val="3C523011"/>
    <w:rsid w:val="3C524DF5"/>
    <w:rsid w:val="3C530552"/>
    <w:rsid w:val="3C5305BC"/>
    <w:rsid w:val="3C530F79"/>
    <w:rsid w:val="3C541977"/>
    <w:rsid w:val="3C544530"/>
    <w:rsid w:val="3C5462DE"/>
    <w:rsid w:val="3C5502A8"/>
    <w:rsid w:val="3C552056"/>
    <w:rsid w:val="3C55331F"/>
    <w:rsid w:val="3C554718"/>
    <w:rsid w:val="3C55699F"/>
    <w:rsid w:val="3C563686"/>
    <w:rsid w:val="3C563789"/>
    <w:rsid w:val="3C563F2F"/>
    <w:rsid w:val="3C564607"/>
    <w:rsid w:val="3C56470C"/>
    <w:rsid w:val="3C566B00"/>
    <w:rsid w:val="3C574FD5"/>
    <w:rsid w:val="3C577B7C"/>
    <w:rsid w:val="3C581DE2"/>
    <w:rsid w:val="3C586481"/>
    <w:rsid w:val="3C591B47"/>
    <w:rsid w:val="3C591C0A"/>
    <w:rsid w:val="3C5928B0"/>
    <w:rsid w:val="3C5938F5"/>
    <w:rsid w:val="3C595A6D"/>
    <w:rsid w:val="3C596B3D"/>
    <w:rsid w:val="3C597D99"/>
    <w:rsid w:val="3C5A141B"/>
    <w:rsid w:val="3C5A36E4"/>
    <w:rsid w:val="3C5A58BF"/>
    <w:rsid w:val="3C5B51D0"/>
    <w:rsid w:val="3C5B6C00"/>
    <w:rsid w:val="3C5C1231"/>
    <w:rsid w:val="3C5C1637"/>
    <w:rsid w:val="3C5C33E5"/>
    <w:rsid w:val="3C5C5193"/>
    <w:rsid w:val="3C5D35A1"/>
    <w:rsid w:val="3C5D3E02"/>
    <w:rsid w:val="3C5D79A7"/>
    <w:rsid w:val="3C5E0F0B"/>
    <w:rsid w:val="3C5E5292"/>
    <w:rsid w:val="3C5E53AF"/>
    <w:rsid w:val="3C5E60EB"/>
    <w:rsid w:val="3C5E6464"/>
    <w:rsid w:val="3C5F4C83"/>
    <w:rsid w:val="3C5F6A31"/>
    <w:rsid w:val="3C5F759A"/>
    <w:rsid w:val="3C601127"/>
    <w:rsid w:val="3C60501B"/>
    <w:rsid w:val="3C607E53"/>
    <w:rsid w:val="3C6109FB"/>
    <w:rsid w:val="3C610B51"/>
    <w:rsid w:val="3C610E84"/>
    <w:rsid w:val="3C6127A9"/>
    <w:rsid w:val="3C6129FE"/>
    <w:rsid w:val="3C616C4D"/>
    <w:rsid w:val="3C62141A"/>
    <w:rsid w:val="3C6258B2"/>
    <w:rsid w:val="3C626204"/>
    <w:rsid w:val="3C632AF7"/>
    <w:rsid w:val="3C6345C4"/>
    <w:rsid w:val="3C634773"/>
    <w:rsid w:val="3C634F70"/>
    <w:rsid w:val="3C6378B1"/>
    <w:rsid w:val="3C64022C"/>
    <w:rsid w:val="3C64126C"/>
    <w:rsid w:val="3C642299"/>
    <w:rsid w:val="3C642BDD"/>
    <w:rsid w:val="3C6458B9"/>
    <w:rsid w:val="3C6461A7"/>
    <w:rsid w:val="3C6479C3"/>
    <w:rsid w:val="3C6504EB"/>
    <w:rsid w:val="3C650735"/>
    <w:rsid w:val="3C650E53"/>
    <w:rsid w:val="3C652594"/>
    <w:rsid w:val="3C65673D"/>
    <w:rsid w:val="3C6638E1"/>
    <w:rsid w:val="3C663A24"/>
    <w:rsid w:val="3C666012"/>
    <w:rsid w:val="3C670A7D"/>
    <w:rsid w:val="3C672B37"/>
    <w:rsid w:val="3C6747F7"/>
    <w:rsid w:val="3C676166"/>
    <w:rsid w:val="3C676344"/>
    <w:rsid w:val="3C683B38"/>
    <w:rsid w:val="3C68717A"/>
    <w:rsid w:val="3C687FDC"/>
    <w:rsid w:val="3C6A1FA0"/>
    <w:rsid w:val="3C6A2F4F"/>
    <w:rsid w:val="3C6A368A"/>
    <w:rsid w:val="3C6A3C45"/>
    <w:rsid w:val="3C6A5B02"/>
    <w:rsid w:val="3C6A7FDD"/>
    <w:rsid w:val="3C6B187A"/>
    <w:rsid w:val="3C6B33AC"/>
    <w:rsid w:val="3C6B3628"/>
    <w:rsid w:val="3C6B53DE"/>
    <w:rsid w:val="3C6C3B81"/>
    <w:rsid w:val="3C6D114E"/>
    <w:rsid w:val="3C6D14F0"/>
    <w:rsid w:val="3C6D5A4D"/>
    <w:rsid w:val="3C6D6F53"/>
    <w:rsid w:val="3C6E3646"/>
    <w:rsid w:val="3C6E753D"/>
    <w:rsid w:val="3C6F086C"/>
    <w:rsid w:val="3C6F3118"/>
    <w:rsid w:val="3C6F5374"/>
    <w:rsid w:val="3C6F6279"/>
    <w:rsid w:val="3C7030B7"/>
    <w:rsid w:val="3C706E90"/>
    <w:rsid w:val="3C710B37"/>
    <w:rsid w:val="3C710B39"/>
    <w:rsid w:val="3C7110D9"/>
    <w:rsid w:val="3C712066"/>
    <w:rsid w:val="3C712097"/>
    <w:rsid w:val="3C713184"/>
    <w:rsid w:val="3C717800"/>
    <w:rsid w:val="3C717EA4"/>
    <w:rsid w:val="3C720E5A"/>
    <w:rsid w:val="3C72753C"/>
    <w:rsid w:val="3C74390C"/>
    <w:rsid w:val="3C744AC4"/>
    <w:rsid w:val="3C746980"/>
    <w:rsid w:val="3C7474B8"/>
    <w:rsid w:val="3C750759"/>
    <w:rsid w:val="3C750A8A"/>
    <w:rsid w:val="3C7544A7"/>
    <w:rsid w:val="3C76070B"/>
    <w:rsid w:val="3C7649A9"/>
    <w:rsid w:val="3C7649AB"/>
    <w:rsid w:val="3C7704C4"/>
    <w:rsid w:val="3C775E39"/>
    <w:rsid w:val="3C776471"/>
    <w:rsid w:val="3C7765EB"/>
    <w:rsid w:val="3C776BC5"/>
    <w:rsid w:val="3C777E35"/>
    <w:rsid w:val="3C782D92"/>
    <w:rsid w:val="3C784DF5"/>
    <w:rsid w:val="3C7872C9"/>
    <w:rsid w:val="3C787D9B"/>
    <w:rsid w:val="3C791E9A"/>
    <w:rsid w:val="3C7921E9"/>
    <w:rsid w:val="3C792A52"/>
    <w:rsid w:val="3C793F6A"/>
    <w:rsid w:val="3C795D45"/>
    <w:rsid w:val="3C796F7E"/>
    <w:rsid w:val="3C79704E"/>
    <w:rsid w:val="3C797AF3"/>
    <w:rsid w:val="3C7A1ABD"/>
    <w:rsid w:val="3C7A386B"/>
    <w:rsid w:val="3C7B45E4"/>
    <w:rsid w:val="3C7B60AB"/>
    <w:rsid w:val="3C7B738B"/>
    <w:rsid w:val="3C7B7669"/>
    <w:rsid w:val="3C7C1C1C"/>
    <w:rsid w:val="3C7C3A87"/>
    <w:rsid w:val="3C7C75E3"/>
    <w:rsid w:val="3C7D1EF1"/>
    <w:rsid w:val="3C7D2A83"/>
    <w:rsid w:val="3C7D3838"/>
    <w:rsid w:val="3C7D7AB1"/>
    <w:rsid w:val="3C7E77FF"/>
    <w:rsid w:val="3C7F2AE6"/>
    <w:rsid w:val="3C7F3D51"/>
    <w:rsid w:val="3C7F5D0C"/>
    <w:rsid w:val="3C801C76"/>
    <w:rsid w:val="3C801EE8"/>
    <w:rsid w:val="3C805325"/>
    <w:rsid w:val="3C81062C"/>
    <w:rsid w:val="3C812E4B"/>
    <w:rsid w:val="3C8144DF"/>
    <w:rsid w:val="3C8169FD"/>
    <w:rsid w:val="3C821017"/>
    <w:rsid w:val="3C830972"/>
    <w:rsid w:val="3C832E6E"/>
    <w:rsid w:val="3C835B1D"/>
    <w:rsid w:val="3C836BC3"/>
    <w:rsid w:val="3C841AAF"/>
    <w:rsid w:val="3C843B67"/>
    <w:rsid w:val="3C8446EA"/>
    <w:rsid w:val="3C84487F"/>
    <w:rsid w:val="3C850B8E"/>
    <w:rsid w:val="3C85293C"/>
    <w:rsid w:val="3C857EF1"/>
    <w:rsid w:val="3C8618CD"/>
    <w:rsid w:val="3C8666B4"/>
    <w:rsid w:val="3C86689A"/>
    <w:rsid w:val="3C870A3E"/>
    <w:rsid w:val="3C870DD1"/>
    <w:rsid w:val="3C881BE5"/>
    <w:rsid w:val="3C882BAE"/>
    <w:rsid w:val="3C882D21"/>
    <w:rsid w:val="3C883401"/>
    <w:rsid w:val="3C885F88"/>
    <w:rsid w:val="3C886DBE"/>
    <w:rsid w:val="3C887C2E"/>
    <w:rsid w:val="3C89042C"/>
    <w:rsid w:val="3C89546F"/>
    <w:rsid w:val="3C89551E"/>
    <w:rsid w:val="3C8A01B4"/>
    <w:rsid w:val="3C8A1D00"/>
    <w:rsid w:val="3C8A3A9A"/>
    <w:rsid w:val="3C8A3F06"/>
    <w:rsid w:val="3C8A61A4"/>
    <w:rsid w:val="3C8A763E"/>
    <w:rsid w:val="3C8B3CCA"/>
    <w:rsid w:val="3C8B42AF"/>
    <w:rsid w:val="3C8B5A78"/>
    <w:rsid w:val="3C8C573F"/>
    <w:rsid w:val="3C8C6F6D"/>
    <w:rsid w:val="3C8D005F"/>
    <w:rsid w:val="3C8D17F0"/>
    <w:rsid w:val="3C8D1A82"/>
    <w:rsid w:val="3C8D7A42"/>
    <w:rsid w:val="3C8E1234"/>
    <w:rsid w:val="3C8E2983"/>
    <w:rsid w:val="3C8E2AA2"/>
    <w:rsid w:val="3C8E2BB7"/>
    <w:rsid w:val="3C8E6BF6"/>
    <w:rsid w:val="3C8F153C"/>
    <w:rsid w:val="3C8F40C0"/>
    <w:rsid w:val="3C8F68C7"/>
    <w:rsid w:val="3C8F7316"/>
    <w:rsid w:val="3C900121"/>
    <w:rsid w:val="3C905B6A"/>
    <w:rsid w:val="3C907A3B"/>
    <w:rsid w:val="3C917532"/>
    <w:rsid w:val="3C920BB5"/>
    <w:rsid w:val="3C9219BD"/>
    <w:rsid w:val="3C9233DC"/>
    <w:rsid w:val="3C9257DA"/>
    <w:rsid w:val="3C926E07"/>
    <w:rsid w:val="3C931B5B"/>
    <w:rsid w:val="3C932321"/>
    <w:rsid w:val="3C932BC1"/>
    <w:rsid w:val="3C934F8C"/>
    <w:rsid w:val="3C940DD1"/>
    <w:rsid w:val="3C942B7F"/>
    <w:rsid w:val="3C9506A5"/>
    <w:rsid w:val="3C9573FD"/>
    <w:rsid w:val="3C960A82"/>
    <w:rsid w:val="3C9613C2"/>
    <w:rsid w:val="3C96162E"/>
    <w:rsid w:val="3C962583"/>
    <w:rsid w:val="3C9708C1"/>
    <w:rsid w:val="3C97266F"/>
    <w:rsid w:val="3C972852"/>
    <w:rsid w:val="3C97441D"/>
    <w:rsid w:val="3C9778E4"/>
    <w:rsid w:val="3C983CE2"/>
    <w:rsid w:val="3C9868B3"/>
    <w:rsid w:val="3C990A4A"/>
    <w:rsid w:val="3C991F43"/>
    <w:rsid w:val="3C9963E7"/>
    <w:rsid w:val="3C997D43"/>
    <w:rsid w:val="3C9A4205"/>
    <w:rsid w:val="3C9B215F"/>
    <w:rsid w:val="3C9B28DC"/>
    <w:rsid w:val="3C9B3DA4"/>
    <w:rsid w:val="3C9B3F0D"/>
    <w:rsid w:val="3C9C1A33"/>
    <w:rsid w:val="3C9C43AB"/>
    <w:rsid w:val="3C9C5234"/>
    <w:rsid w:val="3C9C7C85"/>
    <w:rsid w:val="3C9D00B7"/>
    <w:rsid w:val="3C9D0755"/>
    <w:rsid w:val="3C9D4755"/>
    <w:rsid w:val="3C9D609A"/>
    <w:rsid w:val="3C9E2725"/>
    <w:rsid w:val="3C9E39FD"/>
    <w:rsid w:val="3C9E3D4D"/>
    <w:rsid w:val="3C9E4BD6"/>
    <w:rsid w:val="3C9E57AB"/>
    <w:rsid w:val="3C9F07CB"/>
    <w:rsid w:val="3C9F0B3A"/>
    <w:rsid w:val="3C9F0BE2"/>
    <w:rsid w:val="3C9F2E82"/>
    <w:rsid w:val="3C9F3997"/>
    <w:rsid w:val="3C9F3BB5"/>
    <w:rsid w:val="3C9F7256"/>
    <w:rsid w:val="3CA05045"/>
    <w:rsid w:val="3CA07C16"/>
    <w:rsid w:val="3CA110A6"/>
    <w:rsid w:val="3CA134EE"/>
    <w:rsid w:val="3CA14013"/>
    <w:rsid w:val="3CA1529C"/>
    <w:rsid w:val="3CA1704A"/>
    <w:rsid w:val="3CA17128"/>
    <w:rsid w:val="3CA23502"/>
    <w:rsid w:val="3CA26E3B"/>
    <w:rsid w:val="3CA31014"/>
    <w:rsid w:val="3CA32DC2"/>
    <w:rsid w:val="3CA347C1"/>
    <w:rsid w:val="3CA40511"/>
    <w:rsid w:val="3CA408E8"/>
    <w:rsid w:val="3CA40FCE"/>
    <w:rsid w:val="3CA43A06"/>
    <w:rsid w:val="3CA46597"/>
    <w:rsid w:val="3CA51C1E"/>
    <w:rsid w:val="3CA52B48"/>
    <w:rsid w:val="3CA52FDE"/>
    <w:rsid w:val="3CA54D8C"/>
    <w:rsid w:val="3CA56B3A"/>
    <w:rsid w:val="3CA64660"/>
    <w:rsid w:val="3CA70D07"/>
    <w:rsid w:val="3CA803D8"/>
    <w:rsid w:val="3CA8515B"/>
    <w:rsid w:val="3CA961A8"/>
    <w:rsid w:val="3CA97838"/>
    <w:rsid w:val="3CAA05F4"/>
    <w:rsid w:val="3CAA23A2"/>
    <w:rsid w:val="3CAA4150"/>
    <w:rsid w:val="3CAA41EB"/>
    <w:rsid w:val="3CAB1C76"/>
    <w:rsid w:val="3CAC116A"/>
    <w:rsid w:val="3CAC2F04"/>
    <w:rsid w:val="3CAC3D44"/>
    <w:rsid w:val="3CAC42B0"/>
    <w:rsid w:val="3CAC611A"/>
    <w:rsid w:val="3CAD1A48"/>
    <w:rsid w:val="3CAD1E92"/>
    <w:rsid w:val="3CAD38E8"/>
    <w:rsid w:val="3CAD59EE"/>
    <w:rsid w:val="3CAE092F"/>
    <w:rsid w:val="3CAE3DC1"/>
    <w:rsid w:val="3CAF1767"/>
    <w:rsid w:val="3CAF1F69"/>
    <w:rsid w:val="3CAF51C5"/>
    <w:rsid w:val="3CAF5C0A"/>
    <w:rsid w:val="3CAF6D2D"/>
    <w:rsid w:val="3CB054DF"/>
    <w:rsid w:val="3CB05596"/>
    <w:rsid w:val="3CB07865"/>
    <w:rsid w:val="3CB11983"/>
    <w:rsid w:val="3CB13731"/>
    <w:rsid w:val="3CB13A0B"/>
    <w:rsid w:val="3CB21257"/>
    <w:rsid w:val="3CB21E02"/>
    <w:rsid w:val="3CB23005"/>
    <w:rsid w:val="3CB2745A"/>
    <w:rsid w:val="3CB274A9"/>
    <w:rsid w:val="3CB3037C"/>
    <w:rsid w:val="3CB334BB"/>
    <w:rsid w:val="3CB33E85"/>
    <w:rsid w:val="3CB342AD"/>
    <w:rsid w:val="3CB36129"/>
    <w:rsid w:val="3CB43221"/>
    <w:rsid w:val="3CB44678"/>
    <w:rsid w:val="3CB44FCF"/>
    <w:rsid w:val="3CB46AF1"/>
    <w:rsid w:val="3CB4724D"/>
    <w:rsid w:val="3CB52AF5"/>
    <w:rsid w:val="3CB53AEC"/>
    <w:rsid w:val="3CB55BAF"/>
    <w:rsid w:val="3CB60D47"/>
    <w:rsid w:val="3CB6214F"/>
    <w:rsid w:val="3CB66F99"/>
    <w:rsid w:val="3CB7061B"/>
    <w:rsid w:val="3CB72746"/>
    <w:rsid w:val="3CB74ABF"/>
    <w:rsid w:val="3CB7686D"/>
    <w:rsid w:val="3CB76A42"/>
    <w:rsid w:val="3CB77B32"/>
    <w:rsid w:val="3CB8475C"/>
    <w:rsid w:val="3CB851B6"/>
    <w:rsid w:val="3CB854DD"/>
    <w:rsid w:val="3CB85C51"/>
    <w:rsid w:val="3CB866A2"/>
    <w:rsid w:val="3CB925E5"/>
    <w:rsid w:val="3CB9732D"/>
    <w:rsid w:val="3CBA010B"/>
    <w:rsid w:val="3CBA2EC7"/>
    <w:rsid w:val="3CBA6921"/>
    <w:rsid w:val="3CBB00F6"/>
    <w:rsid w:val="3CBB635D"/>
    <w:rsid w:val="3CBB6992"/>
    <w:rsid w:val="3CBC1429"/>
    <w:rsid w:val="3CBC20D5"/>
    <w:rsid w:val="3CBC3E83"/>
    <w:rsid w:val="3CBC5804"/>
    <w:rsid w:val="3CBC5CAE"/>
    <w:rsid w:val="3CBD0327"/>
    <w:rsid w:val="3CBD1FF1"/>
    <w:rsid w:val="3CBD5F1A"/>
    <w:rsid w:val="3CBD713E"/>
    <w:rsid w:val="3CBE19AA"/>
    <w:rsid w:val="3CBE27E3"/>
    <w:rsid w:val="3CBE5E4E"/>
    <w:rsid w:val="3CBE7BFC"/>
    <w:rsid w:val="3CBF0830"/>
    <w:rsid w:val="3CBF26CF"/>
    <w:rsid w:val="3CBF7ECA"/>
    <w:rsid w:val="3CC0163A"/>
    <w:rsid w:val="3CC02E93"/>
    <w:rsid w:val="3CC02EEE"/>
    <w:rsid w:val="3CC0391D"/>
    <w:rsid w:val="3CC0413B"/>
    <w:rsid w:val="3CC1149A"/>
    <w:rsid w:val="3CC2015B"/>
    <w:rsid w:val="3CC203DF"/>
    <w:rsid w:val="3CC2593E"/>
    <w:rsid w:val="3CC316B6"/>
    <w:rsid w:val="3CC3646B"/>
    <w:rsid w:val="3CC50F8A"/>
    <w:rsid w:val="3CC52D38"/>
    <w:rsid w:val="3CC534AA"/>
    <w:rsid w:val="3CC545F1"/>
    <w:rsid w:val="3CC55319"/>
    <w:rsid w:val="3CC5640B"/>
    <w:rsid w:val="3CC60AF0"/>
    <w:rsid w:val="3CC61A27"/>
    <w:rsid w:val="3CC64D02"/>
    <w:rsid w:val="3CC66AB0"/>
    <w:rsid w:val="3CC701F0"/>
    <w:rsid w:val="3CC708B3"/>
    <w:rsid w:val="3CC72F54"/>
    <w:rsid w:val="3CC74EA0"/>
    <w:rsid w:val="3CC80A7A"/>
    <w:rsid w:val="3CC81EAB"/>
    <w:rsid w:val="3CC8668F"/>
    <w:rsid w:val="3CC86CCC"/>
    <w:rsid w:val="3CC927A4"/>
    <w:rsid w:val="3CCA034E"/>
    <w:rsid w:val="3CCA65A0"/>
    <w:rsid w:val="3CCB1742"/>
    <w:rsid w:val="3CCB2319"/>
    <w:rsid w:val="3CCB492E"/>
    <w:rsid w:val="3CCC056A"/>
    <w:rsid w:val="3CCC647A"/>
    <w:rsid w:val="3CCC7B57"/>
    <w:rsid w:val="3CCD4062"/>
    <w:rsid w:val="3CCD42E3"/>
    <w:rsid w:val="3CCD4661"/>
    <w:rsid w:val="3CCD6091"/>
    <w:rsid w:val="3CCD628A"/>
    <w:rsid w:val="3CCD7D72"/>
    <w:rsid w:val="3CCE3F07"/>
    <w:rsid w:val="3CCE7B79"/>
    <w:rsid w:val="3CCF1553"/>
    <w:rsid w:val="3CD00B52"/>
    <w:rsid w:val="3CD016DD"/>
    <w:rsid w:val="3CD029E3"/>
    <w:rsid w:val="3CD05CB3"/>
    <w:rsid w:val="3CD074AF"/>
    <w:rsid w:val="3CD07C91"/>
    <w:rsid w:val="3CD13DD3"/>
    <w:rsid w:val="3CD14DF4"/>
    <w:rsid w:val="3CD15B81"/>
    <w:rsid w:val="3CD218F9"/>
    <w:rsid w:val="3CD23028"/>
    <w:rsid w:val="3CD23462"/>
    <w:rsid w:val="3CD236A7"/>
    <w:rsid w:val="3CD23CE0"/>
    <w:rsid w:val="3CD251B2"/>
    <w:rsid w:val="3CD25455"/>
    <w:rsid w:val="3CD26DBA"/>
    <w:rsid w:val="3CD27ED4"/>
    <w:rsid w:val="3CD32AA5"/>
    <w:rsid w:val="3CD34C99"/>
    <w:rsid w:val="3CD34D1A"/>
    <w:rsid w:val="3CD37257"/>
    <w:rsid w:val="3CD411CD"/>
    <w:rsid w:val="3CD427F4"/>
    <w:rsid w:val="3CD434A6"/>
    <w:rsid w:val="3CD45671"/>
    <w:rsid w:val="3CD53C84"/>
    <w:rsid w:val="3CD613E9"/>
    <w:rsid w:val="3CD62109"/>
    <w:rsid w:val="3CD64BEF"/>
    <w:rsid w:val="3CD64F45"/>
    <w:rsid w:val="3CD66E21"/>
    <w:rsid w:val="3CD71CA8"/>
    <w:rsid w:val="3CD73D60"/>
    <w:rsid w:val="3CD76F0F"/>
    <w:rsid w:val="3CD81175"/>
    <w:rsid w:val="3CD85E3C"/>
    <w:rsid w:val="3CD876A4"/>
    <w:rsid w:val="3CD90213"/>
    <w:rsid w:val="3CD90CDD"/>
    <w:rsid w:val="3CD92605"/>
    <w:rsid w:val="3CD92C87"/>
    <w:rsid w:val="3CD967E3"/>
    <w:rsid w:val="3CDA245A"/>
    <w:rsid w:val="3CDA2F19"/>
    <w:rsid w:val="3CDA6666"/>
    <w:rsid w:val="3CDB07AE"/>
    <w:rsid w:val="3CDB255C"/>
    <w:rsid w:val="3CDB7AF6"/>
    <w:rsid w:val="3CDC0AA0"/>
    <w:rsid w:val="3CDC0F86"/>
    <w:rsid w:val="3CDC4526"/>
    <w:rsid w:val="3CDD2778"/>
    <w:rsid w:val="3CDE029E"/>
    <w:rsid w:val="3CDE038F"/>
    <w:rsid w:val="3CDE204C"/>
    <w:rsid w:val="3CDE208A"/>
    <w:rsid w:val="3CDE3DFA"/>
    <w:rsid w:val="3CDE3EFD"/>
    <w:rsid w:val="3CDE7ACA"/>
    <w:rsid w:val="3CDE7BB8"/>
    <w:rsid w:val="3CDF5FCE"/>
    <w:rsid w:val="3CDF675B"/>
    <w:rsid w:val="3CE0039A"/>
    <w:rsid w:val="3CE0217E"/>
    <w:rsid w:val="3CE04016"/>
    <w:rsid w:val="3CE04B50"/>
    <w:rsid w:val="3CE0622C"/>
    <w:rsid w:val="3CE15CCF"/>
    <w:rsid w:val="3CE171B3"/>
    <w:rsid w:val="3CE21B3C"/>
    <w:rsid w:val="3CE22CF5"/>
    <w:rsid w:val="3CE279C9"/>
    <w:rsid w:val="3CE27D8E"/>
    <w:rsid w:val="3CE27DA1"/>
    <w:rsid w:val="3CE30398"/>
    <w:rsid w:val="3CE3221B"/>
    <w:rsid w:val="3CE33B06"/>
    <w:rsid w:val="3CE43A2A"/>
    <w:rsid w:val="3CE44B74"/>
    <w:rsid w:val="3CE47669"/>
    <w:rsid w:val="3CE5162C"/>
    <w:rsid w:val="3CE52040"/>
    <w:rsid w:val="3CE533DA"/>
    <w:rsid w:val="3CE53779"/>
    <w:rsid w:val="3CE60EAE"/>
    <w:rsid w:val="3CE65A19"/>
    <w:rsid w:val="3CE67488"/>
    <w:rsid w:val="3CE704B1"/>
    <w:rsid w:val="3CE72762"/>
    <w:rsid w:val="3CE74BDC"/>
    <w:rsid w:val="3CE76A5E"/>
    <w:rsid w:val="3CE77152"/>
    <w:rsid w:val="3CE80975"/>
    <w:rsid w:val="3CE81D5B"/>
    <w:rsid w:val="3CE82ECA"/>
    <w:rsid w:val="3CE839E4"/>
    <w:rsid w:val="3CE84A9B"/>
    <w:rsid w:val="3CE84C4C"/>
    <w:rsid w:val="3CE87055"/>
    <w:rsid w:val="3CE871BE"/>
    <w:rsid w:val="3CE96290"/>
    <w:rsid w:val="3CE9764C"/>
    <w:rsid w:val="3CEA09F1"/>
    <w:rsid w:val="3CEA1D7D"/>
    <w:rsid w:val="3CEA279F"/>
    <w:rsid w:val="3CEA2C84"/>
    <w:rsid w:val="3CEA6C43"/>
    <w:rsid w:val="3CEB21BC"/>
    <w:rsid w:val="3CEB3E3A"/>
    <w:rsid w:val="3CEB4389"/>
    <w:rsid w:val="3CEC29BB"/>
    <w:rsid w:val="3CEC3355"/>
    <w:rsid w:val="3CED114D"/>
    <w:rsid w:val="3CED228F"/>
    <w:rsid w:val="3CED6733"/>
    <w:rsid w:val="3CEE7211"/>
    <w:rsid w:val="3CEF0A9B"/>
    <w:rsid w:val="3CEF3B0F"/>
    <w:rsid w:val="3CEF4259"/>
    <w:rsid w:val="3CF03B2D"/>
    <w:rsid w:val="3CF05B38"/>
    <w:rsid w:val="3CF10946"/>
    <w:rsid w:val="3CF11D7F"/>
    <w:rsid w:val="3CF1208A"/>
    <w:rsid w:val="3CF17FD1"/>
    <w:rsid w:val="3CF20A68"/>
    <w:rsid w:val="3CF22454"/>
    <w:rsid w:val="3CF25AF7"/>
    <w:rsid w:val="3CF25BBE"/>
    <w:rsid w:val="3CF278A5"/>
    <w:rsid w:val="3CF329AD"/>
    <w:rsid w:val="3CF33D49"/>
    <w:rsid w:val="3CF349E7"/>
    <w:rsid w:val="3CF35316"/>
    <w:rsid w:val="3CF409AE"/>
    <w:rsid w:val="3CF4186F"/>
    <w:rsid w:val="3CF44FE5"/>
    <w:rsid w:val="3CF47AC1"/>
    <w:rsid w:val="3CF50FDB"/>
    <w:rsid w:val="3CF51078"/>
    <w:rsid w:val="3CF51725"/>
    <w:rsid w:val="3CF567B7"/>
    <w:rsid w:val="3CF655E7"/>
    <w:rsid w:val="3CF67395"/>
    <w:rsid w:val="3CF67D4A"/>
    <w:rsid w:val="3CF70EC6"/>
    <w:rsid w:val="3CF74EBC"/>
    <w:rsid w:val="3CF8074B"/>
    <w:rsid w:val="3CF80E6E"/>
    <w:rsid w:val="3CF8135F"/>
    <w:rsid w:val="3CF817B0"/>
    <w:rsid w:val="3CF81937"/>
    <w:rsid w:val="3CF87E18"/>
    <w:rsid w:val="3CF947C0"/>
    <w:rsid w:val="3CF94EA2"/>
    <w:rsid w:val="3CF96461"/>
    <w:rsid w:val="3CF96E86"/>
    <w:rsid w:val="3CFA063E"/>
    <w:rsid w:val="3CFA35DB"/>
    <w:rsid w:val="3CFA450F"/>
    <w:rsid w:val="3CFB0E50"/>
    <w:rsid w:val="3CFB13B5"/>
    <w:rsid w:val="3CFB2554"/>
    <w:rsid w:val="3CFB2BFE"/>
    <w:rsid w:val="3CFB69C1"/>
    <w:rsid w:val="3CFC008A"/>
    <w:rsid w:val="3CFC0724"/>
    <w:rsid w:val="3CFC3141"/>
    <w:rsid w:val="3CFD2C8D"/>
    <w:rsid w:val="3CFD4BC8"/>
    <w:rsid w:val="3CFD4D32"/>
    <w:rsid w:val="3CFD619E"/>
    <w:rsid w:val="3CFD6976"/>
    <w:rsid w:val="3CFE26EE"/>
    <w:rsid w:val="3CFE2D71"/>
    <w:rsid w:val="3CFE449C"/>
    <w:rsid w:val="3CFE624A"/>
    <w:rsid w:val="3CFE6428"/>
    <w:rsid w:val="3CFE6CF4"/>
    <w:rsid w:val="3CFF03B5"/>
    <w:rsid w:val="3CFF2C7A"/>
    <w:rsid w:val="3CFF3351"/>
    <w:rsid w:val="3D000214"/>
    <w:rsid w:val="3D000332"/>
    <w:rsid w:val="3D001AC2"/>
    <w:rsid w:val="3D002EFD"/>
    <w:rsid w:val="3D006466"/>
    <w:rsid w:val="3D0108B6"/>
    <w:rsid w:val="3D012F52"/>
    <w:rsid w:val="3D0158E4"/>
    <w:rsid w:val="3D015D3A"/>
    <w:rsid w:val="3D017F98"/>
    <w:rsid w:val="3D0221DE"/>
    <w:rsid w:val="3D024681"/>
    <w:rsid w:val="3D0302AD"/>
    <w:rsid w:val="3D030567"/>
    <w:rsid w:val="3D030874"/>
    <w:rsid w:val="3D031AB2"/>
    <w:rsid w:val="3D033E45"/>
    <w:rsid w:val="3D037D04"/>
    <w:rsid w:val="3D0516BF"/>
    <w:rsid w:val="3D052D63"/>
    <w:rsid w:val="3D053A7C"/>
    <w:rsid w:val="3D0575D8"/>
    <w:rsid w:val="3D064921"/>
    <w:rsid w:val="3D0661C7"/>
    <w:rsid w:val="3D070054"/>
    <w:rsid w:val="3D08531B"/>
    <w:rsid w:val="3D0857F0"/>
    <w:rsid w:val="3D086D1D"/>
    <w:rsid w:val="3D0870C9"/>
    <w:rsid w:val="3D0875A4"/>
    <w:rsid w:val="3D0A4BEF"/>
    <w:rsid w:val="3D0A6670"/>
    <w:rsid w:val="3D0B1D9E"/>
    <w:rsid w:val="3D0C0967"/>
    <w:rsid w:val="3D0C4E0B"/>
    <w:rsid w:val="3D0C6BB9"/>
    <w:rsid w:val="3D0D14F5"/>
    <w:rsid w:val="3D0D46DF"/>
    <w:rsid w:val="3D0E0B83"/>
    <w:rsid w:val="3D0E36FE"/>
    <w:rsid w:val="3D0F0457"/>
    <w:rsid w:val="3D0F22E6"/>
    <w:rsid w:val="3D0F48FB"/>
    <w:rsid w:val="3D0F7E6D"/>
    <w:rsid w:val="3D1001F6"/>
    <w:rsid w:val="3D104D56"/>
    <w:rsid w:val="3D11193C"/>
    <w:rsid w:val="3D112A47"/>
    <w:rsid w:val="3D1134CB"/>
    <w:rsid w:val="3D11423E"/>
    <w:rsid w:val="3D11701F"/>
    <w:rsid w:val="3D1177B1"/>
    <w:rsid w:val="3D1200FE"/>
    <w:rsid w:val="3D121C40"/>
    <w:rsid w:val="3D122468"/>
    <w:rsid w:val="3D122A36"/>
    <w:rsid w:val="3D123CA3"/>
    <w:rsid w:val="3D1240B9"/>
    <w:rsid w:val="3D1270F7"/>
    <w:rsid w:val="3D127F47"/>
    <w:rsid w:val="3D136199"/>
    <w:rsid w:val="3D142E25"/>
    <w:rsid w:val="3D143CBF"/>
    <w:rsid w:val="3D145A6E"/>
    <w:rsid w:val="3D145BE4"/>
    <w:rsid w:val="3D147C87"/>
    <w:rsid w:val="3D150E6F"/>
    <w:rsid w:val="3D151FB1"/>
    <w:rsid w:val="3D152858"/>
    <w:rsid w:val="3D163CE8"/>
    <w:rsid w:val="3D167A38"/>
    <w:rsid w:val="3D167A9D"/>
    <w:rsid w:val="3D1723CD"/>
    <w:rsid w:val="3D172A9B"/>
    <w:rsid w:val="3D176A0E"/>
    <w:rsid w:val="3D176A7A"/>
    <w:rsid w:val="3D183232"/>
    <w:rsid w:val="3D1837B0"/>
    <w:rsid w:val="3D1846B2"/>
    <w:rsid w:val="3D1862DD"/>
    <w:rsid w:val="3D187B33"/>
    <w:rsid w:val="3D1912D6"/>
    <w:rsid w:val="3D192669"/>
    <w:rsid w:val="3D19370D"/>
    <w:rsid w:val="3D193A48"/>
    <w:rsid w:val="3D19493A"/>
    <w:rsid w:val="3D194E9B"/>
    <w:rsid w:val="3D197528"/>
    <w:rsid w:val="3D1A3AF9"/>
    <w:rsid w:val="3D1B2EEC"/>
    <w:rsid w:val="3D1B60D8"/>
    <w:rsid w:val="3D1B6DFC"/>
    <w:rsid w:val="3D1B6F59"/>
    <w:rsid w:val="3D1C04AC"/>
    <w:rsid w:val="3D1C318D"/>
    <w:rsid w:val="3D1C4922"/>
    <w:rsid w:val="3D1C4EFB"/>
    <w:rsid w:val="3D1C7452"/>
    <w:rsid w:val="3D1D0DC6"/>
    <w:rsid w:val="3D1D0FEA"/>
    <w:rsid w:val="3D1D247A"/>
    <w:rsid w:val="3D1D2B74"/>
    <w:rsid w:val="3D1D5EDD"/>
    <w:rsid w:val="3D1D5EF5"/>
    <w:rsid w:val="3D1D73C4"/>
    <w:rsid w:val="3D1E069A"/>
    <w:rsid w:val="3D1E06B7"/>
    <w:rsid w:val="3D1E4B3E"/>
    <w:rsid w:val="3D1E637E"/>
    <w:rsid w:val="3D1E68EC"/>
    <w:rsid w:val="3D1E6BF4"/>
    <w:rsid w:val="3D202664"/>
    <w:rsid w:val="3D204412"/>
    <w:rsid w:val="3D211F38"/>
    <w:rsid w:val="3D212719"/>
    <w:rsid w:val="3D2137A5"/>
    <w:rsid w:val="3D216CD1"/>
    <w:rsid w:val="3D22018A"/>
    <w:rsid w:val="3D222E1B"/>
    <w:rsid w:val="3D223A6C"/>
    <w:rsid w:val="3D2263DC"/>
    <w:rsid w:val="3D232155"/>
    <w:rsid w:val="3D23371B"/>
    <w:rsid w:val="3D24777C"/>
    <w:rsid w:val="3D251A29"/>
    <w:rsid w:val="3D25234D"/>
    <w:rsid w:val="3D2619E5"/>
    <w:rsid w:val="3D266E74"/>
    <w:rsid w:val="3D27116F"/>
    <w:rsid w:val="3D271C45"/>
    <w:rsid w:val="3D2739F3"/>
    <w:rsid w:val="3D2757A1"/>
    <w:rsid w:val="3D281519"/>
    <w:rsid w:val="3D285922"/>
    <w:rsid w:val="3D2940E9"/>
    <w:rsid w:val="3D2959BD"/>
    <w:rsid w:val="3D297280"/>
    <w:rsid w:val="3D29776B"/>
    <w:rsid w:val="3D2A34E3"/>
    <w:rsid w:val="3D2B79DA"/>
    <w:rsid w:val="3D2C07DF"/>
    <w:rsid w:val="3D2C0ADF"/>
    <w:rsid w:val="3D2C2DB7"/>
    <w:rsid w:val="3D2C519F"/>
    <w:rsid w:val="3D2C5F0E"/>
    <w:rsid w:val="3D2C725B"/>
    <w:rsid w:val="3D2D0EEC"/>
    <w:rsid w:val="3D2D1F6F"/>
    <w:rsid w:val="3D2D6B2F"/>
    <w:rsid w:val="3D2D739E"/>
    <w:rsid w:val="3D2E05EE"/>
    <w:rsid w:val="3D2E33FF"/>
    <w:rsid w:val="3D2E4D81"/>
    <w:rsid w:val="3D2F04F7"/>
    <w:rsid w:val="3D2F0AF9"/>
    <w:rsid w:val="3D2F28A7"/>
    <w:rsid w:val="3D2F50FA"/>
    <w:rsid w:val="3D2F5FD0"/>
    <w:rsid w:val="3D3078AD"/>
    <w:rsid w:val="3D310115"/>
    <w:rsid w:val="3D3103CE"/>
    <w:rsid w:val="3D314871"/>
    <w:rsid w:val="3D320C81"/>
    <w:rsid w:val="3D324146"/>
    <w:rsid w:val="3D325373"/>
    <w:rsid w:val="3D326901"/>
    <w:rsid w:val="3D3305EA"/>
    <w:rsid w:val="3D332398"/>
    <w:rsid w:val="3D3330C8"/>
    <w:rsid w:val="3D335CBA"/>
    <w:rsid w:val="3D335DE1"/>
    <w:rsid w:val="3D343A9F"/>
    <w:rsid w:val="3D344362"/>
    <w:rsid w:val="3D344F5E"/>
    <w:rsid w:val="3D346110"/>
    <w:rsid w:val="3D347271"/>
    <w:rsid w:val="3D347EBE"/>
    <w:rsid w:val="3D350701"/>
    <w:rsid w:val="3D360DF7"/>
    <w:rsid w:val="3D361B91"/>
    <w:rsid w:val="3D361E88"/>
    <w:rsid w:val="3D363C36"/>
    <w:rsid w:val="3D3659E4"/>
    <w:rsid w:val="3D37175C"/>
    <w:rsid w:val="3D373E26"/>
    <w:rsid w:val="3D374844"/>
    <w:rsid w:val="3D374B94"/>
    <w:rsid w:val="3D374ED8"/>
    <w:rsid w:val="3D380180"/>
    <w:rsid w:val="3D382EA1"/>
    <w:rsid w:val="3D385C00"/>
    <w:rsid w:val="3D390BD6"/>
    <w:rsid w:val="3D391C53"/>
    <w:rsid w:val="3D393726"/>
    <w:rsid w:val="3D394509"/>
    <w:rsid w:val="3D397254"/>
    <w:rsid w:val="3D3A19A2"/>
    <w:rsid w:val="3D3A4C02"/>
    <w:rsid w:val="3D3B124C"/>
    <w:rsid w:val="3D3B2FFA"/>
    <w:rsid w:val="3D3B4573"/>
    <w:rsid w:val="3D3B56F0"/>
    <w:rsid w:val="3D3B60B6"/>
    <w:rsid w:val="3D3B749E"/>
    <w:rsid w:val="3D3C05D3"/>
    <w:rsid w:val="3D3C3672"/>
    <w:rsid w:val="3D3C3C36"/>
    <w:rsid w:val="3D3C4E22"/>
    <w:rsid w:val="3D3C5A02"/>
    <w:rsid w:val="3D3D137B"/>
    <w:rsid w:val="3D3D2FA0"/>
    <w:rsid w:val="3D3D3216"/>
    <w:rsid w:val="3D3D4FC4"/>
    <w:rsid w:val="3D3D76E6"/>
    <w:rsid w:val="3D3D7BCC"/>
    <w:rsid w:val="3D3E0D3C"/>
    <w:rsid w:val="3D3E1D0B"/>
    <w:rsid w:val="3D3E2AEA"/>
    <w:rsid w:val="3D3E2EF3"/>
    <w:rsid w:val="3D3E7E89"/>
    <w:rsid w:val="3D3F3CFE"/>
    <w:rsid w:val="3D3F670D"/>
    <w:rsid w:val="3D3F6F8E"/>
    <w:rsid w:val="3D402D06"/>
    <w:rsid w:val="3D4033AC"/>
    <w:rsid w:val="3D404871"/>
    <w:rsid w:val="3D404AB5"/>
    <w:rsid w:val="3D406863"/>
    <w:rsid w:val="3D406F54"/>
    <w:rsid w:val="3D407925"/>
    <w:rsid w:val="3D412786"/>
    <w:rsid w:val="3D41637D"/>
    <w:rsid w:val="3D42082D"/>
    <w:rsid w:val="3D4225DB"/>
    <w:rsid w:val="3D4251B8"/>
    <w:rsid w:val="3D426F25"/>
    <w:rsid w:val="3D430101"/>
    <w:rsid w:val="3D430803"/>
    <w:rsid w:val="3D431DAC"/>
    <w:rsid w:val="3D436353"/>
    <w:rsid w:val="3D4367CD"/>
    <w:rsid w:val="3D44257C"/>
    <w:rsid w:val="3D4445A5"/>
    <w:rsid w:val="3D444FC0"/>
    <w:rsid w:val="3D446D65"/>
    <w:rsid w:val="3D45031D"/>
    <w:rsid w:val="3D4514A0"/>
    <w:rsid w:val="3D454C73"/>
    <w:rsid w:val="3D4640F9"/>
    <w:rsid w:val="3D465BCD"/>
    <w:rsid w:val="3D467381"/>
    <w:rsid w:val="3D470AAE"/>
    <w:rsid w:val="3D470FBC"/>
    <w:rsid w:val="3D472574"/>
    <w:rsid w:val="3D474095"/>
    <w:rsid w:val="3D4756E6"/>
    <w:rsid w:val="3D477BF1"/>
    <w:rsid w:val="3D4839A0"/>
    <w:rsid w:val="3D483FA5"/>
    <w:rsid w:val="3D48488E"/>
    <w:rsid w:val="3D491BBB"/>
    <w:rsid w:val="3D493944"/>
    <w:rsid w:val="3D4A148F"/>
    <w:rsid w:val="3D4A1496"/>
    <w:rsid w:val="3D4A2BD7"/>
    <w:rsid w:val="3D4A4DC9"/>
    <w:rsid w:val="3D4A5933"/>
    <w:rsid w:val="3D4A76E1"/>
    <w:rsid w:val="3D4C16AB"/>
    <w:rsid w:val="3D4C2794"/>
    <w:rsid w:val="3D4C331B"/>
    <w:rsid w:val="3D4C3459"/>
    <w:rsid w:val="3D4C5207"/>
    <w:rsid w:val="3D4C54F7"/>
    <w:rsid w:val="3D4D01AD"/>
    <w:rsid w:val="3D4D1558"/>
    <w:rsid w:val="3D4D2D2E"/>
    <w:rsid w:val="3D4D666A"/>
    <w:rsid w:val="3D4D6987"/>
    <w:rsid w:val="3D4D71DD"/>
    <w:rsid w:val="3D4D7FC8"/>
    <w:rsid w:val="3D4E0F7F"/>
    <w:rsid w:val="3D4E5423"/>
    <w:rsid w:val="3D4E6440"/>
    <w:rsid w:val="3D4E71D1"/>
    <w:rsid w:val="3D4E7E17"/>
    <w:rsid w:val="3D4F1909"/>
    <w:rsid w:val="3D4F3E72"/>
    <w:rsid w:val="3D4F4CF8"/>
    <w:rsid w:val="3D501A02"/>
    <w:rsid w:val="3D50703D"/>
    <w:rsid w:val="3D507D8E"/>
    <w:rsid w:val="3D510A70"/>
    <w:rsid w:val="3D512EA0"/>
    <w:rsid w:val="3D516460"/>
    <w:rsid w:val="3D522C3F"/>
    <w:rsid w:val="3D525315"/>
    <w:rsid w:val="3D5278D3"/>
    <w:rsid w:val="3D527C28"/>
    <w:rsid w:val="3D532A3A"/>
    <w:rsid w:val="3D533C89"/>
    <w:rsid w:val="3D533EF5"/>
    <w:rsid w:val="3D5347E8"/>
    <w:rsid w:val="3D536596"/>
    <w:rsid w:val="3D540560"/>
    <w:rsid w:val="3D547CC4"/>
    <w:rsid w:val="3D555C1C"/>
    <w:rsid w:val="3D5567B2"/>
    <w:rsid w:val="3D561631"/>
    <w:rsid w:val="3D5642D8"/>
    <w:rsid w:val="3D566086"/>
    <w:rsid w:val="3D566FBC"/>
    <w:rsid w:val="3D567A39"/>
    <w:rsid w:val="3D567E34"/>
    <w:rsid w:val="3D57260A"/>
    <w:rsid w:val="3D573869"/>
    <w:rsid w:val="3D5751DB"/>
    <w:rsid w:val="3D57592C"/>
    <w:rsid w:val="3D583BAC"/>
    <w:rsid w:val="3D5860BD"/>
    <w:rsid w:val="3D595B76"/>
    <w:rsid w:val="3D597924"/>
    <w:rsid w:val="3D5A1C03"/>
    <w:rsid w:val="3D5A45B9"/>
    <w:rsid w:val="3D5B28BE"/>
    <w:rsid w:val="3D5B635B"/>
    <w:rsid w:val="3D5C6957"/>
    <w:rsid w:val="3D5D0991"/>
    <w:rsid w:val="3D5D0B53"/>
    <w:rsid w:val="3D5D46AE"/>
    <w:rsid w:val="3D5D7415"/>
    <w:rsid w:val="3D5F222C"/>
    <w:rsid w:val="3D5F318D"/>
    <w:rsid w:val="3D5F6116"/>
    <w:rsid w:val="3D5F7680"/>
    <w:rsid w:val="3D6036BC"/>
    <w:rsid w:val="3D604EC2"/>
    <w:rsid w:val="3D610453"/>
    <w:rsid w:val="3D610D50"/>
    <w:rsid w:val="3D611B56"/>
    <w:rsid w:val="3D612323"/>
    <w:rsid w:val="3D6155D6"/>
    <w:rsid w:val="3D61628D"/>
    <w:rsid w:val="3D6222EE"/>
    <w:rsid w:val="3D622C7D"/>
    <w:rsid w:val="3D62359C"/>
    <w:rsid w:val="3D624A2B"/>
    <w:rsid w:val="3D6267D9"/>
    <w:rsid w:val="3D62771D"/>
    <w:rsid w:val="3D63193E"/>
    <w:rsid w:val="3D6362DE"/>
    <w:rsid w:val="3D6407A3"/>
    <w:rsid w:val="3D643553"/>
    <w:rsid w:val="3D643ED3"/>
    <w:rsid w:val="3D6449A2"/>
    <w:rsid w:val="3D6469F5"/>
    <w:rsid w:val="3D65163E"/>
    <w:rsid w:val="3D652359"/>
    <w:rsid w:val="3D65276D"/>
    <w:rsid w:val="3D65451B"/>
    <w:rsid w:val="3D655CF2"/>
    <w:rsid w:val="3D65609E"/>
    <w:rsid w:val="3D660C6F"/>
    <w:rsid w:val="3D661298"/>
    <w:rsid w:val="3D662D0D"/>
    <w:rsid w:val="3D66752E"/>
    <w:rsid w:val="3D670293"/>
    <w:rsid w:val="3D67063B"/>
    <w:rsid w:val="3D672041"/>
    <w:rsid w:val="3D6720FF"/>
    <w:rsid w:val="3D673DEF"/>
    <w:rsid w:val="3D6748C4"/>
    <w:rsid w:val="3D676218"/>
    <w:rsid w:val="3D6764E5"/>
    <w:rsid w:val="3D680F8D"/>
    <w:rsid w:val="3D68247D"/>
    <w:rsid w:val="3D686160"/>
    <w:rsid w:val="3D687B67"/>
    <w:rsid w:val="3D6922C9"/>
    <w:rsid w:val="3D69400B"/>
    <w:rsid w:val="3D694A1F"/>
    <w:rsid w:val="3D69539E"/>
    <w:rsid w:val="3D695EAF"/>
    <w:rsid w:val="3D6964BD"/>
    <w:rsid w:val="3D6975F0"/>
    <w:rsid w:val="3D6A0A80"/>
    <w:rsid w:val="3D6A1B31"/>
    <w:rsid w:val="3D6A38DF"/>
    <w:rsid w:val="3D6A7D83"/>
    <w:rsid w:val="3D6B0AB4"/>
    <w:rsid w:val="3D6B60D2"/>
    <w:rsid w:val="3D6B695F"/>
    <w:rsid w:val="3D6C54F3"/>
    <w:rsid w:val="3D6C5F71"/>
    <w:rsid w:val="3D6C632D"/>
    <w:rsid w:val="3D6C7087"/>
    <w:rsid w:val="3D6C7658"/>
    <w:rsid w:val="3D6D0D62"/>
    <w:rsid w:val="3D6D4830"/>
    <w:rsid w:val="3D6D517E"/>
    <w:rsid w:val="3D6D72B7"/>
    <w:rsid w:val="3D6D7401"/>
    <w:rsid w:val="3D6E0891"/>
    <w:rsid w:val="3D6E28AD"/>
    <w:rsid w:val="3D6E2BFC"/>
    <w:rsid w:val="3D6E33D0"/>
    <w:rsid w:val="3D6E3BAA"/>
    <w:rsid w:val="3D6E41A1"/>
    <w:rsid w:val="3D6E5CC0"/>
    <w:rsid w:val="3D6E606C"/>
    <w:rsid w:val="3D6E6311"/>
    <w:rsid w:val="3D6F0EF6"/>
    <w:rsid w:val="3D6F33E4"/>
    <w:rsid w:val="3D6F7148"/>
    <w:rsid w:val="3D7021B3"/>
    <w:rsid w:val="3D7031B1"/>
    <w:rsid w:val="3D703EB3"/>
    <w:rsid w:val="3D7048F2"/>
    <w:rsid w:val="3D70539A"/>
    <w:rsid w:val="3D7070C4"/>
    <w:rsid w:val="3D7108F6"/>
    <w:rsid w:val="3D713C61"/>
    <w:rsid w:val="3D714641"/>
    <w:rsid w:val="3D723631"/>
    <w:rsid w:val="3D727212"/>
    <w:rsid w:val="3D7306A2"/>
    <w:rsid w:val="3D732813"/>
    <w:rsid w:val="3D734107"/>
    <w:rsid w:val="3D7347B5"/>
    <w:rsid w:val="3D73620C"/>
    <w:rsid w:val="3D736C38"/>
    <w:rsid w:val="3D741BE2"/>
    <w:rsid w:val="3D743281"/>
    <w:rsid w:val="3D74475E"/>
    <w:rsid w:val="3D7448BB"/>
    <w:rsid w:val="3D750458"/>
    <w:rsid w:val="3D7529B0"/>
    <w:rsid w:val="3D7567AB"/>
    <w:rsid w:val="3D7604D6"/>
    <w:rsid w:val="3D762284"/>
    <w:rsid w:val="3D766728"/>
    <w:rsid w:val="3D77741E"/>
    <w:rsid w:val="3D784514"/>
    <w:rsid w:val="3D790ED4"/>
    <w:rsid w:val="3D791D75"/>
    <w:rsid w:val="3D793B23"/>
    <w:rsid w:val="3D795057"/>
    <w:rsid w:val="3D7A3255"/>
    <w:rsid w:val="3D7A6218"/>
    <w:rsid w:val="3D7A7FC6"/>
    <w:rsid w:val="3D7B02C4"/>
    <w:rsid w:val="3D7B75D1"/>
    <w:rsid w:val="3D7C2E95"/>
    <w:rsid w:val="3D7D07D3"/>
    <w:rsid w:val="3D7D07E5"/>
    <w:rsid w:val="3D7D3613"/>
    <w:rsid w:val="3D7D38EE"/>
    <w:rsid w:val="3D7D4325"/>
    <w:rsid w:val="3D7D58BA"/>
    <w:rsid w:val="3D7D5F77"/>
    <w:rsid w:val="3D7D7AB7"/>
    <w:rsid w:val="3D7E0386"/>
    <w:rsid w:val="3D7E738B"/>
    <w:rsid w:val="3D7F0347"/>
    <w:rsid w:val="3D7F382F"/>
    <w:rsid w:val="3D7F47F1"/>
    <w:rsid w:val="3D7F55DD"/>
    <w:rsid w:val="3D801355"/>
    <w:rsid w:val="3D802CA6"/>
    <w:rsid w:val="3D803103"/>
    <w:rsid w:val="3D803C6E"/>
    <w:rsid w:val="3D804EB1"/>
    <w:rsid w:val="3D8171E8"/>
    <w:rsid w:val="3D8175A7"/>
    <w:rsid w:val="3D820C29"/>
    <w:rsid w:val="3D821D4C"/>
    <w:rsid w:val="3D8247E3"/>
    <w:rsid w:val="3D824EFF"/>
    <w:rsid w:val="3D8250CD"/>
    <w:rsid w:val="3D825162"/>
    <w:rsid w:val="3D8255C6"/>
    <w:rsid w:val="3D826D07"/>
    <w:rsid w:val="3D826D9C"/>
    <w:rsid w:val="3D826E7B"/>
    <w:rsid w:val="3D8271B6"/>
    <w:rsid w:val="3D83160D"/>
    <w:rsid w:val="3D831EC9"/>
    <w:rsid w:val="3D833531"/>
    <w:rsid w:val="3D83484F"/>
    <w:rsid w:val="3D8348E9"/>
    <w:rsid w:val="3D83544D"/>
    <w:rsid w:val="3D840E45"/>
    <w:rsid w:val="3D842320"/>
    <w:rsid w:val="3D842AB7"/>
    <w:rsid w:val="3D8449A1"/>
    <w:rsid w:val="3D850719"/>
    <w:rsid w:val="3D851761"/>
    <w:rsid w:val="3D852F90"/>
    <w:rsid w:val="3D864BBD"/>
    <w:rsid w:val="3D86780A"/>
    <w:rsid w:val="3D8726E3"/>
    <w:rsid w:val="3D872B79"/>
    <w:rsid w:val="3D8734B0"/>
    <w:rsid w:val="3D87623F"/>
    <w:rsid w:val="3D877815"/>
    <w:rsid w:val="3D881147"/>
    <w:rsid w:val="3D883B84"/>
    <w:rsid w:val="3D8849AF"/>
    <w:rsid w:val="3D886418"/>
    <w:rsid w:val="3D89020A"/>
    <w:rsid w:val="3D890483"/>
    <w:rsid w:val="3D891FB8"/>
    <w:rsid w:val="3D895499"/>
    <w:rsid w:val="3D89645B"/>
    <w:rsid w:val="3D89792F"/>
    <w:rsid w:val="3D8A0F3D"/>
    <w:rsid w:val="3D8A3F82"/>
    <w:rsid w:val="3D8B14FA"/>
    <w:rsid w:val="3D8B5F9C"/>
    <w:rsid w:val="3D8B7CBC"/>
    <w:rsid w:val="3D8C024C"/>
    <w:rsid w:val="3D8C1249"/>
    <w:rsid w:val="3D8C1AA8"/>
    <w:rsid w:val="3D8C45B6"/>
    <w:rsid w:val="3D8C4848"/>
    <w:rsid w:val="3D8C5F4C"/>
    <w:rsid w:val="3D8D5599"/>
    <w:rsid w:val="3D8D637F"/>
    <w:rsid w:val="3D8E2C9E"/>
    <w:rsid w:val="3D8E3A72"/>
    <w:rsid w:val="3D8E5820"/>
    <w:rsid w:val="3D8E75CE"/>
    <w:rsid w:val="3D8F1598"/>
    <w:rsid w:val="3D8F1E68"/>
    <w:rsid w:val="3D8F225B"/>
    <w:rsid w:val="3D8F332D"/>
    <w:rsid w:val="3D8F3346"/>
    <w:rsid w:val="3D8F4878"/>
    <w:rsid w:val="3D90216B"/>
    <w:rsid w:val="3D912BEF"/>
    <w:rsid w:val="3D913C2B"/>
    <w:rsid w:val="3D914A71"/>
    <w:rsid w:val="3D914F44"/>
    <w:rsid w:val="3D915310"/>
    <w:rsid w:val="3D9250BB"/>
    <w:rsid w:val="3D926193"/>
    <w:rsid w:val="3D931088"/>
    <w:rsid w:val="3D93111C"/>
    <w:rsid w:val="3D93195B"/>
    <w:rsid w:val="3D932E36"/>
    <w:rsid w:val="3D9372DA"/>
    <w:rsid w:val="3D94095C"/>
    <w:rsid w:val="3D942549"/>
    <w:rsid w:val="3D943DC3"/>
    <w:rsid w:val="3D946844"/>
    <w:rsid w:val="3D951F05"/>
    <w:rsid w:val="3D953650"/>
    <w:rsid w:val="3D955105"/>
    <w:rsid w:val="3D955FF6"/>
    <w:rsid w:val="3D956BAE"/>
    <w:rsid w:val="3D961DD2"/>
    <w:rsid w:val="3D9646D4"/>
    <w:rsid w:val="3D964ECC"/>
    <w:rsid w:val="3D973714"/>
    <w:rsid w:val="3D977A9D"/>
    <w:rsid w:val="3D983AFE"/>
    <w:rsid w:val="3D98669F"/>
    <w:rsid w:val="3D9866AF"/>
    <w:rsid w:val="3D9904B2"/>
    <w:rsid w:val="3D995F73"/>
    <w:rsid w:val="3D9A0E49"/>
    <w:rsid w:val="3D9A133B"/>
    <w:rsid w:val="3D9A2417"/>
    <w:rsid w:val="3D9A384D"/>
    <w:rsid w:val="3D9A41C5"/>
    <w:rsid w:val="3D9A641E"/>
    <w:rsid w:val="3D9A694F"/>
    <w:rsid w:val="3D9B1CEB"/>
    <w:rsid w:val="3D9B618F"/>
    <w:rsid w:val="3D9C0C2C"/>
    <w:rsid w:val="3D9C247F"/>
    <w:rsid w:val="3D9C3BF0"/>
    <w:rsid w:val="3D9C6822"/>
    <w:rsid w:val="3D9C79E9"/>
    <w:rsid w:val="3D9D1F07"/>
    <w:rsid w:val="3D9D390F"/>
    <w:rsid w:val="3D9D3CB5"/>
    <w:rsid w:val="3D9D4ED1"/>
    <w:rsid w:val="3D9E2896"/>
    <w:rsid w:val="3D9E622F"/>
    <w:rsid w:val="3D9F0A5B"/>
    <w:rsid w:val="3D9F0E00"/>
    <w:rsid w:val="3D9F11B7"/>
    <w:rsid w:val="3D9F17DB"/>
    <w:rsid w:val="3D9F2864"/>
    <w:rsid w:val="3D9F5C7F"/>
    <w:rsid w:val="3D9F726E"/>
    <w:rsid w:val="3D9F7A2D"/>
    <w:rsid w:val="3DA05553"/>
    <w:rsid w:val="3DA06A0D"/>
    <w:rsid w:val="3DA07301"/>
    <w:rsid w:val="3DA10F22"/>
    <w:rsid w:val="3DA1232C"/>
    <w:rsid w:val="3DA1252A"/>
    <w:rsid w:val="3DA133D1"/>
    <w:rsid w:val="3DA23079"/>
    <w:rsid w:val="3DA2751D"/>
    <w:rsid w:val="3DA307D6"/>
    <w:rsid w:val="3DA3291E"/>
    <w:rsid w:val="3DA34482"/>
    <w:rsid w:val="3DA43295"/>
    <w:rsid w:val="3DA449AA"/>
    <w:rsid w:val="3DA46DF1"/>
    <w:rsid w:val="3DA5068F"/>
    <w:rsid w:val="3DA542A8"/>
    <w:rsid w:val="3DA54918"/>
    <w:rsid w:val="3DA60DBB"/>
    <w:rsid w:val="3DA66102"/>
    <w:rsid w:val="3DA6700D"/>
    <w:rsid w:val="3DA70690"/>
    <w:rsid w:val="3DA768E2"/>
    <w:rsid w:val="3DA77592"/>
    <w:rsid w:val="3DA80A22"/>
    <w:rsid w:val="3DA908AC"/>
    <w:rsid w:val="3DA90A55"/>
    <w:rsid w:val="3DA94408"/>
    <w:rsid w:val="3DA94B3F"/>
    <w:rsid w:val="3DA962B7"/>
    <w:rsid w:val="3DA962CF"/>
    <w:rsid w:val="3DA96C30"/>
    <w:rsid w:val="3DAA0180"/>
    <w:rsid w:val="3DAB3BD0"/>
    <w:rsid w:val="3DAB4ECD"/>
    <w:rsid w:val="3DAC214A"/>
    <w:rsid w:val="3DAC3EBB"/>
    <w:rsid w:val="3DAC5CA6"/>
    <w:rsid w:val="3DAD3404"/>
    <w:rsid w:val="3DAD363C"/>
    <w:rsid w:val="3DAD4EB7"/>
    <w:rsid w:val="3DAD6FDE"/>
    <w:rsid w:val="3DAE0540"/>
    <w:rsid w:val="3DAE1A1E"/>
    <w:rsid w:val="3DAE1D47"/>
    <w:rsid w:val="3DAE2B5D"/>
    <w:rsid w:val="3DAE5EC2"/>
    <w:rsid w:val="3DAE71F0"/>
    <w:rsid w:val="3DAE7C70"/>
    <w:rsid w:val="3DAF3E6B"/>
    <w:rsid w:val="3DAF520F"/>
    <w:rsid w:val="3DAF56DC"/>
    <w:rsid w:val="3DB01584"/>
    <w:rsid w:val="3DB048CE"/>
    <w:rsid w:val="3DB14F79"/>
    <w:rsid w:val="3DB15C3E"/>
    <w:rsid w:val="3DB16B4F"/>
    <w:rsid w:val="3DB16E20"/>
    <w:rsid w:val="3DB17876"/>
    <w:rsid w:val="3DB34221"/>
    <w:rsid w:val="3DB35286"/>
    <w:rsid w:val="3DB36AE6"/>
    <w:rsid w:val="3DB41B96"/>
    <w:rsid w:val="3DB42DAD"/>
    <w:rsid w:val="3DB443FE"/>
    <w:rsid w:val="3DB47D9C"/>
    <w:rsid w:val="3DB50455"/>
    <w:rsid w:val="3DB51516"/>
    <w:rsid w:val="3DB530C6"/>
    <w:rsid w:val="3DB57251"/>
    <w:rsid w:val="3DB57B02"/>
    <w:rsid w:val="3DB64D5C"/>
    <w:rsid w:val="3DB64D77"/>
    <w:rsid w:val="3DB66B25"/>
    <w:rsid w:val="3DB679A9"/>
    <w:rsid w:val="3DB67BD8"/>
    <w:rsid w:val="3DB67EB4"/>
    <w:rsid w:val="3DB75044"/>
    <w:rsid w:val="3DB765B2"/>
    <w:rsid w:val="3DB80AEF"/>
    <w:rsid w:val="3DB8289D"/>
    <w:rsid w:val="3DB82D12"/>
    <w:rsid w:val="3DB84D62"/>
    <w:rsid w:val="3DB84F41"/>
    <w:rsid w:val="3DB86D41"/>
    <w:rsid w:val="3DB919A7"/>
    <w:rsid w:val="3DB92773"/>
    <w:rsid w:val="3DB959D7"/>
    <w:rsid w:val="3DBA03C3"/>
    <w:rsid w:val="3DBA5BEF"/>
    <w:rsid w:val="3DBA6A6E"/>
    <w:rsid w:val="3DBB00AA"/>
    <w:rsid w:val="3DBB238D"/>
    <w:rsid w:val="3DBB5757"/>
    <w:rsid w:val="3DBC05DF"/>
    <w:rsid w:val="3DBD419D"/>
    <w:rsid w:val="3DBD4357"/>
    <w:rsid w:val="3DBD4411"/>
    <w:rsid w:val="3DBD6105"/>
    <w:rsid w:val="3DBD6C3E"/>
    <w:rsid w:val="3DBD7EB3"/>
    <w:rsid w:val="3DBE1421"/>
    <w:rsid w:val="3DBE42A3"/>
    <w:rsid w:val="3DBE5021"/>
    <w:rsid w:val="3DBE682D"/>
    <w:rsid w:val="3DBF00CF"/>
    <w:rsid w:val="3DBF201D"/>
    <w:rsid w:val="3DBF29D9"/>
    <w:rsid w:val="3DBF4F37"/>
    <w:rsid w:val="3DBF59D9"/>
    <w:rsid w:val="3DBF6CA9"/>
    <w:rsid w:val="3DC01751"/>
    <w:rsid w:val="3DC04C86"/>
    <w:rsid w:val="3DC07228"/>
    <w:rsid w:val="3DC079A3"/>
    <w:rsid w:val="3DC12D0A"/>
    <w:rsid w:val="3DC15BF5"/>
    <w:rsid w:val="3DC16281"/>
    <w:rsid w:val="3DC206BF"/>
    <w:rsid w:val="3DC207FD"/>
    <w:rsid w:val="3DC21977"/>
    <w:rsid w:val="3DC21BFB"/>
    <w:rsid w:val="3DC2205B"/>
    <w:rsid w:val="3DC22A59"/>
    <w:rsid w:val="3DC236E7"/>
    <w:rsid w:val="3DC254CA"/>
    <w:rsid w:val="3DC271E1"/>
    <w:rsid w:val="3DC2772F"/>
    <w:rsid w:val="3DC34676"/>
    <w:rsid w:val="3DC34C62"/>
    <w:rsid w:val="3DC3562A"/>
    <w:rsid w:val="3DC375E2"/>
    <w:rsid w:val="3DC41242"/>
    <w:rsid w:val="3DC4168B"/>
    <w:rsid w:val="3DC42F13"/>
    <w:rsid w:val="3DC46860"/>
    <w:rsid w:val="3DC47494"/>
    <w:rsid w:val="3DC515EA"/>
    <w:rsid w:val="3DC52EBA"/>
    <w:rsid w:val="3DC54FBA"/>
    <w:rsid w:val="3DC56D68"/>
    <w:rsid w:val="3DC70D32"/>
    <w:rsid w:val="3DC718DA"/>
    <w:rsid w:val="3DC72AE0"/>
    <w:rsid w:val="3DC76F84"/>
    <w:rsid w:val="3DC81898"/>
    <w:rsid w:val="3DC94AAA"/>
    <w:rsid w:val="3DCA40F7"/>
    <w:rsid w:val="3DCB0822"/>
    <w:rsid w:val="3DCB698D"/>
    <w:rsid w:val="3DCB6A74"/>
    <w:rsid w:val="3DCC00F6"/>
    <w:rsid w:val="3DCC04FE"/>
    <w:rsid w:val="3DCC110C"/>
    <w:rsid w:val="3DCC2201"/>
    <w:rsid w:val="3DCC459A"/>
    <w:rsid w:val="3DCC6668"/>
    <w:rsid w:val="3DCD4AD1"/>
    <w:rsid w:val="3DCD4C9C"/>
    <w:rsid w:val="3DCE0301"/>
    <w:rsid w:val="3DCE0312"/>
    <w:rsid w:val="3DCE1CEF"/>
    <w:rsid w:val="3DCE20C0"/>
    <w:rsid w:val="3DCE3E6E"/>
    <w:rsid w:val="3DCE530E"/>
    <w:rsid w:val="3DCE78C8"/>
    <w:rsid w:val="3DD0505D"/>
    <w:rsid w:val="3DD07BB8"/>
    <w:rsid w:val="3DD1395F"/>
    <w:rsid w:val="3DD1570D"/>
    <w:rsid w:val="3DD16176"/>
    <w:rsid w:val="3DD17A5E"/>
    <w:rsid w:val="3DD21BFC"/>
    <w:rsid w:val="3DD2254E"/>
    <w:rsid w:val="3DD26E64"/>
    <w:rsid w:val="3DD27E02"/>
    <w:rsid w:val="3DD36602"/>
    <w:rsid w:val="3DD369B1"/>
    <w:rsid w:val="3DD376D7"/>
    <w:rsid w:val="3DD40C2E"/>
    <w:rsid w:val="3DD4297E"/>
    <w:rsid w:val="3DD47A3F"/>
    <w:rsid w:val="3DD514F6"/>
    <w:rsid w:val="3DD516A1"/>
    <w:rsid w:val="3DD5344F"/>
    <w:rsid w:val="3DD566A9"/>
    <w:rsid w:val="3DD60F75"/>
    <w:rsid w:val="3DD61A67"/>
    <w:rsid w:val="3DD61DCD"/>
    <w:rsid w:val="3DD62D1F"/>
    <w:rsid w:val="3DD63AA0"/>
    <w:rsid w:val="3DD671C7"/>
    <w:rsid w:val="3DD73903"/>
    <w:rsid w:val="3DD82F3F"/>
    <w:rsid w:val="3DD8636C"/>
    <w:rsid w:val="3DD863C0"/>
    <w:rsid w:val="3DD86A9B"/>
    <w:rsid w:val="3DD91C8F"/>
    <w:rsid w:val="3DD92DF0"/>
    <w:rsid w:val="3DD965D2"/>
    <w:rsid w:val="3DD97378"/>
    <w:rsid w:val="3DDA0A65"/>
    <w:rsid w:val="3DDB5E5D"/>
    <w:rsid w:val="3DDB658B"/>
    <w:rsid w:val="3DDB6FD1"/>
    <w:rsid w:val="3DDC4B22"/>
    <w:rsid w:val="3DDD0555"/>
    <w:rsid w:val="3DDD0DA2"/>
    <w:rsid w:val="3DDD171A"/>
    <w:rsid w:val="3DDD2303"/>
    <w:rsid w:val="3DDD61C5"/>
    <w:rsid w:val="3DDD67A7"/>
    <w:rsid w:val="3DDF2F59"/>
    <w:rsid w:val="3DDF42CD"/>
    <w:rsid w:val="3DDF60FD"/>
    <w:rsid w:val="3DDF7E2A"/>
    <w:rsid w:val="3DE010A7"/>
    <w:rsid w:val="3DE02C72"/>
    <w:rsid w:val="3DE04B87"/>
    <w:rsid w:val="3DE05FE2"/>
    <w:rsid w:val="3DE10046"/>
    <w:rsid w:val="3DE11DF4"/>
    <w:rsid w:val="3DE21C94"/>
    <w:rsid w:val="3DE21D4D"/>
    <w:rsid w:val="3DE23776"/>
    <w:rsid w:val="3DE23DBE"/>
    <w:rsid w:val="3DE2791A"/>
    <w:rsid w:val="3DE315F4"/>
    <w:rsid w:val="3DE316E3"/>
    <w:rsid w:val="3DE360A4"/>
    <w:rsid w:val="3DE418E4"/>
    <w:rsid w:val="3DE43692"/>
    <w:rsid w:val="3DE43FE4"/>
    <w:rsid w:val="3DE44CCD"/>
    <w:rsid w:val="3DE454DE"/>
    <w:rsid w:val="3DE47B36"/>
    <w:rsid w:val="3DE511B8"/>
    <w:rsid w:val="3DE52247"/>
    <w:rsid w:val="3DE565EA"/>
    <w:rsid w:val="3DE6565C"/>
    <w:rsid w:val="3DE67131"/>
    <w:rsid w:val="3DE6740A"/>
    <w:rsid w:val="3DE713D4"/>
    <w:rsid w:val="3DE73182"/>
    <w:rsid w:val="3DE82D58"/>
    <w:rsid w:val="3DE8709F"/>
    <w:rsid w:val="3DE90CA8"/>
    <w:rsid w:val="3DE94611"/>
    <w:rsid w:val="3DE96EFA"/>
    <w:rsid w:val="3DEA07D5"/>
    <w:rsid w:val="3DEA337D"/>
    <w:rsid w:val="3DEA6325"/>
    <w:rsid w:val="3DEB0EC4"/>
    <w:rsid w:val="3DEB1AF2"/>
    <w:rsid w:val="3DEB2C72"/>
    <w:rsid w:val="3DEB30F5"/>
    <w:rsid w:val="3DEB7C6F"/>
    <w:rsid w:val="3DEC0266"/>
    <w:rsid w:val="3DEC0798"/>
    <w:rsid w:val="3DEC2C83"/>
    <w:rsid w:val="3DEC564C"/>
    <w:rsid w:val="3DEC5AE1"/>
    <w:rsid w:val="3DED43AD"/>
    <w:rsid w:val="3DED69EA"/>
    <w:rsid w:val="3DED79AD"/>
    <w:rsid w:val="3DEE020A"/>
    <w:rsid w:val="3DEE1C62"/>
    <w:rsid w:val="3DEE1D27"/>
    <w:rsid w:val="3DEE62BF"/>
    <w:rsid w:val="3DEF1A76"/>
    <w:rsid w:val="3DF00289"/>
    <w:rsid w:val="3DF005F4"/>
    <w:rsid w:val="3DF0226D"/>
    <w:rsid w:val="3DF02630"/>
    <w:rsid w:val="3DF036DC"/>
    <w:rsid w:val="3DF044B2"/>
    <w:rsid w:val="3DF04AA9"/>
    <w:rsid w:val="3DF064DB"/>
    <w:rsid w:val="3DF106A8"/>
    <w:rsid w:val="3DF14BD0"/>
    <w:rsid w:val="3DF15DAF"/>
    <w:rsid w:val="3DF23A85"/>
    <w:rsid w:val="3DF24001"/>
    <w:rsid w:val="3DF31B27"/>
    <w:rsid w:val="3DF338D5"/>
    <w:rsid w:val="3DF35EE1"/>
    <w:rsid w:val="3DF37D79"/>
    <w:rsid w:val="3DF44458"/>
    <w:rsid w:val="3DF45E4D"/>
    <w:rsid w:val="3DF47029"/>
    <w:rsid w:val="3DF53AF1"/>
    <w:rsid w:val="3DF558E8"/>
    <w:rsid w:val="3DF5764D"/>
    <w:rsid w:val="3DF7088C"/>
    <w:rsid w:val="3DF71617"/>
    <w:rsid w:val="3DF72DD9"/>
    <w:rsid w:val="3DF74C3E"/>
    <w:rsid w:val="3DF77869"/>
    <w:rsid w:val="3DF80EEB"/>
    <w:rsid w:val="3DF81E9B"/>
    <w:rsid w:val="3DF84269"/>
    <w:rsid w:val="3DF8538F"/>
    <w:rsid w:val="3DF956F9"/>
    <w:rsid w:val="3DF97ECE"/>
    <w:rsid w:val="3DFA1107"/>
    <w:rsid w:val="3DFA2EB5"/>
    <w:rsid w:val="3DFA4C63"/>
    <w:rsid w:val="3DFC09D3"/>
    <w:rsid w:val="3DFC1B15"/>
    <w:rsid w:val="3DFC4E7F"/>
    <w:rsid w:val="3DFC57BB"/>
    <w:rsid w:val="3DFC7E61"/>
    <w:rsid w:val="3DFD29A6"/>
    <w:rsid w:val="3DFD4754"/>
    <w:rsid w:val="3DFD4E2D"/>
    <w:rsid w:val="3DFD6C4B"/>
    <w:rsid w:val="3DFE0BF8"/>
    <w:rsid w:val="3DFE7C78"/>
    <w:rsid w:val="3DFF04CC"/>
    <w:rsid w:val="3DFF0E98"/>
    <w:rsid w:val="3DFF1244"/>
    <w:rsid w:val="3DFF227A"/>
    <w:rsid w:val="3DFF413C"/>
    <w:rsid w:val="3E0055CC"/>
    <w:rsid w:val="3E006BD7"/>
    <w:rsid w:val="3E0111E3"/>
    <w:rsid w:val="3E012496"/>
    <w:rsid w:val="3E015FF2"/>
    <w:rsid w:val="3E017F15"/>
    <w:rsid w:val="3E021D6A"/>
    <w:rsid w:val="3E027EEC"/>
    <w:rsid w:val="3E027FBC"/>
    <w:rsid w:val="3E03137C"/>
    <w:rsid w:val="3E0323BF"/>
    <w:rsid w:val="3E0323E0"/>
    <w:rsid w:val="3E033673"/>
    <w:rsid w:val="3E043B88"/>
    <w:rsid w:val="3E043D34"/>
    <w:rsid w:val="3E0443BA"/>
    <w:rsid w:val="3E045AE2"/>
    <w:rsid w:val="3E0549C9"/>
    <w:rsid w:val="3E05686D"/>
    <w:rsid w:val="3E057FAE"/>
    <w:rsid w:val="3E06143E"/>
    <w:rsid w:val="3E06185A"/>
    <w:rsid w:val="3E063608"/>
    <w:rsid w:val="3E064363"/>
    <w:rsid w:val="3E072F00"/>
    <w:rsid w:val="3E07521B"/>
    <w:rsid w:val="3E0819E3"/>
    <w:rsid w:val="3E082CDF"/>
    <w:rsid w:val="3E083824"/>
    <w:rsid w:val="3E08692F"/>
    <w:rsid w:val="3E086A3F"/>
    <w:rsid w:val="3E09134A"/>
    <w:rsid w:val="3E0930F8"/>
    <w:rsid w:val="3E09759C"/>
    <w:rsid w:val="3E0A2F64"/>
    <w:rsid w:val="3E0A667E"/>
    <w:rsid w:val="3E0A7B2B"/>
    <w:rsid w:val="3E0B0C1F"/>
    <w:rsid w:val="3E0B26DF"/>
    <w:rsid w:val="3E0B6E71"/>
    <w:rsid w:val="3E0C24D3"/>
    <w:rsid w:val="3E0C52B0"/>
    <w:rsid w:val="3E0D034D"/>
    <w:rsid w:val="3E0D0E3B"/>
    <w:rsid w:val="3E0D2837"/>
    <w:rsid w:val="3E0D79D7"/>
    <w:rsid w:val="3E0E070F"/>
    <w:rsid w:val="3E0E4BB3"/>
    <w:rsid w:val="3E0E5FDB"/>
    <w:rsid w:val="3E0E655A"/>
    <w:rsid w:val="3E0F15DB"/>
    <w:rsid w:val="3E0F2894"/>
    <w:rsid w:val="3E10092B"/>
    <w:rsid w:val="3E101F1F"/>
    <w:rsid w:val="3E1024F0"/>
    <w:rsid w:val="3E103980"/>
    <w:rsid w:val="3E104487"/>
    <w:rsid w:val="3E105A20"/>
    <w:rsid w:val="3E111FAD"/>
    <w:rsid w:val="3E112D47"/>
    <w:rsid w:val="3E11727E"/>
    <w:rsid w:val="3E1178D1"/>
    <w:rsid w:val="3E120035"/>
    <w:rsid w:val="3E1201FF"/>
    <w:rsid w:val="3E120EBC"/>
    <w:rsid w:val="3E122031"/>
    <w:rsid w:val="3E1249E2"/>
    <w:rsid w:val="3E125345"/>
    <w:rsid w:val="3E126451"/>
    <w:rsid w:val="3E126795"/>
    <w:rsid w:val="3E126C05"/>
    <w:rsid w:val="3E127287"/>
    <w:rsid w:val="3E1279E1"/>
    <w:rsid w:val="3E13020D"/>
    <w:rsid w:val="3E13107E"/>
    <w:rsid w:val="3E131DA7"/>
    <w:rsid w:val="3E1321C9"/>
    <w:rsid w:val="3E133F77"/>
    <w:rsid w:val="3E133FD6"/>
    <w:rsid w:val="3E134666"/>
    <w:rsid w:val="3E13526F"/>
    <w:rsid w:val="3E135D25"/>
    <w:rsid w:val="3E13637D"/>
    <w:rsid w:val="3E13765C"/>
    <w:rsid w:val="3E141C6C"/>
    <w:rsid w:val="3E1440E6"/>
    <w:rsid w:val="3E1467F8"/>
    <w:rsid w:val="3E155F41"/>
    <w:rsid w:val="3E15655F"/>
    <w:rsid w:val="3E157CEF"/>
    <w:rsid w:val="3E160F33"/>
    <w:rsid w:val="3E1675C3"/>
    <w:rsid w:val="3E16775C"/>
    <w:rsid w:val="3E171BBD"/>
    <w:rsid w:val="3E171CB9"/>
    <w:rsid w:val="3E173A67"/>
    <w:rsid w:val="3E175815"/>
    <w:rsid w:val="3E1758C2"/>
    <w:rsid w:val="3E180E72"/>
    <w:rsid w:val="3E18158D"/>
    <w:rsid w:val="3E182E44"/>
    <w:rsid w:val="3E18333B"/>
    <w:rsid w:val="3E183853"/>
    <w:rsid w:val="3E184EBB"/>
    <w:rsid w:val="3E186EBA"/>
    <w:rsid w:val="3E1875AB"/>
    <w:rsid w:val="3E18766E"/>
    <w:rsid w:val="3E194C3C"/>
    <w:rsid w:val="3E196AA7"/>
    <w:rsid w:val="3E1A1C45"/>
    <w:rsid w:val="3E1A2799"/>
    <w:rsid w:val="3E1A3399"/>
    <w:rsid w:val="3E1A3557"/>
    <w:rsid w:val="3E1A5306"/>
    <w:rsid w:val="3E1A6B5A"/>
    <w:rsid w:val="3E1A709E"/>
    <w:rsid w:val="3E1A79B5"/>
    <w:rsid w:val="3E1C2E2C"/>
    <w:rsid w:val="3E1C6390"/>
    <w:rsid w:val="3E1C6928"/>
    <w:rsid w:val="3E1C72D0"/>
    <w:rsid w:val="3E1D0557"/>
    <w:rsid w:val="3E1D6235"/>
    <w:rsid w:val="3E1D70EE"/>
    <w:rsid w:val="3E1E528B"/>
    <w:rsid w:val="3E1E5372"/>
    <w:rsid w:val="3E1E54B8"/>
    <w:rsid w:val="3E1E76C5"/>
    <w:rsid w:val="3E1F0B6E"/>
    <w:rsid w:val="3E1F1FE5"/>
    <w:rsid w:val="3E1F4D6D"/>
    <w:rsid w:val="3E1F5F0C"/>
    <w:rsid w:val="3E1F7567"/>
    <w:rsid w:val="3E1F7779"/>
    <w:rsid w:val="3E203475"/>
    <w:rsid w:val="3E204421"/>
    <w:rsid w:val="3E204BB6"/>
    <w:rsid w:val="3E205479"/>
    <w:rsid w:val="3E212645"/>
    <w:rsid w:val="3E2133A2"/>
    <w:rsid w:val="3E2148E6"/>
    <w:rsid w:val="3E216046"/>
    <w:rsid w:val="3E216694"/>
    <w:rsid w:val="3E217E36"/>
    <w:rsid w:val="3E222C05"/>
    <w:rsid w:val="3E2241BA"/>
    <w:rsid w:val="3E225A0E"/>
    <w:rsid w:val="3E22733A"/>
    <w:rsid w:val="3E227410"/>
    <w:rsid w:val="3E232B48"/>
    <w:rsid w:val="3E233537"/>
    <w:rsid w:val="3E237F21"/>
    <w:rsid w:val="3E241CE0"/>
    <w:rsid w:val="3E241DF6"/>
    <w:rsid w:val="3E242943"/>
    <w:rsid w:val="3E24501A"/>
    <w:rsid w:val="3E246184"/>
    <w:rsid w:val="3E2468A9"/>
    <w:rsid w:val="3E247F32"/>
    <w:rsid w:val="3E261EFC"/>
    <w:rsid w:val="3E263CAA"/>
    <w:rsid w:val="3E266F05"/>
    <w:rsid w:val="3E2717D1"/>
    <w:rsid w:val="3E2735E7"/>
    <w:rsid w:val="3E274D1B"/>
    <w:rsid w:val="3E2770E7"/>
    <w:rsid w:val="3E277F08"/>
    <w:rsid w:val="3E283348"/>
    <w:rsid w:val="3E285C74"/>
    <w:rsid w:val="3E2919ED"/>
    <w:rsid w:val="3E29203F"/>
    <w:rsid w:val="3E29379B"/>
    <w:rsid w:val="3E297E46"/>
    <w:rsid w:val="3E2A0F57"/>
    <w:rsid w:val="3E2A7B5B"/>
    <w:rsid w:val="3E2A7F37"/>
    <w:rsid w:val="3E2B1CC9"/>
    <w:rsid w:val="3E2B306F"/>
    <w:rsid w:val="3E2B4042"/>
    <w:rsid w:val="3E2B608E"/>
    <w:rsid w:val="3E2B70F8"/>
    <w:rsid w:val="3E2B7513"/>
    <w:rsid w:val="3E2C3569"/>
    <w:rsid w:val="3E2C3DB8"/>
    <w:rsid w:val="3E2C450A"/>
    <w:rsid w:val="3E2D0A8E"/>
    <w:rsid w:val="3E2E0DB1"/>
    <w:rsid w:val="3E2E4312"/>
    <w:rsid w:val="3E2E7003"/>
    <w:rsid w:val="3E2F1ADA"/>
    <w:rsid w:val="3E2F3B47"/>
    <w:rsid w:val="3E2F6F09"/>
    <w:rsid w:val="3E2F7C08"/>
    <w:rsid w:val="3E2F7C94"/>
    <w:rsid w:val="3E3110D4"/>
    <w:rsid w:val="3E313427"/>
    <w:rsid w:val="3E3143FD"/>
    <w:rsid w:val="3E3149E7"/>
    <w:rsid w:val="3E32006F"/>
    <w:rsid w:val="3E32264F"/>
    <w:rsid w:val="3E331488"/>
    <w:rsid w:val="3E332998"/>
    <w:rsid w:val="3E332D92"/>
    <w:rsid w:val="3E33621B"/>
    <w:rsid w:val="3E3363C7"/>
    <w:rsid w:val="3E3418EB"/>
    <w:rsid w:val="3E342482"/>
    <w:rsid w:val="3E343EEA"/>
    <w:rsid w:val="3E34499F"/>
    <w:rsid w:val="3E350391"/>
    <w:rsid w:val="3E35373D"/>
    <w:rsid w:val="3E354532"/>
    <w:rsid w:val="3E3578B8"/>
    <w:rsid w:val="3E367A3C"/>
    <w:rsid w:val="3E370A30"/>
    <w:rsid w:val="3E371A14"/>
    <w:rsid w:val="3E37371B"/>
    <w:rsid w:val="3E375EB7"/>
    <w:rsid w:val="3E3762B7"/>
    <w:rsid w:val="3E376F5D"/>
    <w:rsid w:val="3E377C66"/>
    <w:rsid w:val="3E382E3D"/>
    <w:rsid w:val="3E3839DE"/>
    <w:rsid w:val="3E38578C"/>
    <w:rsid w:val="3E3861F8"/>
    <w:rsid w:val="3E3A0475"/>
    <w:rsid w:val="3E3A1139"/>
    <w:rsid w:val="3E3A4712"/>
    <w:rsid w:val="3E3A575D"/>
    <w:rsid w:val="3E3A59A8"/>
    <w:rsid w:val="3E3A74AB"/>
    <w:rsid w:val="3E3B5E30"/>
    <w:rsid w:val="3E3C1720"/>
    <w:rsid w:val="3E3C34CE"/>
    <w:rsid w:val="3E3C3D57"/>
    <w:rsid w:val="3E3C7054"/>
    <w:rsid w:val="3E3D0FF4"/>
    <w:rsid w:val="3E3D2DA2"/>
    <w:rsid w:val="3E3D40DE"/>
    <w:rsid w:val="3E3E0B53"/>
    <w:rsid w:val="3E3E52C9"/>
    <w:rsid w:val="3E3E7246"/>
    <w:rsid w:val="3E3F2FBE"/>
    <w:rsid w:val="3E3F2FCC"/>
    <w:rsid w:val="3E3F3F54"/>
    <w:rsid w:val="3E3F4D6C"/>
    <w:rsid w:val="3E407E8E"/>
    <w:rsid w:val="3E412892"/>
    <w:rsid w:val="3E413EEF"/>
    <w:rsid w:val="3E4140D9"/>
    <w:rsid w:val="3E41662A"/>
    <w:rsid w:val="3E416D36"/>
    <w:rsid w:val="3E417C25"/>
    <w:rsid w:val="3E4203B8"/>
    <w:rsid w:val="3E424BC6"/>
    <w:rsid w:val="3E42537F"/>
    <w:rsid w:val="3E42660A"/>
    <w:rsid w:val="3E426EF4"/>
    <w:rsid w:val="3E4319EC"/>
    <w:rsid w:val="3E433514"/>
    <w:rsid w:val="3E43485C"/>
    <w:rsid w:val="3E4356B8"/>
    <w:rsid w:val="3E435CB3"/>
    <w:rsid w:val="3E43602C"/>
    <w:rsid w:val="3E43680F"/>
    <w:rsid w:val="3E43689D"/>
    <w:rsid w:val="3E436FED"/>
    <w:rsid w:val="3E440322"/>
    <w:rsid w:val="3E4413E0"/>
    <w:rsid w:val="3E442382"/>
    <w:rsid w:val="3E444130"/>
    <w:rsid w:val="3E450514"/>
    <w:rsid w:val="3E454273"/>
    <w:rsid w:val="3E45657B"/>
    <w:rsid w:val="3E4573F0"/>
    <w:rsid w:val="3E460FEB"/>
    <w:rsid w:val="3E46377C"/>
    <w:rsid w:val="3E463E53"/>
    <w:rsid w:val="3E46434D"/>
    <w:rsid w:val="3E4660FB"/>
    <w:rsid w:val="3E467EA9"/>
    <w:rsid w:val="3E475ED5"/>
    <w:rsid w:val="3E477565"/>
    <w:rsid w:val="3E481E73"/>
    <w:rsid w:val="3E4827C7"/>
    <w:rsid w:val="3E49157C"/>
    <w:rsid w:val="3E491747"/>
    <w:rsid w:val="3E49386E"/>
    <w:rsid w:val="3E495252"/>
    <w:rsid w:val="3E495BEB"/>
    <w:rsid w:val="3E4A14F8"/>
    <w:rsid w:val="3E4A2CBA"/>
    <w:rsid w:val="3E4A3CD3"/>
    <w:rsid w:val="3E4A66E2"/>
    <w:rsid w:val="3E4A7D6B"/>
    <w:rsid w:val="3E4B07F2"/>
    <w:rsid w:val="3E4B1569"/>
    <w:rsid w:val="3E4B1963"/>
    <w:rsid w:val="3E4B2C42"/>
    <w:rsid w:val="3E4B3711"/>
    <w:rsid w:val="3E4B54BF"/>
    <w:rsid w:val="3E4B7B72"/>
    <w:rsid w:val="3E4C0A86"/>
    <w:rsid w:val="3E4C0C00"/>
    <w:rsid w:val="3E4C1002"/>
    <w:rsid w:val="3E4C63BB"/>
    <w:rsid w:val="3E4D1237"/>
    <w:rsid w:val="3E4D56DB"/>
    <w:rsid w:val="3E4D5817"/>
    <w:rsid w:val="3E4D7489"/>
    <w:rsid w:val="3E4E51EA"/>
    <w:rsid w:val="3E4F0F8A"/>
    <w:rsid w:val="3E4F230C"/>
    <w:rsid w:val="3E4F3163"/>
    <w:rsid w:val="3E4F77A3"/>
    <w:rsid w:val="3E4F797E"/>
    <w:rsid w:val="3E500D27"/>
    <w:rsid w:val="3E503879"/>
    <w:rsid w:val="3E520CF0"/>
    <w:rsid w:val="3E5221DB"/>
    <w:rsid w:val="3E52318A"/>
    <w:rsid w:val="3E523C16"/>
    <w:rsid w:val="3E524A9F"/>
    <w:rsid w:val="3E530103"/>
    <w:rsid w:val="3E530817"/>
    <w:rsid w:val="3E53145E"/>
    <w:rsid w:val="3E5325C6"/>
    <w:rsid w:val="3E5423CB"/>
    <w:rsid w:val="3E543F99"/>
    <w:rsid w:val="3E544CCE"/>
    <w:rsid w:val="3E5468ED"/>
    <w:rsid w:val="3E547794"/>
    <w:rsid w:val="3E5541D1"/>
    <w:rsid w:val="3E554590"/>
    <w:rsid w:val="3E55633E"/>
    <w:rsid w:val="3E570308"/>
    <w:rsid w:val="3E57193C"/>
    <w:rsid w:val="3E5750C4"/>
    <w:rsid w:val="3E575B06"/>
    <w:rsid w:val="3E584838"/>
    <w:rsid w:val="3E587BDC"/>
    <w:rsid w:val="3E592176"/>
    <w:rsid w:val="3E594D47"/>
    <w:rsid w:val="3E5A1BA6"/>
    <w:rsid w:val="3E5A3954"/>
    <w:rsid w:val="3E5A61D7"/>
    <w:rsid w:val="3E5A62EC"/>
    <w:rsid w:val="3E5A7DF8"/>
    <w:rsid w:val="3E5B7667"/>
    <w:rsid w:val="3E5C0964"/>
    <w:rsid w:val="3E5D0B25"/>
    <w:rsid w:val="3E5E1696"/>
    <w:rsid w:val="3E5E3444"/>
    <w:rsid w:val="3E5F1511"/>
    <w:rsid w:val="3E5F3946"/>
    <w:rsid w:val="3E5F5FE8"/>
    <w:rsid w:val="3E5F71BC"/>
    <w:rsid w:val="3E601161"/>
    <w:rsid w:val="3E606150"/>
    <w:rsid w:val="3E612F34"/>
    <w:rsid w:val="3E6134D9"/>
    <w:rsid w:val="3E614CE2"/>
    <w:rsid w:val="3E615055"/>
    <w:rsid w:val="3E617C95"/>
    <w:rsid w:val="3E622809"/>
    <w:rsid w:val="3E624969"/>
    <w:rsid w:val="3E6309CA"/>
    <w:rsid w:val="3E630A5B"/>
    <w:rsid w:val="3E63354D"/>
    <w:rsid w:val="3E636CAD"/>
    <w:rsid w:val="3E640B9F"/>
    <w:rsid w:val="3E642A25"/>
    <w:rsid w:val="3E646418"/>
    <w:rsid w:val="3E650498"/>
    <w:rsid w:val="3E65333C"/>
    <w:rsid w:val="3E6541AC"/>
    <w:rsid w:val="3E66054B"/>
    <w:rsid w:val="3E661BA9"/>
    <w:rsid w:val="3E66679D"/>
    <w:rsid w:val="3E667354"/>
    <w:rsid w:val="3E67726D"/>
    <w:rsid w:val="3E67734B"/>
    <w:rsid w:val="3E67796F"/>
    <w:rsid w:val="3E6842C3"/>
    <w:rsid w:val="3E687BAD"/>
    <w:rsid w:val="3E690030"/>
    <w:rsid w:val="3E691C6B"/>
    <w:rsid w:val="3E691DE9"/>
    <w:rsid w:val="3E693467"/>
    <w:rsid w:val="3E693B97"/>
    <w:rsid w:val="3E694214"/>
    <w:rsid w:val="3E695BB7"/>
    <w:rsid w:val="3E696981"/>
    <w:rsid w:val="3E6A003B"/>
    <w:rsid w:val="3E6A20BD"/>
    <w:rsid w:val="3E6A43A1"/>
    <w:rsid w:val="3E6A5CCC"/>
    <w:rsid w:val="3E6B3DB3"/>
    <w:rsid w:val="3E6B5A1B"/>
    <w:rsid w:val="3E6B790F"/>
    <w:rsid w:val="3E6C1E03"/>
    <w:rsid w:val="3E6C4BD9"/>
    <w:rsid w:val="3E6C72BB"/>
    <w:rsid w:val="3E6C7F49"/>
    <w:rsid w:val="3E6D18D9"/>
    <w:rsid w:val="3E6D1A7C"/>
    <w:rsid w:val="3E6D3687"/>
    <w:rsid w:val="3E6D7B2B"/>
    <w:rsid w:val="3E6E0B6F"/>
    <w:rsid w:val="3E6E1417"/>
    <w:rsid w:val="3E6E2F0C"/>
    <w:rsid w:val="3E6E464D"/>
    <w:rsid w:val="3E6E6014"/>
    <w:rsid w:val="3E6E6515"/>
    <w:rsid w:val="3E6E73FF"/>
    <w:rsid w:val="3E6F2EFB"/>
    <w:rsid w:val="3E6F2F98"/>
    <w:rsid w:val="3E6F38A3"/>
    <w:rsid w:val="3E6F4836"/>
    <w:rsid w:val="3E6F5651"/>
    <w:rsid w:val="3E703177"/>
    <w:rsid w:val="3E7049A9"/>
    <w:rsid w:val="3E70582C"/>
    <w:rsid w:val="3E705A59"/>
    <w:rsid w:val="3E706594"/>
    <w:rsid w:val="3E7160C8"/>
    <w:rsid w:val="3E7204BE"/>
    <w:rsid w:val="3E7229DF"/>
    <w:rsid w:val="3E723A22"/>
    <w:rsid w:val="3E725142"/>
    <w:rsid w:val="3E72676B"/>
    <w:rsid w:val="3E726EF0"/>
    <w:rsid w:val="3E734A16"/>
    <w:rsid w:val="3E740EBA"/>
    <w:rsid w:val="3E74194F"/>
    <w:rsid w:val="3E745A74"/>
    <w:rsid w:val="3E746597"/>
    <w:rsid w:val="3E75020E"/>
    <w:rsid w:val="3E7502D3"/>
    <w:rsid w:val="3E751C13"/>
    <w:rsid w:val="3E752F04"/>
    <w:rsid w:val="3E7569E0"/>
    <w:rsid w:val="3E76169E"/>
    <w:rsid w:val="3E761AC3"/>
    <w:rsid w:val="3E766A3A"/>
    <w:rsid w:val="3E772758"/>
    <w:rsid w:val="3E7814E8"/>
    <w:rsid w:val="3E78202C"/>
    <w:rsid w:val="3E786B8F"/>
    <w:rsid w:val="3E79001F"/>
    <w:rsid w:val="3E791760"/>
    <w:rsid w:val="3E792BFB"/>
    <w:rsid w:val="3E7964D0"/>
    <w:rsid w:val="3E7A2248"/>
    <w:rsid w:val="3E7A5DA4"/>
    <w:rsid w:val="3E7A723D"/>
    <w:rsid w:val="3E7A7B84"/>
    <w:rsid w:val="3E7B5333"/>
    <w:rsid w:val="3E7B79FC"/>
    <w:rsid w:val="3E7C1B1C"/>
    <w:rsid w:val="3E7C239F"/>
    <w:rsid w:val="3E7C257E"/>
    <w:rsid w:val="3E7C38CA"/>
    <w:rsid w:val="3E7C69A0"/>
    <w:rsid w:val="3E7C7D6E"/>
    <w:rsid w:val="3E7E3AE6"/>
    <w:rsid w:val="3E7E5894"/>
    <w:rsid w:val="3E7E630F"/>
    <w:rsid w:val="3E7F160D"/>
    <w:rsid w:val="3E7F3E91"/>
    <w:rsid w:val="3E802756"/>
    <w:rsid w:val="3E8048A1"/>
    <w:rsid w:val="3E80785E"/>
    <w:rsid w:val="3E8135D7"/>
    <w:rsid w:val="3E8176FB"/>
    <w:rsid w:val="3E820DFD"/>
    <w:rsid w:val="3E822812"/>
    <w:rsid w:val="3E831592"/>
    <w:rsid w:val="3E831594"/>
    <w:rsid w:val="3E832EAB"/>
    <w:rsid w:val="3E83486D"/>
    <w:rsid w:val="3E83494C"/>
    <w:rsid w:val="3E835072"/>
    <w:rsid w:val="3E8410BA"/>
    <w:rsid w:val="3E842247"/>
    <w:rsid w:val="3E846C23"/>
    <w:rsid w:val="3E850E1C"/>
    <w:rsid w:val="3E854E75"/>
    <w:rsid w:val="3E860BED"/>
    <w:rsid w:val="3E861193"/>
    <w:rsid w:val="3E862623"/>
    <w:rsid w:val="3E86299B"/>
    <w:rsid w:val="3E864749"/>
    <w:rsid w:val="3E873A37"/>
    <w:rsid w:val="3E891D2A"/>
    <w:rsid w:val="3E8926E5"/>
    <w:rsid w:val="3E895FE7"/>
    <w:rsid w:val="3E8A18A8"/>
    <w:rsid w:val="3E8A248B"/>
    <w:rsid w:val="3E8A6BC9"/>
    <w:rsid w:val="3E8A6C2A"/>
    <w:rsid w:val="3E8B10C6"/>
    <w:rsid w:val="3E8B1D5F"/>
    <w:rsid w:val="3E8B6203"/>
    <w:rsid w:val="3E8C31C9"/>
    <w:rsid w:val="3E8C3818"/>
    <w:rsid w:val="3E8C693E"/>
    <w:rsid w:val="3E8D0E30"/>
    <w:rsid w:val="3E8D3D29"/>
    <w:rsid w:val="3E8D5AD7"/>
    <w:rsid w:val="3E8D6120"/>
    <w:rsid w:val="3E8D7925"/>
    <w:rsid w:val="3E8E01C0"/>
    <w:rsid w:val="3E8E0DB5"/>
    <w:rsid w:val="3E8E24F6"/>
    <w:rsid w:val="3E8E35FE"/>
    <w:rsid w:val="3E8E6E9C"/>
    <w:rsid w:val="3E8F04BB"/>
    <w:rsid w:val="3E8F1CED"/>
    <w:rsid w:val="3E8F3986"/>
    <w:rsid w:val="3E8F79ED"/>
    <w:rsid w:val="3E8F7AA2"/>
    <w:rsid w:val="3E9055C8"/>
    <w:rsid w:val="3E90619A"/>
    <w:rsid w:val="3E907376"/>
    <w:rsid w:val="3E9207B3"/>
    <w:rsid w:val="3E921340"/>
    <w:rsid w:val="3E9230EE"/>
    <w:rsid w:val="3E925BB5"/>
    <w:rsid w:val="3E9275F9"/>
    <w:rsid w:val="3E9277BD"/>
    <w:rsid w:val="3E932C1B"/>
    <w:rsid w:val="3E933797"/>
    <w:rsid w:val="3E934075"/>
    <w:rsid w:val="3E936B07"/>
    <w:rsid w:val="3E937BFD"/>
    <w:rsid w:val="3E94068F"/>
    <w:rsid w:val="3E94184F"/>
    <w:rsid w:val="3E942F46"/>
    <w:rsid w:val="3E94330A"/>
    <w:rsid w:val="3E944C27"/>
    <w:rsid w:val="3E946368"/>
    <w:rsid w:val="3E946E66"/>
    <w:rsid w:val="3E95498C"/>
    <w:rsid w:val="3E9560B7"/>
    <w:rsid w:val="3E962109"/>
    <w:rsid w:val="3E96482D"/>
    <w:rsid w:val="3E970704"/>
    <w:rsid w:val="3E9745BD"/>
    <w:rsid w:val="3E974BA8"/>
    <w:rsid w:val="3E976956"/>
    <w:rsid w:val="3E977521"/>
    <w:rsid w:val="3E9779B4"/>
    <w:rsid w:val="3E9826A8"/>
    <w:rsid w:val="3E98375A"/>
    <w:rsid w:val="3E984A38"/>
    <w:rsid w:val="3E984C33"/>
    <w:rsid w:val="3E9857CA"/>
    <w:rsid w:val="3E986179"/>
    <w:rsid w:val="3E990920"/>
    <w:rsid w:val="3E990D91"/>
    <w:rsid w:val="3E994DA1"/>
    <w:rsid w:val="3E99624B"/>
    <w:rsid w:val="3E9A01F4"/>
    <w:rsid w:val="3E9A0752"/>
    <w:rsid w:val="3E9A0A99"/>
    <w:rsid w:val="3E9A0C3B"/>
    <w:rsid w:val="3E9A1FA2"/>
    <w:rsid w:val="3E9A3275"/>
    <w:rsid w:val="3E9B175D"/>
    <w:rsid w:val="3E9B3854"/>
    <w:rsid w:val="3E9B45E4"/>
    <w:rsid w:val="3E9B4AFA"/>
    <w:rsid w:val="3E9B552D"/>
    <w:rsid w:val="3E9C21BE"/>
    <w:rsid w:val="3E9C2BA0"/>
    <w:rsid w:val="3E9C33B9"/>
    <w:rsid w:val="3E9C3F6D"/>
    <w:rsid w:val="3E9C586D"/>
    <w:rsid w:val="3E9C5B24"/>
    <w:rsid w:val="3E9C5F8A"/>
    <w:rsid w:val="3E9E19B0"/>
    <w:rsid w:val="3E9E1CF6"/>
    <w:rsid w:val="3E9E3D74"/>
    <w:rsid w:val="3E9E5E0A"/>
    <w:rsid w:val="3E9E7CE5"/>
    <w:rsid w:val="3E9F114B"/>
    <w:rsid w:val="3E9F580B"/>
    <w:rsid w:val="3EA01CAF"/>
    <w:rsid w:val="3EA01D70"/>
    <w:rsid w:val="3EA02DFC"/>
    <w:rsid w:val="3EA03A5D"/>
    <w:rsid w:val="3EA046A3"/>
    <w:rsid w:val="3EA04C6C"/>
    <w:rsid w:val="3EA070A4"/>
    <w:rsid w:val="3EA1096C"/>
    <w:rsid w:val="3EA11583"/>
    <w:rsid w:val="3EA13331"/>
    <w:rsid w:val="3EA1349D"/>
    <w:rsid w:val="3EA1722B"/>
    <w:rsid w:val="3EA177D5"/>
    <w:rsid w:val="3EA31443"/>
    <w:rsid w:val="3EA3354D"/>
    <w:rsid w:val="3EA34620"/>
    <w:rsid w:val="3EA370A9"/>
    <w:rsid w:val="3EA42E21"/>
    <w:rsid w:val="3EA63C21"/>
    <w:rsid w:val="3EA654D5"/>
    <w:rsid w:val="3EA65730"/>
    <w:rsid w:val="3EA66B99"/>
    <w:rsid w:val="3EA723C8"/>
    <w:rsid w:val="3EA80B63"/>
    <w:rsid w:val="3EA82911"/>
    <w:rsid w:val="3EA846BF"/>
    <w:rsid w:val="3EA84E11"/>
    <w:rsid w:val="3EA90437"/>
    <w:rsid w:val="3EA91123"/>
    <w:rsid w:val="3EA93779"/>
    <w:rsid w:val="3EAA0467"/>
    <w:rsid w:val="3EAA058E"/>
    <w:rsid w:val="3EAA5F37"/>
    <w:rsid w:val="3EAA6689"/>
    <w:rsid w:val="3EAA6B19"/>
    <w:rsid w:val="3EAB0654"/>
    <w:rsid w:val="3EAB1FF3"/>
    <w:rsid w:val="3EAB2402"/>
    <w:rsid w:val="3EAB29D6"/>
    <w:rsid w:val="3EAB458C"/>
    <w:rsid w:val="3EAB45EF"/>
    <w:rsid w:val="3EAD1CD6"/>
    <w:rsid w:val="3EAD3A2C"/>
    <w:rsid w:val="3EAD487E"/>
    <w:rsid w:val="3EAD58D5"/>
    <w:rsid w:val="3EAD5DC7"/>
    <w:rsid w:val="3EAD617A"/>
    <w:rsid w:val="3EAD6F0F"/>
    <w:rsid w:val="3EAD7552"/>
    <w:rsid w:val="3EAE4B97"/>
    <w:rsid w:val="3EAF4400"/>
    <w:rsid w:val="3EB04EFD"/>
    <w:rsid w:val="3EB05890"/>
    <w:rsid w:val="3EB06E78"/>
    <w:rsid w:val="3EB07A18"/>
    <w:rsid w:val="3EB135A4"/>
    <w:rsid w:val="3EB147FE"/>
    <w:rsid w:val="3EB17CEF"/>
    <w:rsid w:val="3EB218F1"/>
    <w:rsid w:val="3EB230F5"/>
    <w:rsid w:val="3EB23790"/>
    <w:rsid w:val="3EB2553E"/>
    <w:rsid w:val="3EB31640"/>
    <w:rsid w:val="3EB32D81"/>
    <w:rsid w:val="3EB40C3B"/>
    <w:rsid w:val="3EB4103A"/>
    <w:rsid w:val="3EB412B6"/>
    <w:rsid w:val="3EB43064"/>
    <w:rsid w:val="3EB44D35"/>
    <w:rsid w:val="3EB47508"/>
    <w:rsid w:val="3EB5064C"/>
    <w:rsid w:val="3EB53B83"/>
    <w:rsid w:val="3EB55E10"/>
    <w:rsid w:val="3EB56DDC"/>
    <w:rsid w:val="3EB574D3"/>
    <w:rsid w:val="3EB6085E"/>
    <w:rsid w:val="3EB63280"/>
    <w:rsid w:val="3EB6576A"/>
    <w:rsid w:val="3EB66D3C"/>
    <w:rsid w:val="3EB70DA6"/>
    <w:rsid w:val="3EB71288"/>
    <w:rsid w:val="3EB72B54"/>
    <w:rsid w:val="3EB76FF8"/>
    <w:rsid w:val="3EB77744"/>
    <w:rsid w:val="3EB77FC0"/>
    <w:rsid w:val="3EB83623"/>
    <w:rsid w:val="3EB903A3"/>
    <w:rsid w:val="3EB92D70"/>
    <w:rsid w:val="3EB94594"/>
    <w:rsid w:val="3EB94B1E"/>
    <w:rsid w:val="3EB94F4F"/>
    <w:rsid w:val="3EB968CD"/>
    <w:rsid w:val="3EB97C4F"/>
    <w:rsid w:val="3EBA2AE0"/>
    <w:rsid w:val="3EBA43F3"/>
    <w:rsid w:val="3EBA6941"/>
    <w:rsid w:val="3EBB1512"/>
    <w:rsid w:val="3EBB6BD8"/>
    <w:rsid w:val="3EBC5573"/>
    <w:rsid w:val="3EBC63BD"/>
    <w:rsid w:val="3EBD4FE1"/>
    <w:rsid w:val="3EBE2135"/>
    <w:rsid w:val="3EBE3EE3"/>
    <w:rsid w:val="3EBE490B"/>
    <w:rsid w:val="3EBE7224"/>
    <w:rsid w:val="3EBF704A"/>
    <w:rsid w:val="3EBF7C5B"/>
    <w:rsid w:val="3EC00E65"/>
    <w:rsid w:val="3EC02953"/>
    <w:rsid w:val="3EC03D67"/>
    <w:rsid w:val="3EC040FF"/>
    <w:rsid w:val="3EC05384"/>
    <w:rsid w:val="3EC05ED9"/>
    <w:rsid w:val="3EC06668"/>
    <w:rsid w:val="3EC06DAE"/>
    <w:rsid w:val="3EC10D2A"/>
    <w:rsid w:val="3EC1233F"/>
    <w:rsid w:val="3EC139D3"/>
    <w:rsid w:val="3EC13A3E"/>
    <w:rsid w:val="3EC13C43"/>
    <w:rsid w:val="3EC15781"/>
    <w:rsid w:val="3EC15796"/>
    <w:rsid w:val="3EC219EB"/>
    <w:rsid w:val="3EC27CA4"/>
    <w:rsid w:val="3EC3033B"/>
    <w:rsid w:val="3EC314F9"/>
    <w:rsid w:val="3EC3599D"/>
    <w:rsid w:val="3EC36BA6"/>
    <w:rsid w:val="3EC45203"/>
    <w:rsid w:val="3EC46BDA"/>
    <w:rsid w:val="3EC51303"/>
    <w:rsid w:val="3EC51715"/>
    <w:rsid w:val="3EC534C3"/>
    <w:rsid w:val="3EC60FE9"/>
    <w:rsid w:val="3EC61005"/>
    <w:rsid w:val="3EC72686"/>
    <w:rsid w:val="3EC7317F"/>
    <w:rsid w:val="3EC7548D"/>
    <w:rsid w:val="3EC83F5E"/>
    <w:rsid w:val="3EC8622A"/>
    <w:rsid w:val="3EC8699B"/>
    <w:rsid w:val="3EC86B10"/>
    <w:rsid w:val="3EC90069"/>
    <w:rsid w:val="3EC924E2"/>
    <w:rsid w:val="3EC97650"/>
    <w:rsid w:val="3ECA0C57"/>
    <w:rsid w:val="3ECA1BCF"/>
    <w:rsid w:val="3ECA2888"/>
    <w:rsid w:val="3ECA6D2C"/>
    <w:rsid w:val="3ECA6DD4"/>
    <w:rsid w:val="3ECA7B77"/>
    <w:rsid w:val="3ECB11AE"/>
    <w:rsid w:val="3ECB45CE"/>
    <w:rsid w:val="3ECB4852"/>
    <w:rsid w:val="3ECB4937"/>
    <w:rsid w:val="3ECB6600"/>
    <w:rsid w:val="3ECB66E4"/>
    <w:rsid w:val="3ECB7706"/>
    <w:rsid w:val="3ECB7CB8"/>
    <w:rsid w:val="3ECC1E3C"/>
    <w:rsid w:val="3ECC3927"/>
    <w:rsid w:val="3ECC67C1"/>
    <w:rsid w:val="3ECC75DB"/>
    <w:rsid w:val="3ECD05CA"/>
    <w:rsid w:val="3ECD4126"/>
    <w:rsid w:val="3ECE3D9A"/>
    <w:rsid w:val="3ECE5D97"/>
    <w:rsid w:val="3ECE7988"/>
    <w:rsid w:val="3ECF014B"/>
    <w:rsid w:val="3ECF1911"/>
    <w:rsid w:val="3ECF4342"/>
    <w:rsid w:val="3ED01E68"/>
    <w:rsid w:val="3ED03C16"/>
    <w:rsid w:val="3ED07293"/>
    <w:rsid w:val="3ED07A2C"/>
    <w:rsid w:val="3ED100BA"/>
    <w:rsid w:val="3ED1777C"/>
    <w:rsid w:val="3ED2246F"/>
    <w:rsid w:val="3ED241CF"/>
    <w:rsid w:val="3ED24BC8"/>
    <w:rsid w:val="3ED26CFC"/>
    <w:rsid w:val="3ED2798E"/>
    <w:rsid w:val="3ED30C29"/>
    <w:rsid w:val="3ED333B4"/>
    <w:rsid w:val="3ED41958"/>
    <w:rsid w:val="3ED420B9"/>
    <w:rsid w:val="3ED426BD"/>
    <w:rsid w:val="3ED43681"/>
    <w:rsid w:val="3ED43706"/>
    <w:rsid w:val="3ED5122D"/>
    <w:rsid w:val="3ED54040"/>
    <w:rsid w:val="3ED54AF6"/>
    <w:rsid w:val="3ED55600"/>
    <w:rsid w:val="3ED5590E"/>
    <w:rsid w:val="3ED55A26"/>
    <w:rsid w:val="3ED6747E"/>
    <w:rsid w:val="3ED67F0B"/>
    <w:rsid w:val="3ED70A3A"/>
    <w:rsid w:val="3ED71449"/>
    <w:rsid w:val="3ED731F7"/>
    <w:rsid w:val="3ED746ED"/>
    <w:rsid w:val="3ED76239"/>
    <w:rsid w:val="3ED82DD3"/>
    <w:rsid w:val="3ED8314B"/>
    <w:rsid w:val="3ED86169"/>
    <w:rsid w:val="3ED93269"/>
    <w:rsid w:val="3ED93880"/>
    <w:rsid w:val="3ED93A82"/>
    <w:rsid w:val="3ED96F6F"/>
    <w:rsid w:val="3EDA0523"/>
    <w:rsid w:val="3EDA0712"/>
    <w:rsid w:val="3EDA5F2B"/>
    <w:rsid w:val="3EDB1677"/>
    <w:rsid w:val="3EDB1F8C"/>
    <w:rsid w:val="3EDB4A95"/>
    <w:rsid w:val="3EDB73BB"/>
    <w:rsid w:val="3EDC080D"/>
    <w:rsid w:val="3EDC1611"/>
    <w:rsid w:val="3EDC25BB"/>
    <w:rsid w:val="3EDC6A5F"/>
    <w:rsid w:val="3EDD0DB1"/>
    <w:rsid w:val="3EDE27D7"/>
    <w:rsid w:val="3EDF1C0F"/>
    <w:rsid w:val="3EDF616A"/>
    <w:rsid w:val="3EDF6589"/>
    <w:rsid w:val="3EE002FD"/>
    <w:rsid w:val="3EE0172F"/>
    <w:rsid w:val="3EE01E9A"/>
    <w:rsid w:val="3EE021DB"/>
    <w:rsid w:val="3EE07BF9"/>
    <w:rsid w:val="3EE07C99"/>
    <w:rsid w:val="3EE07C9B"/>
    <w:rsid w:val="3EE14075"/>
    <w:rsid w:val="3EE17BD1"/>
    <w:rsid w:val="3EE17BE3"/>
    <w:rsid w:val="3EE22B7B"/>
    <w:rsid w:val="3EE33949"/>
    <w:rsid w:val="3EE35BD2"/>
    <w:rsid w:val="3EE37DED"/>
    <w:rsid w:val="3EE417EC"/>
    <w:rsid w:val="3EE45D2D"/>
    <w:rsid w:val="3EE51F7D"/>
    <w:rsid w:val="3EE5303E"/>
    <w:rsid w:val="3EE536BA"/>
    <w:rsid w:val="3EE53B65"/>
    <w:rsid w:val="3EE54DD3"/>
    <w:rsid w:val="3EE55913"/>
    <w:rsid w:val="3EE55BC4"/>
    <w:rsid w:val="3EE576C2"/>
    <w:rsid w:val="3EE6168C"/>
    <w:rsid w:val="3EE61A25"/>
    <w:rsid w:val="3EE6343A"/>
    <w:rsid w:val="3EE644CE"/>
    <w:rsid w:val="3EE651E8"/>
    <w:rsid w:val="3EE80F60"/>
    <w:rsid w:val="3EE85004"/>
    <w:rsid w:val="3EE85370"/>
    <w:rsid w:val="3EE85404"/>
    <w:rsid w:val="3EE871B2"/>
    <w:rsid w:val="3EE90100"/>
    <w:rsid w:val="3EE92E4F"/>
    <w:rsid w:val="3EE94590"/>
    <w:rsid w:val="3EEA117C"/>
    <w:rsid w:val="3EEA2F2A"/>
    <w:rsid w:val="3EEA3F42"/>
    <w:rsid w:val="3EEA4CD8"/>
    <w:rsid w:val="3EEA53F2"/>
    <w:rsid w:val="3EEB0824"/>
    <w:rsid w:val="3EEB0A50"/>
    <w:rsid w:val="3EEB1A81"/>
    <w:rsid w:val="3EEB2B09"/>
    <w:rsid w:val="3EEB463E"/>
    <w:rsid w:val="3EEC0340"/>
    <w:rsid w:val="3EEC2EC6"/>
    <w:rsid w:val="3EEC3F2E"/>
    <w:rsid w:val="3EEC45C8"/>
    <w:rsid w:val="3EEC4EF4"/>
    <w:rsid w:val="3EEC6CA2"/>
    <w:rsid w:val="3EEC7A8C"/>
    <w:rsid w:val="3EED04BF"/>
    <w:rsid w:val="3EED2026"/>
    <w:rsid w:val="3EED47C8"/>
    <w:rsid w:val="3EED6576"/>
    <w:rsid w:val="3EED76A5"/>
    <w:rsid w:val="3EEE26ED"/>
    <w:rsid w:val="3EEE5831"/>
    <w:rsid w:val="3EEF0540"/>
    <w:rsid w:val="3EEF22EE"/>
    <w:rsid w:val="3EEF6792"/>
    <w:rsid w:val="3EF01CB9"/>
    <w:rsid w:val="3EF0259C"/>
    <w:rsid w:val="3EF04142"/>
    <w:rsid w:val="3EF06066"/>
    <w:rsid w:val="3EF0768E"/>
    <w:rsid w:val="3EF07835"/>
    <w:rsid w:val="3EF1250A"/>
    <w:rsid w:val="3EF142B8"/>
    <w:rsid w:val="3EF148BA"/>
    <w:rsid w:val="3EF21DDE"/>
    <w:rsid w:val="3EF23AFC"/>
    <w:rsid w:val="3EF23B8C"/>
    <w:rsid w:val="3EF25642"/>
    <w:rsid w:val="3EF26282"/>
    <w:rsid w:val="3EF26361"/>
    <w:rsid w:val="3EF26D83"/>
    <w:rsid w:val="3EF279A0"/>
    <w:rsid w:val="3EF416A3"/>
    <w:rsid w:val="3EF43A1E"/>
    <w:rsid w:val="3EF43DA9"/>
    <w:rsid w:val="3EF47905"/>
    <w:rsid w:val="3EF52B33"/>
    <w:rsid w:val="3EF53030"/>
    <w:rsid w:val="3EF5367D"/>
    <w:rsid w:val="3EF6072B"/>
    <w:rsid w:val="3EF6077D"/>
    <w:rsid w:val="3EF60EAA"/>
    <w:rsid w:val="3EF63FC3"/>
    <w:rsid w:val="3EF67B21"/>
    <w:rsid w:val="3EF70024"/>
    <w:rsid w:val="3EF73899"/>
    <w:rsid w:val="3EF75647"/>
    <w:rsid w:val="3EF76BEA"/>
    <w:rsid w:val="3EF76F56"/>
    <w:rsid w:val="3EF773F5"/>
    <w:rsid w:val="3EF814B4"/>
    <w:rsid w:val="3EF84EA8"/>
    <w:rsid w:val="3EF8749B"/>
    <w:rsid w:val="3EF87DAD"/>
    <w:rsid w:val="3EF9145C"/>
    <w:rsid w:val="3EF9316D"/>
    <w:rsid w:val="3EF94CDF"/>
    <w:rsid w:val="3EF94F1B"/>
    <w:rsid w:val="3EF96381"/>
    <w:rsid w:val="3EFA29B8"/>
    <w:rsid w:val="3EFA4019"/>
    <w:rsid w:val="3EFA5766"/>
    <w:rsid w:val="3EFA7F72"/>
    <w:rsid w:val="3EFB0C93"/>
    <w:rsid w:val="3EFB3AA3"/>
    <w:rsid w:val="3EFB69A5"/>
    <w:rsid w:val="3EFB6EE5"/>
    <w:rsid w:val="3EFC1E31"/>
    <w:rsid w:val="3EFC2C5D"/>
    <w:rsid w:val="3EFC4A0B"/>
    <w:rsid w:val="3EFD0EAF"/>
    <w:rsid w:val="3EFD3336"/>
    <w:rsid w:val="3EFE0783"/>
    <w:rsid w:val="3EFE1347"/>
    <w:rsid w:val="3EFE1374"/>
    <w:rsid w:val="3EFE4C27"/>
    <w:rsid w:val="3EFE5326"/>
    <w:rsid w:val="3EFE64C4"/>
    <w:rsid w:val="3EFE69D5"/>
    <w:rsid w:val="3EFE7A1E"/>
    <w:rsid w:val="3EFF31BF"/>
    <w:rsid w:val="3EFF3695"/>
    <w:rsid w:val="3EFF4D66"/>
    <w:rsid w:val="3EFF59A5"/>
    <w:rsid w:val="3F0032B9"/>
    <w:rsid w:val="3F005D48"/>
    <w:rsid w:val="3F0062A9"/>
    <w:rsid w:val="3F007C46"/>
    <w:rsid w:val="3F010273"/>
    <w:rsid w:val="3F012022"/>
    <w:rsid w:val="3F013CA7"/>
    <w:rsid w:val="3F022D70"/>
    <w:rsid w:val="3F025D83"/>
    <w:rsid w:val="3F0264C5"/>
    <w:rsid w:val="3F0279E8"/>
    <w:rsid w:val="3F030720"/>
    <w:rsid w:val="3F033FEC"/>
    <w:rsid w:val="3F035D9A"/>
    <w:rsid w:val="3F0365C7"/>
    <w:rsid w:val="3F037A27"/>
    <w:rsid w:val="3F041198"/>
    <w:rsid w:val="3F04526F"/>
    <w:rsid w:val="3F046402"/>
    <w:rsid w:val="3F051BCA"/>
    <w:rsid w:val="3F0538C0"/>
    <w:rsid w:val="3F055FB6"/>
    <w:rsid w:val="3F057D64"/>
    <w:rsid w:val="3F063AB8"/>
    <w:rsid w:val="3F067638"/>
    <w:rsid w:val="3F07582B"/>
    <w:rsid w:val="3F07627F"/>
    <w:rsid w:val="3F077B19"/>
    <w:rsid w:val="3F081602"/>
    <w:rsid w:val="3F084E9A"/>
    <w:rsid w:val="3F0859EC"/>
    <w:rsid w:val="3F092439"/>
    <w:rsid w:val="3F095D69"/>
    <w:rsid w:val="3F09733F"/>
    <w:rsid w:val="3F0A711B"/>
    <w:rsid w:val="3F0A7128"/>
    <w:rsid w:val="3F0A7D1B"/>
    <w:rsid w:val="3F0A7DA7"/>
    <w:rsid w:val="3F0B0E30"/>
    <w:rsid w:val="3F0B2EA0"/>
    <w:rsid w:val="3F0B44DE"/>
    <w:rsid w:val="3F0B4C4E"/>
    <w:rsid w:val="3F0B4D59"/>
    <w:rsid w:val="3F0B5FE8"/>
    <w:rsid w:val="3F0C0DBA"/>
    <w:rsid w:val="3F0C10F2"/>
    <w:rsid w:val="3F0C61E9"/>
    <w:rsid w:val="3F0D224A"/>
    <w:rsid w:val="3F0D398C"/>
    <w:rsid w:val="3F0D4E6A"/>
    <w:rsid w:val="3F0D6C18"/>
    <w:rsid w:val="3F0E002A"/>
    <w:rsid w:val="3F0E45D9"/>
    <w:rsid w:val="3F0F253D"/>
    <w:rsid w:val="3F0F473E"/>
    <w:rsid w:val="3F104FAC"/>
    <w:rsid w:val="3F105341"/>
    <w:rsid w:val="3F105DFF"/>
    <w:rsid w:val="3F10721A"/>
    <w:rsid w:val="3F1151BB"/>
    <w:rsid w:val="3F116709"/>
    <w:rsid w:val="3F122457"/>
    <w:rsid w:val="3F122481"/>
    <w:rsid w:val="3F12331E"/>
    <w:rsid w:val="3F12422F"/>
    <w:rsid w:val="3F125591"/>
    <w:rsid w:val="3F141D55"/>
    <w:rsid w:val="3F1439AE"/>
    <w:rsid w:val="3F1465D3"/>
    <w:rsid w:val="3F14754C"/>
    <w:rsid w:val="3F147FA7"/>
    <w:rsid w:val="3F1509DC"/>
    <w:rsid w:val="3F163D1F"/>
    <w:rsid w:val="3F164A3D"/>
    <w:rsid w:val="3F165ACD"/>
    <w:rsid w:val="3F1714FE"/>
    <w:rsid w:val="3F171845"/>
    <w:rsid w:val="3F177A97"/>
    <w:rsid w:val="3F1812C3"/>
    <w:rsid w:val="3F181D11"/>
    <w:rsid w:val="3F185AAD"/>
    <w:rsid w:val="3F187179"/>
    <w:rsid w:val="3F187A57"/>
    <w:rsid w:val="3F1907ED"/>
    <w:rsid w:val="3F191FEB"/>
    <w:rsid w:val="3F192FB5"/>
    <w:rsid w:val="3F1955BD"/>
    <w:rsid w:val="3F195930"/>
    <w:rsid w:val="3F19643D"/>
    <w:rsid w:val="3F19736B"/>
    <w:rsid w:val="3F1A23FC"/>
    <w:rsid w:val="3F1A3F59"/>
    <w:rsid w:val="3F1A4063"/>
    <w:rsid w:val="3F1A5776"/>
    <w:rsid w:val="3F1B102E"/>
    <w:rsid w:val="3F1B1335"/>
    <w:rsid w:val="3F1B16EB"/>
    <w:rsid w:val="3F1B30E3"/>
    <w:rsid w:val="3F1B46AB"/>
    <w:rsid w:val="3F1B5383"/>
    <w:rsid w:val="3F1C08AF"/>
    <w:rsid w:val="3F1C58E1"/>
    <w:rsid w:val="3F1C6E5B"/>
    <w:rsid w:val="3F1C70CA"/>
    <w:rsid w:val="3F1D0D3F"/>
    <w:rsid w:val="3F1D4D97"/>
    <w:rsid w:val="3F1E08A6"/>
    <w:rsid w:val="3F1E0E25"/>
    <w:rsid w:val="3F1E2131"/>
    <w:rsid w:val="3F1E2BD3"/>
    <w:rsid w:val="3F1E3507"/>
    <w:rsid w:val="3F1E4982"/>
    <w:rsid w:val="3F1E4AD5"/>
    <w:rsid w:val="3F1E7077"/>
    <w:rsid w:val="3F1E7746"/>
    <w:rsid w:val="3F1F5DA0"/>
    <w:rsid w:val="3F20000C"/>
    <w:rsid w:val="3F2006FA"/>
    <w:rsid w:val="3F202F79"/>
    <w:rsid w:val="3F205AEF"/>
    <w:rsid w:val="3F20694C"/>
    <w:rsid w:val="3F207230"/>
    <w:rsid w:val="3F2112DD"/>
    <w:rsid w:val="3F21209E"/>
    <w:rsid w:val="3F214472"/>
    <w:rsid w:val="3F2200A2"/>
    <w:rsid w:val="3F220916"/>
    <w:rsid w:val="3F223AFD"/>
    <w:rsid w:val="3F224721"/>
    <w:rsid w:val="3F2301EA"/>
    <w:rsid w:val="3F23112A"/>
    <w:rsid w:val="3F2314D9"/>
    <w:rsid w:val="3F231BD2"/>
    <w:rsid w:val="3F23260D"/>
    <w:rsid w:val="3F23468E"/>
    <w:rsid w:val="3F235BB1"/>
    <w:rsid w:val="3F23643C"/>
    <w:rsid w:val="3F2410E0"/>
    <w:rsid w:val="3F241595"/>
    <w:rsid w:val="3F246A8E"/>
    <w:rsid w:val="3F25021C"/>
    <w:rsid w:val="3F2521B4"/>
    <w:rsid w:val="3F2530A2"/>
    <w:rsid w:val="3F253F62"/>
    <w:rsid w:val="3F2548AA"/>
    <w:rsid w:val="3F255D10"/>
    <w:rsid w:val="3F2630BD"/>
    <w:rsid w:val="3F270943"/>
    <w:rsid w:val="3F2710E7"/>
    <w:rsid w:val="3F275F2C"/>
    <w:rsid w:val="3F277CDA"/>
    <w:rsid w:val="3F281D9D"/>
    <w:rsid w:val="3F282059"/>
    <w:rsid w:val="3F285800"/>
    <w:rsid w:val="3F286817"/>
    <w:rsid w:val="3F286E52"/>
    <w:rsid w:val="3F291652"/>
    <w:rsid w:val="3F2943AB"/>
    <w:rsid w:val="3F297E5C"/>
    <w:rsid w:val="3F2A1578"/>
    <w:rsid w:val="3F2A2EB3"/>
    <w:rsid w:val="3F2A51C0"/>
    <w:rsid w:val="3F2A5329"/>
    <w:rsid w:val="3F2A5A1C"/>
    <w:rsid w:val="3F2A77CA"/>
    <w:rsid w:val="3F2B2D95"/>
    <w:rsid w:val="3F2B54A3"/>
    <w:rsid w:val="3F2B709E"/>
    <w:rsid w:val="3F2C0D2F"/>
    <w:rsid w:val="3F2C1BEE"/>
    <w:rsid w:val="3F2C3542"/>
    <w:rsid w:val="3F2C57D3"/>
    <w:rsid w:val="3F2C753E"/>
    <w:rsid w:val="3F2D00F3"/>
    <w:rsid w:val="3F2D1069"/>
    <w:rsid w:val="3F2D2E17"/>
    <w:rsid w:val="3F2D72BA"/>
    <w:rsid w:val="3F2E1404"/>
    <w:rsid w:val="3F2F5F05"/>
    <w:rsid w:val="3F302144"/>
    <w:rsid w:val="3F307693"/>
    <w:rsid w:val="3F311645"/>
    <w:rsid w:val="3F31191C"/>
    <w:rsid w:val="3F312907"/>
    <w:rsid w:val="3F3146B5"/>
    <w:rsid w:val="3F317F68"/>
    <w:rsid w:val="3F3232A2"/>
    <w:rsid w:val="3F32667F"/>
    <w:rsid w:val="3F330D58"/>
    <w:rsid w:val="3F333F65"/>
    <w:rsid w:val="3F3423F7"/>
    <w:rsid w:val="3F3439C0"/>
    <w:rsid w:val="3F3441A5"/>
    <w:rsid w:val="3F3453F5"/>
    <w:rsid w:val="3F347116"/>
    <w:rsid w:val="3F3562C5"/>
    <w:rsid w:val="3F3643C1"/>
    <w:rsid w:val="3F3736B2"/>
    <w:rsid w:val="3F373C95"/>
    <w:rsid w:val="3F3745BD"/>
    <w:rsid w:val="3F3754B7"/>
    <w:rsid w:val="3F38176A"/>
    <w:rsid w:val="3F381B3A"/>
    <w:rsid w:val="3F381EE7"/>
    <w:rsid w:val="3F3858E5"/>
    <w:rsid w:val="3F387406"/>
    <w:rsid w:val="3F395C5F"/>
    <w:rsid w:val="3F3971B6"/>
    <w:rsid w:val="3F3A1C1E"/>
    <w:rsid w:val="3F3A29A8"/>
    <w:rsid w:val="3F3B16A8"/>
    <w:rsid w:val="3F3B19D7"/>
    <w:rsid w:val="3F3B26F7"/>
    <w:rsid w:val="3F3B3785"/>
    <w:rsid w:val="3F3B5533"/>
    <w:rsid w:val="3F3C03C4"/>
    <w:rsid w:val="3F3C12AC"/>
    <w:rsid w:val="3F3C138F"/>
    <w:rsid w:val="3F3C1EFA"/>
    <w:rsid w:val="3F3C6758"/>
    <w:rsid w:val="3F3C6F38"/>
    <w:rsid w:val="3F3D1329"/>
    <w:rsid w:val="3F3D17DD"/>
    <w:rsid w:val="3F3D5750"/>
    <w:rsid w:val="3F3D5B5E"/>
    <w:rsid w:val="3F3D7B91"/>
    <w:rsid w:val="3F3D7BE8"/>
    <w:rsid w:val="3F3E1078"/>
    <w:rsid w:val="3F3E3D7D"/>
    <w:rsid w:val="3F3E5024"/>
    <w:rsid w:val="3F3E6DD2"/>
    <w:rsid w:val="3F3F3C49"/>
    <w:rsid w:val="3F400D9C"/>
    <w:rsid w:val="3F40206E"/>
    <w:rsid w:val="3F402745"/>
    <w:rsid w:val="3F406FEE"/>
    <w:rsid w:val="3F41113A"/>
    <w:rsid w:val="3F415EF7"/>
    <w:rsid w:val="3F4173A4"/>
    <w:rsid w:val="3F421D64"/>
    <w:rsid w:val="3F424B14"/>
    <w:rsid w:val="3F425B43"/>
    <w:rsid w:val="3F4279F9"/>
    <w:rsid w:val="3F43088C"/>
    <w:rsid w:val="3F43263A"/>
    <w:rsid w:val="3F433C48"/>
    <w:rsid w:val="3F444E9C"/>
    <w:rsid w:val="3F446ADE"/>
    <w:rsid w:val="3F4505A4"/>
    <w:rsid w:val="3F454604"/>
    <w:rsid w:val="3F4546CD"/>
    <w:rsid w:val="3F45580A"/>
    <w:rsid w:val="3F46763A"/>
    <w:rsid w:val="3F472860"/>
    <w:rsid w:val="3F473ED8"/>
    <w:rsid w:val="3F474725"/>
    <w:rsid w:val="3F474FAC"/>
    <w:rsid w:val="3F4843F7"/>
    <w:rsid w:val="3F4851E2"/>
    <w:rsid w:val="3F48643C"/>
    <w:rsid w:val="3F487C50"/>
    <w:rsid w:val="3F491C06"/>
    <w:rsid w:val="3F492322"/>
    <w:rsid w:val="3F494332"/>
    <w:rsid w:val="3F4978CC"/>
    <w:rsid w:val="3F497DCF"/>
    <w:rsid w:val="3F4A1C1A"/>
    <w:rsid w:val="3F4A39C9"/>
    <w:rsid w:val="3F4A5777"/>
    <w:rsid w:val="3F4B25C9"/>
    <w:rsid w:val="3F4B634C"/>
    <w:rsid w:val="3F4B70E6"/>
    <w:rsid w:val="3F4C155F"/>
    <w:rsid w:val="3F4C367C"/>
    <w:rsid w:val="3F4D2242"/>
    <w:rsid w:val="3F4D2603"/>
    <w:rsid w:val="3F4D2D6C"/>
    <w:rsid w:val="3F4D4769"/>
    <w:rsid w:val="3F4D5267"/>
    <w:rsid w:val="3F4E170B"/>
    <w:rsid w:val="3F4E33ED"/>
    <w:rsid w:val="3F4F0FDF"/>
    <w:rsid w:val="3F4F1FFD"/>
    <w:rsid w:val="3F4F3CE9"/>
    <w:rsid w:val="3F4F5483"/>
    <w:rsid w:val="3F4F700E"/>
    <w:rsid w:val="3F4F7231"/>
    <w:rsid w:val="3F5042EC"/>
    <w:rsid w:val="3F507EBB"/>
    <w:rsid w:val="3F5115CA"/>
    <w:rsid w:val="3F51605E"/>
    <w:rsid w:val="3F516B05"/>
    <w:rsid w:val="3F52287D"/>
    <w:rsid w:val="3F5256F3"/>
    <w:rsid w:val="3F5262EB"/>
    <w:rsid w:val="3F53354F"/>
    <w:rsid w:val="3F536D21"/>
    <w:rsid w:val="3F544847"/>
    <w:rsid w:val="3F5449DF"/>
    <w:rsid w:val="3F5465F5"/>
    <w:rsid w:val="3F546F83"/>
    <w:rsid w:val="3F55184B"/>
    <w:rsid w:val="3F551B85"/>
    <w:rsid w:val="3F555E6F"/>
    <w:rsid w:val="3F5575B0"/>
    <w:rsid w:val="3F5605BF"/>
    <w:rsid w:val="3F56236D"/>
    <w:rsid w:val="3F566811"/>
    <w:rsid w:val="3F5728C1"/>
    <w:rsid w:val="3F572FAD"/>
    <w:rsid w:val="3F577E93"/>
    <w:rsid w:val="3F584337"/>
    <w:rsid w:val="3F5847F0"/>
    <w:rsid w:val="3F5851A8"/>
    <w:rsid w:val="3F585F31"/>
    <w:rsid w:val="3F5900B0"/>
    <w:rsid w:val="3F591E5E"/>
    <w:rsid w:val="3F593C0C"/>
    <w:rsid w:val="3F5A0C9E"/>
    <w:rsid w:val="3F5A4973"/>
    <w:rsid w:val="3F5B1CE1"/>
    <w:rsid w:val="3F5B1D40"/>
    <w:rsid w:val="3F5B5BD6"/>
    <w:rsid w:val="3F5C6FC6"/>
    <w:rsid w:val="3F5D14B1"/>
    <w:rsid w:val="3F5D1D68"/>
    <w:rsid w:val="3F5D36FC"/>
    <w:rsid w:val="3F5D7BA0"/>
    <w:rsid w:val="3F5E1222"/>
    <w:rsid w:val="3F5E56C6"/>
    <w:rsid w:val="3F5F2E57"/>
    <w:rsid w:val="3F602F82"/>
    <w:rsid w:val="3F604F9A"/>
    <w:rsid w:val="3F607233"/>
    <w:rsid w:val="3F6103FE"/>
    <w:rsid w:val="3F61173D"/>
    <w:rsid w:val="3F6132F2"/>
    <w:rsid w:val="3F6137C6"/>
    <w:rsid w:val="3F615018"/>
    <w:rsid w:val="3F615F9A"/>
    <w:rsid w:val="3F621BB4"/>
    <w:rsid w:val="3F626F64"/>
    <w:rsid w:val="3F632CDC"/>
    <w:rsid w:val="3F634A8A"/>
    <w:rsid w:val="3F636838"/>
    <w:rsid w:val="3F637D93"/>
    <w:rsid w:val="3F640E5A"/>
    <w:rsid w:val="3F6420B0"/>
    <w:rsid w:val="3F6525B0"/>
    <w:rsid w:val="3F655964"/>
    <w:rsid w:val="3F656A54"/>
    <w:rsid w:val="3F6619C5"/>
    <w:rsid w:val="3F662BEF"/>
    <w:rsid w:val="3F663E5C"/>
    <w:rsid w:val="3F664DAB"/>
    <w:rsid w:val="3F666CB9"/>
    <w:rsid w:val="3F676329"/>
    <w:rsid w:val="3F676354"/>
    <w:rsid w:val="3F680C52"/>
    <w:rsid w:val="3F681C96"/>
    <w:rsid w:val="3F6820A1"/>
    <w:rsid w:val="3F6830E8"/>
    <w:rsid w:val="3F68369F"/>
    <w:rsid w:val="3F6843A4"/>
    <w:rsid w:val="3F684B91"/>
    <w:rsid w:val="3F685AAB"/>
    <w:rsid w:val="3F6A406B"/>
    <w:rsid w:val="3F6B5E24"/>
    <w:rsid w:val="3F6C1B91"/>
    <w:rsid w:val="3F6C3775"/>
    <w:rsid w:val="3F6C393F"/>
    <w:rsid w:val="3F6C58E7"/>
    <w:rsid w:val="3F6C73AC"/>
    <w:rsid w:val="3F6D76B7"/>
    <w:rsid w:val="3F6D783F"/>
    <w:rsid w:val="3F6E3B5B"/>
    <w:rsid w:val="3F6E732E"/>
    <w:rsid w:val="3F6F15E7"/>
    <w:rsid w:val="3F6F1E30"/>
    <w:rsid w:val="3F6F342F"/>
    <w:rsid w:val="3F6F62F1"/>
    <w:rsid w:val="3F6F78D3"/>
    <w:rsid w:val="3F6F7FAE"/>
    <w:rsid w:val="3F7069A9"/>
    <w:rsid w:val="3F7075A8"/>
    <w:rsid w:val="3F710F55"/>
    <w:rsid w:val="3F71360C"/>
    <w:rsid w:val="3F713EEF"/>
    <w:rsid w:val="3F716AD8"/>
    <w:rsid w:val="3F7201B8"/>
    <w:rsid w:val="3F721D81"/>
    <w:rsid w:val="3F724C4B"/>
    <w:rsid w:val="3F726523"/>
    <w:rsid w:val="3F726C4C"/>
    <w:rsid w:val="3F731171"/>
    <w:rsid w:val="3F732F1F"/>
    <w:rsid w:val="3F73566E"/>
    <w:rsid w:val="3F736D6E"/>
    <w:rsid w:val="3F740A45"/>
    <w:rsid w:val="3F741F6B"/>
    <w:rsid w:val="3F742888"/>
    <w:rsid w:val="3F750EB7"/>
    <w:rsid w:val="3F751185"/>
    <w:rsid w:val="3F753B54"/>
    <w:rsid w:val="3F755B23"/>
    <w:rsid w:val="3F756F75"/>
    <w:rsid w:val="3F760C61"/>
    <w:rsid w:val="3F761BA5"/>
    <w:rsid w:val="3F762246"/>
    <w:rsid w:val="3F762A0F"/>
    <w:rsid w:val="3F766CA5"/>
    <w:rsid w:val="3F770420"/>
    <w:rsid w:val="3F775056"/>
    <w:rsid w:val="3F776974"/>
    <w:rsid w:val="3F780536"/>
    <w:rsid w:val="3F781209"/>
    <w:rsid w:val="3F7828BD"/>
    <w:rsid w:val="3F783B62"/>
    <w:rsid w:val="3F7877A9"/>
    <w:rsid w:val="3F79089D"/>
    <w:rsid w:val="3F7939A4"/>
    <w:rsid w:val="3F7942AE"/>
    <w:rsid w:val="3F79526A"/>
    <w:rsid w:val="3F79605C"/>
    <w:rsid w:val="3F7970D4"/>
    <w:rsid w:val="3F7A0397"/>
    <w:rsid w:val="3F7A2500"/>
    <w:rsid w:val="3F7A478F"/>
    <w:rsid w:val="3F7A66FA"/>
    <w:rsid w:val="3F7B0026"/>
    <w:rsid w:val="3F7B12CB"/>
    <w:rsid w:val="3F7B1DD4"/>
    <w:rsid w:val="3F7C101A"/>
    <w:rsid w:val="3F7C39B5"/>
    <w:rsid w:val="3F7C4114"/>
    <w:rsid w:val="3F7C5149"/>
    <w:rsid w:val="3F7D2814"/>
    <w:rsid w:val="3F7D5B4C"/>
    <w:rsid w:val="3F7D78FA"/>
    <w:rsid w:val="3F7E0579"/>
    <w:rsid w:val="3F7E131D"/>
    <w:rsid w:val="3F7E18C4"/>
    <w:rsid w:val="3F7E3672"/>
    <w:rsid w:val="3F80388E"/>
    <w:rsid w:val="3F80563C"/>
    <w:rsid w:val="3F8165CD"/>
    <w:rsid w:val="3F82238B"/>
    <w:rsid w:val="3F823162"/>
    <w:rsid w:val="3F823497"/>
    <w:rsid w:val="3F827606"/>
    <w:rsid w:val="3F827A5D"/>
    <w:rsid w:val="3F830C89"/>
    <w:rsid w:val="3F83178C"/>
    <w:rsid w:val="3F83414E"/>
    <w:rsid w:val="3F835B6B"/>
    <w:rsid w:val="3F836EDA"/>
    <w:rsid w:val="3F842C46"/>
    <w:rsid w:val="3F843929"/>
    <w:rsid w:val="3F843EFD"/>
    <w:rsid w:val="3F850EA5"/>
    <w:rsid w:val="3F852C53"/>
    <w:rsid w:val="3F853159"/>
    <w:rsid w:val="3F85380D"/>
    <w:rsid w:val="3F854A01"/>
    <w:rsid w:val="3F855A6D"/>
    <w:rsid w:val="3F8569DE"/>
    <w:rsid w:val="3F861558"/>
    <w:rsid w:val="3F864C9D"/>
    <w:rsid w:val="3F8663DE"/>
    <w:rsid w:val="3F8716F7"/>
    <w:rsid w:val="3F871D3B"/>
    <w:rsid w:val="3F87539E"/>
    <w:rsid w:val="3F876585"/>
    <w:rsid w:val="3F8769CB"/>
    <w:rsid w:val="3F876C99"/>
    <w:rsid w:val="3F877898"/>
    <w:rsid w:val="3F880CFE"/>
    <w:rsid w:val="3F884460"/>
    <w:rsid w:val="3F8844F1"/>
    <w:rsid w:val="3F88629F"/>
    <w:rsid w:val="3F890995"/>
    <w:rsid w:val="3F894D5F"/>
    <w:rsid w:val="3F8A0269"/>
    <w:rsid w:val="3F8A2017"/>
    <w:rsid w:val="3F8A39E6"/>
    <w:rsid w:val="3F8A61EF"/>
    <w:rsid w:val="3F8A64BB"/>
    <w:rsid w:val="3F8A6905"/>
    <w:rsid w:val="3F8A6E6C"/>
    <w:rsid w:val="3F8B1854"/>
    <w:rsid w:val="3F8B34BE"/>
    <w:rsid w:val="3F8C106D"/>
    <w:rsid w:val="3F8C5D8F"/>
    <w:rsid w:val="3F8E1B07"/>
    <w:rsid w:val="3F8E584C"/>
    <w:rsid w:val="3F8E6043"/>
    <w:rsid w:val="3F8F03CD"/>
    <w:rsid w:val="3F8F3AD1"/>
    <w:rsid w:val="3F8F4FDF"/>
    <w:rsid w:val="3F8F75F0"/>
    <w:rsid w:val="3F8F762D"/>
    <w:rsid w:val="3F9133A5"/>
    <w:rsid w:val="3F917849"/>
    <w:rsid w:val="3F922B13"/>
    <w:rsid w:val="3F9309E2"/>
    <w:rsid w:val="3F9354AF"/>
    <w:rsid w:val="3F935E20"/>
    <w:rsid w:val="3F9410E8"/>
    <w:rsid w:val="3F941B41"/>
    <w:rsid w:val="3F942E96"/>
    <w:rsid w:val="3F945165"/>
    <w:rsid w:val="3F953302"/>
    <w:rsid w:val="3F95733A"/>
    <w:rsid w:val="3F9609BC"/>
    <w:rsid w:val="3F961F70"/>
    <w:rsid w:val="3F962BCC"/>
    <w:rsid w:val="3F964792"/>
    <w:rsid w:val="3F964E60"/>
    <w:rsid w:val="3F966C0E"/>
    <w:rsid w:val="3F9745AB"/>
    <w:rsid w:val="3F975C22"/>
    <w:rsid w:val="3F977363"/>
    <w:rsid w:val="3F9803D6"/>
    <w:rsid w:val="3F982986"/>
    <w:rsid w:val="3F9860EA"/>
    <w:rsid w:val="3F990220"/>
    <w:rsid w:val="3F9904AC"/>
    <w:rsid w:val="3F991D9A"/>
    <w:rsid w:val="3F993190"/>
    <w:rsid w:val="3F993DB6"/>
    <w:rsid w:val="3F994854"/>
    <w:rsid w:val="3F994B4B"/>
    <w:rsid w:val="3F9966FE"/>
    <w:rsid w:val="3F9A45A3"/>
    <w:rsid w:val="3F9A4950"/>
    <w:rsid w:val="3F9A5609"/>
    <w:rsid w:val="3F9A75EA"/>
    <w:rsid w:val="3F9B2DCE"/>
    <w:rsid w:val="3F9B4224"/>
    <w:rsid w:val="3F9B5FD2"/>
    <w:rsid w:val="3F9B7174"/>
    <w:rsid w:val="3F9C0604"/>
    <w:rsid w:val="3F9C6DE5"/>
    <w:rsid w:val="3F9C76D7"/>
    <w:rsid w:val="3F9D1D4A"/>
    <w:rsid w:val="3F9D25E1"/>
    <w:rsid w:val="3F9D3E9B"/>
    <w:rsid w:val="3F9D4665"/>
    <w:rsid w:val="3F9D4995"/>
    <w:rsid w:val="3F9D7F9C"/>
    <w:rsid w:val="3F9E2F24"/>
    <w:rsid w:val="3F9E5AF5"/>
    <w:rsid w:val="3F9F1F66"/>
    <w:rsid w:val="3F9F1F92"/>
    <w:rsid w:val="3F9F27C2"/>
    <w:rsid w:val="3F9F3D14"/>
    <w:rsid w:val="3FA0241A"/>
    <w:rsid w:val="3FA02F67"/>
    <w:rsid w:val="3FA03850"/>
    <w:rsid w:val="3FA05310"/>
    <w:rsid w:val="3FA058C5"/>
    <w:rsid w:val="3FA06D36"/>
    <w:rsid w:val="3FA10E42"/>
    <w:rsid w:val="3FA118A5"/>
    <w:rsid w:val="3FA11997"/>
    <w:rsid w:val="3FA157EF"/>
    <w:rsid w:val="3FA15AA1"/>
    <w:rsid w:val="3FA167BE"/>
    <w:rsid w:val="3FA1732D"/>
    <w:rsid w:val="3FA23805"/>
    <w:rsid w:val="3FA24216"/>
    <w:rsid w:val="3FA27361"/>
    <w:rsid w:val="3FA330D9"/>
    <w:rsid w:val="3FA35906"/>
    <w:rsid w:val="3FA36D96"/>
    <w:rsid w:val="3FA40226"/>
    <w:rsid w:val="3FA409A7"/>
    <w:rsid w:val="3FA410FF"/>
    <w:rsid w:val="3FA41967"/>
    <w:rsid w:val="3FA42F82"/>
    <w:rsid w:val="3FA443F7"/>
    <w:rsid w:val="3FA453FB"/>
    <w:rsid w:val="3FA4757D"/>
    <w:rsid w:val="3FA5242B"/>
    <w:rsid w:val="3FA532F5"/>
    <w:rsid w:val="3FA54DF8"/>
    <w:rsid w:val="3FA550A3"/>
    <w:rsid w:val="3FA60462"/>
    <w:rsid w:val="3FA605EB"/>
    <w:rsid w:val="3FA622E4"/>
    <w:rsid w:val="3FA629CD"/>
    <w:rsid w:val="3FA64287"/>
    <w:rsid w:val="3FA65FE9"/>
    <w:rsid w:val="3FA70E1B"/>
    <w:rsid w:val="3FA72BC9"/>
    <w:rsid w:val="3FA7706D"/>
    <w:rsid w:val="3FA806EF"/>
    <w:rsid w:val="3FA81422"/>
    <w:rsid w:val="3FA8161E"/>
    <w:rsid w:val="3FA825B7"/>
    <w:rsid w:val="3FA828F8"/>
    <w:rsid w:val="3FA86214"/>
    <w:rsid w:val="3FA9256D"/>
    <w:rsid w:val="3FA94B93"/>
    <w:rsid w:val="3FA96941"/>
    <w:rsid w:val="3FAA090B"/>
    <w:rsid w:val="3FAA26B9"/>
    <w:rsid w:val="3FAA495A"/>
    <w:rsid w:val="3FAA57D9"/>
    <w:rsid w:val="3FAB1B83"/>
    <w:rsid w:val="3FAB6C69"/>
    <w:rsid w:val="3FAC00F9"/>
    <w:rsid w:val="3FAC01DF"/>
    <w:rsid w:val="3FAC4683"/>
    <w:rsid w:val="3FAD6DE1"/>
    <w:rsid w:val="3FAE03FB"/>
    <w:rsid w:val="3FAE2B17"/>
    <w:rsid w:val="3FAE3F57"/>
    <w:rsid w:val="3FAE55EA"/>
    <w:rsid w:val="3FAF0E9F"/>
    <w:rsid w:val="3FAF1A7E"/>
    <w:rsid w:val="3FAF6A7A"/>
    <w:rsid w:val="3FAF705E"/>
    <w:rsid w:val="3FAF7CCF"/>
    <w:rsid w:val="3FB03A4C"/>
    <w:rsid w:val="3FB05F21"/>
    <w:rsid w:val="3FB075D3"/>
    <w:rsid w:val="3FB07FFA"/>
    <w:rsid w:val="3FB1139A"/>
    <w:rsid w:val="3FB11C9A"/>
    <w:rsid w:val="3FB1220D"/>
    <w:rsid w:val="3FB12ADB"/>
    <w:rsid w:val="3FB13A48"/>
    <w:rsid w:val="3FB157F6"/>
    <w:rsid w:val="3FB22748"/>
    <w:rsid w:val="3FB2282A"/>
    <w:rsid w:val="3FB253FB"/>
    <w:rsid w:val="3FB3156E"/>
    <w:rsid w:val="3FB34C03"/>
    <w:rsid w:val="3FB35A12"/>
    <w:rsid w:val="3FB40875"/>
    <w:rsid w:val="3FB47094"/>
    <w:rsid w:val="3FB524F5"/>
    <w:rsid w:val="3FB5593F"/>
    <w:rsid w:val="3FB56C05"/>
    <w:rsid w:val="3FB6105E"/>
    <w:rsid w:val="3FB62E0C"/>
    <w:rsid w:val="3FB65415"/>
    <w:rsid w:val="3FB7023A"/>
    <w:rsid w:val="3FB70770"/>
    <w:rsid w:val="3FB7520C"/>
    <w:rsid w:val="3FB8126D"/>
    <w:rsid w:val="3FB83028"/>
    <w:rsid w:val="3FB84DD6"/>
    <w:rsid w:val="3FB86B84"/>
    <w:rsid w:val="3FB926FD"/>
    <w:rsid w:val="3FB928FC"/>
    <w:rsid w:val="3FB97B2C"/>
    <w:rsid w:val="3FBA07EE"/>
    <w:rsid w:val="3FBA0B4E"/>
    <w:rsid w:val="3FBA11A3"/>
    <w:rsid w:val="3FBA2BAA"/>
    <w:rsid w:val="3FBA6DA0"/>
    <w:rsid w:val="3FBB48C6"/>
    <w:rsid w:val="3FBB4BFC"/>
    <w:rsid w:val="3FBB6674"/>
    <w:rsid w:val="3FBC2866"/>
    <w:rsid w:val="3FBC2D85"/>
    <w:rsid w:val="3FBC3D16"/>
    <w:rsid w:val="3FBC591E"/>
    <w:rsid w:val="3FBD063E"/>
    <w:rsid w:val="3FBD1171"/>
    <w:rsid w:val="3FBD1E28"/>
    <w:rsid w:val="3FBD23EC"/>
    <w:rsid w:val="3FBD250E"/>
    <w:rsid w:val="3FBD419A"/>
    <w:rsid w:val="3FBD5717"/>
    <w:rsid w:val="3FBD764B"/>
    <w:rsid w:val="3FBE0347"/>
    <w:rsid w:val="3FBE0840"/>
    <w:rsid w:val="3FBE2898"/>
    <w:rsid w:val="3FBE399E"/>
    <w:rsid w:val="3FBE61D5"/>
    <w:rsid w:val="3FBE7ABC"/>
    <w:rsid w:val="3FBE7F13"/>
    <w:rsid w:val="3FBF05D4"/>
    <w:rsid w:val="3FBF346F"/>
    <w:rsid w:val="3FBF43B6"/>
    <w:rsid w:val="3FC01EDD"/>
    <w:rsid w:val="3FC03C8B"/>
    <w:rsid w:val="3FC040CD"/>
    <w:rsid w:val="3FC079FF"/>
    <w:rsid w:val="3FC1012F"/>
    <w:rsid w:val="3FC14601"/>
    <w:rsid w:val="3FC2231F"/>
    <w:rsid w:val="3FC22E6C"/>
    <w:rsid w:val="3FC242F5"/>
    <w:rsid w:val="3FC25C55"/>
    <w:rsid w:val="3FC27573"/>
    <w:rsid w:val="3FC27A03"/>
    <w:rsid w:val="3FC30596"/>
    <w:rsid w:val="3FC337AF"/>
    <w:rsid w:val="3FC35D1F"/>
    <w:rsid w:val="3FC36F46"/>
    <w:rsid w:val="3FC43344"/>
    <w:rsid w:val="3FC4377B"/>
    <w:rsid w:val="3FC45529"/>
    <w:rsid w:val="3FC456AD"/>
    <w:rsid w:val="3FC512A1"/>
    <w:rsid w:val="3FC538A5"/>
    <w:rsid w:val="3FC656D4"/>
    <w:rsid w:val="3FC65745"/>
    <w:rsid w:val="3FC706E7"/>
    <w:rsid w:val="3FC714BD"/>
    <w:rsid w:val="3FC72862"/>
    <w:rsid w:val="3FC733A8"/>
    <w:rsid w:val="3FC75019"/>
    <w:rsid w:val="3FC77BB3"/>
    <w:rsid w:val="3FC8073C"/>
    <w:rsid w:val="3FC84A37"/>
    <w:rsid w:val="3FC84A83"/>
    <w:rsid w:val="3FC86191"/>
    <w:rsid w:val="3FC90429"/>
    <w:rsid w:val="3FC90D91"/>
    <w:rsid w:val="3FC92B3F"/>
    <w:rsid w:val="3FC96FE3"/>
    <w:rsid w:val="3FCA14E1"/>
    <w:rsid w:val="3FCA1921"/>
    <w:rsid w:val="3FCA1B5C"/>
    <w:rsid w:val="3FCA3682"/>
    <w:rsid w:val="3FCA4B09"/>
    <w:rsid w:val="3FCA68B7"/>
    <w:rsid w:val="3FCB0346"/>
    <w:rsid w:val="3FCB1F18"/>
    <w:rsid w:val="3FCB2D5B"/>
    <w:rsid w:val="3FCB6213"/>
    <w:rsid w:val="3FCC0881"/>
    <w:rsid w:val="3FCC0B73"/>
    <w:rsid w:val="3FCC262F"/>
    <w:rsid w:val="3FCC5FA2"/>
    <w:rsid w:val="3FCC6AD3"/>
    <w:rsid w:val="3FCC6FA7"/>
    <w:rsid w:val="3FCD1282"/>
    <w:rsid w:val="3FCD2003"/>
    <w:rsid w:val="3FCD30FD"/>
    <w:rsid w:val="3FCD36F4"/>
    <w:rsid w:val="3FCD73F8"/>
    <w:rsid w:val="3FCD7432"/>
    <w:rsid w:val="3FCD7A84"/>
    <w:rsid w:val="3FCE0156"/>
    <w:rsid w:val="3FCE3493"/>
    <w:rsid w:val="3FCE63A8"/>
    <w:rsid w:val="3FCF05DD"/>
    <w:rsid w:val="3FCF0CC7"/>
    <w:rsid w:val="3FCF2120"/>
    <w:rsid w:val="3FCF3ECE"/>
    <w:rsid w:val="3FCF5D54"/>
    <w:rsid w:val="3FD016CF"/>
    <w:rsid w:val="3FD02E10"/>
    <w:rsid w:val="3FD0304D"/>
    <w:rsid w:val="3FD10B14"/>
    <w:rsid w:val="3FD10D49"/>
    <w:rsid w:val="3FD124CF"/>
    <w:rsid w:val="3FD1356F"/>
    <w:rsid w:val="3FD13C3B"/>
    <w:rsid w:val="3FD15ABD"/>
    <w:rsid w:val="3FD15E98"/>
    <w:rsid w:val="3FD17951"/>
    <w:rsid w:val="3FD17C46"/>
    <w:rsid w:val="3FD20B1B"/>
    <w:rsid w:val="3FD20B2C"/>
    <w:rsid w:val="3FD21E14"/>
    <w:rsid w:val="3FD23571"/>
    <w:rsid w:val="3FD3040C"/>
    <w:rsid w:val="3FD339BE"/>
    <w:rsid w:val="3FD35E75"/>
    <w:rsid w:val="3FD42730"/>
    <w:rsid w:val="3FD52F9F"/>
    <w:rsid w:val="3FD55988"/>
    <w:rsid w:val="3FD57736"/>
    <w:rsid w:val="3FD61700"/>
    <w:rsid w:val="3FD63366"/>
    <w:rsid w:val="3FD634AE"/>
    <w:rsid w:val="3FD6525C"/>
    <w:rsid w:val="3FD730B5"/>
    <w:rsid w:val="3FD747F6"/>
    <w:rsid w:val="3FD74D97"/>
    <w:rsid w:val="3FD779FE"/>
    <w:rsid w:val="3FD820CB"/>
    <w:rsid w:val="3FD87226"/>
    <w:rsid w:val="3FD91CE7"/>
    <w:rsid w:val="3FD967DA"/>
    <w:rsid w:val="3FDA0DE9"/>
    <w:rsid w:val="3FDA1A36"/>
    <w:rsid w:val="3FDA3177"/>
    <w:rsid w:val="3FDA353E"/>
    <w:rsid w:val="3FDA4D4C"/>
    <w:rsid w:val="3FDA5D85"/>
    <w:rsid w:val="3FDB0AC5"/>
    <w:rsid w:val="3FDB1DDF"/>
    <w:rsid w:val="3FDB2063"/>
    <w:rsid w:val="3FDB2873"/>
    <w:rsid w:val="3FDC3625"/>
    <w:rsid w:val="3FDC7453"/>
    <w:rsid w:val="3FDD138D"/>
    <w:rsid w:val="3FDD670B"/>
    <w:rsid w:val="3FDE5007"/>
    <w:rsid w:val="3FDE6B5D"/>
    <w:rsid w:val="3FDE724B"/>
    <w:rsid w:val="3FDF05B5"/>
    <w:rsid w:val="3FDF2363"/>
    <w:rsid w:val="3FDF28E6"/>
    <w:rsid w:val="3FDF4418"/>
    <w:rsid w:val="3FDF478C"/>
    <w:rsid w:val="3FDF6807"/>
    <w:rsid w:val="3FE0432D"/>
    <w:rsid w:val="3FE07E89"/>
    <w:rsid w:val="3FE1075D"/>
    <w:rsid w:val="3FE11ABA"/>
    <w:rsid w:val="3FE1257F"/>
    <w:rsid w:val="3FE15B87"/>
    <w:rsid w:val="3FE179BE"/>
    <w:rsid w:val="3FE205B4"/>
    <w:rsid w:val="3FE21E53"/>
    <w:rsid w:val="3FE23678"/>
    <w:rsid w:val="3FE3596A"/>
    <w:rsid w:val="3FE40160"/>
    <w:rsid w:val="3FE4207C"/>
    <w:rsid w:val="3FE45BCB"/>
    <w:rsid w:val="3FE47979"/>
    <w:rsid w:val="3FE5028A"/>
    <w:rsid w:val="3FE511EB"/>
    <w:rsid w:val="3FE536F1"/>
    <w:rsid w:val="3FE54E65"/>
    <w:rsid w:val="3FE6171A"/>
    <w:rsid w:val="3FE67B95"/>
    <w:rsid w:val="3FE71217"/>
    <w:rsid w:val="3FE71762"/>
    <w:rsid w:val="3FE756BB"/>
    <w:rsid w:val="3FE760FB"/>
    <w:rsid w:val="3FE77469"/>
    <w:rsid w:val="3FE80830"/>
    <w:rsid w:val="3FE82C3C"/>
    <w:rsid w:val="3FE87B15"/>
    <w:rsid w:val="3FE9018C"/>
    <w:rsid w:val="3FE931E1"/>
    <w:rsid w:val="3FE94F8F"/>
    <w:rsid w:val="3FE97E67"/>
    <w:rsid w:val="3FEA0D08"/>
    <w:rsid w:val="3FEA2C6C"/>
    <w:rsid w:val="3FEA5D65"/>
    <w:rsid w:val="3FEB190D"/>
    <w:rsid w:val="3FEB4045"/>
    <w:rsid w:val="3FEB51AC"/>
    <w:rsid w:val="3FEB5955"/>
    <w:rsid w:val="3FEB6680"/>
    <w:rsid w:val="3FEB7DCD"/>
    <w:rsid w:val="3FEC0F24"/>
    <w:rsid w:val="3FEC2CD2"/>
    <w:rsid w:val="3FEC4A80"/>
    <w:rsid w:val="3FEC5C58"/>
    <w:rsid w:val="3FED5F8F"/>
    <w:rsid w:val="3FED6A1C"/>
    <w:rsid w:val="3FED748A"/>
    <w:rsid w:val="3FEE0036"/>
    <w:rsid w:val="3FEE178B"/>
    <w:rsid w:val="3FEE25A6"/>
    <w:rsid w:val="3FEE6A4A"/>
    <w:rsid w:val="3FEF0EFA"/>
    <w:rsid w:val="3FEF631E"/>
    <w:rsid w:val="3FF00B39"/>
    <w:rsid w:val="3FF10071"/>
    <w:rsid w:val="3FF102E8"/>
    <w:rsid w:val="3FF108B6"/>
    <w:rsid w:val="3FF11A54"/>
    <w:rsid w:val="3FF1235F"/>
    <w:rsid w:val="3FF14077"/>
    <w:rsid w:val="3FF1653A"/>
    <w:rsid w:val="3FF17476"/>
    <w:rsid w:val="3FF17F6E"/>
    <w:rsid w:val="3FF245F3"/>
    <w:rsid w:val="3FF27CBD"/>
    <w:rsid w:val="3FF322B2"/>
    <w:rsid w:val="3FF3580C"/>
    <w:rsid w:val="3FF35E0E"/>
    <w:rsid w:val="3FF36495"/>
    <w:rsid w:val="3FF36950"/>
    <w:rsid w:val="3FF36FC7"/>
    <w:rsid w:val="3FF37BBC"/>
    <w:rsid w:val="3FF42936"/>
    <w:rsid w:val="3FF468EF"/>
    <w:rsid w:val="3FF46985"/>
    <w:rsid w:val="3FF51B86"/>
    <w:rsid w:val="3FF53860"/>
    <w:rsid w:val="3FF53F62"/>
    <w:rsid w:val="3FF54CA4"/>
    <w:rsid w:val="3FF5605D"/>
    <w:rsid w:val="3FF5614F"/>
    <w:rsid w:val="3FF5663E"/>
    <w:rsid w:val="3FF56F7D"/>
    <w:rsid w:val="3FF637E3"/>
    <w:rsid w:val="3FF6386E"/>
    <w:rsid w:val="3FF650C6"/>
    <w:rsid w:val="3FF70A9B"/>
    <w:rsid w:val="3FF7269F"/>
    <w:rsid w:val="3FF73B50"/>
    <w:rsid w:val="3FF75270"/>
    <w:rsid w:val="3FF8100B"/>
    <w:rsid w:val="3FF83425"/>
    <w:rsid w:val="3FF83B2F"/>
    <w:rsid w:val="3FF87294"/>
    <w:rsid w:val="3FF878C8"/>
    <w:rsid w:val="3FF974C4"/>
    <w:rsid w:val="3FFA0D1A"/>
    <w:rsid w:val="3FFA100C"/>
    <w:rsid w:val="3FFA1020"/>
    <w:rsid w:val="3FFA1F8C"/>
    <w:rsid w:val="3FFB13C9"/>
    <w:rsid w:val="3FFB177B"/>
    <w:rsid w:val="3FFB24B0"/>
    <w:rsid w:val="3FFB2A92"/>
    <w:rsid w:val="3FFB2F15"/>
    <w:rsid w:val="3FFB4CC3"/>
    <w:rsid w:val="3FFB7EC3"/>
    <w:rsid w:val="3FFC1167"/>
    <w:rsid w:val="3FFC4972"/>
    <w:rsid w:val="3FFC5081"/>
    <w:rsid w:val="3FFC694A"/>
    <w:rsid w:val="3FFC73F9"/>
    <w:rsid w:val="3FFD0EBA"/>
    <w:rsid w:val="3FFD4EDF"/>
    <w:rsid w:val="3FFD5B5B"/>
    <w:rsid w:val="3FFD6C8D"/>
    <w:rsid w:val="3FFE0E31"/>
    <w:rsid w:val="3FFE5002"/>
    <w:rsid w:val="3FFF0C57"/>
    <w:rsid w:val="3FFF3A02"/>
    <w:rsid w:val="3FFF47B3"/>
    <w:rsid w:val="4000052B"/>
    <w:rsid w:val="400022D9"/>
    <w:rsid w:val="40002AE0"/>
    <w:rsid w:val="40003751"/>
    <w:rsid w:val="40007F1A"/>
    <w:rsid w:val="400128B1"/>
    <w:rsid w:val="4001677D"/>
    <w:rsid w:val="40020CF4"/>
    <w:rsid w:val="400224F5"/>
    <w:rsid w:val="4002362B"/>
    <w:rsid w:val="400277B2"/>
    <w:rsid w:val="40033813"/>
    <w:rsid w:val="40044CA3"/>
    <w:rsid w:val="4004626D"/>
    <w:rsid w:val="40060D04"/>
    <w:rsid w:val="40061FE5"/>
    <w:rsid w:val="40063D93"/>
    <w:rsid w:val="400675C3"/>
    <w:rsid w:val="400718BA"/>
    <w:rsid w:val="40072194"/>
    <w:rsid w:val="40073668"/>
    <w:rsid w:val="400804D1"/>
    <w:rsid w:val="400819A7"/>
    <w:rsid w:val="4008462D"/>
    <w:rsid w:val="40084B0B"/>
    <w:rsid w:val="40084FE2"/>
    <w:rsid w:val="40095632"/>
    <w:rsid w:val="40095F04"/>
    <w:rsid w:val="400A0BDA"/>
    <w:rsid w:val="400A7FE8"/>
    <w:rsid w:val="400B13AA"/>
    <w:rsid w:val="400B3158"/>
    <w:rsid w:val="400B332E"/>
    <w:rsid w:val="400C07A8"/>
    <w:rsid w:val="400C2201"/>
    <w:rsid w:val="400C497A"/>
    <w:rsid w:val="400C6ED0"/>
    <w:rsid w:val="400D3374"/>
    <w:rsid w:val="400D525B"/>
    <w:rsid w:val="400D54DB"/>
    <w:rsid w:val="400D7496"/>
    <w:rsid w:val="400E0E9A"/>
    <w:rsid w:val="400E2C48"/>
    <w:rsid w:val="400E39C0"/>
    <w:rsid w:val="400E49F6"/>
    <w:rsid w:val="400E5D55"/>
    <w:rsid w:val="400F353D"/>
    <w:rsid w:val="400F49F9"/>
    <w:rsid w:val="400F6B22"/>
    <w:rsid w:val="4010076E"/>
    <w:rsid w:val="4010139C"/>
    <w:rsid w:val="40103246"/>
    <w:rsid w:val="40104E53"/>
    <w:rsid w:val="40112738"/>
    <w:rsid w:val="401144E6"/>
    <w:rsid w:val="401146D6"/>
    <w:rsid w:val="4012098A"/>
    <w:rsid w:val="401239C3"/>
    <w:rsid w:val="401239E9"/>
    <w:rsid w:val="4013114D"/>
    <w:rsid w:val="4013200C"/>
    <w:rsid w:val="401364B0"/>
    <w:rsid w:val="40141BC7"/>
    <w:rsid w:val="4014361C"/>
    <w:rsid w:val="40152228"/>
    <w:rsid w:val="40153057"/>
    <w:rsid w:val="40155D85"/>
    <w:rsid w:val="401579F8"/>
    <w:rsid w:val="40161AFD"/>
    <w:rsid w:val="40166203"/>
    <w:rsid w:val="40171ED9"/>
    <w:rsid w:val="40175FA1"/>
    <w:rsid w:val="40176848"/>
    <w:rsid w:val="40181D19"/>
    <w:rsid w:val="40183119"/>
    <w:rsid w:val="4018361A"/>
    <w:rsid w:val="40183AC7"/>
    <w:rsid w:val="401845A9"/>
    <w:rsid w:val="40185450"/>
    <w:rsid w:val="40192526"/>
    <w:rsid w:val="401950F4"/>
    <w:rsid w:val="40195FEE"/>
    <w:rsid w:val="401A15ED"/>
    <w:rsid w:val="401A339B"/>
    <w:rsid w:val="401A783F"/>
    <w:rsid w:val="401A7CB1"/>
    <w:rsid w:val="401B054E"/>
    <w:rsid w:val="401B11C3"/>
    <w:rsid w:val="401B1A9A"/>
    <w:rsid w:val="401B7113"/>
    <w:rsid w:val="401C35B7"/>
    <w:rsid w:val="401C5065"/>
    <w:rsid w:val="401C5365"/>
    <w:rsid w:val="401C6D2E"/>
    <w:rsid w:val="401D25DA"/>
    <w:rsid w:val="401E7B44"/>
    <w:rsid w:val="401E7C2F"/>
    <w:rsid w:val="401F09B1"/>
    <w:rsid w:val="401F149E"/>
    <w:rsid w:val="401F18AB"/>
    <w:rsid w:val="401F4E55"/>
    <w:rsid w:val="401F6C03"/>
    <w:rsid w:val="40204729"/>
    <w:rsid w:val="40204B2E"/>
    <w:rsid w:val="4021297B"/>
    <w:rsid w:val="4021376A"/>
    <w:rsid w:val="402141CB"/>
    <w:rsid w:val="402204A1"/>
    <w:rsid w:val="40221D9B"/>
    <w:rsid w:val="40222C18"/>
    <w:rsid w:val="40224945"/>
    <w:rsid w:val="40225914"/>
    <w:rsid w:val="402266F3"/>
    <w:rsid w:val="402317B5"/>
    <w:rsid w:val="4023319A"/>
    <w:rsid w:val="40233626"/>
    <w:rsid w:val="40235625"/>
    <w:rsid w:val="402356C6"/>
    <w:rsid w:val="40235EC8"/>
    <w:rsid w:val="402406BD"/>
    <w:rsid w:val="40240823"/>
    <w:rsid w:val="40241345"/>
    <w:rsid w:val="40243ABE"/>
    <w:rsid w:val="40251D40"/>
    <w:rsid w:val="4025430E"/>
    <w:rsid w:val="40254F7A"/>
    <w:rsid w:val="402661E4"/>
    <w:rsid w:val="40266BAD"/>
    <w:rsid w:val="40267F92"/>
    <w:rsid w:val="40270979"/>
    <w:rsid w:val="40271F5C"/>
    <w:rsid w:val="40272C0E"/>
    <w:rsid w:val="40274CA0"/>
    <w:rsid w:val="40280E2E"/>
    <w:rsid w:val="40284A6F"/>
    <w:rsid w:val="40290788"/>
    <w:rsid w:val="402916C7"/>
    <w:rsid w:val="40292BA4"/>
    <w:rsid w:val="402931E4"/>
    <w:rsid w:val="40297A82"/>
    <w:rsid w:val="402A5051"/>
    <w:rsid w:val="402A69BE"/>
    <w:rsid w:val="402B1A4C"/>
    <w:rsid w:val="402B22B9"/>
    <w:rsid w:val="402B37FA"/>
    <w:rsid w:val="402B76EB"/>
    <w:rsid w:val="402B78EE"/>
    <w:rsid w:val="402C12DE"/>
    <w:rsid w:val="402C1320"/>
    <w:rsid w:val="402C30CE"/>
    <w:rsid w:val="402C3C7D"/>
    <w:rsid w:val="402D07D0"/>
    <w:rsid w:val="402D1692"/>
    <w:rsid w:val="402D22F7"/>
    <w:rsid w:val="402D47FF"/>
    <w:rsid w:val="402D7572"/>
    <w:rsid w:val="402E32EA"/>
    <w:rsid w:val="402E72DA"/>
    <w:rsid w:val="402F139F"/>
    <w:rsid w:val="402F2998"/>
    <w:rsid w:val="402F4312"/>
    <w:rsid w:val="40300E10"/>
    <w:rsid w:val="40302BBE"/>
    <w:rsid w:val="40307062"/>
    <w:rsid w:val="403145AA"/>
    <w:rsid w:val="40316677"/>
    <w:rsid w:val="403176FB"/>
    <w:rsid w:val="40317F27"/>
    <w:rsid w:val="40322DDA"/>
    <w:rsid w:val="403232D8"/>
    <w:rsid w:val="40327319"/>
    <w:rsid w:val="40327E11"/>
    <w:rsid w:val="40330901"/>
    <w:rsid w:val="4033445D"/>
    <w:rsid w:val="40334775"/>
    <w:rsid w:val="40334DAD"/>
    <w:rsid w:val="403365DF"/>
    <w:rsid w:val="40343B61"/>
    <w:rsid w:val="403501D5"/>
    <w:rsid w:val="40355211"/>
    <w:rsid w:val="40356427"/>
    <w:rsid w:val="40357678"/>
    <w:rsid w:val="40360E64"/>
    <w:rsid w:val="403703F1"/>
    <w:rsid w:val="4037302B"/>
    <w:rsid w:val="40381A73"/>
    <w:rsid w:val="40383B92"/>
    <w:rsid w:val="40383DA2"/>
    <w:rsid w:val="40384169"/>
    <w:rsid w:val="40386350"/>
    <w:rsid w:val="403873C0"/>
    <w:rsid w:val="40387CC5"/>
    <w:rsid w:val="403905A8"/>
    <w:rsid w:val="40390C1D"/>
    <w:rsid w:val="403A1C8F"/>
    <w:rsid w:val="403A37EC"/>
    <w:rsid w:val="403A57EB"/>
    <w:rsid w:val="403B16C0"/>
    <w:rsid w:val="403B1FC4"/>
    <w:rsid w:val="403B7942"/>
    <w:rsid w:val="403C03AD"/>
    <w:rsid w:val="403C2F4C"/>
    <w:rsid w:val="403C3640"/>
    <w:rsid w:val="403C4F42"/>
    <w:rsid w:val="403C5A07"/>
    <w:rsid w:val="403C75C2"/>
    <w:rsid w:val="403C77B5"/>
    <w:rsid w:val="403C7F05"/>
    <w:rsid w:val="403D352D"/>
    <w:rsid w:val="403D39A3"/>
    <w:rsid w:val="403D54E9"/>
    <w:rsid w:val="403E7FA2"/>
    <w:rsid w:val="403F0E94"/>
    <w:rsid w:val="403F2E01"/>
    <w:rsid w:val="403F5761"/>
    <w:rsid w:val="403F72A5"/>
    <w:rsid w:val="404046DF"/>
    <w:rsid w:val="40410AF5"/>
    <w:rsid w:val="4041301D"/>
    <w:rsid w:val="404137B4"/>
    <w:rsid w:val="40414DCB"/>
    <w:rsid w:val="40415B0D"/>
    <w:rsid w:val="40416B7A"/>
    <w:rsid w:val="40416CF9"/>
    <w:rsid w:val="404228F2"/>
    <w:rsid w:val="40422F58"/>
    <w:rsid w:val="40424ECA"/>
    <w:rsid w:val="40427815"/>
    <w:rsid w:val="40430CC1"/>
    <w:rsid w:val="404360D4"/>
    <w:rsid w:val="40436D96"/>
    <w:rsid w:val="4043728E"/>
    <w:rsid w:val="404408BB"/>
    <w:rsid w:val="40442B0E"/>
    <w:rsid w:val="40442E79"/>
    <w:rsid w:val="40443D78"/>
    <w:rsid w:val="404448BC"/>
    <w:rsid w:val="40451F74"/>
    <w:rsid w:val="4045291D"/>
    <w:rsid w:val="404571AC"/>
    <w:rsid w:val="40460040"/>
    <w:rsid w:val="404623E2"/>
    <w:rsid w:val="40464190"/>
    <w:rsid w:val="4047578D"/>
    <w:rsid w:val="40475EE5"/>
    <w:rsid w:val="40476494"/>
    <w:rsid w:val="40477F08"/>
    <w:rsid w:val="40481C0E"/>
    <w:rsid w:val="40481D0D"/>
    <w:rsid w:val="4048209A"/>
    <w:rsid w:val="40483B41"/>
    <w:rsid w:val="40483F25"/>
    <w:rsid w:val="404843AC"/>
    <w:rsid w:val="40484C39"/>
    <w:rsid w:val="40490124"/>
    <w:rsid w:val="40490456"/>
    <w:rsid w:val="404916FA"/>
    <w:rsid w:val="40491ED2"/>
    <w:rsid w:val="40491F46"/>
    <w:rsid w:val="4049295D"/>
    <w:rsid w:val="40494752"/>
    <w:rsid w:val="40496BCB"/>
    <w:rsid w:val="404A11A6"/>
    <w:rsid w:val="404A2EC7"/>
    <w:rsid w:val="404A33D6"/>
    <w:rsid w:val="404A7F3B"/>
    <w:rsid w:val="404B3E9C"/>
    <w:rsid w:val="404B79F8"/>
    <w:rsid w:val="404C08C7"/>
    <w:rsid w:val="404C1D92"/>
    <w:rsid w:val="404C30FB"/>
    <w:rsid w:val="404C3770"/>
    <w:rsid w:val="404C49C9"/>
    <w:rsid w:val="404C4E87"/>
    <w:rsid w:val="404C551E"/>
    <w:rsid w:val="404C65D6"/>
    <w:rsid w:val="404D099E"/>
    <w:rsid w:val="404D1D57"/>
    <w:rsid w:val="404D33A1"/>
    <w:rsid w:val="404D3498"/>
    <w:rsid w:val="404D4928"/>
    <w:rsid w:val="404D5BC1"/>
    <w:rsid w:val="404D6255"/>
    <w:rsid w:val="404E371D"/>
    <w:rsid w:val="404E573A"/>
    <w:rsid w:val="404E5DB8"/>
    <w:rsid w:val="404E61D4"/>
    <w:rsid w:val="404E7C3E"/>
    <w:rsid w:val="404F3FFC"/>
    <w:rsid w:val="405014B2"/>
    <w:rsid w:val="40501E19"/>
    <w:rsid w:val="40502771"/>
    <w:rsid w:val="405045F3"/>
    <w:rsid w:val="40504D37"/>
    <w:rsid w:val="4050500F"/>
    <w:rsid w:val="40510EE6"/>
    <w:rsid w:val="40512B09"/>
    <w:rsid w:val="40520D87"/>
    <w:rsid w:val="405214DD"/>
    <w:rsid w:val="40521A68"/>
    <w:rsid w:val="40523970"/>
    <w:rsid w:val="405257D8"/>
    <w:rsid w:val="40526FD9"/>
    <w:rsid w:val="4053079A"/>
    <w:rsid w:val="40532D51"/>
    <w:rsid w:val="40534269"/>
    <w:rsid w:val="40534AFF"/>
    <w:rsid w:val="40536E11"/>
    <w:rsid w:val="405512CE"/>
    <w:rsid w:val="405530BA"/>
    <w:rsid w:val="4055351F"/>
    <w:rsid w:val="40555BB9"/>
    <w:rsid w:val="40563C91"/>
    <w:rsid w:val="4056454A"/>
    <w:rsid w:val="40565671"/>
    <w:rsid w:val="40572841"/>
    <w:rsid w:val="405745EF"/>
    <w:rsid w:val="4057639D"/>
    <w:rsid w:val="40582115"/>
    <w:rsid w:val="40582AFB"/>
    <w:rsid w:val="40586E6A"/>
    <w:rsid w:val="40590F56"/>
    <w:rsid w:val="40591050"/>
    <w:rsid w:val="40597B27"/>
    <w:rsid w:val="405A15D4"/>
    <w:rsid w:val="405A24CA"/>
    <w:rsid w:val="405A296D"/>
    <w:rsid w:val="405A40DF"/>
    <w:rsid w:val="405A5E8D"/>
    <w:rsid w:val="405A6FFA"/>
    <w:rsid w:val="405B57EB"/>
    <w:rsid w:val="405B6B47"/>
    <w:rsid w:val="405C110C"/>
    <w:rsid w:val="405C1C05"/>
    <w:rsid w:val="405C2506"/>
    <w:rsid w:val="405C39B3"/>
    <w:rsid w:val="405D597D"/>
    <w:rsid w:val="405D6370"/>
    <w:rsid w:val="405D772B"/>
    <w:rsid w:val="405E0A05"/>
    <w:rsid w:val="405E3BCF"/>
    <w:rsid w:val="405F16F6"/>
    <w:rsid w:val="405F34A4"/>
    <w:rsid w:val="405F61EC"/>
    <w:rsid w:val="40604C24"/>
    <w:rsid w:val="40612D9E"/>
    <w:rsid w:val="406145E3"/>
    <w:rsid w:val="4061546E"/>
    <w:rsid w:val="4061571E"/>
    <w:rsid w:val="4061721C"/>
    <w:rsid w:val="40623EA8"/>
    <w:rsid w:val="40624D42"/>
    <w:rsid w:val="40625EFB"/>
    <w:rsid w:val="40631A3C"/>
    <w:rsid w:val="406356BE"/>
    <w:rsid w:val="40640ABA"/>
    <w:rsid w:val="40642234"/>
    <w:rsid w:val="40644F5E"/>
    <w:rsid w:val="40646B4E"/>
    <w:rsid w:val="40646D0C"/>
    <w:rsid w:val="40656416"/>
    <w:rsid w:val="40656904"/>
    <w:rsid w:val="40662A84"/>
    <w:rsid w:val="40664832"/>
    <w:rsid w:val="40670839"/>
    <w:rsid w:val="406746B6"/>
    <w:rsid w:val="406754CF"/>
    <w:rsid w:val="40677669"/>
    <w:rsid w:val="406805AA"/>
    <w:rsid w:val="40680F44"/>
    <w:rsid w:val="40681DCF"/>
    <w:rsid w:val="406867FC"/>
    <w:rsid w:val="406879EA"/>
    <w:rsid w:val="40692574"/>
    <w:rsid w:val="40692B27"/>
    <w:rsid w:val="40694322"/>
    <w:rsid w:val="406960D0"/>
    <w:rsid w:val="406A3428"/>
    <w:rsid w:val="406A3E50"/>
    <w:rsid w:val="406B009A"/>
    <w:rsid w:val="406B4CDF"/>
    <w:rsid w:val="406B4E0A"/>
    <w:rsid w:val="406B5CCA"/>
    <w:rsid w:val="406C27B3"/>
    <w:rsid w:val="406C6770"/>
    <w:rsid w:val="406D3E12"/>
    <w:rsid w:val="406D5BC1"/>
    <w:rsid w:val="406D7287"/>
    <w:rsid w:val="406E1939"/>
    <w:rsid w:val="406E36E7"/>
    <w:rsid w:val="406E4DB5"/>
    <w:rsid w:val="406E618B"/>
    <w:rsid w:val="406E7B8B"/>
    <w:rsid w:val="406F2DBE"/>
    <w:rsid w:val="407026DC"/>
    <w:rsid w:val="40703903"/>
    <w:rsid w:val="40704ADD"/>
    <w:rsid w:val="4070745F"/>
    <w:rsid w:val="40707CC2"/>
    <w:rsid w:val="40710417"/>
    <w:rsid w:val="40710BD8"/>
    <w:rsid w:val="4071181D"/>
    <w:rsid w:val="40714920"/>
    <w:rsid w:val="40714F85"/>
    <w:rsid w:val="40720453"/>
    <w:rsid w:val="40721429"/>
    <w:rsid w:val="40721AD3"/>
    <w:rsid w:val="407229DB"/>
    <w:rsid w:val="407231D7"/>
    <w:rsid w:val="40724D60"/>
    <w:rsid w:val="40730317"/>
    <w:rsid w:val="40732746"/>
    <w:rsid w:val="40741440"/>
    <w:rsid w:val="40741F5E"/>
    <w:rsid w:val="40747B02"/>
    <w:rsid w:val="40752485"/>
    <w:rsid w:val="407525F7"/>
    <w:rsid w:val="407566A0"/>
    <w:rsid w:val="407623F3"/>
    <w:rsid w:val="407674FB"/>
    <w:rsid w:val="407707ED"/>
    <w:rsid w:val="40772ACD"/>
    <w:rsid w:val="40774C91"/>
    <w:rsid w:val="40777885"/>
    <w:rsid w:val="40784565"/>
    <w:rsid w:val="40786313"/>
    <w:rsid w:val="40790A6A"/>
    <w:rsid w:val="407924B5"/>
    <w:rsid w:val="407927B7"/>
    <w:rsid w:val="407940A2"/>
    <w:rsid w:val="407A00A9"/>
    <w:rsid w:val="407A02DD"/>
    <w:rsid w:val="407A1061"/>
    <w:rsid w:val="407A10F7"/>
    <w:rsid w:val="407A1E59"/>
    <w:rsid w:val="407A208B"/>
    <w:rsid w:val="407A29C8"/>
    <w:rsid w:val="407A6407"/>
    <w:rsid w:val="407A672E"/>
    <w:rsid w:val="407B5324"/>
    <w:rsid w:val="407B61A9"/>
    <w:rsid w:val="407B75ED"/>
    <w:rsid w:val="407C22F9"/>
    <w:rsid w:val="407C4056"/>
    <w:rsid w:val="407C5E04"/>
    <w:rsid w:val="407C65EE"/>
    <w:rsid w:val="407D0E43"/>
    <w:rsid w:val="407D1B7C"/>
    <w:rsid w:val="407D3EA2"/>
    <w:rsid w:val="407D712F"/>
    <w:rsid w:val="407E028A"/>
    <w:rsid w:val="407E0E69"/>
    <w:rsid w:val="407E1085"/>
    <w:rsid w:val="407E6D8D"/>
    <w:rsid w:val="407E7DCE"/>
    <w:rsid w:val="407F1347"/>
    <w:rsid w:val="407F3B46"/>
    <w:rsid w:val="4080127B"/>
    <w:rsid w:val="40803E93"/>
    <w:rsid w:val="40805F5D"/>
    <w:rsid w:val="40806076"/>
    <w:rsid w:val="40806A89"/>
    <w:rsid w:val="408077B7"/>
    <w:rsid w:val="40810C47"/>
    <w:rsid w:val="4081166C"/>
    <w:rsid w:val="408141EA"/>
    <w:rsid w:val="408151CD"/>
    <w:rsid w:val="408172A3"/>
    <w:rsid w:val="408178BE"/>
    <w:rsid w:val="40821C39"/>
    <w:rsid w:val="408220D7"/>
    <w:rsid w:val="408228DD"/>
    <w:rsid w:val="4082474B"/>
    <w:rsid w:val="40825A5F"/>
    <w:rsid w:val="40827192"/>
    <w:rsid w:val="40833567"/>
    <w:rsid w:val="408353E4"/>
    <w:rsid w:val="40835E7A"/>
    <w:rsid w:val="40836138"/>
    <w:rsid w:val="40841EC0"/>
    <w:rsid w:val="40842F0A"/>
    <w:rsid w:val="40844CB8"/>
    <w:rsid w:val="408475C8"/>
    <w:rsid w:val="40847692"/>
    <w:rsid w:val="408544EF"/>
    <w:rsid w:val="40863629"/>
    <w:rsid w:val="40864ED4"/>
    <w:rsid w:val="40866C82"/>
    <w:rsid w:val="4086767E"/>
    <w:rsid w:val="40873378"/>
    <w:rsid w:val="4087588A"/>
    <w:rsid w:val="40876CB2"/>
    <w:rsid w:val="40877D9A"/>
    <w:rsid w:val="40880C6E"/>
    <w:rsid w:val="408812A1"/>
    <w:rsid w:val="408829FA"/>
    <w:rsid w:val="40884808"/>
    <w:rsid w:val="40887114"/>
    <w:rsid w:val="40890521"/>
    <w:rsid w:val="40893BEE"/>
    <w:rsid w:val="40896881"/>
    <w:rsid w:val="408A1075"/>
    <w:rsid w:val="408A49C4"/>
    <w:rsid w:val="408B1CF9"/>
    <w:rsid w:val="408B24EB"/>
    <w:rsid w:val="408B44C9"/>
    <w:rsid w:val="408B48CA"/>
    <w:rsid w:val="408B6047"/>
    <w:rsid w:val="408B6F3B"/>
    <w:rsid w:val="408D0011"/>
    <w:rsid w:val="408D603A"/>
    <w:rsid w:val="408D67A1"/>
    <w:rsid w:val="408D7B90"/>
    <w:rsid w:val="408E19AD"/>
    <w:rsid w:val="408E324B"/>
    <w:rsid w:val="408E3D89"/>
    <w:rsid w:val="408E5B37"/>
    <w:rsid w:val="408E78C6"/>
    <w:rsid w:val="408F1B0A"/>
    <w:rsid w:val="408F60DD"/>
    <w:rsid w:val="408F7080"/>
    <w:rsid w:val="409018AF"/>
    <w:rsid w:val="40901934"/>
    <w:rsid w:val="4090365D"/>
    <w:rsid w:val="40904455"/>
    <w:rsid w:val="409052C3"/>
    <w:rsid w:val="40905B6B"/>
    <w:rsid w:val="40905D53"/>
    <w:rsid w:val="409072AC"/>
    <w:rsid w:val="40907533"/>
    <w:rsid w:val="409114DF"/>
    <w:rsid w:val="4092048B"/>
    <w:rsid w:val="40921BCC"/>
    <w:rsid w:val="40923879"/>
    <w:rsid w:val="40924E1B"/>
    <w:rsid w:val="40926BF5"/>
    <w:rsid w:val="40926FED"/>
    <w:rsid w:val="40927A9D"/>
    <w:rsid w:val="4093314D"/>
    <w:rsid w:val="4093557B"/>
    <w:rsid w:val="40935C2D"/>
    <w:rsid w:val="40935D33"/>
    <w:rsid w:val="40943C94"/>
    <w:rsid w:val="409444EC"/>
    <w:rsid w:val="4094643A"/>
    <w:rsid w:val="4095597C"/>
    <w:rsid w:val="40956EC5"/>
    <w:rsid w:val="40957390"/>
    <w:rsid w:val="40957EC4"/>
    <w:rsid w:val="40965933"/>
    <w:rsid w:val="40966849"/>
    <w:rsid w:val="40966E0C"/>
    <w:rsid w:val="40967BB7"/>
    <w:rsid w:val="40970E8F"/>
    <w:rsid w:val="40971A57"/>
    <w:rsid w:val="40971AEA"/>
    <w:rsid w:val="409749EB"/>
    <w:rsid w:val="40975D28"/>
    <w:rsid w:val="40980764"/>
    <w:rsid w:val="40981AD2"/>
    <w:rsid w:val="40982CE1"/>
    <w:rsid w:val="40985A3E"/>
    <w:rsid w:val="409865FD"/>
    <w:rsid w:val="40994C08"/>
    <w:rsid w:val="409969B6"/>
    <w:rsid w:val="40996ECE"/>
    <w:rsid w:val="409A0980"/>
    <w:rsid w:val="409A17EE"/>
    <w:rsid w:val="409A20DF"/>
    <w:rsid w:val="409A272E"/>
    <w:rsid w:val="409A4382"/>
    <w:rsid w:val="409C11AB"/>
    <w:rsid w:val="409C46F8"/>
    <w:rsid w:val="409C5773"/>
    <w:rsid w:val="409C64A6"/>
    <w:rsid w:val="409C7E4F"/>
    <w:rsid w:val="409D41E1"/>
    <w:rsid w:val="409D5D7A"/>
    <w:rsid w:val="409D6F2D"/>
    <w:rsid w:val="409E2D40"/>
    <w:rsid w:val="409E3FCC"/>
    <w:rsid w:val="409F15FF"/>
    <w:rsid w:val="409F5174"/>
    <w:rsid w:val="409F78FB"/>
    <w:rsid w:val="40A01D12"/>
    <w:rsid w:val="40A06C0C"/>
    <w:rsid w:val="40A11D0E"/>
    <w:rsid w:val="40A1279E"/>
    <w:rsid w:val="40A12CFD"/>
    <w:rsid w:val="40A13AB1"/>
    <w:rsid w:val="40A148E9"/>
    <w:rsid w:val="40A1586A"/>
    <w:rsid w:val="40A16174"/>
    <w:rsid w:val="40A20693"/>
    <w:rsid w:val="40A20840"/>
    <w:rsid w:val="40A225E2"/>
    <w:rsid w:val="40A31410"/>
    <w:rsid w:val="40A3171B"/>
    <w:rsid w:val="40A33655"/>
    <w:rsid w:val="40A35A86"/>
    <w:rsid w:val="40A3775D"/>
    <w:rsid w:val="40A37834"/>
    <w:rsid w:val="40A435AC"/>
    <w:rsid w:val="40A43C4C"/>
    <w:rsid w:val="40A45F3E"/>
    <w:rsid w:val="40A47108"/>
    <w:rsid w:val="40A47972"/>
    <w:rsid w:val="40A56901"/>
    <w:rsid w:val="40A56CB3"/>
    <w:rsid w:val="40A610D2"/>
    <w:rsid w:val="40A610FA"/>
    <w:rsid w:val="40A61FE2"/>
    <w:rsid w:val="40A62E81"/>
    <w:rsid w:val="40A67324"/>
    <w:rsid w:val="40A739EE"/>
    <w:rsid w:val="40A8093A"/>
    <w:rsid w:val="40A80D51"/>
    <w:rsid w:val="40A8309D"/>
    <w:rsid w:val="40A83FCA"/>
    <w:rsid w:val="40A85E09"/>
    <w:rsid w:val="40A86BF9"/>
    <w:rsid w:val="40A92696"/>
    <w:rsid w:val="40A9471F"/>
    <w:rsid w:val="40A94AB9"/>
    <w:rsid w:val="40AA0BC3"/>
    <w:rsid w:val="40AA565E"/>
    <w:rsid w:val="40AA56DE"/>
    <w:rsid w:val="40AA5A49"/>
    <w:rsid w:val="40AA6712"/>
    <w:rsid w:val="40AB0497"/>
    <w:rsid w:val="40AB1C6B"/>
    <w:rsid w:val="40AB2262"/>
    <w:rsid w:val="40AB493B"/>
    <w:rsid w:val="40AB66E9"/>
    <w:rsid w:val="40AC03DF"/>
    <w:rsid w:val="40AC09D6"/>
    <w:rsid w:val="40AC2859"/>
    <w:rsid w:val="40AC3F0E"/>
    <w:rsid w:val="40AC46DB"/>
    <w:rsid w:val="40AC727C"/>
    <w:rsid w:val="40AD06B3"/>
    <w:rsid w:val="40AD420F"/>
    <w:rsid w:val="40AE386B"/>
    <w:rsid w:val="40AE5091"/>
    <w:rsid w:val="40AE7C64"/>
    <w:rsid w:val="40AF3CC5"/>
    <w:rsid w:val="40AF440C"/>
    <w:rsid w:val="40AF442B"/>
    <w:rsid w:val="40AF5E62"/>
    <w:rsid w:val="40AF61D9"/>
    <w:rsid w:val="40B02584"/>
    <w:rsid w:val="40B05155"/>
    <w:rsid w:val="40B05FDC"/>
    <w:rsid w:val="40B07757"/>
    <w:rsid w:val="40B1237A"/>
    <w:rsid w:val="40B125E4"/>
    <w:rsid w:val="40B12607"/>
    <w:rsid w:val="40B13E91"/>
    <w:rsid w:val="40B15D4A"/>
    <w:rsid w:val="40B21825"/>
    <w:rsid w:val="40B24B41"/>
    <w:rsid w:val="40B25CC9"/>
    <w:rsid w:val="40B279F2"/>
    <w:rsid w:val="40B304F6"/>
    <w:rsid w:val="40B30F05"/>
    <w:rsid w:val="40B32646"/>
    <w:rsid w:val="40B3559D"/>
    <w:rsid w:val="40B35A23"/>
    <w:rsid w:val="40B41A41"/>
    <w:rsid w:val="40B41B1D"/>
    <w:rsid w:val="40B4246F"/>
    <w:rsid w:val="40B437EF"/>
    <w:rsid w:val="40B43A2A"/>
    <w:rsid w:val="40B43B69"/>
    <w:rsid w:val="40B50519"/>
    <w:rsid w:val="40B557B9"/>
    <w:rsid w:val="40B57568"/>
    <w:rsid w:val="40B61ED6"/>
    <w:rsid w:val="40B6407D"/>
    <w:rsid w:val="40B64B1B"/>
    <w:rsid w:val="40B64F70"/>
    <w:rsid w:val="40B66922"/>
    <w:rsid w:val="40B670FD"/>
    <w:rsid w:val="40B70D16"/>
    <w:rsid w:val="40B726F9"/>
    <w:rsid w:val="40B732E0"/>
    <w:rsid w:val="40B7508E"/>
    <w:rsid w:val="40B757A6"/>
    <w:rsid w:val="40B770F2"/>
    <w:rsid w:val="40B805CC"/>
    <w:rsid w:val="40B82BB4"/>
    <w:rsid w:val="40B90E06"/>
    <w:rsid w:val="40B918F0"/>
    <w:rsid w:val="40B92B26"/>
    <w:rsid w:val="40B97058"/>
    <w:rsid w:val="40B9762F"/>
    <w:rsid w:val="40B97948"/>
    <w:rsid w:val="40B97B50"/>
    <w:rsid w:val="40BA0A6D"/>
    <w:rsid w:val="40BA0DD8"/>
    <w:rsid w:val="40BA4B7E"/>
    <w:rsid w:val="40BA552E"/>
    <w:rsid w:val="40BB0707"/>
    <w:rsid w:val="40BB093A"/>
    <w:rsid w:val="40BB2268"/>
    <w:rsid w:val="40BB61AC"/>
    <w:rsid w:val="40BB7697"/>
    <w:rsid w:val="40BC08F6"/>
    <w:rsid w:val="40BC4452"/>
    <w:rsid w:val="40BD02A6"/>
    <w:rsid w:val="40BD6B9A"/>
    <w:rsid w:val="40BE2DED"/>
    <w:rsid w:val="40BE641C"/>
    <w:rsid w:val="40BE7B91"/>
    <w:rsid w:val="40BF0BE9"/>
    <w:rsid w:val="40BF290A"/>
    <w:rsid w:val="40BF3346"/>
    <w:rsid w:val="40BF3F42"/>
    <w:rsid w:val="40BF7568"/>
    <w:rsid w:val="40BF787C"/>
    <w:rsid w:val="40C003E6"/>
    <w:rsid w:val="40C033FE"/>
    <w:rsid w:val="40C0585E"/>
    <w:rsid w:val="40C14999"/>
    <w:rsid w:val="40C15F0C"/>
    <w:rsid w:val="40C17CBA"/>
    <w:rsid w:val="40C25547"/>
    <w:rsid w:val="40C31C84"/>
    <w:rsid w:val="40C32277"/>
    <w:rsid w:val="40C355D0"/>
    <w:rsid w:val="40C357E1"/>
    <w:rsid w:val="40C42186"/>
    <w:rsid w:val="40C477AB"/>
    <w:rsid w:val="40C5331A"/>
    <w:rsid w:val="40C54B4F"/>
    <w:rsid w:val="40C559FD"/>
    <w:rsid w:val="40C61775"/>
    <w:rsid w:val="40C63869"/>
    <w:rsid w:val="40C7080B"/>
    <w:rsid w:val="40C81049"/>
    <w:rsid w:val="40C81215"/>
    <w:rsid w:val="40C833DC"/>
    <w:rsid w:val="40C8729B"/>
    <w:rsid w:val="40C9486C"/>
    <w:rsid w:val="40C94DC1"/>
    <w:rsid w:val="40C96B6F"/>
    <w:rsid w:val="40CA3013"/>
    <w:rsid w:val="40CA4664"/>
    <w:rsid w:val="40CB0B39"/>
    <w:rsid w:val="40CB28E7"/>
    <w:rsid w:val="40CB4B32"/>
    <w:rsid w:val="40CB6D8B"/>
    <w:rsid w:val="40CB74D4"/>
    <w:rsid w:val="40CC2EE9"/>
    <w:rsid w:val="40CC31ED"/>
    <w:rsid w:val="40CC335C"/>
    <w:rsid w:val="40CC5C49"/>
    <w:rsid w:val="40CC6992"/>
    <w:rsid w:val="40CD0507"/>
    <w:rsid w:val="40CD06B9"/>
    <w:rsid w:val="40CD665F"/>
    <w:rsid w:val="40CE3CDF"/>
    <w:rsid w:val="40CE4185"/>
    <w:rsid w:val="40CE75CC"/>
    <w:rsid w:val="40CF0079"/>
    <w:rsid w:val="40CF0629"/>
    <w:rsid w:val="40CF189E"/>
    <w:rsid w:val="40CF1B6E"/>
    <w:rsid w:val="40CF23D7"/>
    <w:rsid w:val="40CF30AF"/>
    <w:rsid w:val="40CF687B"/>
    <w:rsid w:val="40CF7597"/>
    <w:rsid w:val="40D01E95"/>
    <w:rsid w:val="40D021FB"/>
    <w:rsid w:val="40D0614F"/>
    <w:rsid w:val="40D07EFD"/>
    <w:rsid w:val="40D1225F"/>
    <w:rsid w:val="40D12517"/>
    <w:rsid w:val="40D16CC3"/>
    <w:rsid w:val="40D17204"/>
    <w:rsid w:val="40D21EC7"/>
    <w:rsid w:val="40D22BF8"/>
    <w:rsid w:val="40D2343E"/>
    <w:rsid w:val="40D23C76"/>
    <w:rsid w:val="40D2591E"/>
    <w:rsid w:val="40D304EF"/>
    <w:rsid w:val="40D30C94"/>
    <w:rsid w:val="40D317EF"/>
    <w:rsid w:val="40D352CC"/>
    <w:rsid w:val="40D4197F"/>
    <w:rsid w:val="40D41D68"/>
    <w:rsid w:val="40D43E92"/>
    <w:rsid w:val="40D45C40"/>
    <w:rsid w:val="40D479EE"/>
    <w:rsid w:val="40D50B51"/>
    <w:rsid w:val="40D519B8"/>
    <w:rsid w:val="40D5361F"/>
    <w:rsid w:val="40D55396"/>
    <w:rsid w:val="40D553C0"/>
    <w:rsid w:val="40D6429F"/>
    <w:rsid w:val="40D642A1"/>
    <w:rsid w:val="40D678BD"/>
    <w:rsid w:val="40D7128C"/>
    <w:rsid w:val="40D713A1"/>
    <w:rsid w:val="40D73171"/>
    <w:rsid w:val="40D75730"/>
    <w:rsid w:val="40D75A3B"/>
    <w:rsid w:val="40D76032"/>
    <w:rsid w:val="40D774DE"/>
    <w:rsid w:val="40D804AB"/>
    <w:rsid w:val="40D81790"/>
    <w:rsid w:val="40D82725"/>
    <w:rsid w:val="40D82ED1"/>
    <w:rsid w:val="40D836D3"/>
    <w:rsid w:val="40D87D29"/>
    <w:rsid w:val="40D914A8"/>
    <w:rsid w:val="40D94361"/>
    <w:rsid w:val="40D95004"/>
    <w:rsid w:val="40DA57F1"/>
    <w:rsid w:val="40DA6FCE"/>
    <w:rsid w:val="40DB1852"/>
    <w:rsid w:val="40DB5220"/>
    <w:rsid w:val="40DC15A1"/>
    <w:rsid w:val="40DC2329"/>
    <w:rsid w:val="40DC68A2"/>
    <w:rsid w:val="40DE086C"/>
    <w:rsid w:val="40DE0DA7"/>
    <w:rsid w:val="40DE2E12"/>
    <w:rsid w:val="40DE6ABE"/>
    <w:rsid w:val="40DE6FEB"/>
    <w:rsid w:val="40DF1663"/>
    <w:rsid w:val="40DF607B"/>
    <w:rsid w:val="40DF6A92"/>
    <w:rsid w:val="40E02836"/>
    <w:rsid w:val="40E031CB"/>
    <w:rsid w:val="40E045E4"/>
    <w:rsid w:val="40E1035D"/>
    <w:rsid w:val="40E1656B"/>
    <w:rsid w:val="40E1657E"/>
    <w:rsid w:val="40E165AE"/>
    <w:rsid w:val="40E25413"/>
    <w:rsid w:val="40E25515"/>
    <w:rsid w:val="40E33423"/>
    <w:rsid w:val="40E34D43"/>
    <w:rsid w:val="40E36C71"/>
    <w:rsid w:val="40E37C31"/>
    <w:rsid w:val="40E40D73"/>
    <w:rsid w:val="40E4396E"/>
    <w:rsid w:val="40E470BD"/>
    <w:rsid w:val="40E50EE7"/>
    <w:rsid w:val="40E51BFB"/>
    <w:rsid w:val="40E52D58"/>
    <w:rsid w:val="40E636E2"/>
    <w:rsid w:val="40E65224"/>
    <w:rsid w:val="40E65973"/>
    <w:rsid w:val="40E65CAF"/>
    <w:rsid w:val="40E66201"/>
    <w:rsid w:val="40E67721"/>
    <w:rsid w:val="40E81285"/>
    <w:rsid w:val="40E816EB"/>
    <w:rsid w:val="40E81D5D"/>
    <w:rsid w:val="40E83194"/>
    <w:rsid w:val="40E83499"/>
    <w:rsid w:val="40E85247"/>
    <w:rsid w:val="40E90629"/>
    <w:rsid w:val="40E9062E"/>
    <w:rsid w:val="40E90FBF"/>
    <w:rsid w:val="40E91F77"/>
    <w:rsid w:val="40E9211E"/>
    <w:rsid w:val="40E93684"/>
    <w:rsid w:val="40E952E6"/>
    <w:rsid w:val="40EA0A50"/>
    <w:rsid w:val="40EA2AA5"/>
    <w:rsid w:val="40EA4658"/>
    <w:rsid w:val="40EA5463"/>
    <w:rsid w:val="40EA6569"/>
    <w:rsid w:val="40EA6A21"/>
    <w:rsid w:val="40EA7211"/>
    <w:rsid w:val="40EB15FC"/>
    <w:rsid w:val="40EB4D37"/>
    <w:rsid w:val="40EB5B51"/>
    <w:rsid w:val="40EC40B9"/>
    <w:rsid w:val="40ED3404"/>
    <w:rsid w:val="40ED6414"/>
    <w:rsid w:val="40ED7016"/>
    <w:rsid w:val="40EE1992"/>
    <w:rsid w:val="40EE3408"/>
    <w:rsid w:val="40EE4818"/>
    <w:rsid w:val="40EE50F7"/>
    <w:rsid w:val="40EE65D6"/>
    <w:rsid w:val="40EF2A79"/>
    <w:rsid w:val="40EF3576"/>
    <w:rsid w:val="40EF4827"/>
    <w:rsid w:val="40EF6587"/>
    <w:rsid w:val="40EF7681"/>
    <w:rsid w:val="40EF7EDF"/>
    <w:rsid w:val="40F01CFC"/>
    <w:rsid w:val="40F05357"/>
    <w:rsid w:val="40F07A17"/>
    <w:rsid w:val="40F12CE4"/>
    <w:rsid w:val="40F167F2"/>
    <w:rsid w:val="40F17ABA"/>
    <w:rsid w:val="40F24A23"/>
    <w:rsid w:val="40F25C5F"/>
    <w:rsid w:val="40F260C6"/>
    <w:rsid w:val="40F26FCB"/>
    <w:rsid w:val="40F40090"/>
    <w:rsid w:val="40F40F69"/>
    <w:rsid w:val="40F462E2"/>
    <w:rsid w:val="40F465F9"/>
    <w:rsid w:val="40F55BB6"/>
    <w:rsid w:val="40F57964"/>
    <w:rsid w:val="40F71908"/>
    <w:rsid w:val="40F77BCC"/>
    <w:rsid w:val="40F80D7A"/>
    <w:rsid w:val="40F91B1F"/>
    <w:rsid w:val="40F9220A"/>
    <w:rsid w:val="40F92284"/>
    <w:rsid w:val="40F94489"/>
    <w:rsid w:val="40F955F3"/>
    <w:rsid w:val="40F95D14"/>
    <w:rsid w:val="40FA0784"/>
    <w:rsid w:val="40FA2316"/>
    <w:rsid w:val="40FA2607"/>
    <w:rsid w:val="40FA2DAF"/>
    <w:rsid w:val="40FA4F7A"/>
    <w:rsid w:val="40FA626B"/>
    <w:rsid w:val="40FB141E"/>
    <w:rsid w:val="40FB3C97"/>
    <w:rsid w:val="40FB3DD0"/>
    <w:rsid w:val="40FB566E"/>
    <w:rsid w:val="40FB7670"/>
    <w:rsid w:val="40FC0B8B"/>
    <w:rsid w:val="40FC0CF2"/>
    <w:rsid w:val="40FC1F60"/>
    <w:rsid w:val="40FC3D5B"/>
    <w:rsid w:val="40FC5196"/>
    <w:rsid w:val="40FC5334"/>
    <w:rsid w:val="40FC6F44"/>
    <w:rsid w:val="40FD4EC5"/>
    <w:rsid w:val="40FD6853"/>
    <w:rsid w:val="40FD7C32"/>
    <w:rsid w:val="40FE0F0E"/>
    <w:rsid w:val="40FE3386"/>
    <w:rsid w:val="40FE4A6B"/>
    <w:rsid w:val="40FE6014"/>
    <w:rsid w:val="40FE6483"/>
    <w:rsid w:val="40FF1A8E"/>
    <w:rsid w:val="4100099C"/>
    <w:rsid w:val="410020DD"/>
    <w:rsid w:val="410053F3"/>
    <w:rsid w:val="41006A35"/>
    <w:rsid w:val="41010C1D"/>
    <w:rsid w:val="410127AD"/>
    <w:rsid w:val="4101356D"/>
    <w:rsid w:val="4101619B"/>
    <w:rsid w:val="41016309"/>
    <w:rsid w:val="4102368D"/>
    <w:rsid w:val="410249FD"/>
    <w:rsid w:val="410255EC"/>
    <w:rsid w:val="41027A3B"/>
    <w:rsid w:val="41032081"/>
    <w:rsid w:val="410339BD"/>
    <w:rsid w:val="41035E8D"/>
    <w:rsid w:val="410405AC"/>
    <w:rsid w:val="41042A50"/>
    <w:rsid w:val="41044055"/>
    <w:rsid w:val="41045CB7"/>
    <w:rsid w:val="4105229D"/>
    <w:rsid w:val="41055DF9"/>
    <w:rsid w:val="4106265B"/>
    <w:rsid w:val="4106480E"/>
    <w:rsid w:val="4106547E"/>
    <w:rsid w:val="41076015"/>
    <w:rsid w:val="4108086F"/>
    <w:rsid w:val="41083B3B"/>
    <w:rsid w:val="410858E9"/>
    <w:rsid w:val="41087697"/>
    <w:rsid w:val="41090277"/>
    <w:rsid w:val="410905BE"/>
    <w:rsid w:val="41090869"/>
    <w:rsid w:val="41091CFF"/>
    <w:rsid w:val="41093909"/>
    <w:rsid w:val="410979F9"/>
    <w:rsid w:val="410A0DA0"/>
    <w:rsid w:val="410A78B3"/>
    <w:rsid w:val="410B39E6"/>
    <w:rsid w:val="410B7187"/>
    <w:rsid w:val="410B7DFC"/>
    <w:rsid w:val="410C362B"/>
    <w:rsid w:val="410C5AAF"/>
    <w:rsid w:val="410C6F3F"/>
    <w:rsid w:val="410D2F00"/>
    <w:rsid w:val="410D2F49"/>
    <w:rsid w:val="410D4CAE"/>
    <w:rsid w:val="410D73A4"/>
    <w:rsid w:val="410E04AB"/>
    <w:rsid w:val="410E402C"/>
    <w:rsid w:val="410E4A79"/>
    <w:rsid w:val="410F0266"/>
    <w:rsid w:val="410F0A26"/>
    <w:rsid w:val="410F4ECA"/>
    <w:rsid w:val="410F6C78"/>
    <w:rsid w:val="410F7001"/>
    <w:rsid w:val="41101453"/>
    <w:rsid w:val="411029F0"/>
    <w:rsid w:val="4110479E"/>
    <w:rsid w:val="411055BA"/>
    <w:rsid w:val="41105B1C"/>
    <w:rsid w:val="41106C53"/>
    <w:rsid w:val="41107BC1"/>
    <w:rsid w:val="41107DBB"/>
    <w:rsid w:val="41110C42"/>
    <w:rsid w:val="41110D7C"/>
    <w:rsid w:val="41114E07"/>
    <w:rsid w:val="41123B00"/>
    <w:rsid w:val="411249BA"/>
    <w:rsid w:val="41125964"/>
    <w:rsid w:val="41126768"/>
    <w:rsid w:val="4113044C"/>
    <w:rsid w:val="41132E9C"/>
    <w:rsid w:val="41137D3E"/>
    <w:rsid w:val="4114428E"/>
    <w:rsid w:val="4114603C"/>
    <w:rsid w:val="411468C7"/>
    <w:rsid w:val="41146E12"/>
    <w:rsid w:val="41151DB4"/>
    <w:rsid w:val="41155126"/>
    <w:rsid w:val="41160629"/>
    <w:rsid w:val="41161732"/>
    <w:rsid w:val="411623EB"/>
    <w:rsid w:val="41166258"/>
    <w:rsid w:val="41166548"/>
    <w:rsid w:val="41173D7E"/>
    <w:rsid w:val="41174DB7"/>
    <w:rsid w:val="41175B2C"/>
    <w:rsid w:val="41181516"/>
    <w:rsid w:val="41182BB4"/>
    <w:rsid w:val="41186C23"/>
    <w:rsid w:val="41190F99"/>
    <w:rsid w:val="411917F4"/>
    <w:rsid w:val="411918A4"/>
    <w:rsid w:val="411959E1"/>
    <w:rsid w:val="41195D48"/>
    <w:rsid w:val="41197AF6"/>
    <w:rsid w:val="411A01DD"/>
    <w:rsid w:val="411A1543"/>
    <w:rsid w:val="411A2E5E"/>
    <w:rsid w:val="411A36EE"/>
    <w:rsid w:val="411A71CF"/>
    <w:rsid w:val="411A73CB"/>
    <w:rsid w:val="411B1E86"/>
    <w:rsid w:val="411B55A4"/>
    <w:rsid w:val="411C0175"/>
    <w:rsid w:val="411C1395"/>
    <w:rsid w:val="411C3143"/>
    <w:rsid w:val="411C4D55"/>
    <w:rsid w:val="411C75E7"/>
    <w:rsid w:val="411D4D64"/>
    <w:rsid w:val="411D7BCE"/>
    <w:rsid w:val="411E13EE"/>
    <w:rsid w:val="411E335F"/>
    <w:rsid w:val="411E35A9"/>
    <w:rsid w:val="411E510D"/>
    <w:rsid w:val="411E5666"/>
    <w:rsid w:val="411E689B"/>
    <w:rsid w:val="411E6EBB"/>
    <w:rsid w:val="411F6AF6"/>
    <w:rsid w:val="411F713B"/>
    <w:rsid w:val="411F7DD9"/>
    <w:rsid w:val="41200E85"/>
    <w:rsid w:val="41201408"/>
    <w:rsid w:val="41202C33"/>
    <w:rsid w:val="41204DAD"/>
    <w:rsid w:val="4120529E"/>
    <w:rsid w:val="412053B5"/>
    <w:rsid w:val="41206B0B"/>
    <w:rsid w:val="412070D7"/>
    <w:rsid w:val="41210759"/>
    <w:rsid w:val="41214BFD"/>
    <w:rsid w:val="41214E90"/>
    <w:rsid w:val="412169AB"/>
    <w:rsid w:val="41220941"/>
    <w:rsid w:val="41226D0B"/>
    <w:rsid w:val="41230975"/>
    <w:rsid w:val="41230AE5"/>
    <w:rsid w:val="41232D78"/>
    <w:rsid w:val="41233D36"/>
    <w:rsid w:val="412344D1"/>
    <w:rsid w:val="41235477"/>
    <w:rsid w:val="41236528"/>
    <w:rsid w:val="4124010F"/>
    <w:rsid w:val="4124336F"/>
    <w:rsid w:val="41250739"/>
    <w:rsid w:val="412546ED"/>
    <w:rsid w:val="41255DE0"/>
    <w:rsid w:val="4125649B"/>
    <w:rsid w:val="41256F75"/>
    <w:rsid w:val="41260497"/>
    <w:rsid w:val="41261227"/>
    <w:rsid w:val="412626B7"/>
    <w:rsid w:val="41265D6F"/>
    <w:rsid w:val="41272213"/>
    <w:rsid w:val="41273360"/>
    <w:rsid w:val="412775BC"/>
    <w:rsid w:val="41287B9B"/>
    <w:rsid w:val="41287D39"/>
    <w:rsid w:val="41290E41"/>
    <w:rsid w:val="41291581"/>
    <w:rsid w:val="41292BE0"/>
    <w:rsid w:val="4129651D"/>
    <w:rsid w:val="412A3AB2"/>
    <w:rsid w:val="412A3C09"/>
    <w:rsid w:val="412A5860"/>
    <w:rsid w:val="412B24C8"/>
    <w:rsid w:val="412B5099"/>
    <w:rsid w:val="412B74C3"/>
    <w:rsid w:val="412C3DFF"/>
    <w:rsid w:val="412C4E6B"/>
    <w:rsid w:val="412C6C96"/>
    <w:rsid w:val="412C782A"/>
    <w:rsid w:val="412D06F1"/>
    <w:rsid w:val="412D17EF"/>
    <w:rsid w:val="412D5350"/>
    <w:rsid w:val="412D70FE"/>
    <w:rsid w:val="412D79B9"/>
    <w:rsid w:val="412E1041"/>
    <w:rsid w:val="412E258A"/>
    <w:rsid w:val="412E369F"/>
    <w:rsid w:val="412E4859"/>
    <w:rsid w:val="412E4C7F"/>
    <w:rsid w:val="412F10C8"/>
    <w:rsid w:val="412F2FF6"/>
    <w:rsid w:val="412F3029"/>
    <w:rsid w:val="412F55DB"/>
    <w:rsid w:val="412F7A54"/>
    <w:rsid w:val="41300B97"/>
    <w:rsid w:val="41301ECD"/>
    <w:rsid w:val="41306BEE"/>
    <w:rsid w:val="41307A7B"/>
    <w:rsid w:val="41310F0B"/>
    <w:rsid w:val="41311700"/>
    <w:rsid w:val="41313092"/>
    <w:rsid w:val="41314E40"/>
    <w:rsid w:val="41320308"/>
    <w:rsid w:val="4132239B"/>
    <w:rsid w:val="41322827"/>
    <w:rsid w:val="41322966"/>
    <w:rsid w:val="41326E0A"/>
    <w:rsid w:val="41330DE9"/>
    <w:rsid w:val="41331144"/>
    <w:rsid w:val="41335A72"/>
    <w:rsid w:val="4134048C"/>
    <w:rsid w:val="41344372"/>
    <w:rsid w:val="41344CBB"/>
    <w:rsid w:val="413451B5"/>
    <w:rsid w:val="4134614B"/>
    <w:rsid w:val="41347383"/>
    <w:rsid w:val="4134747D"/>
    <w:rsid w:val="41350C19"/>
    <w:rsid w:val="41351500"/>
    <w:rsid w:val="41356554"/>
    <w:rsid w:val="413606A8"/>
    <w:rsid w:val="41366161"/>
    <w:rsid w:val="413724C2"/>
    <w:rsid w:val="41373522"/>
    <w:rsid w:val="4137363C"/>
    <w:rsid w:val="41373707"/>
    <w:rsid w:val="4137529E"/>
    <w:rsid w:val="4137558E"/>
    <w:rsid w:val="413761CE"/>
    <w:rsid w:val="41377F7D"/>
    <w:rsid w:val="41386AF7"/>
    <w:rsid w:val="41386CE3"/>
    <w:rsid w:val="41391F47"/>
    <w:rsid w:val="413938A1"/>
    <w:rsid w:val="413942E4"/>
    <w:rsid w:val="4139520E"/>
    <w:rsid w:val="413955EC"/>
    <w:rsid w:val="4139769D"/>
    <w:rsid w:val="413A0D77"/>
    <w:rsid w:val="413A0EB0"/>
    <w:rsid w:val="413B1762"/>
    <w:rsid w:val="413B4B8E"/>
    <w:rsid w:val="413B5CBF"/>
    <w:rsid w:val="413B7A6D"/>
    <w:rsid w:val="413C029C"/>
    <w:rsid w:val="413C37E5"/>
    <w:rsid w:val="413C5593"/>
    <w:rsid w:val="413D1A37"/>
    <w:rsid w:val="413E130B"/>
    <w:rsid w:val="413F299B"/>
    <w:rsid w:val="413F5D7E"/>
    <w:rsid w:val="41401527"/>
    <w:rsid w:val="41402BB1"/>
    <w:rsid w:val="414032D5"/>
    <w:rsid w:val="4140470D"/>
    <w:rsid w:val="41410A00"/>
    <w:rsid w:val="41412BA9"/>
    <w:rsid w:val="41414D4F"/>
    <w:rsid w:val="414172BF"/>
    <w:rsid w:val="4142074F"/>
    <w:rsid w:val="41421702"/>
    <w:rsid w:val="41423DF9"/>
    <w:rsid w:val="41434B73"/>
    <w:rsid w:val="41436921"/>
    <w:rsid w:val="41440C31"/>
    <w:rsid w:val="41441021"/>
    <w:rsid w:val="41447381"/>
    <w:rsid w:val="414526E5"/>
    <w:rsid w:val="414538EA"/>
    <w:rsid w:val="414563EB"/>
    <w:rsid w:val="41461CA1"/>
    <w:rsid w:val="4146427B"/>
    <w:rsid w:val="41465F46"/>
    <w:rsid w:val="41466BE5"/>
    <w:rsid w:val="41473A50"/>
    <w:rsid w:val="41474664"/>
    <w:rsid w:val="4148218A"/>
    <w:rsid w:val="41484800"/>
    <w:rsid w:val="41485D02"/>
    <w:rsid w:val="41491295"/>
    <w:rsid w:val="4149648B"/>
    <w:rsid w:val="414A4154"/>
    <w:rsid w:val="414A5A5F"/>
    <w:rsid w:val="414A5F02"/>
    <w:rsid w:val="414B0BCD"/>
    <w:rsid w:val="414B5B51"/>
    <w:rsid w:val="414C1C7A"/>
    <w:rsid w:val="414C32C6"/>
    <w:rsid w:val="414C43D2"/>
    <w:rsid w:val="414D154E"/>
    <w:rsid w:val="414D208D"/>
    <w:rsid w:val="414D3354"/>
    <w:rsid w:val="414D369B"/>
    <w:rsid w:val="414D59F2"/>
    <w:rsid w:val="414F3004"/>
    <w:rsid w:val="414F3518"/>
    <w:rsid w:val="414F52C6"/>
    <w:rsid w:val="415015B9"/>
    <w:rsid w:val="41505341"/>
    <w:rsid w:val="41507D35"/>
    <w:rsid w:val="41514029"/>
    <w:rsid w:val="415143B0"/>
    <w:rsid w:val="415146BE"/>
    <w:rsid w:val="41517D2D"/>
    <w:rsid w:val="41524DB6"/>
    <w:rsid w:val="41526B64"/>
    <w:rsid w:val="41534169"/>
    <w:rsid w:val="41534CC5"/>
    <w:rsid w:val="41540B2E"/>
    <w:rsid w:val="415428DD"/>
    <w:rsid w:val="4154466B"/>
    <w:rsid w:val="4154621B"/>
    <w:rsid w:val="41546D80"/>
    <w:rsid w:val="41547C7E"/>
    <w:rsid w:val="41553572"/>
    <w:rsid w:val="41553F7A"/>
    <w:rsid w:val="41556C22"/>
    <w:rsid w:val="4156086C"/>
    <w:rsid w:val="41562CE5"/>
    <w:rsid w:val="415648A7"/>
    <w:rsid w:val="41566655"/>
    <w:rsid w:val="41567547"/>
    <w:rsid w:val="415723CD"/>
    <w:rsid w:val="415775D8"/>
    <w:rsid w:val="415812E3"/>
    <w:rsid w:val="41582E49"/>
    <w:rsid w:val="415835B4"/>
    <w:rsid w:val="415838D3"/>
    <w:rsid w:val="41583ECA"/>
    <w:rsid w:val="415840B6"/>
    <w:rsid w:val="41586871"/>
    <w:rsid w:val="4159020A"/>
    <w:rsid w:val="41592C89"/>
    <w:rsid w:val="41594397"/>
    <w:rsid w:val="41595546"/>
    <w:rsid w:val="415A13AB"/>
    <w:rsid w:val="415A322D"/>
    <w:rsid w:val="415A6787"/>
    <w:rsid w:val="415B010F"/>
    <w:rsid w:val="415B3C6B"/>
    <w:rsid w:val="415B61C8"/>
    <w:rsid w:val="415C3EC7"/>
    <w:rsid w:val="415C79E3"/>
    <w:rsid w:val="415D3E87"/>
    <w:rsid w:val="415D5458"/>
    <w:rsid w:val="415D5C35"/>
    <w:rsid w:val="415E375B"/>
    <w:rsid w:val="415E6EB8"/>
    <w:rsid w:val="415E7BFF"/>
    <w:rsid w:val="415E7F28"/>
    <w:rsid w:val="41601281"/>
    <w:rsid w:val="41602848"/>
    <w:rsid w:val="41605419"/>
    <w:rsid w:val="41605725"/>
    <w:rsid w:val="41612E65"/>
    <w:rsid w:val="41613CD8"/>
    <w:rsid w:val="41614658"/>
    <w:rsid w:val="41614F75"/>
    <w:rsid w:val="4162324B"/>
    <w:rsid w:val="41627D39"/>
    <w:rsid w:val="41630D72"/>
    <w:rsid w:val="416311C9"/>
    <w:rsid w:val="41634054"/>
    <w:rsid w:val="41644B6B"/>
    <w:rsid w:val="41650077"/>
    <w:rsid w:val="41650F8E"/>
    <w:rsid w:val="41652D3C"/>
    <w:rsid w:val="41652E22"/>
    <w:rsid w:val="41654050"/>
    <w:rsid w:val="416549D1"/>
    <w:rsid w:val="416550EE"/>
    <w:rsid w:val="41656C54"/>
    <w:rsid w:val="41667E4C"/>
    <w:rsid w:val="41670862"/>
    <w:rsid w:val="41670FDA"/>
    <w:rsid w:val="41672713"/>
    <w:rsid w:val="416751FF"/>
    <w:rsid w:val="41676AB4"/>
    <w:rsid w:val="41676BED"/>
    <w:rsid w:val="416803D8"/>
    <w:rsid w:val="41683878"/>
    <w:rsid w:val="416845DA"/>
    <w:rsid w:val="41686388"/>
    <w:rsid w:val="41691C89"/>
    <w:rsid w:val="416925B4"/>
    <w:rsid w:val="41694BB4"/>
    <w:rsid w:val="41696778"/>
    <w:rsid w:val="416A0352"/>
    <w:rsid w:val="416A0A4E"/>
    <w:rsid w:val="416A109C"/>
    <w:rsid w:val="416A136D"/>
    <w:rsid w:val="416A2100"/>
    <w:rsid w:val="416A62BF"/>
    <w:rsid w:val="416A65A4"/>
    <w:rsid w:val="416B0F81"/>
    <w:rsid w:val="416B1775"/>
    <w:rsid w:val="416B252C"/>
    <w:rsid w:val="416B488B"/>
    <w:rsid w:val="416B51B7"/>
    <w:rsid w:val="416B5F49"/>
    <w:rsid w:val="416B7484"/>
    <w:rsid w:val="416B7C26"/>
    <w:rsid w:val="416C40CA"/>
    <w:rsid w:val="416C5720"/>
    <w:rsid w:val="416D399E"/>
    <w:rsid w:val="416D658D"/>
    <w:rsid w:val="416E6A25"/>
    <w:rsid w:val="416F0EAD"/>
    <w:rsid w:val="416F5968"/>
    <w:rsid w:val="416F7716"/>
    <w:rsid w:val="41702806"/>
    <w:rsid w:val="41704F0E"/>
    <w:rsid w:val="417069A3"/>
    <w:rsid w:val="417073F5"/>
    <w:rsid w:val="41711EF6"/>
    <w:rsid w:val="417129EE"/>
    <w:rsid w:val="4171348E"/>
    <w:rsid w:val="4171762C"/>
    <w:rsid w:val="41720FB5"/>
    <w:rsid w:val="417213AE"/>
    <w:rsid w:val="417221DA"/>
    <w:rsid w:val="41727207"/>
    <w:rsid w:val="4172782E"/>
    <w:rsid w:val="417411D1"/>
    <w:rsid w:val="417414DF"/>
    <w:rsid w:val="417420F6"/>
    <w:rsid w:val="41742F7F"/>
    <w:rsid w:val="41743B29"/>
    <w:rsid w:val="41746F74"/>
    <w:rsid w:val="41747406"/>
    <w:rsid w:val="41756902"/>
    <w:rsid w:val="41756AF9"/>
    <w:rsid w:val="41760AA5"/>
    <w:rsid w:val="41763EB4"/>
    <w:rsid w:val="41764F49"/>
    <w:rsid w:val="41765DA5"/>
    <w:rsid w:val="41766CF7"/>
    <w:rsid w:val="41772BF2"/>
    <w:rsid w:val="4177481D"/>
    <w:rsid w:val="41775EF1"/>
    <w:rsid w:val="41780CC1"/>
    <w:rsid w:val="41782A6F"/>
    <w:rsid w:val="41786443"/>
    <w:rsid w:val="41792343"/>
    <w:rsid w:val="417967E7"/>
    <w:rsid w:val="41797C87"/>
    <w:rsid w:val="417A0440"/>
    <w:rsid w:val="417A6018"/>
    <w:rsid w:val="417B0A96"/>
    <w:rsid w:val="417B2918"/>
    <w:rsid w:val="417B430D"/>
    <w:rsid w:val="417B5E3F"/>
    <w:rsid w:val="417B60BB"/>
    <w:rsid w:val="417C08E0"/>
    <w:rsid w:val="417C108D"/>
    <w:rsid w:val="417C5389"/>
    <w:rsid w:val="417C6D9C"/>
    <w:rsid w:val="417C720B"/>
    <w:rsid w:val="417D0085"/>
    <w:rsid w:val="417D1F14"/>
    <w:rsid w:val="417D2EE9"/>
    <w:rsid w:val="417E0350"/>
    <w:rsid w:val="417E0676"/>
    <w:rsid w:val="417E0D46"/>
    <w:rsid w:val="417E204F"/>
    <w:rsid w:val="417E3DFD"/>
    <w:rsid w:val="417E40F4"/>
    <w:rsid w:val="417E5BAB"/>
    <w:rsid w:val="417E776C"/>
    <w:rsid w:val="417E7BE7"/>
    <w:rsid w:val="417F306E"/>
    <w:rsid w:val="417F3366"/>
    <w:rsid w:val="417F70A0"/>
    <w:rsid w:val="41802004"/>
    <w:rsid w:val="418036D2"/>
    <w:rsid w:val="41807753"/>
    <w:rsid w:val="41807B75"/>
    <w:rsid w:val="41810971"/>
    <w:rsid w:val="418140A7"/>
    <w:rsid w:val="41814752"/>
    <w:rsid w:val="418155DC"/>
    <w:rsid w:val="41815E93"/>
    <w:rsid w:val="418238EE"/>
    <w:rsid w:val="418249C0"/>
    <w:rsid w:val="4182569C"/>
    <w:rsid w:val="41827323"/>
    <w:rsid w:val="4182744A"/>
    <w:rsid w:val="418307B3"/>
    <w:rsid w:val="41830F2E"/>
    <w:rsid w:val="41831414"/>
    <w:rsid w:val="41831F2E"/>
    <w:rsid w:val="418331C2"/>
    <w:rsid w:val="41834B46"/>
    <w:rsid w:val="41841C43"/>
    <w:rsid w:val="418420DC"/>
    <w:rsid w:val="4184399F"/>
    <w:rsid w:val="41850CE8"/>
    <w:rsid w:val="41852DBE"/>
    <w:rsid w:val="41854814"/>
    <w:rsid w:val="4185518C"/>
    <w:rsid w:val="41856F3A"/>
    <w:rsid w:val="41862C24"/>
    <w:rsid w:val="41864563"/>
    <w:rsid w:val="418658E9"/>
    <w:rsid w:val="41866131"/>
    <w:rsid w:val="41866449"/>
    <w:rsid w:val="41866A28"/>
    <w:rsid w:val="41867134"/>
    <w:rsid w:val="418705C4"/>
    <w:rsid w:val="41873DBF"/>
    <w:rsid w:val="41874A60"/>
    <w:rsid w:val="4187695C"/>
    <w:rsid w:val="41877150"/>
    <w:rsid w:val="41883195"/>
    <w:rsid w:val="418832BA"/>
    <w:rsid w:val="41886A2A"/>
    <w:rsid w:val="41890258"/>
    <w:rsid w:val="41892EE4"/>
    <w:rsid w:val="41892FDE"/>
    <w:rsid w:val="41894C7C"/>
    <w:rsid w:val="418A09F4"/>
    <w:rsid w:val="418A27A2"/>
    <w:rsid w:val="418A4550"/>
    <w:rsid w:val="418A5AB5"/>
    <w:rsid w:val="418A6FF6"/>
    <w:rsid w:val="418A797B"/>
    <w:rsid w:val="418B0FD6"/>
    <w:rsid w:val="418B66F4"/>
    <w:rsid w:val="418B6F45"/>
    <w:rsid w:val="418C02C8"/>
    <w:rsid w:val="418C2076"/>
    <w:rsid w:val="418C5685"/>
    <w:rsid w:val="418C5E02"/>
    <w:rsid w:val="418C651A"/>
    <w:rsid w:val="418C6615"/>
    <w:rsid w:val="418D4040"/>
    <w:rsid w:val="418E091F"/>
    <w:rsid w:val="418F0497"/>
    <w:rsid w:val="418F1B67"/>
    <w:rsid w:val="418F600A"/>
    <w:rsid w:val="418F7D7F"/>
    <w:rsid w:val="41900131"/>
    <w:rsid w:val="41902DB7"/>
    <w:rsid w:val="419046CA"/>
    <w:rsid w:val="41910985"/>
    <w:rsid w:val="41911D83"/>
    <w:rsid w:val="419158DF"/>
    <w:rsid w:val="4191768D"/>
    <w:rsid w:val="41921545"/>
    <w:rsid w:val="41923405"/>
    <w:rsid w:val="41923A15"/>
    <w:rsid w:val="41932B94"/>
    <w:rsid w:val="41933C1F"/>
    <w:rsid w:val="41935FB4"/>
    <w:rsid w:val="41941A91"/>
    <w:rsid w:val="41943621"/>
    <w:rsid w:val="4194717D"/>
    <w:rsid w:val="41951C42"/>
    <w:rsid w:val="41953C4C"/>
    <w:rsid w:val="41955799"/>
    <w:rsid w:val="41961147"/>
    <w:rsid w:val="41964058"/>
    <w:rsid w:val="41967399"/>
    <w:rsid w:val="419754E8"/>
    <w:rsid w:val="41981549"/>
    <w:rsid w:val="41984EBF"/>
    <w:rsid w:val="41986C6D"/>
    <w:rsid w:val="41987257"/>
    <w:rsid w:val="419929E5"/>
    <w:rsid w:val="41994793"/>
    <w:rsid w:val="419A2BF3"/>
    <w:rsid w:val="419A5EC4"/>
    <w:rsid w:val="419A6449"/>
    <w:rsid w:val="419B050B"/>
    <w:rsid w:val="419B2A22"/>
    <w:rsid w:val="419B49AF"/>
    <w:rsid w:val="419B675D"/>
    <w:rsid w:val="419B6885"/>
    <w:rsid w:val="419B71CE"/>
    <w:rsid w:val="419C135A"/>
    <w:rsid w:val="419C492D"/>
    <w:rsid w:val="419C63F8"/>
    <w:rsid w:val="419D0246"/>
    <w:rsid w:val="419D24D5"/>
    <w:rsid w:val="419D4ED4"/>
    <w:rsid w:val="419F0228"/>
    <w:rsid w:val="419F6176"/>
    <w:rsid w:val="419F684B"/>
    <w:rsid w:val="41A01FC6"/>
    <w:rsid w:val="41A05B22"/>
    <w:rsid w:val="41A1116B"/>
    <w:rsid w:val="41A2189A"/>
    <w:rsid w:val="41A2328C"/>
    <w:rsid w:val="41A272ED"/>
    <w:rsid w:val="41A27AEC"/>
    <w:rsid w:val="41A3297C"/>
    <w:rsid w:val="41A33B98"/>
    <w:rsid w:val="41A34E21"/>
    <w:rsid w:val="41A35612"/>
    <w:rsid w:val="41A37D9D"/>
    <w:rsid w:val="41A40239"/>
    <w:rsid w:val="41A40D64"/>
    <w:rsid w:val="41A4122D"/>
    <w:rsid w:val="41A41AB6"/>
    <w:rsid w:val="41A43864"/>
    <w:rsid w:val="41A43AA9"/>
    <w:rsid w:val="41A5138A"/>
    <w:rsid w:val="41A51612"/>
    <w:rsid w:val="41A5233F"/>
    <w:rsid w:val="41A53138"/>
    <w:rsid w:val="41A62544"/>
    <w:rsid w:val="41A6671D"/>
    <w:rsid w:val="41A729E4"/>
    <w:rsid w:val="41A73799"/>
    <w:rsid w:val="41A766FE"/>
    <w:rsid w:val="41A76EB0"/>
    <w:rsid w:val="41A8103D"/>
    <w:rsid w:val="41A82C28"/>
    <w:rsid w:val="41A83AEB"/>
    <w:rsid w:val="41A855A4"/>
    <w:rsid w:val="41A904C2"/>
    <w:rsid w:val="41A920F1"/>
    <w:rsid w:val="41A970CC"/>
    <w:rsid w:val="41A97EC4"/>
    <w:rsid w:val="41AA233E"/>
    <w:rsid w:val="41AA2E44"/>
    <w:rsid w:val="41AA5E15"/>
    <w:rsid w:val="41AA69A0"/>
    <w:rsid w:val="41AB6DF1"/>
    <w:rsid w:val="41AB79BE"/>
    <w:rsid w:val="41AC096A"/>
    <w:rsid w:val="41AC2FD6"/>
    <w:rsid w:val="41AC3413"/>
    <w:rsid w:val="41AC53A5"/>
    <w:rsid w:val="41AD023F"/>
    <w:rsid w:val="41AD0897"/>
    <w:rsid w:val="41AD3B1A"/>
    <w:rsid w:val="41AD6AA0"/>
    <w:rsid w:val="41AE19B5"/>
    <w:rsid w:val="41AE4EAF"/>
    <w:rsid w:val="41AE6491"/>
    <w:rsid w:val="41AF045B"/>
    <w:rsid w:val="41AF1197"/>
    <w:rsid w:val="41AF25FD"/>
    <w:rsid w:val="41AF3FB7"/>
    <w:rsid w:val="41AF4CFE"/>
    <w:rsid w:val="41B015F1"/>
    <w:rsid w:val="41B1035D"/>
    <w:rsid w:val="41B11ADD"/>
    <w:rsid w:val="41B15F81"/>
    <w:rsid w:val="41B1645F"/>
    <w:rsid w:val="41B17D2F"/>
    <w:rsid w:val="41B21EDE"/>
    <w:rsid w:val="41B22235"/>
    <w:rsid w:val="41B2255D"/>
    <w:rsid w:val="41B234DD"/>
    <w:rsid w:val="41B262C7"/>
    <w:rsid w:val="41B31CF9"/>
    <w:rsid w:val="41B33AA7"/>
    <w:rsid w:val="41B36482"/>
    <w:rsid w:val="41B371EE"/>
    <w:rsid w:val="41B40351"/>
    <w:rsid w:val="41B40B09"/>
    <w:rsid w:val="41B415CD"/>
    <w:rsid w:val="41B45A71"/>
    <w:rsid w:val="41B4709F"/>
    <w:rsid w:val="41B4781F"/>
    <w:rsid w:val="41B503F1"/>
    <w:rsid w:val="41B50466"/>
    <w:rsid w:val="41B57924"/>
    <w:rsid w:val="41B63B6B"/>
    <w:rsid w:val="41B6575B"/>
    <w:rsid w:val="41B65954"/>
    <w:rsid w:val="41B75EDF"/>
    <w:rsid w:val="41B80B32"/>
    <w:rsid w:val="41B80C81"/>
    <w:rsid w:val="41B810BD"/>
    <w:rsid w:val="41B810F2"/>
    <w:rsid w:val="41B82E6B"/>
    <w:rsid w:val="41B83F4A"/>
    <w:rsid w:val="41B8730F"/>
    <w:rsid w:val="41B873F1"/>
    <w:rsid w:val="41B94E35"/>
    <w:rsid w:val="41B967CC"/>
    <w:rsid w:val="41BA1496"/>
    <w:rsid w:val="41BA1F18"/>
    <w:rsid w:val="41BA22E4"/>
    <w:rsid w:val="41BA2405"/>
    <w:rsid w:val="41BA3087"/>
    <w:rsid w:val="41BA427C"/>
    <w:rsid w:val="41BA7924"/>
    <w:rsid w:val="41BB0BAE"/>
    <w:rsid w:val="41BB295C"/>
    <w:rsid w:val="41BB48E2"/>
    <w:rsid w:val="41BB6AF9"/>
    <w:rsid w:val="41BB7217"/>
    <w:rsid w:val="41BB74B3"/>
    <w:rsid w:val="41BD0482"/>
    <w:rsid w:val="41BD2B78"/>
    <w:rsid w:val="41BD4926"/>
    <w:rsid w:val="41BD66D4"/>
    <w:rsid w:val="41BF069E"/>
    <w:rsid w:val="41BF2A80"/>
    <w:rsid w:val="41BF5686"/>
    <w:rsid w:val="41BF7FFA"/>
    <w:rsid w:val="41C0228F"/>
    <w:rsid w:val="41C03C6A"/>
    <w:rsid w:val="41C04416"/>
    <w:rsid w:val="41C05B83"/>
    <w:rsid w:val="41C061C4"/>
    <w:rsid w:val="41C07F72"/>
    <w:rsid w:val="41C13F18"/>
    <w:rsid w:val="41C1613E"/>
    <w:rsid w:val="41C21F3C"/>
    <w:rsid w:val="41C22E46"/>
    <w:rsid w:val="41C23CEA"/>
    <w:rsid w:val="41C247B5"/>
    <w:rsid w:val="41C25C24"/>
    <w:rsid w:val="41C31810"/>
    <w:rsid w:val="41C51A2C"/>
    <w:rsid w:val="41C53136"/>
    <w:rsid w:val="41C537DA"/>
    <w:rsid w:val="41C55588"/>
    <w:rsid w:val="41C619F5"/>
    <w:rsid w:val="41C61A17"/>
    <w:rsid w:val="41C645C6"/>
    <w:rsid w:val="41C70C4C"/>
    <w:rsid w:val="41C71300"/>
    <w:rsid w:val="41C7316A"/>
    <w:rsid w:val="41C757A4"/>
    <w:rsid w:val="41C75E79"/>
    <w:rsid w:val="41C77552"/>
    <w:rsid w:val="41C84ABF"/>
    <w:rsid w:val="41C928B9"/>
    <w:rsid w:val="41C932CA"/>
    <w:rsid w:val="41C95079"/>
    <w:rsid w:val="41CA0DF1"/>
    <w:rsid w:val="41CA2F47"/>
    <w:rsid w:val="41CA31D7"/>
    <w:rsid w:val="41CA4AFD"/>
    <w:rsid w:val="41CA4BBE"/>
    <w:rsid w:val="41CA7043"/>
    <w:rsid w:val="41CB4006"/>
    <w:rsid w:val="41CB43D7"/>
    <w:rsid w:val="41CB6E86"/>
    <w:rsid w:val="41CC0438"/>
    <w:rsid w:val="41CC2DBB"/>
    <w:rsid w:val="41CC4B69"/>
    <w:rsid w:val="41CC4C4D"/>
    <w:rsid w:val="41CD18C8"/>
    <w:rsid w:val="41CD4433"/>
    <w:rsid w:val="41CD5F46"/>
    <w:rsid w:val="41CD6CF7"/>
    <w:rsid w:val="41CE1D85"/>
    <w:rsid w:val="41CE268F"/>
    <w:rsid w:val="41CE2D58"/>
    <w:rsid w:val="41CE4490"/>
    <w:rsid w:val="41CE50EA"/>
    <w:rsid w:val="41CE6B33"/>
    <w:rsid w:val="41CF2062"/>
    <w:rsid w:val="41CF248B"/>
    <w:rsid w:val="41CF49D6"/>
    <w:rsid w:val="41CF6407"/>
    <w:rsid w:val="41D012B9"/>
    <w:rsid w:val="41D028AB"/>
    <w:rsid w:val="41D05678"/>
    <w:rsid w:val="41D06DB9"/>
    <w:rsid w:val="41D103D1"/>
    <w:rsid w:val="41D1174A"/>
    <w:rsid w:val="41D1346C"/>
    <w:rsid w:val="41D13F2D"/>
    <w:rsid w:val="41D15E43"/>
    <w:rsid w:val="41D16B08"/>
    <w:rsid w:val="41D21581"/>
    <w:rsid w:val="41D25DD3"/>
    <w:rsid w:val="41D31EAF"/>
    <w:rsid w:val="41D324B8"/>
    <w:rsid w:val="41D33FF9"/>
    <w:rsid w:val="41D3573A"/>
    <w:rsid w:val="41D35EF7"/>
    <w:rsid w:val="41D37CA5"/>
    <w:rsid w:val="41D44F29"/>
    <w:rsid w:val="41D45EFD"/>
    <w:rsid w:val="41D473A2"/>
    <w:rsid w:val="41D55322"/>
    <w:rsid w:val="41D569EA"/>
    <w:rsid w:val="41D57EC1"/>
    <w:rsid w:val="41D60CDA"/>
    <w:rsid w:val="41D614EA"/>
    <w:rsid w:val="41D6290D"/>
    <w:rsid w:val="41D63C39"/>
    <w:rsid w:val="41D659E7"/>
    <w:rsid w:val="41D66AFC"/>
    <w:rsid w:val="41D67795"/>
    <w:rsid w:val="41D67F90"/>
    <w:rsid w:val="41D728AB"/>
    <w:rsid w:val="41D7307D"/>
    <w:rsid w:val="41D735B6"/>
    <w:rsid w:val="41D7554B"/>
    <w:rsid w:val="41D81760"/>
    <w:rsid w:val="41D8263C"/>
    <w:rsid w:val="41D83B53"/>
    <w:rsid w:val="41D83E0A"/>
    <w:rsid w:val="41D86D7F"/>
    <w:rsid w:val="41D963B0"/>
    <w:rsid w:val="41D978EA"/>
    <w:rsid w:val="41DA3C27"/>
    <w:rsid w:val="41DA6975"/>
    <w:rsid w:val="41DA7286"/>
    <w:rsid w:val="41DB1250"/>
    <w:rsid w:val="41DB4805"/>
    <w:rsid w:val="41DB55BA"/>
    <w:rsid w:val="41DB6A6F"/>
    <w:rsid w:val="41DB70C6"/>
    <w:rsid w:val="41DC22BD"/>
    <w:rsid w:val="41DC6334"/>
    <w:rsid w:val="41DC67EC"/>
    <w:rsid w:val="41DD0B24"/>
    <w:rsid w:val="41DD28D2"/>
    <w:rsid w:val="41DD6D76"/>
    <w:rsid w:val="41DE0CDB"/>
    <w:rsid w:val="41DE4D1B"/>
    <w:rsid w:val="41DE4E48"/>
    <w:rsid w:val="41DF0085"/>
    <w:rsid w:val="41DF2AEE"/>
    <w:rsid w:val="41DF7D30"/>
    <w:rsid w:val="41E00614"/>
    <w:rsid w:val="41E023C2"/>
    <w:rsid w:val="41E111CE"/>
    <w:rsid w:val="41E114ED"/>
    <w:rsid w:val="41E12FA2"/>
    <w:rsid w:val="41E165FD"/>
    <w:rsid w:val="41E17D4C"/>
    <w:rsid w:val="41E20B0A"/>
    <w:rsid w:val="41E211DD"/>
    <w:rsid w:val="41E225DE"/>
    <w:rsid w:val="41E23DF0"/>
    <w:rsid w:val="41E2438C"/>
    <w:rsid w:val="41E2613A"/>
    <w:rsid w:val="41E265B3"/>
    <w:rsid w:val="41E369F0"/>
    <w:rsid w:val="41E4471D"/>
    <w:rsid w:val="41E450AD"/>
    <w:rsid w:val="41E53E7C"/>
    <w:rsid w:val="41E55C2A"/>
    <w:rsid w:val="41E5640E"/>
    <w:rsid w:val="41E579D9"/>
    <w:rsid w:val="41E62C76"/>
    <w:rsid w:val="41E65415"/>
    <w:rsid w:val="41E6745C"/>
    <w:rsid w:val="41E67FBF"/>
    <w:rsid w:val="41E70617"/>
    <w:rsid w:val="41E71CC3"/>
    <w:rsid w:val="41E743E3"/>
    <w:rsid w:val="41E74495"/>
    <w:rsid w:val="41E746D5"/>
    <w:rsid w:val="41E748AD"/>
    <w:rsid w:val="41E77BF5"/>
    <w:rsid w:val="41E81277"/>
    <w:rsid w:val="41E92AAA"/>
    <w:rsid w:val="41E9396D"/>
    <w:rsid w:val="41E9477C"/>
    <w:rsid w:val="41EA1493"/>
    <w:rsid w:val="41EA4FEF"/>
    <w:rsid w:val="41EB4E51"/>
    <w:rsid w:val="41EB7A5D"/>
    <w:rsid w:val="41EC0D67"/>
    <w:rsid w:val="41EC320C"/>
    <w:rsid w:val="41EC520B"/>
    <w:rsid w:val="41EC5C76"/>
    <w:rsid w:val="41EC6FB9"/>
    <w:rsid w:val="41ED0193"/>
    <w:rsid w:val="41EE2D31"/>
    <w:rsid w:val="41EE4ADF"/>
    <w:rsid w:val="41EE5C9F"/>
    <w:rsid w:val="41EE6277"/>
    <w:rsid w:val="41EF2605"/>
    <w:rsid w:val="41EF7511"/>
    <w:rsid w:val="41F00BB2"/>
    <w:rsid w:val="41F06AA9"/>
    <w:rsid w:val="41F12821"/>
    <w:rsid w:val="41F12A49"/>
    <w:rsid w:val="41F15EC5"/>
    <w:rsid w:val="41F21D83"/>
    <w:rsid w:val="41F30347"/>
    <w:rsid w:val="41F320F5"/>
    <w:rsid w:val="41F32730"/>
    <w:rsid w:val="41F35C3D"/>
    <w:rsid w:val="41F36599"/>
    <w:rsid w:val="41F51012"/>
    <w:rsid w:val="41F52311"/>
    <w:rsid w:val="41F53D55"/>
    <w:rsid w:val="41F63994"/>
    <w:rsid w:val="41F67393"/>
    <w:rsid w:val="41F67E38"/>
    <w:rsid w:val="41F70BB4"/>
    <w:rsid w:val="41F71F64"/>
    <w:rsid w:val="41F72CD4"/>
    <w:rsid w:val="41F744F5"/>
    <w:rsid w:val="41F75931"/>
    <w:rsid w:val="41F7722B"/>
    <w:rsid w:val="41F83BB0"/>
    <w:rsid w:val="41F84884"/>
    <w:rsid w:val="41F8770C"/>
    <w:rsid w:val="41F9330A"/>
    <w:rsid w:val="41F93484"/>
    <w:rsid w:val="41F95891"/>
    <w:rsid w:val="41FA16D6"/>
    <w:rsid w:val="41FA1B49"/>
    <w:rsid w:val="41FA2C04"/>
    <w:rsid w:val="41FA7928"/>
    <w:rsid w:val="41FB0E6C"/>
    <w:rsid w:val="41FB309F"/>
    <w:rsid w:val="41FB36A0"/>
    <w:rsid w:val="41FB6284"/>
    <w:rsid w:val="41FB71FC"/>
    <w:rsid w:val="41FC3205"/>
    <w:rsid w:val="41FC5A34"/>
    <w:rsid w:val="41FC7BEE"/>
    <w:rsid w:val="41FD0E5B"/>
    <w:rsid w:val="41FD11C6"/>
    <w:rsid w:val="41FD33B1"/>
    <w:rsid w:val="41FD4D22"/>
    <w:rsid w:val="41FD7266"/>
    <w:rsid w:val="41FF0A9A"/>
    <w:rsid w:val="41FF0E4B"/>
    <w:rsid w:val="41FF35DA"/>
    <w:rsid w:val="41FF4262"/>
    <w:rsid w:val="41FF4406"/>
    <w:rsid w:val="42000CBE"/>
    <w:rsid w:val="42002358"/>
    <w:rsid w:val="42002551"/>
    <w:rsid w:val="42002A64"/>
    <w:rsid w:val="4200449D"/>
    <w:rsid w:val="42004812"/>
    <w:rsid w:val="42004BAA"/>
    <w:rsid w:val="420059CB"/>
    <w:rsid w:val="42005B41"/>
    <w:rsid w:val="42010CB6"/>
    <w:rsid w:val="420112F0"/>
    <w:rsid w:val="420115CE"/>
    <w:rsid w:val="4202058A"/>
    <w:rsid w:val="4202071A"/>
    <w:rsid w:val="4202390D"/>
    <w:rsid w:val="42024A2E"/>
    <w:rsid w:val="420267DC"/>
    <w:rsid w:val="42026AFA"/>
    <w:rsid w:val="42032ACC"/>
    <w:rsid w:val="42036DC7"/>
    <w:rsid w:val="42041FB8"/>
    <w:rsid w:val="42042555"/>
    <w:rsid w:val="42043053"/>
    <w:rsid w:val="42044303"/>
    <w:rsid w:val="42044568"/>
    <w:rsid w:val="420460B1"/>
    <w:rsid w:val="42046348"/>
    <w:rsid w:val="42051E29"/>
    <w:rsid w:val="42057F6C"/>
    <w:rsid w:val="4206489E"/>
    <w:rsid w:val="4206553A"/>
    <w:rsid w:val="420662CD"/>
    <w:rsid w:val="42066E88"/>
    <w:rsid w:val="42070318"/>
    <w:rsid w:val="42073DF3"/>
    <w:rsid w:val="42081F6F"/>
    <w:rsid w:val="42085A83"/>
    <w:rsid w:val="4208797B"/>
    <w:rsid w:val="42091919"/>
    <w:rsid w:val="420936C7"/>
    <w:rsid w:val="42097B6B"/>
    <w:rsid w:val="420A03DA"/>
    <w:rsid w:val="420A1B5A"/>
    <w:rsid w:val="420A5094"/>
    <w:rsid w:val="420C31B7"/>
    <w:rsid w:val="420C765B"/>
    <w:rsid w:val="420E0716"/>
    <w:rsid w:val="420E561A"/>
    <w:rsid w:val="420E669C"/>
    <w:rsid w:val="420E6F2F"/>
    <w:rsid w:val="420F167B"/>
    <w:rsid w:val="420F2CA7"/>
    <w:rsid w:val="420F4A55"/>
    <w:rsid w:val="420F6AF5"/>
    <w:rsid w:val="420F7F33"/>
    <w:rsid w:val="42100002"/>
    <w:rsid w:val="42100EF9"/>
    <w:rsid w:val="42102B0B"/>
    <w:rsid w:val="4210424C"/>
    <w:rsid w:val="421136C3"/>
    <w:rsid w:val="42114C71"/>
    <w:rsid w:val="42116A20"/>
    <w:rsid w:val="421205B7"/>
    <w:rsid w:val="421239A5"/>
    <w:rsid w:val="42127FFC"/>
    <w:rsid w:val="42132798"/>
    <w:rsid w:val="42132BCD"/>
    <w:rsid w:val="421342A2"/>
    <w:rsid w:val="421361F6"/>
    <w:rsid w:val="4214206C"/>
    <w:rsid w:val="42154762"/>
    <w:rsid w:val="42156510"/>
    <w:rsid w:val="42161B6C"/>
    <w:rsid w:val="42162288"/>
    <w:rsid w:val="421624BD"/>
    <w:rsid w:val="42165DE4"/>
    <w:rsid w:val="42167D28"/>
    <w:rsid w:val="42173C07"/>
    <w:rsid w:val="421760DD"/>
    <w:rsid w:val="42177886"/>
    <w:rsid w:val="42177E0D"/>
    <w:rsid w:val="42181B5C"/>
    <w:rsid w:val="42186000"/>
    <w:rsid w:val="42192CA6"/>
    <w:rsid w:val="42194F8B"/>
    <w:rsid w:val="421A1D78"/>
    <w:rsid w:val="421A35AD"/>
    <w:rsid w:val="421A58D4"/>
    <w:rsid w:val="421B164C"/>
    <w:rsid w:val="421B33FA"/>
    <w:rsid w:val="421B38F1"/>
    <w:rsid w:val="421B789E"/>
    <w:rsid w:val="421C10AE"/>
    <w:rsid w:val="421C3B2B"/>
    <w:rsid w:val="421C3BC2"/>
    <w:rsid w:val="421D3616"/>
    <w:rsid w:val="421D3C7F"/>
    <w:rsid w:val="421D53C4"/>
    <w:rsid w:val="421D6850"/>
    <w:rsid w:val="421D7172"/>
    <w:rsid w:val="421D78AB"/>
    <w:rsid w:val="421E2DFF"/>
    <w:rsid w:val="421E659F"/>
    <w:rsid w:val="421E7CE0"/>
    <w:rsid w:val="421F113C"/>
    <w:rsid w:val="421F2EEA"/>
    <w:rsid w:val="421F652B"/>
    <w:rsid w:val="42202600"/>
    <w:rsid w:val="42203925"/>
    <w:rsid w:val="42204EB5"/>
    <w:rsid w:val="422051D1"/>
    <w:rsid w:val="42211528"/>
    <w:rsid w:val="4221394E"/>
    <w:rsid w:val="42214734"/>
    <w:rsid w:val="42214F44"/>
    <w:rsid w:val="42220C2D"/>
    <w:rsid w:val="42222247"/>
    <w:rsid w:val="422229DB"/>
    <w:rsid w:val="422247EF"/>
    <w:rsid w:val="422259EF"/>
    <w:rsid w:val="422363B0"/>
    <w:rsid w:val="422370D4"/>
    <w:rsid w:val="42240501"/>
    <w:rsid w:val="42240CF9"/>
    <w:rsid w:val="42242934"/>
    <w:rsid w:val="422449A5"/>
    <w:rsid w:val="42244EF0"/>
    <w:rsid w:val="42246753"/>
    <w:rsid w:val="422538A1"/>
    <w:rsid w:val="42255B6D"/>
    <w:rsid w:val="42255FAE"/>
    <w:rsid w:val="422624CB"/>
    <w:rsid w:val="42264D31"/>
    <w:rsid w:val="42266472"/>
    <w:rsid w:val="422724D3"/>
    <w:rsid w:val="4227436B"/>
    <w:rsid w:val="42274E97"/>
    <w:rsid w:val="42276243"/>
    <w:rsid w:val="42277F6F"/>
    <w:rsid w:val="42277FF1"/>
    <w:rsid w:val="42280D92"/>
    <w:rsid w:val="42283963"/>
    <w:rsid w:val="422873D2"/>
    <w:rsid w:val="42287ED6"/>
    <w:rsid w:val="42293237"/>
    <w:rsid w:val="42294DF3"/>
    <w:rsid w:val="42295B17"/>
    <w:rsid w:val="42296FF1"/>
    <w:rsid w:val="42297483"/>
    <w:rsid w:val="422A188F"/>
    <w:rsid w:val="422B0260"/>
    <w:rsid w:val="422B07CD"/>
    <w:rsid w:val="422B5D33"/>
    <w:rsid w:val="422B6118"/>
    <w:rsid w:val="422B6ABB"/>
    <w:rsid w:val="422B7713"/>
    <w:rsid w:val="422C0DC4"/>
    <w:rsid w:val="422C1AAB"/>
    <w:rsid w:val="422C1D05"/>
    <w:rsid w:val="422C353B"/>
    <w:rsid w:val="422C3859"/>
    <w:rsid w:val="422D11A8"/>
    <w:rsid w:val="422D3F6E"/>
    <w:rsid w:val="422E02E4"/>
    <w:rsid w:val="422E312E"/>
    <w:rsid w:val="422E5823"/>
    <w:rsid w:val="422E6B55"/>
    <w:rsid w:val="422E75D1"/>
    <w:rsid w:val="422E77D5"/>
    <w:rsid w:val="422F071E"/>
    <w:rsid w:val="422F0C1B"/>
    <w:rsid w:val="422F2B21"/>
    <w:rsid w:val="422F3CF7"/>
    <w:rsid w:val="422F6EA6"/>
    <w:rsid w:val="4230029F"/>
    <w:rsid w:val="423009B4"/>
    <w:rsid w:val="42302661"/>
    <w:rsid w:val="4230334A"/>
    <w:rsid w:val="423050F8"/>
    <w:rsid w:val="423061AF"/>
    <w:rsid w:val="42307F37"/>
    <w:rsid w:val="42310E70"/>
    <w:rsid w:val="423121C2"/>
    <w:rsid w:val="42312C1E"/>
    <w:rsid w:val="42315607"/>
    <w:rsid w:val="42315640"/>
    <w:rsid w:val="42317946"/>
    <w:rsid w:val="423201D4"/>
    <w:rsid w:val="423224F1"/>
    <w:rsid w:val="42324373"/>
    <w:rsid w:val="42324810"/>
    <w:rsid w:val="42334BE8"/>
    <w:rsid w:val="42336DE3"/>
    <w:rsid w:val="42342ACB"/>
    <w:rsid w:val="423430DF"/>
    <w:rsid w:val="423436D6"/>
    <w:rsid w:val="4235042E"/>
    <w:rsid w:val="42351B9E"/>
    <w:rsid w:val="4235270E"/>
    <w:rsid w:val="42353CCD"/>
    <w:rsid w:val="423544BC"/>
    <w:rsid w:val="423609E4"/>
    <w:rsid w:val="42366486"/>
    <w:rsid w:val="42367D6C"/>
    <w:rsid w:val="4237121F"/>
    <w:rsid w:val="423742D8"/>
    <w:rsid w:val="423746D8"/>
    <w:rsid w:val="4237474A"/>
    <w:rsid w:val="42375CB6"/>
    <w:rsid w:val="423765A1"/>
    <w:rsid w:val="42380450"/>
    <w:rsid w:val="423821FE"/>
    <w:rsid w:val="423868CA"/>
    <w:rsid w:val="42387549"/>
    <w:rsid w:val="42392B69"/>
    <w:rsid w:val="42396E80"/>
    <w:rsid w:val="42397A48"/>
    <w:rsid w:val="423A3BCC"/>
    <w:rsid w:val="423A5B1D"/>
    <w:rsid w:val="423A5F76"/>
    <w:rsid w:val="423A665B"/>
    <w:rsid w:val="423A7D24"/>
    <w:rsid w:val="423B01E9"/>
    <w:rsid w:val="423B0EE0"/>
    <w:rsid w:val="423B2BB5"/>
    <w:rsid w:val="423B3A9C"/>
    <w:rsid w:val="423B3EEB"/>
    <w:rsid w:val="423B584A"/>
    <w:rsid w:val="423B715F"/>
    <w:rsid w:val="423C0C97"/>
    <w:rsid w:val="423C3269"/>
    <w:rsid w:val="423D15C3"/>
    <w:rsid w:val="423D1759"/>
    <w:rsid w:val="423D5A66"/>
    <w:rsid w:val="423D7815"/>
    <w:rsid w:val="423E6B39"/>
    <w:rsid w:val="423E780F"/>
    <w:rsid w:val="423F533B"/>
    <w:rsid w:val="424004A9"/>
    <w:rsid w:val="4240055E"/>
    <w:rsid w:val="424010B3"/>
    <w:rsid w:val="42401BEA"/>
    <w:rsid w:val="42417305"/>
    <w:rsid w:val="42421A16"/>
    <w:rsid w:val="42426BD9"/>
    <w:rsid w:val="4242747C"/>
    <w:rsid w:val="42435018"/>
    <w:rsid w:val="424355FB"/>
    <w:rsid w:val="424419FB"/>
    <w:rsid w:val="42444557"/>
    <w:rsid w:val="42444C33"/>
    <w:rsid w:val="424477A6"/>
    <w:rsid w:val="42452E8B"/>
    <w:rsid w:val="424566C9"/>
    <w:rsid w:val="42462B6D"/>
    <w:rsid w:val="42462D06"/>
    <w:rsid w:val="42466EEC"/>
    <w:rsid w:val="42470693"/>
    <w:rsid w:val="42472441"/>
    <w:rsid w:val="42475020"/>
    <w:rsid w:val="42484C43"/>
    <w:rsid w:val="42492C9C"/>
    <w:rsid w:val="42492E4D"/>
    <w:rsid w:val="4249440B"/>
    <w:rsid w:val="424961B9"/>
    <w:rsid w:val="42497F67"/>
    <w:rsid w:val="424A39D1"/>
    <w:rsid w:val="424A40D7"/>
    <w:rsid w:val="424A798C"/>
    <w:rsid w:val="424A7B43"/>
    <w:rsid w:val="424B0183"/>
    <w:rsid w:val="424B2C9D"/>
    <w:rsid w:val="424B3CDF"/>
    <w:rsid w:val="424B55BC"/>
    <w:rsid w:val="424B6CFD"/>
    <w:rsid w:val="424C3D45"/>
    <w:rsid w:val="424C5CAA"/>
    <w:rsid w:val="424D0579"/>
    <w:rsid w:val="424D161D"/>
    <w:rsid w:val="424D3EFC"/>
    <w:rsid w:val="424E1A22"/>
    <w:rsid w:val="424E37D0"/>
    <w:rsid w:val="424E57D2"/>
    <w:rsid w:val="424F4E66"/>
    <w:rsid w:val="424F6B0E"/>
    <w:rsid w:val="42501214"/>
    <w:rsid w:val="425012F6"/>
    <w:rsid w:val="42504109"/>
    <w:rsid w:val="4250579A"/>
    <w:rsid w:val="4250748D"/>
    <w:rsid w:val="42512B6F"/>
    <w:rsid w:val="425132C0"/>
    <w:rsid w:val="4251506E"/>
    <w:rsid w:val="425172C9"/>
    <w:rsid w:val="42521512"/>
    <w:rsid w:val="4252548F"/>
    <w:rsid w:val="42530DE6"/>
    <w:rsid w:val="42537038"/>
    <w:rsid w:val="42544429"/>
    <w:rsid w:val="42547050"/>
    <w:rsid w:val="42552DB0"/>
    <w:rsid w:val="42553B1B"/>
    <w:rsid w:val="42554B5E"/>
    <w:rsid w:val="4255690C"/>
    <w:rsid w:val="425608D6"/>
    <w:rsid w:val="42563E10"/>
    <w:rsid w:val="425670E8"/>
    <w:rsid w:val="42576B28"/>
    <w:rsid w:val="42577E71"/>
    <w:rsid w:val="42580891"/>
    <w:rsid w:val="42580DF2"/>
    <w:rsid w:val="42581301"/>
    <w:rsid w:val="425828A0"/>
    <w:rsid w:val="42582E33"/>
    <w:rsid w:val="4258464E"/>
    <w:rsid w:val="42584B94"/>
    <w:rsid w:val="42585F45"/>
    <w:rsid w:val="42592791"/>
    <w:rsid w:val="42593309"/>
    <w:rsid w:val="42597BC0"/>
    <w:rsid w:val="425A173D"/>
    <w:rsid w:val="425A2175"/>
    <w:rsid w:val="425A55C2"/>
    <w:rsid w:val="425A6618"/>
    <w:rsid w:val="425B01F2"/>
    <w:rsid w:val="425B3CF1"/>
    <w:rsid w:val="425B76C5"/>
    <w:rsid w:val="425C3634"/>
    <w:rsid w:val="425C403B"/>
    <w:rsid w:val="425C413F"/>
    <w:rsid w:val="425C50DC"/>
    <w:rsid w:val="425C5EED"/>
    <w:rsid w:val="425C6F5E"/>
    <w:rsid w:val="425D1112"/>
    <w:rsid w:val="425D392C"/>
    <w:rsid w:val="425D59AF"/>
    <w:rsid w:val="425D7EB7"/>
    <w:rsid w:val="425E1FC5"/>
    <w:rsid w:val="425E3DC7"/>
    <w:rsid w:val="425E3E47"/>
    <w:rsid w:val="425E469D"/>
    <w:rsid w:val="425F309A"/>
    <w:rsid w:val="425F3425"/>
    <w:rsid w:val="425F3EFE"/>
    <w:rsid w:val="425F59DD"/>
    <w:rsid w:val="425F6603"/>
    <w:rsid w:val="425F66F9"/>
    <w:rsid w:val="425F778B"/>
    <w:rsid w:val="426030E6"/>
    <w:rsid w:val="42603BD3"/>
    <w:rsid w:val="426074A6"/>
    <w:rsid w:val="42607A93"/>
    <w:rsid w:val="426104F4"/>
    <w:rsid w:val="42611755"/>
    <w:rsid w:val="42613AF4"/>
    <w:rsid w:val="4261409D"/>
    <w:rsid w:val="426148CB"/>
    <w:rsid w:val="42615066"/>
    <w:rsid w:val="42621029"/>
    <w:rsid w:val="426226AF"/>
    <w:rsid w:val="426254CD"/>
    <w:rsid w:val="4262727B"/>
    <w:rsid w:val="42640C73"/>
    <w:rsid w:val="426478A4"/>
    <w:rsid w:val="42650D34"/>
    <w:rsid w:val="42652475"/>
    <w:rsid w:val="42656AB0"/>
    <w:rsid w:val="42666D6B"/>
    <w:rsid w:val="42672AE3"/>
    <w:rsid w:val="426741BB"/>
    <w:rsid w:val="42674891"/>
    <w:rsid w:val="42675C80"/>
    <w:rsid w:val="4267663F"/>
    <w:rsid w:val="4268268D"/>
    <w:rsid w:val="4269060A"/>
    <w:rsid w:val="426923B8"/>
    <w:rsid w:val="42694EBE"/>
    <w:rsid w:val="426B25D4"/>
    <w:rsid w:val="426B3B54"/>
    <w:rsid w:val="426B4382"/>
    <w:rsid w:val="426B588C"/>
    <w:rsid w:val="426B6130"/>
    <w:rsid w:val="426C129B"/>
    <w:rsid w:val="426C514E"/>
    <w:rsid w:val="426C6036"/>
    <w:rsid w:val="426D2259"/>
    <w:rsid w:val="426D4B3E"/>
    <w:rsid w:val="426D540A"/>
    <w:rsid w:val="426E3215"/>
    <w:rsid w:val="426E3E72"/>
    <w:rsid w:val="426E500B"/>
    <w:rsid w:val="426E51C1"/>
    <w:rsid w:val="426E79CE"/>
    <w:rsid w:val="426F16DB"/>
    <w:rsid w:val="426F3942"/>
    <w:rsid w:val="426F48D0"/>
    <w:rsid w:val="42707028"/>
    <w:rsid w:val="4272177A"/>
    <w:rsid w:val="42723FB4"/>
    <w:rsid w:val="42725710"/>
    <w:rsid w:val="42726795"/>
    <w:rsid w:val="4272719B"/>
    <w:rsid w:val="427313FE"/>
    <w:rsid w:val="42731488"/>
    <w:rsid w:val="42733236"/>
    <w:rsid w:val="42734EAC"/>
    <w:rsid w:val="42734FE4"/>
    <w:rsid w:val="4274036F"/>
    <w:rsid w:val="42753C49"/>
    <w:rsid w:val="42755200"/>
    <w:rsid w:val="427604F3"/>
    <w:rsid w:val="42761DA5"/>
    <w:rsid w:val="427642CB"/>
    <w:rsid w:val="42764AD5"/>
    <w:rsid w:val="42770F78"/>
    <w:rsid w:val="42772109"/>
    <w:rsid w:val="42772BB1"/>
    <w:rsid w:val="42772D26"/>
    <w:rsid w:val="42773149"/>
    <w:rsid w:val="4278084D"/>
    <w:rsid w:val="42785A16"/>
    <w:rsid w:val="42785C18"/>
    <w:rsid w:val="42785D1A"/>
    <w:rsid w:val="42786A9F"/>
    <w:rsid w:val="4279063A"/>
    <w:rsid w:val="42790A9A"/>
    <w:rsid w:val="42791D7B"/>
    <w:rsid w:val="427A2817"/>
    <w:rsid w:val="427A6373"/>
    <w:rsid w:val="427A7A29"/>
    <w:rsid w:val="427B20EB"/>
    <w:rsid w:val="427C033D"/>
    <w:rsid w:val="427C53FA"/>
    <w:rsid w:val="427C652B"/>
    <w:rsid w:val="427D5E63"/>
    <w:rsid w:val="427E2307"/>
    <w:rsid w:val="427E75A0"/>
    <w:rsid w:val="427F1BDB"/>
    <w:rsid w:val="427F44AC"/>
    <w:rsid w:val="427F607F"/>
    <w:rsid w:val="42803AE6"/>
    <w:rsid w:val="42803F18"/>
    <w:rsid w:val="428101E1"/>
    <w:rsid w:val="42810438"/>
    <w:rsid w:val="4281050D"/>
    <w:rsid w:val="42811ED4"/>
    <w:rsid w:val="42813BA5"/>
    <w:rsid w:val="42814D0F"/>
    <w:rsid w:val="42815953"/>
    <w:rsid w:val="42817188"/>
    <w:rsid w:val="42817701"/>
    <w:rsid w:val="42817C96"/>
    <w:rsid w:val="428200D1"/>
    <w:rsid w:val="428216CB"/>
    <w:rsid w:val="42823479"/>
    <w:rsid w:val="42825877"/>
    <w:rsid w:val="42830418"/>
    <w:rsid w:val="4283147C"/>
    <w:rsid w:val="428320B5"/>
    <w:rsid w:val="42832CAD"/>
    <w:rsid w:val="42836609"/>
    <w:rsid w:val="42837D76"/>
    <w:rsid w:val="428411AC"/>
    <w:rsid w:val="42843695"/>
    <w:rsid w:val="42843B69"/>
    <w:rsid w:val="42845DF0"/>
    <w:rsid w:val="42855C22"/>
    <w:rsid w:val="42857378"/>
    <w:rsid w:val="428611BC"/>
    <w:rsid w:val="428627FF"/>
    <w:rsid w:val="42864D18"/>
    <w:rsid w:val="4286584E"/>
    <w:rsid w:val="4286740D"/>
    <w:rsid w:val="42870A90"/>
    <w:rsid w:val="42872737"/>
    <w:rsid w:val="42872915"/>
    <w:rsid w:val="42876CE2"/>
    <w:rsid w:val="42880300"/>
    <w:rsid w:val="42886C16"/>
    <w:rsid w:val="42887029"/>
    <w:rsid w:val="4289391C"/>
    <w:rsid w:val="42894808"/>
    <w:rsid w:val="42897620"/>
    <w:rsid w:val="428A1087"/>
    <w:rsid w:val="428A15BF"/>
    <w:rsid w:val="428A2851"/>
    <w:rsid w:val="428A3B8F"/>
    <w:rsid w:val="428B4B01"/>
    <w:rsid w:val="428C1C8A"/>
    <w:rsid w:val="428C42F8"/>
    <w:rsid w:val="428C7571"/>
    <w:rsid w:val="428C79DC"/>
    <w:rsid w:val="428D19EA"/>
    <w:rsid w:val="428D254A"/>
    <w:rsid w:val="428D328C"/>
    <w:rsid w:val="428D6AB0"/>
    <w:rsid w:val="428E0070"/>
    <w:rsid w:val="428E1E1E"/>
    <w:rsid w:val="428E2F8F"/>
    <w:rsid w:val="428E35FC"/>
    <w:rsid w:val="428E62C2"/>
    <w:rsid w:val="42903A12"/>
    <w:rsid w:val="42903DE8"/>
    <w:rsid w:val="42905B96"/>
    <w:rsid w:val="42906337"/>
    <w:rsid w:val="42907217"/>
    <w:rsid w:val="42920FD0"/>
    <w:rsid w:val="429250AA"/>
    <w:rsid w:val="42925DB2"/>
    <w:rsid w:val="42927B60"/>
    <w:rsid w:val="42927D51"/>
    <w:rsid w:val="42935686"/>
    <w:rsid w:val="42941C47"/>
    <w:rsid w:val="42945242"/>
    <w:rsid w:val="4294592A"/>
    <w:rsid w:val="42947635"/>
    <w:rsid w:val="429513FF"/>
    <w:rsid w:val="429532F6"/>
    <w:rsid w:val="42957651"/>
    <w:rsid w:val="4295770E"/>
    <w:rsid w:val="42957E13"/>
    <w:rsid w:val="42962007"/>
    <w:rsid w:val="42972733"/>
    <w:rsid w:val="429733C9"/>
    <w:rsid w:val="42974AFE"/>
    <w:rsid w:val="42976F25"/>
    <w:rsid w:val="42980EEF"/>
    <w:rsid w:val="42982127"/>
    <w:rsid w:val="42983BC3"/>
    <w:rsid w:val="42984A4B"/>
    <w:rsid w:val="429865BE"/>
    <w:rsid w:val="42994980"/>
    <w:rsid w:val="429A07C3"/>
    <w:rsid w:val="429A0960"/>
    <w:rsid w:val="429A4C67"/>
    <w:rsid w:val="429A6A15"/>
    <w:rsid w:val="429A743B"/>
    <w:rsid w:val="429B023C"/>
    <w:rsid w:val="429B5757"/>
    <w:rsid w:val="429C09DF"/>
    <w:rsid w:val="429C453B"/>
    <w:rsid w:val="429C6C46"/>
    <w:rsid w:val="429D02B3"/>
    <w:rsid w:val="429D3C20"/>
    <w:rsid w:val="429D6164"/>
    <w:rsid w:val="429E4757"/>
    <w:rsid w:val="429E5DF7"/>
    <w:rsid w:val="429E6037"/>
    <w:rsid w:val="429E7A35"/>
    <w:rsid w:val="429F1254"/>
    <w:rsid w:val="429F227D"/>
    <w:rsid w:val="429F402B"/>
    <w:rsid w:val="42A02FA3"/>
    <w:rsid w:val="42A04F26"/>
    <w:rsid w:val="42A11B51"/>
    <w:rsid w:val="42A15FF5"/>
    <w:rsid w:val="42A214C1"/>
    <w:rsid w:val="42A22088"/>
    <w:rsid w:val="42A258CA"/>
    <w:rsid w:val="42A31D6D"/>
    <w:rsid w:val="42A338A7"/>
    <w:rsid w:val="42A33B1C"/>
    <w:rsid w:val="42A33CB2"/>
    <w:rsid w:val="42A353AF"/>
    <w:rsid w:val="42A41642"/>
    <w:rsid w:val="42A42166"/>
    <w:rsid w:val="42A47894"/>
    <w:rsid w:val="42A57908"/>
    <w:rsid w:val="42A57C22"/>
    <w:rsid w:val="42A6360C"/>
    <w:rsid w:val="42A653BA"/>
    <w:rsid w:val="42A66A56"/>
    <w:rsid w:val="42A67168"/>
    <w:rsid w:val="42A72228"/>
    <w:rsid w:val="42A72EE0"/>
    <w:rsid w:val="42A76F80"/>
    <w:rsid w:val="42A778FD"/>
    <w:rsid w:val="42A81083"/>
    <w:rsid w:val="42A81132"/>
    <w:rsid w:val="42A8383C"/>
    <w:rsid w:val="42A84725"/>
    <w:rsid w:val="42A858DB"/>
    <w:rsid w:val="42A859E6"/>
    <w:rsid w:val="42A85A2D"/>
    <w:rsid w:val="42A86289"/>
    <w:rsid w:val="42A903E2"/>
    <w:rsid w:val="42A92088"/>
    <w:rsid w:val="42A930FC"/>
    <w:rsid w:val="42A96DE4"/>
    <w:rsid w:val="42A97C5A"/>
    <w:rsid w:val="42A97C91"/>
    <w:rsid w:val="42AA5FD8"/>
    <w:rsid w:val="42AA787B"/>
    <w:rsid w:val="42AB0C22"/>
    <w:rsid w:val="42AB15F5"/>
    <w:rsid w:val="42AB2700"/>
    <w:rsid w:val="42AB42A3"/>
    <w:rsid w:val="42AB6E74"/>
    <w:rsid w:val="42AC001C"/>
    <w:rsid w:val="42AC04F6"/>
    <w:rsid w:val="42AC2401"/>
    <w:rsid w:val="42AC34C9"/>
    <w:rsid w:val="42AC377F"/>
    <w:rsid w:val="42AC4C0A"/>
    <w:rsid w:val="42AC6666"/>
    <w:rsid w:val="42AD0C9C"/>
    <w:rsid w:val="42AD2B71"/>
    <w:rsid w:val="42AD4959"/>
    <w:rsid w:val="42AD499A"/>
    <w:rsid w:val="42AD6748"/>
    <w:rsid w:val="42AD7E84"/>
    <w:rsid w:val="42AE05F3"/>
    <w:rsid w:val="42AE0712"/>
    <w:rsid w:val="42AE16CD"/>
    <w:rsid w:val="42AE24C0"/>
    <w:rsid w:val="42AE5DE9"/>
    <w:rsid w:val="42AF1CA5"/>
    <w:rsid w:val="42AF413D"/>
    <w:rsid w:val="42AF518B"/>
    <w:rsid w:val="42AF5DDA"/>
    <w:rsid w:val="42B00439"/>
    <w:rsid w:val="42B00A30"/>
    <w:rsid w:val="42B032DA"/>
    <w:rsid w:val="42B05460"/>
    <w:rsid w:val="42B06238"/>
    <w:rsid w:val="42B07FE6"/>
    <w:rsid w:val="42B1532C"/>
    <w:rsid w:val="42B15B0D"/>
    <w:rsid w:val="42B20069"/>
    <w:rsid w:val="42B20202"/>
    <w:rsid w:val="42B2629D"/>
    <w:rsid w:val="42B26B0C"/>
    <w:rsid w:val="42B26C49"/>
    <w:rsid w:val="42B307CB"/>
    <w:rsid w:val="42B31885"/>
    <w:rsid w:val="42B3339C"/>
    <w:rsid w:val="42B36507"/>
    <w:rsid w:val="42B37AD7"/>
    <w:rsid w:val="42B41C5B"/>
    <w:rsid w:val="42B46AFE"/>
    <w:rsid w:val="42B5038C"/>
    <w:rsid w:val="42B51AA1"/>
    <w:rsid w:val="42B5384F"/>
    <w:rsid w:val="42B5606A"/>
    <w:rsid w:val="42B57921"/>
    <w:rsid w:val="42B61B65"/>
    <w:rsid w:val="42B639E7"/>
    <w:rsid w:val="42B64197"/>
    <w:rsid w:val="42B6714C"/>
    <w:rsid w:val="42B71375"/>
    <w:rsid w:val="42B71D1D"/>
    <w:rsid w:val="42B71DF8"/>
    <w:rsid w:val="42B74155"/>
    <w:rsid w:val="42B75819"/>
    <w:rsid w:val="42B77B2B"/>
    <w:rsid w:val="42B850ED"/>
    <w:rsid w:val="42B86676"/>
    <w:rsid w:val="42B9091A"/>
    <w:rsid w:val="42B9180B"/>
    <w:rsid w:val="42B921EF"/>
    <w:rsid w:val="42B9333F"/>
    <w:rsid w:val="42B9392C"/>
    <w:rsid w:val="42B95875"/>
    <w:rsid w:val="42BA0E65"/>
    <w:rsid w:val="42BA0F65"/>
    <w:rsid w:val="42BA2C13"/>
    <w:rsid w:val="42BA70B7"/>
    <w:rsid w:val="42BB03ED"/>
    <w:rsid w:val="42BB1B2E"/>
    <w:rsid w:val="42BB3458"/>
    <w:rsid w:val="42BB3775"/>
    <w:rsid w:val="42BB3A58"/>
    <w:rsid w:val="42BC219B"/>
    <w:rsid w:val="42BC2E2F"/>
    <w:rsid w:val="42BC4BDD"/>
    <w:rsid w:val="42BC698B"/>
    <w:rsid w:val="42BD4F39"/>
    <w:rsid w:val="42BD6EEC"/>
    <w:rsid w:val="42BD701F"/>
    <w:rsid w:val="42BE0955"/>
    <w:rsid w:val="42BE2AF4"/>
    <w:rsid w:val="42BE6BA7"/>
    <w:rsid w:val="42BE6EDE"/>
    <w:rsid w:val="42BE7BDF"/>
    <w:rsid w:val="42BF022A"/>
    <w:rsid w:val="42BF193F"/>
    <w:rsid w:val="42BF1B92"/>
    <w:rsid w:val="42BF46CD"/>
    <w:rsid w:val="42BF647C"/>
    <w:rsid w:val="42BF7C4D"/>
    <w:rsid w:val="42C104FE"/>
    <w:rsid w:val="42C121F4"/>
    <w:rsid w:val="42C12399"/>
    <w:rsid w:val="42C30C8C"/>
    <w:rsid w:val="42C35573"/>
    <w:rsid w:val="42C35F6C"/>
    <w:rsid w:val="42C41CE4"/>
    <w:rsid w:val="42C42BE0"/>
    <w:rsid w:val="42C52FD7"/>
    <w:rsid w:val="42C548AE"/>
    <w:rsid w:val="42C56F2E"/>
    <w:rsid w:val="42C57F36"/>
    <w:rsid w:val="42C615B8"/>
    <w:rsid w:val="42C624C9"/>
    <w:rsid w:val="42C65A5C"/>
    <w:rsid w:val="42C66D34"/>
    <w:rsid w:val="42C6780A"/>
    <w:rsid w:val="42C817D4"/>
    <w:rsid w:val="42C83582"/>
    <w:rsid w:val="42C84132"/>
    <w:rsid w:val="42C84B75"/>
    <w:rsid w:val="42C85330"/>
    <w:rsid w:val="42C955C2"/>
    <w:rsid w:val="42C972FA"/>
    <w:rsid w:val="42CA4710"/>
    <w:rsid w:val="42CA554C"/>
    <w:rsid w:val="42CA5A5B"/>
    <w:rsid w:val="42CB0122"/>
    <w:rsid w:val="42CB1461"/>
    <w:rsid w:val="42CB3072"/>
    <w:rsid w:val="42CB3152"/>
    <w:rsid w:val="42CB4E20"/>
    <w:rsid w:val="42CB6BCE"/>
    <w:rsid w:val="42CB7412"/>
    <w:rsid w:val="42CD0B98"/>
    <w:rsid w:val="42CD30C7"/>
    <w:rsid w:val="42CD4A10"/>
    <w:rsid w:val="42CE4911"/>
    <w:rsid w:val="42CE66BF"/>
    <w:rsid w:val="42CF2488"/>
    <w:rsid w:val="42CF2B62"/>
    <w:rsid w:val="42CF2D7B"/>
    <w:rsid w:val="42CF382B"/>
    <w:rsid w:val="42CF6863"/>
    <w:rsid w:val="42D02437"/>
    <w:rsid w:val="42D068DB"/>
    <w:rsid w:val="42D13116"/>
    <w:rsid w:val="42D13FF0"/>
    <w:rsid w:val="42D1603A"/>
    <w:rsid w:val="42D25B1A"/>
    <w:rsid w:val="42D261AF"/>
    <w:rsid w:val="42D26925"/>
    <w:rsid w:val="42D27E91"/>
    <w:rsid w:val="42D27F5D"/>
    <w:rsid w:val="42D31F27"/>
    <w:rsid w:val="42D32A68"/>
    <w:rsid w:val="42D33CD5"/>
    <w:rsid w:val="42D351F7"/>
    <w:rsid w:val="42D354B0"/>
    <w:rsid w:val="42D36B91"/>
    <w:rsid w:val="42D40179"/>
    <w:rsid w:val="42D47B8F"/>
    <w:rsid w:val="42D53EF1"/>
    <w:rsid w:val="42D54C4D"/>
    <w:rsid w:val="42D54CFA"/>
    <w:rsid w:val="42D552A6"/>
    <w:rsid w:val="42D55C9F"/>
    <w:rsid w:val="42D579CA"/>
    <w:rsid w:val="42D57A4D"/>
    <w:rsid w:val="42D62BBE"/>
    <w:rsid w:val="42D66736"/>
    <w:rsid w:val="42D71A17"/>
    <w:rsid w:val="42D737C5"/>
    <w:rsid w:val="42D75530"/>
    <w:rsid w:val="42D76203"/>
    <w:rsid w:val="42D812EB"/>
    <w:rsid w:val="42D83BE0"/>
    <w:rsid w:val="42D83D92"/>
    <w:rsid w:val="42D924E6"/>
    <w:rsid w:val="42D92A2D"/>
    <w:rsid w:val="42D93808"/>
    <w:rsid w:val="42D950B7"/>
    <w:rsid w:val="42D956C8"/>
    <w:rsid w:val="42D9578F"/>
    <w:rsid w:val="42D9753D"/>
    <w:rsid w:val="42DA22A9"/>
    <w:rsid w:val="42DA3976"/>
    <w:rsid w:val="42DA5063"/>
    <w:rsid w:val="42DB4E51"/>
    <w:rsid w:val="42DB5C3F"/>
    <w:rsid w:val="42DB608B"/>
    <w:rsid w:val="42DC1519"/>
    <w:rsid w:val="42DC527F"/>
    <w:rsid w:val="42DC5E2C"/>
    <w:rsid w:val="42DC6682"/>
    <w:rsid w:val="42DC761B"/>
    <w:rsid w:val="42DD10F2"/>
    <w:rsid w:val="42DD2406"/>
    <w:rsid w:val="42DD35BE"/>
    <w:rsid w:val="42DD6902"/>
    <w:rsid w:val="42DE0FF8"/>
    <w:rsid w:val="42DE28D1"/>
    <w:rsid w:val="42DE4EC8"/>
    <w:rsid w:val="42DF08CC"/>
    <w:rsid w:val="42DF1646"/>
    <w:rsid w:val="42DF267A"/>
    <w:rsid w:val="42DF60BC"/>
    <w:rsid w:val="42DF61F9"/>
    <w:rsid w:val="42DF6B1E"/>
    <w:rsid w:val="42E023B9"/>
    <w:rsid w:val="42E102FD"/>
    <w:rsid w:val="42E12EC5"/>
    <w:rsid w:val="42E137F5"/>
    <w:rsid w:val="42E163F2"/>
    <w:rsid w:val="42E21C5A"/>
    <w:rsid w:val="42E2699C"/>
    <w:rsid w:val="42E277B7"/>
    <w:rsid w:val="42E30929"/>
    <w:rsid w:val="42E31E8A"/>
    <w:rsid w:val="42E3216A"/>
    <w:rsid w:val="42E364F9"/>
    <w:rsid w:val="42E3660E"/>
    <w:rsid w:val="42E36E6B"/>
    <w:rsid w:val="42E421CA"/>
    <w:rsid w:val="42E4223C"/>
    <w:rsid w:val="42E45EE2"/>
    <w:rsid w:val="42E46EA8"/>
    <w:rsid w:val="42E4759C"/>
    <w:rsid w:val="42E475F9"/>
    <w:rsid w:val="42E47C90"/>
    <w:rsid w:val="42E560FF"/>
    <w:rsid w:val="42E63A08"/>
    <w:rsid w:val="42E6622B"/>
    <w:rsid w:val="42E67301"/>
    <w:rsid w:val="42E67EAC"/>
    <w:rsid w:val="42E72223"/>
    <w:rsid w:val="42E72E8F"/>
    <w:rsid w:val="42E75C1C"/>
    <w:rsid w:val="42E81483"/>
    <w:rsid w:val="42E85506"/>
    <w:rsid w:val="42E859D2"/>
    <w:rsid w:val="42E90492"/>
    <w:rsid w:val="42E934F8"/>
    <w:rsid w:val="42E94BAC"/>
    <w:rsid w:val="42EA0B70"/>
    <w:rsid w:val="42EA174A"/>
    <w:rsid w:val="42EA603C"/>
    <w:rsid w:val="42EA69AD"/>
    <w:rsid w:val="42EA799C"/>
    <w:rsid w:val="42EB0C15"/>
    <w:rsid w:val="42EB101F"/>
    <w:rsid w:val="42EB54C2"/>
    <w:rsid w:val="42EB6BA2"/>
    <w:rsid w:val="42EC5FCB"/>
    <w:rsid w:val="42ED123B"/>
    <w:rsid w:val="42ED2FE9"/>
    <w:rsid w:val="42ED4D97"/>
    <w:rsid w:val="42EE0B0F"/>
    <w:rsid w:val="42EE6EAC"/>
    <w:rsid w:val="42EF43F8"/>
    <w:rsid w:val="42EF47BF"/>
    <w:rsid w:val="42EF4FB3"/>
    <w:rsid w:val="42EF6D61"/>
    <w:rsid w:val="42F04887"/>
    <w:rsid w:val="42F06635"/>
    <w:rsid w:val="42F205FF"/>
    <w:rsid w:val="42F21D46"/>
    <w:rsid w:val="42F223AD"/>
    <w:rsid w:val="42F26DF6"/>
    <w:rsid w:val="42F27D13"/>
    <w:rsid w:val="42F3082F"/>
    <w:rsid w:val="42F36125"/>
    <w:rsid w:val="42F41CBF"/>
    <w:rsid w:val="42F44377"/>
    <w:rsid w:val="42F45FB0"/>
    <w:rsid w:val="42F470EE"/>
    <w:rsid w:val="42F47F45"/>
    <w:rsid w:val="42F500EF"/>
    <w:rsid w:val="42F51E9D"/>
    <w:rsid w:val="42F55EFA"/>
    <w:rsid w:val="42F56341"/>
    <w:rsid w:val="42F659C3"/>
    <w:rsid w:val="42F73E67"/>
    <w:rsid w:val="42F75C15"/>
    <w:rsid w:val="42F779C3"/>
    <w:rsid w:val="42F8373B"/>
    <w:rsid w:val="42F86480"/>
    <w:rsid w:val="42F866EB"/>
    <w:rsid w:val="42F86EFF"/>
    <w:rsid w:val="42F87AB8"/>
    <w:rsid w:val="42F9198D"/>
    <w:rsid w:val="42F946FB"/>
    <w:rsid w:val="42F97BDF"/>
    <w:rsid w:val="42FA5B02"/>
    <w:rsid w:val="42FA7F7D"/>
    <w:rsid w:val="42FB3958"/>
    <w:rsid w:val="42FB6FC1"/>
    <w:rsid w:val="42FC322C"/>
    <w:rsid w:val="42FD47C4"/>
    <w:rsid w:val="42FE46DB"/>
    <w:rsid w:val="42FE5942"/>
    <w:rsid w:val="42FE6FA4"/>
    <w:rsid w:val="42FF4201"/>
    <w:rsid w:val="42FF4A2B"/>
    <w:rsid w:val="42FF4ACA"/>
    <w:rsid w:val="42FF6DD2"/>
    <w:rsid w:val="43000262"/>
    <w:rsid w:val="43000F6E"/>
    <w:rsid w:val="43004B7A"/>
    <w:rsid w:val="43010842"/>
    <w:rsid w:val="43015A6A"/>
    <w:rsid w:val="43016A94"/>
    <w:rsid w:val="43022B82"/>
    <w:rsid w:val="43023B99"/>
    <w:rsid w:val="43030A5E"/>
    <w:rsid w:val="4303280C"/>
    <w:rsid w:val="43033B7B"/>
    <w:rsid w:val="430345BA"/>
    <w:rsid w:val="43034EAD"/>
    <w:rsid w:val="430361B5"/>
    <w:rsid w:val="43036368"/>
    <w:rsid w:val="43040332"/>
    <w:rsid w:val="43041F0A"/>
    <w:rsid w:val="43044383"/>
    <w:rsid w:val="43045701"/>
    <w:rsid w:val="43050073"/>
    <w:rsid w:val="43050C76"/>
    <w:rsid w:val="43056584"/>
    <w:rsid w:val="4306126D"/>
    <w:rsid w:val="430640AA"/>
    <w:rsid w:val="43065E58"/>
    <w:rsid w:val="430702AF"/>
    <w:rsid w:val="430736E6"/>
    <w:rsid w:val="43081BD1"/>
    <w:rsid w:val="43082452"/>
    <w:rsid w:val="430843A7"/>
    <w:rsid w:val="430869F4"/>
    <w:rsid w:val="43087FD9"/>
    <w:rsid w:val="43092A49"/>
    <w:rsid w:val="43093E66"/>
    <w:rsid w:val="43094EC2"/>
    <w:rsid w:val="430976F7"/>
    <w:rsid w:val="43097E84"/>
    <w:rsid w:val="430A1DED"/>
    <w:rsid w:val="430A3B9B"/>
    <w:rsid w:val="430A3EE5"/>
    <w:rsid w:val="430B0051"/>
    <w:rsid w:val="430B16C1"/>
    <w:rsid w:val="430B2593"/>
    <w:rsid w:val="430B346F"/>
    <w:rsid w:val="430B5375"/>
    <w:rsid w:val="430B6AB6"/>
    <w:rsid w:val="430B7913"/>
    <w:rsid w:val="430D2F90"/>
    <w:rsid w:val="430D368B"/>
    <w:rsid w:val="430D4E13"/>
    <w:rsid w:val="430D6B93"/>
    <w:rsid w:val="430D71E7"/>
    <w:rsid w:val="430D728C"/>
    <w:rsid w:val="430D77C7"/>
    <w:rsid w:val="430E211F"/>
    <w:rsid w:val="430E67C4"/>
    <w:rsid w:val="430F11B1"/>
    <w:rsid w:val="430F2A76"/>
    <w:rsid w:val="430F32C1"/>
    <w:rsid w:val="430F394C"/>
    <w:rsid w:val="430F3CF6"/>
    <w:rsid w:val="430F4FD8"/>
    <w:rsid w:val="430F539D"/>
    <w:rsid w:val="430F7403"/>
    <w:rsid w:val="430F7580"/>
    <w:rsid w:val="43100A85"/>
    <w:rsid w:val="431044F4"/>
    <w:rsid w:val="43104F29"/>
    <w:rsid w:val="4311280D"/>
    <w:rsid w:val="43121835"/>
    <w:rsid w:val="431241F7"/>
    <w:rsid w:val="431247FD"/>
    <w:rsid w:val="43133B07"/>
    <w:rsid w:val="43140575"/>
    <w:rsid w:val="43141EC1"/>
    <w:rsid w:val="43144A19"/>
    <w:rsid w:val="43150FF8"/>
    <w:rsid w:val="43152739"/>
    <w:rsid w:val="431542ED"/>
    <w:rsid w:val="431578C0"/>
    <w:rsid w:val="43161198"/>
    <w:rsid w:val="43162488"/>
    <w:rsid w:val="43170066"/>
    <w:rsid w:val="43171E14"/>
    <w:rsid w:val="4318641E"/>
    <w:rsid w:val="43191309"/>
    <w:rsid w:val="43191B5B"/>
    <w:rsid w:val="4319254A"/>
    <w:rsid w:val="43192E06"/>
    <w:rsid w:val="431940CB"/>
    <w:rsid w:val="43194A98"/>
    <w:rsid w:val="43195B8C"/>
    <w:rsid w:val="431A1904"/>
    <w:rsid w:val="431A42EA"/>
    <w:rsid w:val="431A7B56"/>
    <w:rsid w:val="431B4E6A"/>
    <w:rsid w:val="431C040F"/>
    <w:rsid w:val="431C09D5"/>
    <w:rsid w:val="431C1B20"/>
    <w:rsid w:val="431C38CE"/>
    <w:rsid w:val="431C4669"/>
    <w:rsid w:val="431C567C"/>
    <w:rsid w:val="431C6878"/>
    <w:rsid w:val="431C742A"/>
    <w:rsid w:val="431D5FF7"/>
    <w:rsid w:val="431E0717"/>
    <w:rsid w:val="431E13F4"/>
    <w:rsid w:val="431E31A2"/>
    <w:rsid w:val="431E7FC5"/>
    <w:rsid w:val="431F33A3"/>
    <w:rsid w:val="432033BE"/>
    <w:rsid w:val="4320516C"/>
    <w:rsid w:val="4320610A"/>
    <w:rsid w:val="43210CDB"/>
    <w:rsid w:val="43210EE4"/>
    <w:rsid w:val="43211644"/>
    <w:rsid w:val="43217136"/>
    <w:rsid w:val="43222F17"/>
    <w:rsid w:val="432265F0"/>
    <w:rsid w:val="432307B8"/>
    <w:rsid w:val="43230B50"/>
    <w:rsid w:val="432314F5"/>
    <w:rsid w:val="43231A39"/>
    <w:rsid w:val="432335FB"/>
    <w:rsid w:val="43233A2D"/>
    <w:rsid w:val="43233A99"/>
    <w:rsid w:val="43234C5C"/>
    <w:rsid w:val="43234D3C"/>
    <w:rsid w:val="43236A0A"/>
    <w:rsid w:val="43244531"/>
    <w:rsid w:val="43245B78"/>
    <w:rsid w:val="43251E01"/>
    <w:rsid w:val="432539D5"/>
    <w:rsid w:val="432602A9"/>
    <w:rsid w:val="43261F7C"/>
    <w:rsid w:val="43262A96"/>
    <w:rsid w:val="432636BD"/>
    <w:rsid w:val="4326474D"/>
    <w:rsid w:val="432664FB"/>
    <w:rsid w:val="4327252E"/>
    <w:rsid w:val="43274BB4"/>
    <w:rsid w:val="4328018C"/>
    <w:rsid w:val="43284021"/>
    <w:rsid w:val="432849AF"/>
    <w:rsid w:val="43287880"/>
    <w:rsid w:val="43291B47"/>
    <w:rsid w:val="43292C01"/>
    <w:rsid w:val="43292C13"/>
    <w:rsid w:val="432A08FD"/>
    <w:rsid w:val="432A376E"/>
    <w:rsid w:val="432A452D"/>
    <w:rsid w:val="432A59BE"/>
    <w:rsid w:val="432A5FEB"/>
    <w:rsid w:val="432A76B8"/>
    <w:rsid w:val="432B081F"/>
    <w:rsid w:val="432B210A"/>
    <w:rsid w:val="432B3415"/>
    <w:rsid w:val="432B3B11"/>
    <w:rsid w:val="432B495E"/>
    <w:rsid w:val="432B6769"/>
    <w:rsid w:val="432C2EA2"/>
    <w:rsid w:val="432C576F"/>
    <w:rsid w:val="432D1637"/>
    <w:rsid w:val="432D7889"/>
    <w:rsid w:val="432E033E"/>
    <w:rsid w:val="432E070E"/>
    <w:rsid w:val="432E715D"/>
    <w:rsid w:val="432E75F6"/>
    <w:rsid w:val="432F1853"/>
    <w:rsid w:val="432F476F"/>
    <w:rsid w:val="43301127"/>
    <w:rsid w:val="43305BFF"/>
    <w:rsid w:val="43306451"/>
    <w:rsid w:val="43307B9B"/>
    <w:rsid w:val="4331074A"/>
    <w:rsid w:val="433107D0"/>
    <w:rsid w:val="433125CD"/>
    <w:rsid w:val="4331444F"/>
    <w:rsid w:val="43316A55"/>
    <w:rsid w:val="4331703C"/>
    <w:rsid w:val="43317E31"/>
    <w:rsid w:val="4332051F"/>
    <w:rsid w:val="433230F1"/>
    <w:rsid w:val="43324E9F"/>
    <w:rsid w:val="4332698C"/>
    <w:rsid w:val="43326C4D"/>
    <w:rsid w:val="43333108"/>
    <w:rsid w:val="4333424C"/>
    <w:rsid w:val="433429C6"/>
    <w:rsid w:val="43344580"/>
    <w:rsid w:val="43346E69"/>
    <w:rsid w:val="43347151"/>
    <w:rsid w:val="433504EC"/>
    <w:rsid w:val="433531A1"/>
    <w:rsid w:val="4335539B"/>
    <w:rsid w:val="4335673E"/>
    <w:rsid w:val="43362BE2"/>
    <w:rsid w:val="43364990"/>
    <w:rsid w:val="43370708"/>
    <w:rsid w:val="43380348"/>
    <w:rsid w:val="433911DA"/>
    <w:rsid w:val="43394480"/>
    <w:rsid w:val="43395F5E"/>
    <w:rsid w:val="4339622E"/>
    <w:rsid w:val="43397FDC"/>
    <w:rsid w:val="433A3D54"/>
    <w:rsid w:val="433A476F"/>
    <w:rsid w:val="433A6FE6"/>
    <w:rsid w:val="433B4453"/>
    <w:rsid w:val="433B60C3"/>
    <w:rsid w:val="433B7F45"/>
    <w:rsid w:val="433C4196"/>
    <w:rsid w:val="433C58E3"/>
    <w:rsid w:val="433C5D1E"/>
    <w:rsid w:val="433C74F4"/>
    <w:rsid w:val="433C7ACC"/>
    <w:rsid w:val="433D5237"/>
    <w:rsid w:val="433E1A96"/>
    <w:rsid w:val="433E2DD4"/>
    <w:rsid w:val="433E55F2"/>
    <w:rsid w:val="433F136A"/>
    <w:rsid w:val="433F15D6"/>
    <w:rsid w:val="433F1693"/>
    <w:rsid w:val="433F3DAC"/>
    <w:rsid w:val="433F4264"/>
    <w:rsid w:val="433F490F"/>
    <w:rsid w:val="433F7D46"/>
    <w:rsid w:val="43402B23"/>
    <w:rsid w:val="43402CE4"/>
    <w:rsid w:val="434056F4"/>
    <w:rsid w:val="434075BC"/>
    <w:rsid w:val="43413334"/>
    <w:rsid w:val="43414866"/>
    <w:rsid w:val="434155E3"/>
    <w:rsid w:val="43416EEE"/>
    <w:rsid w:val="43421586"/>
    <w:rsid w:val="4342465F"/>
    <w:rsid w:val="434278F6"/>
    <w:rsid w:val="43430E5B"/>
    <w:rsid w:val="43435682"/>
    <w:rsid w:val="43436494"/>
    <w:rsid w:val="43445F02"/>
    <w:rsid w:val="43452E25"/>
    <w:rsid w:val="434555B7"/>
    <w:rsid w:val="43460D02"/>
    <w:rsid w:val="43461566"/>
    <w:rsid w:val="434626F9"/>
    <w:rsid w:val="43462AB3"/>
    <w:rsid w:val="43467E25"/>
    <w:rsid w:val="434729F6"/>
    <w:rsid w:val="43472D70"/>
    <w:rsid w:val="43473949"/>
    <w:rsid w:val="43475C72"/>
    <w:rsid w:val="4347623D"/>
    <w:rsid w:val="43476B9D"/>
    <w:rsid w:val="4348021F"/>
    <w:rsid w:val="43480868"/>
    <w:rsid w:val="43482915"/>
    <w:rsid w:val="43483E86"/>
    <w:rsid w:val="434846C3"/>
    <w:rsid w:val="43486471"/>
    <w:rsid w:val="43493422"/>
    <w:rsid w:val="43495316"/>
    <w:rsid w:val="43496273"/>
    <w:rsid w:val="434963E9"/>
    <w:rsid w:val="434A043B"/>
    <w:rsid w:val="434A21E9"/>
    <w:rsid w:val="434A3F97"/>
    <w:rsid w:val="434A409F"/>
    <w:rsid w:val="434A4C28"/>
    <w:rsid w:val="434A5F72"/>
    <w:rsid w:val="434B2C17"/>
    <w:rsid w:val="434B5F10"/>
    <w:rsid w:val="434B5F61"/>
    <w:rsid w:val="434B7D0F"/>
    <w:rsid w:val="434C2527"/>
    <w:rsid w:val="434C2DC0"/>
    <w:rsid w:val="434C312A"/>
    <w:rsid w:val="434C645C"/>
    <w:rsid w:val="434D1CD9"/>
    <w:rsid w:val="434D3A87"/>
    <w:rsid w:val="434D5127"/>
    <w:rsid w:val="434D6868"/>
    <w:rsid w:val="434E3D93"/>
    <w:rsid w:val="434E6BD6"/>
    <w:rsid w:val="434F15AD"/>
    <w:rsid w:val="434F3D59"/>
    <w:rsid w:val="434F45F5"/>
    <w:rsid w:val="434F7188"/>
    <w:rsid w:val="434F77FF"/>
    <w:rsid w:val="4350530C"/>
    <w:rsid w:val="43505556"/>
    <w:rsid w:val="4350713C"/>
    <w:rsid w:val="43507984"/>
    <w:rsid w:val="43507DFC"/>
    <w:rsid w:val="43510082"/>
    <w:rsid w:val="43510AEB"/>
    <w:rsid w:val="435141A8"/>
    <w:rsid w:val="43514824"/>
    <w:rsid w:val="4351536C"/>
    <w:rsid w:val="43520A54"/>
    <w:rsid w:val="4352109E"/>
    <w:rsid w:val="43524E1D"/>
    <w:rsid w:val="43525542"/>
    <w:rsid w:val="435272F0"/>
    <w:rsid w:val="43530F99"/>
    <w:rsid w:val="43543068"/>
    <w:rsid w:val="43544E16"/>
    <w:rsid w:val="43546891"/>
    <w:rsid w:val="4355065E"/>
    <w:rsid w:val="43551025"/>
    <w:rsid w:val="43551950"/>
    <w:rsid w:val="4355293C"/>
    <w:rsid w:val="43560B8E"/>
    <w:rsid w:val="43562F63"/>
    <w:rsid w:val="43565E8E"/>
    <w:rsid w:val="435708DB"/>
    <w:rsid w:val="43570DAA"/>
    <w:rsid w:val="43572B58"/>
    <w:rsid w:val="43574906"/>
    <w:rsid w:val="43575D89"/>
    <w:rsid w:val="435766B4"/>
    <w:rsid w:val="435769CF"/>
    <w:rsid w:val="43585C80"/>
    <w:rsid w:val="435905DC"/>
    <w:rsid w:val="4359067E"/>
    <w:rsid w:val="43590AF8"/>
    <w:rsid w:val="435916FA"/>
    <w:rsid w:val="4359242C"/>
    <w:rsid w:val="435941F1"/>
    <w:rsid w:val="43594235"/>
    <w:rsid w:val="435A0E6C"/>
    <w:rsid w:val="435A629B"/>
    <w:rsid w:val="435A7091"/>
    <w:rsid w:val="435B22FC"/>
    <w:rsid w:val="435B2648"/>
    <w:rsid w:val="435B3597"/>
    <w:rsid w:val="435B43F6"/>
    <w:rsid w:val="435B48FA"/>
    <w:rsid w:val="435B4D20"/>
    <w:rsid w:val="435C1F1C"/>
    <w:rsid w:val="435C3CCA"/>
    <w:rsid w:val="435D0D45"/>
    <w:rsid w:val="435D1321"/>
    <w:rsid w:val="435D4C1C"/>
    <w:rsid w:val="435D6994"/>
    <w:rsid w:val="435D6A99"/>
    <w:rsid w:val="435E3AAC"/>
    <w:rsid w:val="435E5C94"/>
    <w:rsid w:val="435E7A42"/>
    <w:rsid w:val="4360359D"/>
    <w:rsid w:val="43604CDE"/>
    <w:rsid w:val="43607785"/>
    <w:rsid w:val="43607C5E"/>
    <w:rsid w:val="43615785"/>
    <w:rsid w:val="43617533"/>
    <w:rsid w:val="43620193"/>
    <w:rsid w:val="43621354"/>
    <w:rsid w:val="436239D7"/>
    <w:rsid w:val="43625650"/>
    <w:rsid w:val="43625EF8"/>
    <w:rsid w:val="43626ED6"/>
    <w:rsid w:val="436314FD"/>
    <w:rsid w:val="436332AB"/>
    <w:rsid w:val="4363365F"/>
    <w:rsid w:val="43633DC8"/>
    <w:rsid w:val="436467EE"/>
    <w:rsid w:val="436530E9"/>
    <w:rsid w:val="436533AE"/>
    <w:rsid w:val="4365451E"/>
    <w:rsid w:val="436549B3"/>
    <w:rsid w:val="43657023"/>
    <w:rsid w:val="436577AB"/>
    <w:rsid w:val="4366330F"/>
    <w:rsid w:val="43664B49"/>
    <w:rsid w:val="43664E89"/>
    <w:rsid w:val="436653E0"/>
    <w:rsid w:val="4366740F"/>
    <w:rsid w:val="43670FED"/>
    <w:rsid w:val="43675A6B"/>
    <w:rsid w:val="436808C1"/>
    <w:rsid w:val="43683806"/>
    <w:rsid w:val="43683854"/>
    <w:rsid w:val="43684DA3"/>
    <w:rsid w:val="43686B13"/>
    <w:rsid w:val="43694383"/>
    <w:rsid w:val="436949CA"/>
    <w:rsid w:val="43697CE0"/>
    <w:rsid w:val="436A07D2"/>
    <w:rsid w:val="436A2A72"/>
    <w:rsid w:val="436A3902"/>
    <w:rsid w:val="436A6F62"/>
    <w:rsid w:val="436B0208"/>
    <w:rsid w:val="436B4727"/>
    <w:rsid w:val="436C03B1"/>
    <w:rsid w:val="436C1304"/>
    <w:rsid w:val="436C3281"/>
    <w:rsid w:val="436C33A6"/>
    <w:rsid w:val="436C44D7"/>
    <w:rsid w:val="436C5344"/>
    <w:rsid w:val="436D1DC4"/>
    <w:rsid w:val="436D3F5C"/>
    <w:rsid w:val="436D5ED7"/>
    <w:rsid w:val="436E307D"/>
    <w:rsid w:val="436E7420"/>
    <w:rsid w:val="436E7DFC"/>
    <w:rsid w:val="436F0772"/>
    <w:rsid w:val="436F1C02"/>
    <w:rsid w:val="436F7EA2"/>
    <w:rsid w:val="43701282"/>
    <w:rsid w:val="43703B36"/>
    <w:rsid w:val="43721740"/>
    <w:rsid w:val="4372256D"/>
    <w:rsid w:val="43722FAC"/>
    <w:rsid w:val="437234EE"/>
    <w:rsid w:val="4374108A"/>
    <w:rsid w:val="4374370A"/>
    <w:rsid w:val="4374388D"/>
    <w:rsid w:val="43744384"/>
    <w:rsid w:val="43745EE8"/>
    <w:rsid w:val="43747266"/>
    <w:rsid w:val="43754D8C"/>
    <w:rsid w:val="43755730"/>
    <w:rsid w:val="43762FDE"/>
    <w:rsid w:val="43764378"/>
    <w:rsid w:val="43764794"/>
    <w:rsid w:val="43771EED"/>
    <w:rsid w:val="43776D56"/>
    <w:rsid w:val="437805A5"/>
    <w:rsid w:val="43790D20"/>
    <w:rsid w:val="43792ACE"/>
    <w:rsid w:val="437943F5"/>
    <w:rsid w:val="4379487C"/>
    <w:rsid w:val="437B05F4"/>
    <w:rsid w:val="437B0C83"/>
    <w:rsid w:val="437B23A2"/>
    <w:rsid w:val="437B55AE"/>
    <w:rsid w:val="437C1DB9"/>
    <w:rsid w:val="437C436D"/>
    <w:rsid w:val="437C5F39"/>
    <w:rsid w:val="437D7292"/>
    <w:rsid w:val="437E0654"/>
    <w:rsid w:val="437E1E93"/>
    <w:rsid w:val="437F0A3B"/>
    <w:rsid w:val="437F6B26"/>
    <w:rsid w:val="4380023E"/>
    <w:rsid w:val="43803E5D"/>
    <w:rsid w:val="4380468F"/>
    <w:rsid w:val="43807FB6"/>
    <w:rsid w:val="43810DB2"/>
    <w:rsid w:val="4381102C"/>
    <w:rsid w:val="4381111A"/>
    <w:rsid w:val="43811983"/>
    <w:rsid w:val="43813694"/>
    <w:rsid w:val="43814076"/>
    <w:rsid w:val="438216E6"/>
    <w:rsid w:val="438254A7"/>
    <w:rsid w:val="43827B17"/>
    <w:rsid w:val="43831973"/>
    <w:rsid w:val="438324EF"/>
    <w:rsid w:val="43833D5F"/>
    <w:rsid w:val="438356FB"/>
    <w:rsid w:val="438374A9"/>
    <w:rsid w:val="43842237"/>
    <w:rsid w:val="43851473"/>
    <w:rsid w:val="43853221"/>
    <w:rsid w:val="43855569"/>
    <w:rsid w:val="438576C5"/>
    <w:rsid w:val="43857D22"/>
    <w:rsid w:val="43860D47"/>
    <w:rsid w:val="4386210D"/>
    <w:rsid w:val="43863795"/>
    <w:rsid w:val="438653D3"/>
    <w:rsid w:val="438669F9"/>
    <w:rsid w:val="43866F99"/>
    <w:rsid w:val="43872E0A"/>
    <w:rsid w:val="4387343D"/>
    <w:rsid w:val="438751EB"/>
    <w:rsid w:val="43880F63"/>
    <w:rsid w:val="4388268D"/>
    <w:rsid w:val="43882D11"/>
    <w:rsid w:val="43884ABF"/>
    <w:rsid w:val="438904C5"/>
    <w:rsid w:val="438922BD"/>
    <w:rsid w:val="438927A9"/>
    <w:rsid w:val="438A0837"/>
    <w:rsid w:val="438A08E1"/>
    <w:rsid w:val="438A4ADE"/>
    <w:rsid w:val="438A680A"/>
    <w:rsid w:val="438A6A89"/>
    <w:rsid w:val="438B31BA"/>
    <w:rsid w:val="438B51D4"/>
    <w:rsid w:val="438B66D5"/>
    <w:rsid w:val="438B7CFE"/>
    <w:rsid w:val="438C0A54"/>
    <w:rsid w:val="438C2802"/>
    <w:rsid w:val="438C286B"/>
    <w:rsid w:val="438C45B0"/>
    <w:rsid w:val="438C4FE4"/>
    <w:rsid w:val="438C6F7D"/>
    <w:rsid w:val="438C70EC"/>
    <w:rsid w:val="438D657A"/>
    <w:rsid w:val="438D6DD9"/>
    <w:rsid w:val="438E7A4A"/>
    <w:rsid w:val="438F09D3"/>
    <w:rsid w:val="438F22F2"/>
    <w:rsid w:val="438F3899"/>
    <w:rsid w:val="438F4B21"/>
    <w:rsid w:val="438F52E6"/>
    <w:rsid w:val="438F7125"/>
    <w:rsid w:val="438F7B95"/>
    <w:rsid w:val="43901FF7"/>
    <w:rsid w:val="4390390F"/>
    <w:rsid w:val="439131F0"/>
    <w:rsid w:val="43913B0C"/>
    <w:rsid w:val="43914F70"/>
    <w:rsid w:val="4391606A"/>
    <w:rsid w:val="43916EF7"/>
    <w:rsid w:val="43917E18"/>
    <w:rsid w:val="43917EC4"/>
    <w:rsid w:val="43920AAA"/>
    <w:rsid w:val="43937B6D"/>
    <w:rsid w:val="43940E05"/>
    <w:rsid w:val="43940FFD"/>
    <w:rsid w:val="43943464"/>
    <w:rsid w:val="4394402F"/>
    <w:rsid w:val="43946D31"/>
    <w:rsid w:val="439478BC"/>
    <w:rsid w:val="43947908"/>
    <w:rsid w:val="43953645"/>
    <w:rsid w:val="4395391D"/>
    <w:rsid w:val="439632BE"/>
    <w:rsid w:val="43964600"/>
    <w:rsid w:val="43964CFB"/>
    <w:rsid w:val="43965D59"/>
    <w:rsid w:val="439671DC"/>
    <w:rsid w:val="439711A6"/>
    <w:rsid w:val="43972914"/>
    <w:rsid w:val="43972F54"/>
    <w:rsid w:val="4397797E"/>
    <w:rsid w:val="4398033B"/>
    <w:rsid w:val="439873F8"/>
    <w:rsid w:val="43994F1E"/>
    <w:rsid w:val="43996CCD"/>
    <w:rsid w:val="439A302D"/>
    <w:rsid w:val="439A49F5"/>
    <w:rsid w:val="439B0C97"/>
    <w:rsid w:val="439B4049"/>
    <w:rsid w:val="439B4BBE"/>
    <w:rsid w:val="439B778F"/>
    <w:rsid w:val="439D1A6A"/>
    <w:rsid w:val="439D4A0F"/>
    <w:rsid w:val="439D67BD"/>
    <w:rsid w:val="439E2535"/>
    <w:rsid w:val="439E42E3"/>
    <w:rsid w:val="439E6DDD"/>
    <w:rsid w:val="439E6DF1"/>
    <w:rsid w:val="439E72BE"/>
    <w:rsid w:val="439E7EF0"/>
    <w:rsid w:val="439F1200"/>
    <w:rsid w:val="43A0005B"/>
    <w:rsid w:val="43A01E09"/>
    <w:rsid w:val="43A044FF"/>
    <w:rsid w:val="43A075A0"/>
    <w:rsid w:val="43A07690"/>
    <w:rsid w:val="43A1566F"/>
    <w:rsid w:val="43A22025"/>
    <w:rsid w:val="43A221BA"/>
    <w:rsid w:val="43A22E94"/>
    <w:rsid w:val="43A23DD3"/>
    <w:rsid w:val="43A318F9"/>
    <w:rsid w:val="43A35D9D"/>
    <w:rsid w:val="43A35F21"/>
    <w:rsid w:val="43A41F82"/>
    <w:rsid w:val="43A42FC0"/>
    <w:rsid w:val="43A51B15"/>
    <w:rsid w:val="43A538C3"/>
    <w:rsid w:val="43A55671"/>
    <w:rsid w:val="43A648A2"/>
    <w:rsid w:val="43A674F2"/>
    <w:rsid w:val="43A713E9"/>
    <w:rsid w:val="43A74070"/>
    <w:rsid w:val="43A77473"/>
    <w:rsid w:val="43A7763B"/>
    <w:rsid w:val="43A85162"/>
    <w:rsid w:val="43A86F10"/>
    <w:rsid w:val="43A91D93"/>
    <w:rsid w:val="43A924BF"/>
    <w:rsid w:val="43A931D6"/>
    <w:rsid w:val="43A95097"/>
    <w:rsid w:val="43AA0EDA"/>
    <w:rsid w:val="43AA2C88"/>
    <w:rsid w:val="43AA712C"/>
    <w:rsid w:val="43AC23BB"/>
    <w:rsid w:val="43AC2EA4"/>
    <w:rsid w:val="43AC4C52"/>
    <w:rsid w:val="43AC5B43"/>
    <w:rsid w:val="43AC6A00"/>
    <w:rsid w:val="43AD1A57"/>
    <w:rsid w:val="43AD2778"/>
    <w:rsid w:val="43AD4526"/>
    <w:rsid w:val="43AD4E28"/>
    <w:rsid w:val="43AE1C43"/>
    <w:rsid w:val="43AE3034"/>
    <w:rsid w:val="43AE54E0"/>
    <w:rsid w:val="43AE5940"/>
    <w:rsid w:val="43AE5A8D"/>
    <w:rsid w:val="43AF029E"/>
    <w:rsid w:val="43AF4742"/>
    <w:rsid w:val="43AF738A"/>
    <w:rsid w:val="43B05954"/>
    <w:rsid w:val="43B10134"/>
    <w:rsid w:val="43B104BA"/>
    <w:rsid w:val="43B12268"/>
    <w:rsid w:val="43B14016"/>
    <w:rsid w:val="43B216FC"/>
    <w:rsid w:val="43B21B3C"/>
    <w:rsid w:val="43B22B71"/>
    <w:rsid w:val="43B239B6"/>
    <w:rsid w:val="43B24761"/>
    <w:rsid w:val="43B24EE7"/>
    <w:rsid w:val="43B2523D"/>
    <w:rsid w:val="43B25B3A"/>
    <w:rsid w:val="43B27D8E"/>
    <w:rsid w:val="43B31080"/>
    <w:rsid w:val="43B33804"/>
    <w:rsid w:val="43B34D58"/>
    <w:rsid w:val="43B35FE0"/>
    <w:rsid w:val="43B36CE2"/>
    <w:rsid w:val="43B371D1"/>
    <w:rsid w:val="43B41C41"/>
    <w:rsid w:val="43B41D58"/>
    <w:rsid w:val="43B43B06"/>
    <w:rsid w:val="43B458B4"/>
    <w:rsid w:val="43B45922"/>
    <w:rsid w:val="43B51BBC"/>
    <w:rsid w:val="43B54BBC"/>
    <w:rsid w:val="43B6162D"/>
    <w:rsid w:val="43B65AD0"/>
    <w:rsid w:val="43B6787E"/>
    <w:rsid w:val="43B70F9E"/>
    <w:rsid w:val="43B71C37"/>
    <w:rsid w:val="43B721B7"/>
    <w:rsid w:val="43B72C56"/>
    <w:rsid w:val="43B753A5"/>
    <w:rsid w:val="43B7662D"/>
    <w:rsid w:val="43B76B38"/>
    <w:rsid w:val="43B77719"/>
    <w:rsid w:val="43B835F7"/>
    <w:rsid w:val="43B86CB7"/>
    <w:rsid w:val="43B90147"/>
    <w:rsid w:val="43B9111D"/>
    <w:rsid w:val="43B91888"/>
    <w:rsid w:val="43B928CE"/>
    <w:rsid w:val="43B92ECB"/>
    <w:rsid w:val="43B96CD5"/>
    <w:rsid w:val="43B9736F"/>
    <w:rsid w:val="43BA0EF4"/>
    <w:rsid w:val="43BA2D77"/>
    <w:rsid w:val="43BA310E"/>
    <w:rsid w:val="43BA4BF9"/>
    <w:rsid w:val="43BA529A"/>
    <w:rsid w:val="43BA54AF"/>
    <w:rsid w:val="43BB30E7"/>
    <w:rsid w:val="43BB3245"/>
    <w:rsid w:val="43BB47EB"/>
    <w:rsid w:val="43BB4E95"/>
    <w:rsid w:val="43BB6D79"/>
    <w:rsid w:val="43BB75BB"/>
    <w:rsid w:val="43BC25A9"/>
    <w:rsid w:val="43BC29BB"/>
    <w:rsid w:val="43BC3F5C"/>
    <w:rsid w:val="43BC4CB6"/>
    <w:rsid w:val="43BC51AC"/>
    <w:rsid w:val="43BD0C0D"/>
    <w:rsid w:val="43BD26D0"/>
    <w:rsid w:val="43BD2CC7"/>
    <w:rsid w:val="43BE143C"/>
    <w:rsid w:val="43BE2EC7"/>
    <w:rsid w:val="43BE4985"/>
    <w:rsid w:val="43BE5346"/>
    <w:rsid w:val="43BE56FA"/>
    <w:rsid w:val="43BE5738"/>
    <w:rsid w:val="43BE6733"/>
    <w:rsid w:val="43BF14CA"/>
    <w:rsid w:val="43BF2BD7"/>
    <w:rsid w:val="43BF3F28"/>
    <w:rsid w:val="43BF6B8A"/>
    <w:rsid w:val="43BF6CFE"/>
    <w:rsid w:val="43BF6FE3"/>
    <w:rsid w:val="43C02306"/>
    <w:rsid w:val="43C024AB"/>
    <w:rsid w:val="43C05943"/>
    <w:rsid w:val="43C20EE5"/>
    <w:rsid w:val="43C24475"/>
    <w:rsid w:val="43C31F9B"/>
    <w:rsid w:val="43C33D49"/>
    <w:rsid w:val="43C33DCA"/>
    <w:rsid w:val="43C3550B"/>
    <w:rsid w:val="43C35F32"/>
    <w:rsid w:val="43C36A58"/>
    <w:rsid w:val="43C44004"/>
    <w:rsid w:val="43C4431A"/>
    <w:rsid w:val="43C4794F"/>
    <w:rsid w:val="43C53F65"/>
    <w:rsid w:val="43C55D14"/>
    <w:rsid w:val="43C57AC2"/>
    <w:rsid w:val="43C60138"/>
    <w:rsid w:val="43C629C1"/>
    <w:rsid w:val="43C642DC"/>
    <w:rsid w:val="43C64DCF"/>
    <w:rsid w:val="43C70A83"/>
    <w:rsid w:val="43C7274B"/>
    <w:rsid w:val="43C7378D"/>
    <w:rsid w:val="43C7383A"/>
    <w:rsid w:val="43C73BDB"/>
    <w:rsid w:val="43C7531C"/>
    <w:rsid w:val="43C755E8"/>
    <w:rsid w:val="43C81360"/>
    <w:rsid w:val="43C875B2"/>
    <w:rsid w:val="43C933BC"/>
    <w:rsid w:val="43C95804"/>
    <w:rsid w:val="43C97C3C"/>
    <w:rsid w:val="43CA1513"/>
    <w:rsid w:val="43CA2895"/>
    <w:rsid w:val="43CA36EE"/>
    <w:rsid w:val="43CA4702"/>
    <w:rsid w:val="43CA50D8"/>
    <w:rsid w:val="43CA722C"/>
    <w:rsid w:val="43CB26DF"/>
    <w:rsid w:val="43CB512D"/>
    <w:rsid w:val="43CB5510"/>
    <w:rsid w:val="43CB6BD4"/>
    <w:rsid w:val="43CC36F0"/>
    <w:rsid w:val="43CC4569"/>
    <w:rsid w:val="43CD0E03"/>
    <w:rsid w:val="43CE1BA0"/>
    <w:rsid w:val="43CE261E"/>
    <w:rsid w:val="43CF0940"/>
    <w:rsid w:val="43CF26EE"/>
    <w:rsid w:val="43CF6B92"/>
    <w:rsid w:val="43D0018B"/>
    <w:rsid w:val="43D012DB"/>
    <w:rsid w:val="43D051CD"/>
    <w:rsid w:val="43D07B0F"/>
    <w:rsid w:val="43D146B8"/>
    <w:rsid w:val="43D163CE"/>
    <w:rsid w:val="43D16466"/>
    <w:rsid w:val="43D22185"/>
    <w:rsid w:val="43D2368B"/>
    <w:rsid w:val="43D23F8D"/>
    <w:rsid w:val="43D2785E"/>
    <w:rsid w:val="43D279A1"/>
    <w:rsid w:val="43D30430"/>
    <w:rsid w:val="43D32F97"/>
    <w:rsid w:val="43D338BF"/>
    <w:rsid w:val="43D3716C"/>
    <w:rsid w:val="43D441A9"/>
    <w:rsid w:val="43D44AB6"/>
    <w:rsid w:val="43D4518D"/>
    <w:rsid w:val="43D45F57"/>
    <w:rsid w:val="43D4747D"/>
    <w:rsid w:val="43D47D05"/>
    <w:rsid w:val="43D522E4"/>
    <w:rsid w:val="43D5596A"/>
    <w:rsid w:val="43D56AEB"/>
    <w:rsid w:val="43D57920"/>
    <w:rsid w:val="43D57D85"/>
    <w:rsid w:val="43D61AC8"/>
    <w:rsid w:val="43D62240"/>
    <w:rsid w:val="43D632EF"/>
    <w:rsid w:val="43D725BF"/>
    <w:rsid w:val="43D72E8F"/>
    <w:rsid w:val="43D736D0"/>
    <w:rsid w:val="43D815DD"/>
    <w:rsid w:val="43D84B60"/>
    <w:rsid w:val="43D85A47"/>
    <w:rsid w:val="43D877F5"/>
    <w:rsid w:val="43D906C1"/>
    <w:rsid w:val="43D917BF"/>
    <w:rsid w:val="43D93427"/>
    <w:rsid w:val="43D9356D"/>
    <w:rsid w:val="43D9531B"/>
    <w:rsid w:val="43D97731"/>
    <w:rsid w:val="43DA59D0"/>
    <w:rsid w:val="43DB1093"/>
    <w:rsid w:val="43DB2051"/>
    <w:rsid w:val="43DB4C22"/>
    <w:rsid w:val="43DB5537"/>
    <w:rsid w:val="43DC0D53"/>
    <w:rsid w:val="43DC4BB5"/>
    <w:rsid w:val="43DD139C"/>
    <w:rsid w:val="43DD305D"/>
    <w:rsid w:val="43DE0406"/>
    <w:rsid w:val="43DE0531"/>
    <w:rsid w:val="43DE0B83"/>
    <w:rsid w:val="43DE2E22"/>
    <w:rsid w:val="43DE4235"/>
    <w:rsid w:val="43DE6DD5"/>
    <w:rsid w:val="43DF35A3"/>
    <w:rsid w:val="43DF3CFA"/>
    <w:rsid w:val="43DF5027"/>
    <w:rsid w:val="43E022CE"/>
    <w:rsid w:val="43E02B4D"/>
    <w:rsid w:val="43E0541A"/>
    <w:rsid w:val="43E066A9"/>
    <w:rsid w:val="43E06BF4"/>
    <w:rsid w:val="43E10A4B"/>
    <w:rsid w:val="43E10A94"/>
    <w:rsid w:val="43E12F8C"/>
    <w:rsid w:val="43E17924"/>
    <w:rsid w:val="43E22422"/>
    <w:rsid w:val="43E24D74"/>
    <w:rsid w:val="43E31666"/>
    <w:rsid w:val="43E33A96"/>
    <w:rsid w:val="43E415E6"/>
    <w:rsid w:val="43E4263E"/>
    <w:rsid w:val="43E45962"/>
    <w:rsid w:val="43E50164"/>
    <w:rsid w:val="43E51483"/>
    <w:rsid w:val="43E51F12"/>
    <w:rsid w:val="43E52A64"/>
    <w:rsid w:val="43E53CC0"/>
    <w:rsid w:val="43E6398E"/>
    <w:rsid w:val="43E715B7"/>
    <w:rsid w:val="43E72CE4"/>
    <w:rsid w:val="43E73EDC"/>
    <w:rsid w:val="43E82053"/>
    <w:rsid w:val="43E837B0"/>
    <w:rsid w:val="43E86369"/>
    <w:rsid w:val="43E929BC"/>
    <w:rsid w:val="43E9461E"/>
    <w:rsid w:val="43E95AE5"/>
    <w:rsid w:val="43E960F8"/>
    <w:rsid w:val="43E966DD"/>
    <w:rsid w:val="43E9678A"/>
    <w:rsid w:val="43EA13FE"/>
    <w:rsid w:val="43EA2D93"/>
    <w:rsid w:val="43EA338A"/>
    <w:rsid w:val="43EA39CC"/>
    <w:rsid w:val="43EA577A"/>
    <w:rsid w:val="43EB5F7C"/>
    <w:rsid w:val="43EB6171"/>
    <w:rsid w:val="43EC1091"/>
    <w:rsid w:val="43EC14F2"/>
    <w:rsid w:val="43EC16AC"/>
    <w:rsid w:val="43EC2E55"/>
    <w:rsid w:val="43EC478C"/>
    <w:rsid w:val="43EC504E"/>
    <w:rsid w:val="43ED0DC6"/>
    <w:rsid w:val="43ED60D3"/>
    <w:rsid w:val="43ED7ECE"/>
    <w:rsid w:val="43EE04C7"/>
    <w:rsid w:val="43EE7018"/>
    <w:rsid w:val="43EF0FE2"/>
    <w:rsid w:val="43EF1957"/>
    <w:rsid w:val="43EF2D90"/>
    <w:rsid w:val="43EF3098"/>
    <w:rsid w:val="43EF4AE9"/>
    <w:rsid w:val="43EF4B3E"/>
    <w:rsid w:val="43F02DE7"/>
    <w:rsid w:val="43F0439B"/>
    <w:rsid w:val="43F07FDF"/>
    <w:rsid w:val="43F107B0"/>
    <w:rsid w:val="43F108B7"/>
    <w:rsid w:val="43F12851"/>
    <w:rsid w:val="43F1440C"/>
    <w:rsid w:val="43F153C1"/>
    <w:rsid w:val="43F21A19"/>
    <w:rsid w:val="43F226B2"/>
    <w:rsid w:val="43F23F0B"/>
    <w:rsid w:val="43F263DD"/>
    <w:rsid w:val="43F32CEC"/>
    <w:rsid w:val="43F34FE5"/>
    <w:rsid w:val="43F36382"/>
    <w:rsid w:val="43F403A7"/>
    <w:rsid w:val="43F42155"/>
    <w:rsid w:val="43F43588"/>
    <w:rsid w:val="43F50A0E"/>
    <w:rsid w:val="43F56154"/>
    <w:rsid w:val="43F601BF"/>
    <w:rsid w:val="43F6182A"/>
    <w:rsid w:val="43F62371"/>
    <w:rsid w:val="43F6411F"/>
    <w:rsid w:val="43F65530"/>
    <w:rsid w:val="43F655E3"/>
    <w:rsid w:val="43F66C59"/>
    <w:rsid w:val="43F70B63"/>
    <w:rsid w:val="43F71D59"/>
    <w:rsid w:val="43F751F0"/>
    <w:rsid w:val="43F81C45"/>
    <w:rsid w:val="43F839F3"/>
    <w:rsid w:val="43F84E89"/>
    <w:rsid w:val="43F860E9"/>
    <w:rsid w:val="43F875A6"/>
    <w:rsid w:val="43F90D70"/>
    <w:rsid w:val="43F91278"/>
    <w:rsid w:val="43F959BD"/>
    <w:rsid w:val="43F9776B"/>
    <w:rsid w:val="43FA05D7"/>
    <w:rsid w:val="43FA77BC"/>
    <w:rsid w:val="43FA7FE9"/>
    <w:rsid w:val="43FB3B18"/>
    <w:rsid w:val="43FB4017"/>
    <w:rsid w:val="43FC77C1"/>
    <w:rsid w:val="43FD36FF"/>
    <w:rsid w:val="43FD53EB"/>
    <w:rsid w:val="43FD54AD"/>
    <w:rsid w:val="43FD6A3E"/>
    <w:rsid w:val="43FD6DCC"/>
    <w:rsid w:val="43FD725B"/>
    <w:rsid w:val="43FD7C73"/>
    <w:rsid w:val="43FE2E83"/>
    <w:rsid w:val="43FE2FD4"/>
    <w:rsid w:val="43FE4C25"/>
    <w:rsid w:val="43FF05AE"/>
    <w:rsid w:val="43FF144C"/>
    <w:rsid w:val="43FF401D"/>
    <w:rsid w:val="43FF4CB2"/>
    <w:rsid w:val="44000AFA"/>
    <w:rsid w:val="44005217"/>
    <w:rsid w:val="4400619E"/>
    <w:rsid w:val="44006D4C"/>
    <w:rsid w:val="44007451"/>
    <w:rsid w:val="4401320C"/>
    <w:rsid w:val="4401362E"/>
    <w:rsid w:val="44013D6C"/>
    <w:rsid w:val="4401732F"/>
    <w:rsid w:val="4402099E"/>
    <w:rsid w:val="44021DA7"/>
    <w:rsid w:val="44022E5B"/>
    <w:rsid w:val="44024872"/>
    <w:rsid w:val="44027DCD"/>
    <w:rsid w:val="44030464"/>
    <w:rsid w:val="44042532"/>
    <w:rsid w:val="44043123"/>
    <w:rsid w:val="44044A8E"/>
    <w:rsid w:val="44050BA5"/>
    <w:rsid w:val="440525B4"/>
    <w:rsid w:val="44054362"/>
    <w:rsid w:val="44055343"/>
    <w:rsid w:val="44056110"/>
    <w:rsid w:val="4405769C"/>
    <w:rsid w:val="4406131F"/>
    <w:rsid w:val="44063417"/>
    <w:rsid w:val="44064171"/>
    <w:rsid w:val="44064915"/>
    <w:rsid w:val="440700DA"/>
    <w:rsid w:val="44070729"/>
    <w:rsid w:val="44071E88"/>
    <w:rsid w:val="4407632C"/>
    <w:rsid w:val="44080852"/>
    <w:rsid w:val="44083C3F"/>
    <w:rsid w:val="44093D0A"/>
    <w:rsid w:val="44093E52"/>
    <w:rsid w:val="44094C94"/>
    <w:rsid w:val="440950CF"/>
    <w:rsid w:val="440A1978"/>
    <w:rsid w:val="440A3726"/>
    <w:rsid w:val="440A655F"/>
    <w:rsid w:val="440A7BCA"/>
    <w:rsid w:val="440B79EF"/>
    <w:rsid w:val="440C3942"/>
    <w:rsid w:val="440C58D9"/>
    <w:rsid w:val="440C7368"/>
    <w:rsid w:val="440C749E"/>
    <w:rsid w:val="440C795F"/>
    <w:rsid w:val="440D05BE"/>
    <w:rsid w:val="440D4251"/>
    <w:rsid w:val="440D4EE0"/>
    <w:rsid w:val="440E1469"/>
    <w:rsid w:val="440E3217"/>
    <w:rsid w:val="440E5EDA"/>
    <w:rsid w:val="440E7AB1"/>
    <w:rsid w:val="440F0F41"/>
    <w:rsid w:val="440F51E1"/>
    <w:rsid w:val="440F540E"/>
    <w:rsid w:val="440F6F8F"/>
    <w:rsid w:val="44101732"/>
    <w:rsid w:val="441049B7"/>
    <w:rsid w:val="44105A2D"/>
    <w:rsid w:val="44110F59"/>
    <w:rsid w:val="44112D07"/>
    <w:rsid w:val="441144E1"/>
    <w:rsid w:val="44114AB5"/>
    <w:rsid w:val="441159E8"/>
    <w:rsid w:val="44116432"/>
    <w:rsid w:val="4411661B"/>
    <w:rsid w:val="44120A2C"/>
    <w:rsid w:val="4413082D"/>
    <w:rsid w:val="44134CD1"/>
    <w:rsid w:val="44137800"/>
    <w:rsid w:val="441427F7"/>
    <w:rsid w:val="441440F3"/>
    <w:rsid w:val="441445A5"/>
    <w:rsid w:val="44146651"/>
    <w:rsid w:val="44147055"/>
    <w:rsid w:val="44150A49"/>
    <w:rsid w:val="44151FB1"/>
    <w:rsid w:val="4415745D"/>
    <w:rsid w:val="4415785E"/>
    <w:rsid w:val="441610BF"/>
    <w:rsid w:val="441647C1"/>
    <w:rsid w:val="44166243"/>
    <w:rsid w:val="4416656F"/>
    <w:rsid w:val="441676D3"/>
    <w:rsid w:val="44177BC5"/>
    <w:rsid w:val="44177E0A"/>
    <w:rsid w:val="441802E7"/>
    <w:rsid w:val="44182410"/>
    <w:rsid w:val="44184095"/>
    <w:rsid w:val="44185E43"/>
    <w:rsid w:val="44194BC4"/>
    <w:rsid w:val="44196448"/>
    <w:rsid w:val="4419736C"/>
    <w:rsid w:val="44197551"/>
    <w:rsid w:val="441A652C"/>
    <w:rsid w:val="441A7E31"/>
    <w:rsid w:val="441B1DD7"/>
    <w:rsid w:val="441B20B5"/>
    <w:rsid w:val="441B3B85"/>
    <w:rsid w:val="441B5933"/>
    <w:rsid w:val="441C0974"/>
    <w:rsid w:val="441C3545"/>
    <w:rsid w:val="441C4C7B"/>
    <w:rsid w:val="441D5B50"/>
    <w:rsid w:val="441E75A6"/>
    <w:rsid w:val="441F3676"/>
    <w:rsid w:val="441F3B2B"/>
    <w:rsid w:val="441F7EFA"/>
    <w:rsid w:val="4420119C"/>
    <w:rsid w:val="442041BB"/>
    <w:rsid w:val="442073EE"/>
    <w:rsid w:val="44230847"/>
    <w:rsid w:val="44230A0A"/>
    <w:rsid w:val="44232D97"/>
    <w:rsid w:val="442340C7"/>
    <w:rsid w:val="442347E8"/>
    <w:rsid w:val="44236EB8"/>
    <w:rsid w:val="44240C8C"/>
    <w:rsid w:val="44246EDE"/>
    <w:rsid w:val="44247304"/>
    <w:rsid w:val="44251942"/>
    <w:rsid w:val="44254243"/>
    <w:rsid w:val="44255497"/>
    <w:rsid w:val="442567B2"/>
    <w:rsid w:val="44262F1D"/>
    <w:rsid w:val="44264461"/>
    <w:rsid w:val="44267732"/>
    <w:rsid w:val="44272E82"/>
    <w:rsid w:val="442742D8"/>
    <w:rsid w:val="44283229"/>
    <w:rsid w:val="44290050"/>
    <w:rsid w:val="4429264B"/>
    <w:rsid w:val="4429428D"/>
    <w:rsid w:val="44294471"/>
    <w:rsid w:val="442944F4"/>
    <w:rsid w:val="442946B9"/>
    <w:rsid w:val="442962A2"/>
    <w:rsid w:val="4429688B"/>
    <w:rsid w:val="442A0E19"/>
    <w:rsid w:val="442A4A99"/>
    <w:rsid w:val="442A4BFE"/>
    <w:rsid w:val="442A5B49"/>
    <w:rsid w:val="442A5B77"/>
    <w:rsid w:val="442A7B80"/>
    <w:rsid w:val="442B201A"/>
    <w:rsid w:val="442B3822"/>
    <w:rsid w:val="442B71AC"/>
    <w:rsid w:val="442B7AAC"/>
    <w:rsid w:val="442C18EF"/>
    <w:rsid w:val="442C303A"/>
    <w:rsid w:val="442D0F7F"/>
    <w:rsid w:val="442D54F9"/>
    <w:rsid w:val="442E1B0B"/>
    <w:rsid w:val="442E38B9"/>
    <w:rsid w:val="442E5667"/>
    <w:rsid w:val="442E595A"/>
    <w:rsid w:val="442F13DF"/>
    <w:rsid w:val="442F76B5"/>
    <w:rsid w:val="44301E08"/>
    <w:rsid w:val="443142DB"/>
    <w:rsid w:val="44314774"/>
    <w:rsid w:val="44316F05"/>
    <w:rsid w:val="443229EA"/>
    <w:rsid w:val="44326EAC"/>
    <w:rsid w:val="44330ECF"/>
    <w:rsid w:val="44332C7D"/>
    <w:rsid w:val="44334291"/>
    <w:rsid w:val="44336ECC"/>
    <w:rsid w:val="44337DCD"/>
    <w:rsid w:val="443436FA"/>
    <w:rsid w:val="443451F5"/>
    <w:rsid w:val="44345962"/>
    <w:rsid w:val="4434688A"/>
    <w:rsid w:val="443469F5"/>
    <w:rsid w:val="443512B1"/>
    <w:rsid w:val="44352C5C"/>
    <w:rsid w:val="4435368B"/>
    <w:rsid w:val="44356402"/>
    <w:rsid w:val="4436031C"/>
    <w:rsid w:val="443609BF"/>
    <w:rsid w:val="44363DD5"/>
    <w:rsid w:val="44363FF0"/>
    <w:rsid w:val="443640EC"/>
    <w:rsid w:val="4436451B"/>
    <w:rsid w:val="44366C11"/>
    <w:rsid w:val="44381F6C"/>
    <w:rsid w:val="44384737"/>
    <w:rsid w:val="44386324"/>
    <w:rsid w:val="44392A6D"/>
    <w:rsid w:val="44397A2A"/>
    <w:rsid w:val="443A225E"/>
    <w:rsid w:val="443A3EFD"/>
    <w:rsid w:val="443A4EBA"/>
    <w:rsid w:val="443B5FD6"/>
    <w:rsid w:val="443C4228"/>
    <w:rsid w:val="443D1D4E"/>
    <w:rsid w:val="443D1DF4"/>
    <w:rsid w:val="443D287E"/>
    <w:rsid w:val="443D3AFC"/>
    <w:rsid w:val="443D3FBF"/>
    <w:rsid w:val="443D58AA"/>
    <w:rsid w:val="443D5B0A"/>
    <w:rsid w:val="443E3548"/>
    <w:rsid w:val="443F1622"/>
    <w:rsid w:val="443F35D0"/>
    <w:rsid w:val="443F5AC6"/>
    <w:rsid w:val="443F7874"/>
    <w:rsid w:val="4441079C"/>
    <w:rsid w:val="444114ED"/>
    <w:rsid w:val="4441183E"/>
    <w:rsid w:val="4442268F"/>
    <w:rsid w:val="444255B6"/>
    <w:rsid w:val="44427364"/>
    <w:rsid w:val="44432D59"/>
    <w:rsid w:val="44440500"/>
    <w:rsid w:val="444412C1"/>
    <w:rsid w:val="44441AB8"/>
    <w:rsid w:val="44444E8A"/>
    <w:rsid w:val="44445E76"/>
    <w:rsid w:val="44446C38"/>
    <w:rsid w:val="44447B80"/>
    <w:rsid w:val="44450C02"/>
    <w:rsid w:val="44452751"/>
    <w:rsid w:val="444529B0"/>
    <w:rsid w:val="44467364"/>
    <w:rsid w:val="44472432"/>
    <w:rsid w:val="44472BCC"/>
    <w:rsid w:val="444733E0"/>
    <w:rsid w:val="44475714"/>
    <w:rsid w:val="44476729"/>
    <w:rsid w:val="444810D2"/>
    <w:rsid w:val="4448333B"/>
    <w:rsid w:val="44487991"/>
    <w:rsid w:val="444906F3"/>
    <w:rsid w:val="4449106C"/>
    <w:rsid w:val="44491080"/>
    <w:rsid w:val="44491BBE"/>
    <w:rsid w:val="444924A1"/>
    <w:rsid w:val="44492EA4"/>
    <w:rsid w:val="44496945"/>
    <w:rsid w:val="444A0269"/>
    <w:rsid w:val="444A0BCE"/>
    <w:rsid w:val="444A5133"/>
    <w:rsid w:val="444A6219"/>
    <w:rsid w:val="444A7058"/>
    <w:rsid w:val="444B446B"/>
    <w:rsid w:val="444B7A53"/>
    <w:rsid w:val="444C01E3"/>
    <w:rsid w:val="444C0EE3"/>
    <w:rsid w:val="444C1F91"/>
    <w:rsid w:val="444C3D3F"/>
    <w:rsid w:val="444C4400"/>
    <w:rsid w:val="444C7027"/>
    <w:rsid w:val="444D7A22"/>
    <w:rsid w:val="444E2959"/>
    <w:rsid w:val="444E33D0"/>
    <w:rsid w:val="444E3F5B"/>
    <w:rsid w:val="444E530F"/>
    <w:rsid w:val="444E5D09"/>
    <w:rsid w:val="444E6A70"/>
    <w:rsid w:val="444E7AB7"/>
    <w:rsid w:val="4450056A"/>
    <w:rsid w:val="44501A81"/>
    <w:rsid w:val="44503803"/>
    <w:rsid w:val="4450382F"/>
    <w:rsid w:val="44507440"/>
    <w:rsid w:val="44507CD3"/>
    <w:rsid w:val="44510159"/>
    <w:rsid w:val="44511355"/>
    <w:rsid w:val="44514B9B"/>
    <w:rsid w:val="44514EF9"/>
    <w:rsid w:val="445175A7"/>
    <w:rsid w:val="44523AB9"/>
    <w:rsid w:val="445275A7"/>
    <w:rsid w:val="44531571"/>
    <w:rsid w:val="4453558D"/>
    <w:rsid w:val="44540989"/>
    <w:rsid w:val="44542172"/>
    <w:rsid w:val="445429F8"/>
    <w:rsid w:val="44543425"/>
    <w:rsid w:val="445458FB"/>
    <w:rsid w:val="445500CB"/>
    <w:rsid w:val="44550E45"/>
    <w:rsid w:val="445510C8"/>
    <w:rsid w:val="44552246"/>
    <w:rsid w:val="4455305E"/>
    <w:rsid w:val="44562E10"/>
    <w:rsid w:val="4456346E"/>
    <w:rsid w:val="44563BF6"/>
    <w:rsid w:val="44564BBE"/>
    <w:rsid w:val="445656AD"/>
    <w:rsid w:val="4456696C"/>
    <w:rsid w:val="44574B66"/>
    <w:rsid w:val="44575FF6"/>
    <w:rsid w:val="44580BC7"/>
    <w:rsid w:val="44585669"/>
    <w:rsid w:val="44586B88"/>
    <w:rsid w:val="445949D9"/>
    <w:rsid w:val="445A46AE"/>
    <w:rsid w:val="445A5081"/>
    <w:rsid w:val="445A5155"/>
    <w:rsid w:val="445A5BCD"/>
    <w:rsid w:val="445A5F7E"/>
    <w:rsid w:val="445A645C"/>
    <w:rsid w:val="445B0426"/>
    <w:rsid w:val="445B7548"/>
    <w:rsid w:val="445C1F64"/>
    <w:rsid w:val="445C6678"/>
    <w:rsid w:val="445D1E68"/>
    <w:rsid w:val="445D419E"/>
    <w:rsid w:val="445D7297"/>
    <w:rsid w:val="445E17B2"/>
    <w:rsid w:val="445E32F8"/>
    <w:rsid w:val="445E33FB"/>
    <w:rsid w:val="445F1CC4"/>
    <w:rsid w:val="445F3D82"/>
    <w:rsid w:val="445F5EC9"/>
    <w:rsid w:val="445F5EE6"/>
    <w:rsid w:val="446043BF"/>
    <w:rsid w:val="446077EA"/>
    <w:rsid w:val="44613C8E"/>
    <w:rsid w:val="44615A3C"/>
    <w:rsid w:val="446217B4"/>
    <w:rsid w:val="44623562"/>
    <w:rsid w:val="446310DA"/>
    <w:rsid w:val="446332A5"/>
    <w:rsid w:val="44634599"/>
    <w:rsid w:val="44634E7D"/>
    <w:rsid w:val="44634F3F"/>
    <w:rsid w:val="44641089"/>
    <w:rsid w:val="446432F1"/>
    <w:rsid w:val="4464552C"/>
    <w:rsid w:val="446472DA"/>
    <w:rsid w:val="44650F3F"/>
    <w:rsid w:val="44651F6F"/>
    <w:rsid w:val="44654E01"/>
    <w:rsid w:val="446601AB"/>
    <w:rsid w:val="446612A5"/>
    <w:rsid w:val="44663053"/>
    <w:rsid w:val="44670B79"/>
    <w:rsid w:val="44672F1A"/>
    <w:rsid w:val="44676CD7"/>
    <w:rsid w:val="44676DCB"/>
    <w:rsid w:val="44676E58"/>
    <w:rsid w:val="446855CD"/>
    <w:rsid w:val="44692B43"/>
    <w:rsid w:val="4469437A"/>
    <w:rsid w:val="4469669F"/>
    <w:rsid w:val="4469678A"/>
    <w:rsid w:val="446A3D06"/>
    <w:rsid w:val="446A6C6D"/>
    <w:rsid w:val="446A7565"/>
    <w:rsid w:val="446B0039"/>
    <w:rsid w:val="446B0669"/>
    <w:rsid w:val="446B4FA9"/>
    <w:rsid w:val="446B551E"/>
    <w:rsid w:val="446B6021"/>
    <w:rsid w:val="446B617D"/>
    <w:rsid w:val="446B68BB"/>
    <w:rsid w:val="446C04CD"/>
    <w:rsid w:val="446C2633"/>
    <w:rsid w:val="446C43E1"/>
    <w:rsid w:val="446C618F"/>
    <w:rsid w:val="446C7936"/>
    <w:rsid w:val="446D195D"/>
    <w:rsid w:val="446D1ACB"/>
    <w:rsid w:val="446E1F07"/>
    <w:rsid w:val="446E2CD5"/>
    <w:rsid w:val="446E2DED"/>
    <w:rsid w:val="446E5D3B"/>
    <w:rsid w:val="446E63AB"/>
    <w:rsid w:val="446F169C"/>
    <w:rsid w:val="446F5021"/>
    <w:rsid w:val="446F7A2D"/>
    <w:rsid w:val="447001FE"/>
    <w:rsid w:val="44703230"/>
    <w:rsid w:val="44704D63"/>
    <w:rsid w:val="44705C7F"/>
    <w:rsid w:val="44705CD5"/>
    <w:rsid w:val="447102DE"/>
    <w:rsid w:val="44712C2D"/>
    <w:rsid w:val="44723EF7"/>
    <w:rsid w:val="44726109"/>
    <w:rsid w:val="447339C1"/>
    <w:rsid w:val="447342AD"/>
    <w:rsid w:val="44734717"/>
    <w:rsid w:val="44735770"/>
    <w:rsid w:val="4473751E"/>
    <w:rsid w:val="447431B5"/>
    <w:rsid w:val="44746C5F"/>
    <w:rsid w:val="447500EF"/>
    <w:rsid w:val="44753296"/>
    <w:rsid w:val="44754026"/>
    <w:rsid w:val="44756BF4"/>
    <w:rsid w:val="44760DBC"/>
    <w:rsid w:val="44760E49"/>
    <w:rsid w:val="4476157F"/>
    <w:rsid w:val="44766D69"/>
    <w:rsid w:val="447729BD"/>
    <w:rsid w:val="447733D3"/>
    <w:rsid w:val="4477516C"/>
    <w:rsid w:val="44775260"/>
    <w:rsid w:val="44776E72"/>
    <w:rsid w:val="4477797A"/>
    <w:rsid w:val="447809FD"/>
    <w:rsid w:val="44780FD8"/>
    <w:rsid w:val="44781760"/>
    <w:rsid w:val="44781E36"/>
    <w:rsid w:val="447824A3"/>
    <w:rsid w:val="44782D86"/>
    <w:rsid w:val="44783E9F"/>
    <w:rsid w:val="44784B34"/>
    <w:rsid w:val="4478718B"/>
    <w:rsid w:val="447943D1"/>
    <w:rsid w:val="447A08AC"/>
    <w:rsid w:val="447A2CA3"/>
    <w:rsid w:val="447A65BE"/>
    <w:rsid w:val="447A6AFE"/>
    <w:rsid w:val="447A7410"/>
    <w:rsid w:val="447B05B5"/>
    <w:rsid w:val="447B2820"/>
    <w:rsid w:val="447C2876"/>
    <w:rsid w:val="447C67B9"/>
    <w:rsid w:val="447D039C"/>
    <w:rsid w:val="447D107F"/>
    <w:rsid w:val="447D214A"/>
    <w:rsid w:val="447D65EE"/>
    <w:rsid w:val="447D6881"/>
    <w:rsid w:val="447D7295"/>
    <w:rsid w:val="447F3D2C"/>
    <w:rsid w:val="447F4114"/>
    <w:rsid w:val="447F5EC2"/>
    <w:rsid w:val="44801C3A"/>
    <w:rsid w:val="44807647"/>
    <w:rsid w:val="44810ED1"/>
    <w:rsid w:val="448139E8"/>
    <w:rsid w:val="4481480A"/>
    <w:rsid w:val="448223EC"/>
    <w:rsid w:val="448226F3"/>
    <w:rsid w:val="44823C05"/>
    <w:rsid w:val="448259B3"/>
    <w:rsid w:val="44827761"/>
    <w:rsid w:val="44832A4B"/>
    <w:rsid w:val="448434D9"/>
    <w:rsid w:val="44846754"/>
    <w:rsid w:val="4484797D"/>
    <w:rsid w:val="44850084"/>
    <w:rsid w:val="4485214D"/>
    <w:rsid w:val="448636F5"/>
    <w:rsid w:val="448654A3"/>
    <w:rsid w:val="44865A31"/>
    <w:rsid w:val="4487121B"/>
    <w:rsid w:val="44872FC9"/>
    <w:rsid w:val="44873CE3"/>
    <w:rsid w:val="448750D1"/>
    <w:rsid w:val="44886565"/>
    <w:rsid w:val="4488746D"/>
    <w:rsid w:val="44894F93"/>
    <w:rsid w:val="44896C39"/>
    <w:rsid w:val="448A0E85"/>
    <w:rsid w:val="448A3FE4"/>
    <w:rsid w:val="448B0ADD"/>
    <w:rsid w:val="448B0D0B"/>
    <w:rsid w:val="448B2AB9"/>
    <w:rsid w:val="448B4867"/>
    <w:rsid w:val="448C05DF"/>
    <w:rsid w:val="448C312E"/>
    <w:rsid w:val="448C6831"/>
    <w:rsid w:val="448D3975"/>
    <w:rsid w:val="448D4A83"/>
    <w:rsid w:val="448D4D60"/>
    <w:rsid w:val="448D4EBA"/>
    <w:rsid w:val="448E07FB"/>
    <w:rsid w:val="448E1545"/>
    <w:rsid w:val="448E23D7"/>
    <w:rsid w:val="448E25A9"/>
    <w:rsid w:val="448E3562"/>
    <w:rsid w:val="448E4357"/>
    <w:rsid w:val="448E6105"/>
    <w:rsid w:val="448F085F"/>
    <w:rsid w:val="448F63E5"/>
    <w:rsid w:val="448F777A"/>
    <w:rsid w:val="449000D0"/>
    <w:rsid w:val="44901C22"/>
    <w:rsid w:val="44901E7E"/>
    <w:rsid w:val="44906321"/>
    <w:rsid w:val="44906FD3"/>
    <w:rsid w:val="449107E6"/>
    <w:rsid w:val="44910D34"/>
    <w:rsid w:val="44910D58"/>
    <w:rsid w:val="44911992"/>
    <w:rsid w:val="44912F35"/>
    <w:rsid w:val="44913E48"/>
    <w:rsid w:val="44915BF6"/>
    <w:rsid w:val="44915D3F"/>
    <w:rsid w:val="44916746"/>
    <w:rsid w:val="44917D47"/>
    <w:rsid w:val="44920C29"/>
    <w:rsid w:val="4492209A"/>
    <w:rsid w:val="4493196E"/>
    <w:rsid w:val="44933678"/>
    <w:rsid w:val="449342EF"/>
    <w:rsid w:val="44935E12"/>
    <w:rsid w:val="44937BC0"/>
    <w:rsid w:val="44937E9F"/>
    <w:rsid w:val="44942FA3"/>
    <w:rsid w:val="44944159"/>
    <w:rsid w:val="44951994"/>
    <w:rsid w:val="44953E46"/>
    <w:rsid w:val="4495487B"/>
    <w:rsid w:val="44957494"/>
    <w:rsid w:val="44957569"/>
    <w:rsid w:val="449578AD"/>
    <w:rsid w:val="44960700"/>
    <w:rsid w:val="4496412F"/>
    <w:rsid w:val="449649FB"/>
    <w:rsid w:val="44965F15"/>
    <w:rsid w:val="44971FF9"/>
    <w:rsid w:val="44973997"/>
    <w:rsid w:val="44975DA4"/>
    <w:rsid w:val="449818C5"/>
    <w:rsid w:val="4498228F"/>
    <w:rsid w:val="44982710"/>
    <w:rsid w:val="44983428"/>
    <w:rsid w:val="4498412E"/>
    <w:rsid w:val="449851D6"/>
    <w:rsid w:val="44986F84"/>
    <w:rsid w:val="449974B9"/>
    <w:rsid w:val="449974E9"/>
    <w:rsid w:val="449A0F4E"/>
    <w:rsid w:val="449A111E"/>
    <w:rsid w:val="449A2CFC"/>
    <w:rsid w:val="449B03E9"/>
    <w:rsid w:val="449B0822"/>
    <w:rsid w:val="449B21BC"/>
    <w:rsid w:val="449B2D19"/>
    <w:rsid w:val="449C0130"/>
    <w:rsid w:val="449C1DC6"/>
    <w:rsid w:val="449C66C4"/>
    <w:rsid w:val="449C6A74"/>
    <w:rsid w:val="449C7BBD"/>
    <w:rsid w:val="449D0A3E"/>
    <w:rsid w:val="449D1280"/>
    <w:rsid w:val="449D4729"/>
    <w:rsid w:val="449E059F"/>
    <w:rsid w:val="449E1FFF"/>
    <w:rsid w:val="449F0313"/>
    <w:rsid w:val="449F13B6"/>
    <w:rsid w:val="449F1C1A"/>
    <w:rsid w:val="449F2689"/>
    <w:rsid w:val="449F2910"/>
    <w:rsid w:val="449F6565"/>
    <w:rsid w:val="44A032C5"/>
    <w:rsid w:val="44A047EB"/>
    <w:rsid w:val="44A0660E"/>
    <w:rsid w:val="44A06709"/>
    <w:rsid w:val="44A1052F"/>
    <w:rsid w:val="44A122DD"/>
    <w:rsid w:val="44A1408B"/>
    <w:rsid w:val="44A235C7"/>
    <w:rsid w:val="44A26055"/>
    <w:rsid w:val="44A27E03"/>
    <w:rsid w:val="44A3011A"/>
    <w:rsid w:val="44A3059B"/>
    <w:rsid w:val="44A35E3F"/>
    <w:rsid w:val="44A41DCD"/>
    <w:rsid w:val="44A445FC"/>
    <w:rsid w:val="44A456DF"/>
    <w:rsid w:val="44A4583F"/>
    <w:rsid w:val="44A45929"/>
    <w:rsid w:val="44A51D8B"/>
    <w:rsid w:val="44A57DC2"/>
    <w:rsid w:val="44A60ABF"/>
    <w:rsid w:val="44A6768C"/>
    <w:rsid w:val="44A703AC"/>
    <w:rsid w:val="44A72BE7"/>
    <w:rsid w:val="44A75419"/>
    <w:rsid w:val="44A771C7"/>
    <w:rsid w:val="44A82D51"/>
    <w:rsid w:val="44A8366B"/>
    <w:rsid w:val="44A860AB"/>
    <w:rsid w:val="44A91191"/>
    <w:rsid w:val="44A921A8"/>
    <w:rsid w:val="44A923CF"/>
    <w:rsid w:val="44A92F3F"/>
    <w:rsid w:val="44A958B7"/>
    <w:rsid w:val="44AA046E"/>
    <w:rsid w:val="44AA20EF"/>
    <w:rsid w:val="44AB4F09"/>
    <w:rsid w:val="44AB6CB7"/>
    <w:rsid w:val="44AC30EC"/>
    <w:rsid w:val="44AD0C81"/>
    <w:rsid w:val="44AD379C"/>
    <w:rsid w:val="44AD421E"/>
    <w:rsid w:val="44AD6C8A"/>
    <w:rsid w:val="44AD6ED3"/>
    <w:rsid w:val="44AE0D02"/>
    <w:rsid w:val="44AE0D7B"/>
    <w:rsid w:val="44AE16B8"/>
    <w:rsid w:val="44AE1C97"/>
    <w:rsid w:val="44AF1995"/>
    <w:rsid w:val="44AF5328"/>
    <w:rsid w:val="44B00772"/>
    <w:rsid w:val="44B02520"/>
    <w:rsid w:val="44B042CE"/>
    <w:rsid w:val="44B06768"/>
    <w:rsid w:val="44B12ED2"/>
    <w:rsid w:val="44B13362"/>
    <w:rsid w:val="44B20090"/>
    <w:rsid w:val="44B2288A"/>
    <w:rsid w:val="44B244EA"/>
    <w:rsid w:val="44B25842"/>
    <w:rsid w:val="44B26298"/>
    <w:rsid w:val="44B27E2B"/>
    <w:rsid w:val="44B30262"/>
    <w:rsid w:val="44B32884"/>
    <w:rsid w:val="44B36E24"/>
    <w:rsid w:val="44B400BF"/>
    <w:rsid w:val="44B414A4"/>
    <w:rsid w:val="44B440F1"/>
    <w:rsid w:val="44B51EB8"/>
    <w:rsid w:val="44B547C5"/>
    <w:rsid w:val="44B6565C"/>
    <w:rsid w:val="44B66A11"/>
    <w:rsid w:val="44B7190B"/>
    <w:rsid w:val="44B74255"/>
    <w:rsid w:val="44B779A5"/>
    <w:rsid w:val="44B77BF8"/>
    <w:rsid w:val="44B813D4"/>
    <w:rsid w:val="44B83736"/>
    <w:rsid w:val="44B83F02"/>
    <w:rsid w:val="44B85878"/>
    <w:rsid w:val="44B86961"/>
    <w:rsid w:val="44B86CD2"/>
    <w:rsid w:val="44B87404"/>
    <w:rsid w:val="44B87626"/>
    <w:rsid w:val="44B928EA"/>
    <w:rsid w:val="44B950CC"/>
    <w:rsid w:val="44B951CC"/>
    <w:rsid w:val="44B951D0"/>
    <w:rsid w:val="44B97BDC"/>
    <w:rsid w:val="44BA15F0"/>
    <w:rsid w:val="44BA339E"/>
    <w:rsid w:val="44BA4038"/>
    <w:rsid w:val="44BA56DC"/>
    <w:rsid w:val="44BA6EFA"/>
    <w:rsid w:val="44BB092A"/>
    <w:rsid w:val="44BB1632"/>
    <w:rsid w:val="44BB2AC6"/>
    <w:rsid w:val="44BB4CCB"/>
    <w:rsid w:val="44BC08C1"/>
    <w:rsid w:val="44BC0EC5"/>
    <w:rsid w:val="44BC2C73"/>
    <w:rsid w:val="44BC6AA8"/>
    <w:rsid w:val="44BD176A"/>
    <w:rsid w:val="44BD1C6D"/>
    <w:rsid w:val="44BD3D13"/>
    <w:rsid w:val="44BD51A3"/>
    <w:rsid w:val="44BD5FC0"/>
    <w:rsid w:val="44BD62B4"/>
    <w:rsid w:val="44BD68E4"/>
    <w:rsid w:val="44BE3738"/>
    <w:rsid w:val="44BE4A55"/>
    <w:rsid w:val="44BF09B5"/>
    <w:rsid w:val="44BF2763"/>
    <w:rsid w:val="44BF2D64"/>
    <w:rsid w:val="44BF55BC"/>
    <w:rsid w:val="44BF7FE8"/>
    <w:rsid w:val="44C00131"/>
    <w:rsid w:val="44C007D6"/>
    <w:rsid w:val="44C0418A"/>
    <w:rsid w:val="44C04CF2"/>
    <w:rsid w:val="44C0516D"/>
    <w:rsid w:val="44C06A3A"/>
    <w:rsid w:val="44C10289"/>
    <w:rsid w:val="44C1472D"/>
    <w:rsid w:val="44C164DB"/>
    <w:rsid w:val="44C203A3"/>
    <w:rsid w:val="44C22253"/>
    <w:rsid w:val="44C24B58"/>
    <w:rsid w:val="44C31015"/>
    <w:rsid w:val="44C33ACC"/>
    <w:rsid w:val="44C361AF"/>
    <w:rsid w:val="44C36444"/>
    <w:rsid w:val="44C40DBD"/>
    <w:rsid w:val="44C4239B"/>
    <w:rsid w:val="44C43833"/>
    <w:rsid w:val="44C4421D"/>
    <w:rsid w:val="44C44928"/>
    <w:rsid w:val="44C45A43"/>
    <w:rsid w:val="44C45DF3"/>
    <w:rsid w:val="44C45E5B"/>
    <w:rsid w:val="44C47D79"/>
    <w:rsid w:val="44C531E1"/>
    <w:rsid w:val="44C55076"/>
    <w:rsid w:val="44C63AF1"/>
    <w:rsid w:val="44C64DC5"/>
    <w:rsid w:val="44C66506"/>
    <w:rsid w:val="44C67F95"/>
    <w:rsid w:val="44C71617"/>
    <w:rsid w:val="44C72567"/>
    <w:rsid w:val="44C72A9F"/>
    <w:rsid w:val="44C732D5"/>
    <w:rsid w:val="44C74E57"/>
    <w:rsid w:val="44C77869"/>
    <w:rsid w:val="44C77996"/>
    <w:rsid w:val="44C807F9"/>
    <w:rsid w:val="44C80E26"/>
    <w:rsid w:val="44C85ABB"/>
    <w:rsid w:val="44C91833"/>
    <w:rsid w:val="44C93302"/>
    <w:rsid w:val="44C94E87"/>
    <w:rsid w:val="44C9538F"/>
    <w:rsid w:val="44C96094"/>
    <w:rsid w:val="44CA1B65"/>
    <w:rsid w:val="44CA3781"/>
    <w:rsid w:val="44CA4E6C"/>
    <w:rsid w:val="44CA597E"/>
    <w:rsid w:val="44CB1108"/>
    <w:rsid w:val="44CB55AC"/>
    <w:rsid w:val="44CB735A"/>
    <w:rsid w:val="44CC30CE"/>
    <w:rsid w:val="44CC3808"/>
    <w:rsid w:val="44CC6C2E"/>
    <w:rsid w:val="44CD14E0"/>
    <w:rsid w:val="44CD4E80"/>
    <w:rsid w:val="44CD5260"/>
    <w:rsid w:val="44CD7763"/>
    <w:rsid w:val="44CE6128"/>
    <w:rsid w:val="44CE6E4A"/>
    <w:rsid w:val="44CF5718"/>
    <w:rsid w:val="44CF75B8"/>
    <w:rsid w:val="44D013D1"/>
    <w:rsid w:val="44D02BC2"/>
    <w:rsid w:val="44D03DF3"/>
    <w:rsid w:val="44D040BE"/>
    <w:rsid w:val="44D04970"/>
    <w:rsid w:val="44D13619"/>
    <w:rsid w:val="44D206E8"/>
    <w:rsid w:val="44D20863"/>
    <w:rsid w:val="44D212C3"/>
    <w:rsid w:val="44D22496"/>
    <w:rsid w:val="44D2693A"/>
    <w:rsid w:val="44D3620E"/>
    <w:rsid w:val="44D37FBC"/>
    <w:rsid w:val="44D416B4"/>
    <w:rsid w:val="44D426B2"/>
    <w:rsid w:val="44D4283C"/>
    <w:rsid w:val="44D4506E"/>
    <w:rsid w:val="44D473C9"/>
    <w:rsid w:val="44D501D8"/>
    <w:rsid w:val="44D51F86"/>
    <w:rsid w:val="44D5347A"/>
    <w:rsid w:val="44D5396D"/>
    <w:rsid w:val="44D53D34"/>
    <w:rsid w:val="44D55303"/>
    <w:rsid w:val="44D6015C"/>
    <w:rsid w:val="44D60527"/>
    <w:rsid w:val="44D6088E"/>
    <w:rsid w:val="44D6730C"/>
    <w:rsid w:val="44D73F50"/>
    <w:rsid w:val="44D74D32"/>
    <w:rsid w:val="44D75CFE"/>
    <w:rsid w:val="44D76770"/>
    <w:rsid w:val="44D76E82"/>
    <w:rsid w:val="44D77AAC"/>
    <w:rsid w:val="44D8091B"/>
    <w:rsid w:val="44D80DF9"/>
    <w:rsid w:val="44D816B5"/>
    <w:rsid w:val="44D81A76"/>
    <w:rsid w:val="44D81DAB"/>
    <w:rsid w:val="44D83A6D"/>
    <w:rsid w:val="44D85BF2"/>
    <w:rsid w:val="44D9323B"/>
    <w:rsid w:val="44D97CC8"/>
    <w:rsid w:val="44DA134B"/>
    <w:rsid w:val="44DA40C9"/>
    <w:rsid w:val="44DA5705"/>
    <w:rsid w:val="44DA57EF"/>
    <w:rsid w:val="44DA68E1"/>
    <w:rsid w:val="44DB4311"/>
    <w:rsid w:val="44DC0B4D"/>
    <w:rsid w:val="44DC1567"/>
    <w:rsid w:val="44DC39CD"/>
    <w:rsid w:val="44DC50C3"/>
    <w:rsid w:val="44DD155D"/>
    <w:rsid w:val="44DE014B"/>
    <w:rsid w:val="44DE2EA1"/>
    <w:rsid w:val="44DE304C"/>
    <w:rsid w:val="44DE708D"/>
    <w:rsid w:val="44DF1057"/>
    <w:rsid w:val="44DF2E05"/>
    <w:rsid w:val="44DF4BB3"/>
    <w:rsid w:val="44DF60B2"/>
    <w:rsid w:val="44E0053D"/>
    <w:rsid w:val="44E04BA8"/>
    <w:rsid w:val="44E058A3"/>
    <w:rsid w:val="44E126D9"/>
    <w:rsid w:val="44E1310E"/>
    <w:rsid w:val="44E16B7D"/>
    <w:rsid w:val="44E2459E"/>
    <w:rsid w:val="44E305FF"/>
    <w:rsid w:val="44E3128B"/>
    <w:rsid w:val="44E328F5"/>
    <w:rsid w:val="44E34024"/>
    <w:rsid w:val="44E421C9"/>
    <w:rsid w:val="44E42927"/>
    <w:rsid w:val="44E445F8"/>
    <w:rsid w:val="44E45852"/>
    <w:rsid w:val="44E4666D"/>
    <w:rsid w:val="44E474EF"/>
    <w:rsid w:val="44E52F1F"/>
    <w:rsid w:val="44E5740D"/>
    <w:rsid w:val="44E61C8A"/>
    <w:rsid w:val="44E62288"/>
    <w:rsid w:val="44E63025"/>
    <w:rsid w:val="44E65F41"/>
    <w:rsid w:val="44E66028"/>
    <w:rsid w:val="44E67CEF"/>
    <w:rsid w:val="44E703FF"/>
    <w:rsid w:val="44E70410"/>
    <w:rsid w:val="44E72015"/>
    <w:rsid w:val="44E72281"/>
    <w:rsid w:val="44E754AA"/>
    <w:rsid w:val="44E801C8"/>
    <w:rsid w:val="44E86CCF"/>
    <w:rsid w:val="44E9006A"/>
    <w:rsid w:val="44E90F65"/>
    <w:rsid w:val="44E93466"/>
    <w:rsid w:val="44E93C84"/>
    <w:rsid w:val="44E95A32"/>
    <w:rsid w:val="44E977E0"/>
    <w:rsid w:val="44EA17F7"/>
    <w:rsid w:val="44EA3E5F"/>
    <w:rsid w:val="44EA6F68"/>
    <w:rsid w:val="44EA7493"/>
    <w:rsid w:val="44EB0344"/>
    <w:rsid w:val="44EB4C42"/>
    <w:rsid w:val="44EC107E"/>
    <w:rsid w:val="44EC1E3E"/>
    <w:rsid w:val="44EC38D7"/>
    <w:rsid w:val="44ED0F33"/>
    <w:rsid w:val="44ED72D0"/>
    <w:rsid w:val="44EE129A"/>
    <w:rsid w:val="44EE2122"/>
    <w:rsid w:val="44EE2B41"/>
    <w:rsid w:val="44EE3048"/>
    <w:rsid w:val="44EE3FA4"/>
    <w:rsid w:val="44EF0897"/>
    <w:rsid w:val="44EF2D10"/>
    <w:rsid w:val="44EF3FD1"/>
    <w:rsid w:val="44EF694E"/>
    <w:rsid w:val="44EF6BA2"/>
    <w:rsid w:val="44EF7FAF"/>
    <w:rsid w:val="44F00032"/>
    <w:rsid w:val="44F00B6E"/>
    <w:rsid w:val="44F024B0"/>
    <w:rsid w:val="44F04666"/>
    <w:rsid w:val="44F05012"/>
    <w:rsid w:val="44F056F9"/>
    <w:rsid w:val="44F06A79"/>
    <w:rsid w:val="44F06F41"/>
    <w:rsid w:val="44F114C2"/>
    <w:rsid w:val="44F15FB1"/>
    <w:rsid w:val="44F20B0B"/>
    <w:rsid w:val="44F22952"/>
    <w:rsid w:val="44F22B38"/>
    <w:rsid w:val="44F23B97"/>
    <w:rsid w:val="44F248E6"/>
    <w:rsid w:val="44F25523"/>
    <w:rsid w:val="44F25F94"/>
    <w:rsid w:val="44F27C04"/>
    <w:rsid w:val="44F3065E"/>
    <w:rsid w:val="44F3240C"/>
    <w:rsid w:val="44F3579B"/>
    <w:rsid w:val="44F41584"/>
    <w:rsid w:val="44F41A0C"/>
    <w:rsid w:val="44F468B0"/>
    <w:rsid w:val="44F52628"/>
    <w:rsid w:val="44F56185"/>
    <w:rsid w:val="44F67CE2"/>
    <w:rsid w:val="44F7014F"/>
    <w:rsid w:val="44F71EFD"/>
    <w:rsid w:val="44F764DA"/>
    <w:rsid w:val="44F77C59"/>
    <w:rsid w:val="44F805E8"/>
    <w:rsid w:val="44F867C4"/>
    <w:rsid w:val="44F92A42"/>
    <w:rsid w:val="44F9685C"/>
    <w:rsid w:val="44FA19ED"/>
    <w:rsid w:val="44FA379B"/>
    <w:rsid w:val="44FC0BA2"/>
    <w:rsid w:val="44FC0C8D"/>
    <w:rsid w:val="44FC1C04"/>
    <w:rsid w:val="44FC39B7"/>
    <w:rsid w:val="44FC40D8"/>
    <w:rsid w:val="44FC51B8"/>
    <w:rsid w:val="44FC5765"/>
    <w:rsid w:val="44FC5DAB"/>
    <w:rsid w:val="44FC7513"/>
    <w:rsid w:val="44FD2306"/>
    <w:rsid w:val="44FD328B"/>
    <w:rsid w:val="44FE14DD"/>
    <w:rsid w:val="44FE157F"/>
    <w:rsid w:val="44FE45A3"/>
    <w:rsid w:val="44FE6931"/>
    <w:rsid w:val="44FE772F"/>
    <w:rsid w:val="44FF0DB1"/>
    <w:rsid w:val="44FF16B4"/>
    <w:rsid w:val="44FF34A7"/>
    <w:rsid w:val="44FF6697"/>
    <w:rsid w:val="45001100"/>
    <w:rsid w:val="450077EF"/>
    <w:rsid w:val="45010FCD"/>
    <w:rsid w:val="45012D7B"/>
    <w:rsid w:val="450145AF"/>
    <w:rsid w:val="45014B29"/>
    <w:rsid w:val="45025018"/>
    <w:rsid w:val="45027F52"/>
    <w:rsid w:val="450308A1"/>
    <w:rsid w:val="45034D45"/>
    <w:rsid w:val="450350A2"/>
    <w:rsid w:val="450353C7"/>
    <w:rsid w:val="450424FE"/>
    <w:rsid w:val="4504286C"/>
    <w:rsid w:val="45043752"/>
    <w:rsid w:val="45045908"/>
    <w:rsid w:val="45050ABD"/>
    <w:rsid w:val="450529EE"/>
    <w:rsid w:val="45060392"/>
    <w:rsid w:val="45062140"/>
    <w:rsid w:val="45062258"/>
    <w:rsid w:val="45063999"/>
    <w:rsid w:val="450660AC"/>
    <w:rsid w:val="45066BBD"/>
    <w:rsid w:val="45080408"/>
    <w:rsid w:val="45080527"/>
    <w:rsid w:val="4508235C"/>
    <w:rsid w:val="4508410A"/>
    <w:rsid w:val="4508418D"/>
    <w:rsid w:val="450841F2"/>
    <w:rsid w:val="45085EB8"/>
    <w:rsid w:val="45097E82"/>
    <w:rsid w:val="450A0BD9"/>
    <w:rsid w:val="450A60D4"/>
    <w:rsid w:val="450B0799"/>
    <w:rsid w:val="450B1E4C"/>
    <w:rsid w:val="450B50F0"/>
    <w:rsid w:val="450B59A8"/>
    <w:rsid w:val="450B7CFD"/>
    <w:rsid w:val="450C60CA"/>
    <w:rsid w:val="450C61CE"/>
    <w:rsid w:val="450C780B"/>
    <w:rsid w:val="450D0EF9"/>
    <w:rsid w:val="450D1720"/>
    <w:rsid w:val="450D2B5B"/>
    <w:rsid w:val="450D34CE"/>
    <w:rsid w:val="450D76D8"/>
    <w:rsid w:val="450E5498"/>
    <w:rsid w:val="450E7246"/>
    <w:rsid w:val="450F1CE4"/>
    <w:rsid w:val="450F36EA"/>
    <w:rsid w:val="450F427E"/>
    <w:rsid w:val="450F4A4B"/>
    <w:rsid w:val="45102FBE"/>
    <w:rsid w:val="45102FD9"/>
    <w:rsid w:val="45110C81"/>
    <w:rsid w:val="451136E4"/>
    <w:rsid w:val="45115463"/>
    <w:rsid w:val="451209A2"/>
    <w:rsid w:val="45120AE5"/>
    <w:rsid w:val="4512175E"/>
    <w:rsid w:val="45121F3C"/>
    <w:rsid w:val="451224C5"/>
    <w:rsid w:val="451231DA"/>
    <w:rsid w:val="45124AED"/>
    <w:rsid w:val="45124B0D"/>
    <w:rsid w:val="45124F88"/>
    <w:rsid w:val="451276DB"/>
    <w:rsid w:val="451333CC"/>
    <w:rsid w:val="451402BA"/>
    <w:rsid w:val="45140AC1"/>
    <w:rsid w:val="45140D01"/>
    <w:rsid w:val="4514396B"/>
    <w:rsid w:val="451447C6"/>
    <w:rsid w:val="45146C3F"/>
    <w:rsid w:val="4514742D"/>
    <w:rsid w:val="451505D5"/>
    <w:rsid w:val="4515414C"/>
    <w:rsid w:val="4516168F"/>
    <w:rsid w:val="45161D4D"/>
    <w:rsid w:val="45164CB0"/>
    <w:rsid w:val="45165A20"/>
    <w:rsid w:val="45167D49"/>
    <w:rsid w:val="451707F1"/>
    <w:rsid w:val="45170F18"/>
    <w:rsid w:val="4517259F"/>
    <w:rsid w:val="45172894"/>
    <w:rsid w:val="45172FBC"/>
    <w:rsid w:val="451756D1"/>
    <w:rsid w:val="45181E73"/>
    <w:rsid w:val="4518723E"/>
    <w:rsid w:val="45187B20"/>
    <w:rsid w:val="451900C5"/>
    <w:rsid w:val="45191D11"/>
    <w:rsid w:val="45192426"/>
    <w:rsid w:val="45192D66"/>
    <w:rsid w:val="451949D9"/>
    <w:rsid w:val="45196317"/>
    <w:rsid w:val="451A06ED"/>
    <w:rsid w:val="451A208F"/>
    <w:rsid w:val="451A21EE"/>
    <w:rsid w:val="451A2466"/>
    <w:rsid w:val="451A3E3D"/>
    <w:rsid w:val="451A4CC6"/>
    <w:rsid w:val="451A525B"/>
    <w:rsid w:val="451A5BEB"/>
    <w:rsid w:val="451A60DF"/>
    <w:rsid w:val="451B0CA1"/>
    <w:rsid w:val="451B0F59"/>
    <w:rsid w:val="451B472F"/>
    <w:rsid w:val="451B47C9"/>
    <w:rsid w:val="451B5E98"/>
    <w:rsid w:val="451B6AE0"/>
    <w:rsid w:val="451C1963"/>
    <w:rsid w:val="451C5BBF"/>
    <w:rsid w:val="451C7BB5"/>
    <w:rsid w:val="451D2988"/>
    <w:rsid w:val="451D5DCD"/>
    <w:rsid w:val="451E124A"/>
    <w:rsid w:val="451E4AA4"/>
    <w:rsid w:val="451E56DB"/>
    <w:rsid w:val="451E61E7"/>
    <w:rsid w:val="451E698D"/>
    <w:rsid w:val="451F1453"/>
    <w:rsid w:val="451F4292"/>
    <w:rsid w:val="451F5A1B"/>
    <w:rsid w:val="452005BD"/>
    <w:rsid w:val="45210077"/>
    <w:rsid w:val="45210443"/>
    <w:rsid w:val="452105A1"/>
    <w:rsid w:val="4521341D"/>
    <w:rsid w:val="45216F7A"/>
    <w:rsid w:val="45221A31"/>
    <w:rsid w:val="45221BE0"/>
    <w:rsid w:val="45224192"/>
    <w:rsid w:val="452245EB"/>
    <w:rsid w:val="45225817"/>
    <w:rsid w:val="452275A2"/>
    <w:rsid w:val="45227CA1"/>
    <w:rsid w:val="45232CF2"/>
    <w:rsid w:val="45232EC1"/>
    <w:rsid w:val="45233529"/>
    <w:rsid w:val="45236262"/>
    <w:rsid w:val="45240818"/>
    <w:rsid w:val="45243E8E"/>
    <w:rsid w:val="45246A6A"/>
    <w:rsid w:val="45260A34"/>
    <w:rsid w:val="452627E2"/>
    <w:rsid w:val="45266E38"/>
    <w:rsid w:val="452779D7"/>
    <w:rsid w:val="45277D89"/>
    <w:rsid w:val="45280308"/>
    <w:rsid w:val="45283D54"/>
    <w:rsid w:val="45284162"/>
    <w:rsid w:val="452857F2"/>
    <w:rsid w:val="45290D07"/>
    <w:rsid w:val="45292F8D"/>
    <w:rsid w:val="45294080"/>
    <w:rsid w:val="452948B5"/>
    <w:rsid w:val="452A1B46"/>
    <w:rsid w:val="452A395F"/>
    <w:rsid w:val="452A3E2A"/>
    <w:rsid w:val="452A752D"/>
    <w:rsid w:val="452B1BA6"/>
    <w:rsid w:val="452B429C"/>
    <w:rsid w:val="452C5959"/>
    <w:rsid w:val="452D0F06"/>
    <w:rsid w:val="452D1715"/>
    <w:rsid w:val="452D2652"/>
    <w:rsid w:val="452D591E"/>
    <w:rsid w:val="452D7220"/>
    <w:rsid w:val="452E1696"/>
    <w:rsid w:val="452E5F4C"/>
    <w:rsid w:val="452E7FD4"/>
    <w:rsid w:val="452F3103"/>
    <w:rsid w:val="452F5B3A"/>
    <w:rsid w:val="452F78E8"/>
    <w:rsid w:val="4530035A"/>
    <w:rsid w:val="453018B3"/>
    <w:rsid w:val="45302890"/>
    <w:rsid w:val="45303661"/>
    <w:rsid w:val="4530487C"/>
    <w:rsid w:val="4530540F"/>
    <w:rsid w:val="453054C5"/>
    <w:rsid w:val="453065C4"/>
    <w:rsid w:val="45311BBC"/>
    <w:rsid w:val="45312FA1"/>
    <w:rsid w:val="45316955"/>
    <w:rsid w:val="45321187"/>
    <w:rsid w:val="45321526"/>
    <w:rsid w:val="45321F20"/>
    <w:rsid w:val="45322F35"/>
    <w:rsid w:val="453327D6"/>
    <w:rsid w:val="453329B6"/>
    <w:rsid w:val="45333E46"/>
    <w:rsid w:val="45334995"/>
    <w:rsid w:val="453350E8"/>
    <w:rsid w:val="45336CAD"/>
    <w:rsid w:val="45341296"/>
    <w:rsid w:val="45343151"/>
    <w:rsid w:val="45344EFF"/>
    <w:rsid w:val="453452D6"/>
    <w:rsid w:val="45352A25"/>
    <w:rsid w:val="45352FE5"/>
    <w:rsid w:val="45353F44"/>
    <w:rsid w:val="453565BB"/>
    <w:rsid w:val="45356765"/>
    <w:rsid w:val="45356EC9"/>
    <w:rsid w:val="45372C41"/>
    <w:rsid w:val="45372E6D"/>
    <w:rsid w:val="453749EF"/>
    <w:rsid w:val="45375CEB"/>
    <w:rsid w:val="45382EBA"/>
    <w:rsid w:val="45383C57"/>
    <w:rsid w:val="45390767"/>
    <w:rsid w:val="45390A41"/>
    <w:rsid w:val="45392515"/>
    <w:rsid w:val="453942C3"/>
    <w:rsid w:val="453A003B"/>
    <w:rsid w:val="453A5729"/>
    <w:rsid w:val="453A77EC"/>
    <w:rsid w:val="453B1861"/>
    <w:rsid w:val="453C0257"/>
    <w:rsid w:val="453C2005"/>
    <w:rsid w:val="453C3DB3"/>
    <w:rsid w:val="453C68BC"/>
    <w:rsid w:val="453D0ACE"/>
    <w:rsid w:val="453D0CE1"/>
    <w:rsid w:val="453D30B5"/>
    <w:rsid w:val="453D4240"/>
    <w:rsid w:val="453D4759"/>
    <w:rsid w:val="453D4F37"/>
    <w:rsid w:val="453D6639"/>
    <w:rsid w:val="453E18DA"/>
    <w:rsid w:val="453E388A"/>
    <w:rsid w:val="453E5D7D"/>
    <w:rsid w:val="453F019A"/>
    <w:rsid w:val="453F0F59"/>
    <w:rsid w:val="453F23E9"/>
    <w:rsid w:val="453F5652"/>
    <w:rsid w:val="4540110F"/>
    <w:rsid w:val="45401AF6"/>
    <w:rsid w:val="45404FBA"/>
    <w:rsid w:val="454113CA"/>
    <w:rsid w:val="45413006"/>
    <w:rsid w:val="454159AC"/>
    <w:rsid w:val="45415AB3"/>
    <w:rsid w:val="4542101B"/>
    <w:rsid w:val="454212BC"/>
    <w:rsid w:val="45423BF4"/>
    <w:rsid w:val="45425A76"/>
    <w:rsid w:val="454278DA"/>
    <w:rsid w:val="454315E6"/>
    <w:rsid w:val="45431846"/>
    <w:rsid w:val="45433394"/>
    <w:rsid w:val="45435142"/>
    <w:rsid w:val="454363E3"/>
    <w:rsid w:val="45436F9D"/>
    <w:rsid w:val="4543732B"/>
    <w:rsid w:val="45440EBA"/>
    <w:rsid w:val="45444E9C"/>
    <w:rsid w:val="454560BA"/>
    <w:rsid w:val="45456A83"/>
    <w:rsid w:val="4545710C"/>
    <w:rsid w:val="45460437"/>
    <w:rsid w:val="45462E84"/>
    <w:rsid w:val="454648E9"/>
    <w:rsid w:val="45464C32"/>
    <w:rsid w:val="4546600D"/>
    <w:rsid w:val="454665BD"/>
    <w:rsid w:val="454669E0"/>
    <w:rsid w:val="454809AA"/>
    <w:rsid w:val="454812AB"/>
    <w:rsid w:val="45485FD0"/>
    <w:rsid w:val="45486BFC"/>
    <w:rsid w:val="45495B83"/>
    <w:rsid w:val="454964D0"/>
    <w:rsid w:val="454A2974"/>
    <w:rsid w:val="454A299E"/>
    <w:rsid w:val="454A4211"/>
    <w:rsid w:val="454A4722"/>
    <w:rsid w:val="454A4A14"/>
    <w:rsid w:val="454A606C"/>
    <w:rsid w:val="454B01A1"/>
    <w:rsid w:val="454B049A"/>
    <w:rsid w:val="454B2248"/>
    <w:rsid w:val="454B3FF6"/>
    <w:rsid w:val="454C0199"/>
    <w:rsid w:val="454C189B"/>
    <w:rsid w:val="454C26B3"/>
    <w:rsid w:val="454C3490"/>
    <w:rsid w:val="454C36AE"/>
    <w:rsid w:val="454C4D58"/>
    <w:rsid w:val="454C4F71"/>
    <w:rsid w:val="454C5B5F"/>
    <w:rsid w:val="454D4212"/>
    <w:rsid w:val="454D5FC1"/>
    <w:rsid w:val="454D75BE"/>
    <w:rsid w:val="454D7D6F"/>
    <w:rsid w:val="454E0A4E"/>
    <w:rsid w:val="454F36AB"/>
    <w:rsid w:val="454F5E68"/>
    <w:rsid w:val="454F7F8B"/>
    <w:rsid w:val="45505AB1"/>
    <w:rsid w:val="4550785F"/>
    <w:rsid w:val="45513D03"/>
    <w:rsid w:val="45514A2F"/>
    <w:rsid w:val="45516EE6"/>
    <w:rsid w:val="45523E80"/>
    <w:rsid w:val="45525385"/>
    <w:rsid w:val="45526132"/>
    <w:rsid w:val="45537DEC"/>
    <w:rsid w:val="45541CEF"/>
    <w:rsid w:val="45541EA1"/>
    <w:rsid w:val="4554562D"/>
    <w:rsid w:val="4554734F"/>
    <w:rsid w:val="455530C7"/>
    <w:rsid w:val="4555317F"/>
    <w:rsid w:val="45554E75"/>
    <w:rsid w:val="45561319"/>
    <w:rsid w:val="4556285E"/>
    <w:rsid w:val="45570BED"/>
    <w:rsid w:val="45571DB1"/>
    <w:rsid w:val="4557299B"/>
    <w:rsid w:val="45575091"/>
    <w:rsid w:val="45576E3F"/>
    <w:rsid w:val="45581B00"/>
    <w:rsid w:val="45583051"/>
    <w:rsid w:val="4559180C"/>
    <w:rsid w:val="45592BB7"/>
    <w:rsid w:val="455946D1"/>
    <w:rsid w:val="45596713"/>
    <w:rsid w:val="455A06DD"/>
    <w:rsid w:val="455A0732"/>
    <w:rsid w:val="455A65DF"/>
    <w:rsid w:val="455A6EFC"/>
    <w:rsid w:val="455B0481"/>
    <w:rsid w:val="455C26A8"/>
    <w:rsid w:val="455C4456"/>
    <w:rsid w:val="455D1303"/>
    <w:rsid w:val="455D245B"/>
    <w:rsid w:val="455D248A"/>
    <w:rsid w:val="455D646A"/>
    <w:rsid w:val="455D79E3"/>
    <w:rsid w:val="455E1F7C"/>
    <w:rsid w:val="455E3D2A"/>
    <w:rsid w:val="455E5D12"/>
    <w:rsid w:val="455E78F2"/>
    <w:rsid w:val="455F0B21"/>
    <w:rsid w:val="455F19D3"/>
    <w:rsid w:val="455F487B"/>
    <w:rsid w:val="455F623A"/>
    <w:rsid w:val="455F77DE"/>
    <w:rsid w:val="455F7AA2"/>
    <w:rsid w:val="45603F46"/>
    <w:rsid w:val="4560483D"/>
    <w:rsid w:val="45611A6C"/>
    <w:rsid w:val="45612018"/>
    <w:rsid w:val="456126CE"/>
    <w:rsid w:val="45614C5E"/>
    <w:rsid w:val="45615A34"/>
    <w:rsid w:val="456250BC"/>
    <w:rsid w:val="45625783"/>
    <w:rsid w:val="45630E4D"/>
    <w:rsid w:val="456357E4"/>
    <w:rsid w:val="45641C22"/>
    <w:rsid w:val="45644350"/>
    <w:rsid w:val="45644871"/>
    <w:rsid w:val="45644BD0"/>
    <w:rsid w:val="45646A08"/>
    <w:rsid w:val="45647740"/>
    <w:rsid w:val="4565235D"/>
    <w:rsid w:val="45653B00"/>
    <w:rsid w:val="45654205"/>
    <w:rsid w:val="456578A3"/>
    <w:rsid w:val="45660E30"/>
    <w:rsid w:val="45664D54"/>
    <w:rsid w:val="45666313"/>
    <w:rsid w:val="45667082"/>
    <w:rsid w:val="456671A1"/>
    <w:rsid w:val="45667832"/>
    <w:rsid w:val="45674222"/>
    <w:rsid w:val="4568104C"/>
    <w:rsid w:val="45682DFA"/>
    <w:rsid w:val="456841C6"/>
    <w:rsid w:val="45684BA8"/>
    <w:rsid w:val="45690D07"/>
    <w:rsid w:val="456933CC"/>
    <w:rsid w:val="456A0921"/>
    <w:rsid w:val="456A4DC4"/>
    <w:rsid w:val="456B3B33"/>
    <w:rsid w:val="456B4699"/>
    <w:rsid w:val="456B6447"/>
    <w:rsid w:val="456C118F"/>
    <w:rsid w:val="456C2ADA"/>
    <w:rsid w:val="456C495C"/>
    <w:rsid w:val="456D0411"/>
    <w:rsid w:val="456D124F"/>
    <w:rsid w:val="456D4F53"/>
    <w:rsid w:val="456D6663"/>
    <w:rsid w:val="456D79CE"/>
    <w:rsid w:val="456E2AE2"/>
    <w:rsid w:val="456E36C8"/>
    <w:rsid w:val="456E4870"/>
    <w:rsid w:val="456E5E6B"/>
    <w:rsid w:val="456E69B6"/>
    <w:rsid w:val="456E79C4"/>
    <w:rsid w:val="456F00D7"/>
    <w:rsid w:val="456F0BDF"/>
    <w:rsid w:val="456F23DB"/>
    <w:rsid w:val="456F4189"/>
    <w:rsid w:val="456F4E04"/>
    <w:rsid w:val="456F5A7E"/>
    <w:rsid w:val="456F5F37"/>
    <w:rsid w:val="456F67B3"/>
    <w:rsid w:val="45701F18"/>
    <w:rsid w:val="45703A5D"/>
    <w:rsid w:val="457050EE"/>
    <w:rsid w:val="4570584C"/>
    <w:rsid w:val="4571013B"/>
    <w:rsid w:val="457110A8"/>
    <w:rsid w:val="45711797"/>
    <w:rsid w:val="45715299"/>
    <w:rsid w:val="457208A7"/>
    <w:rsid w:val="45721D8E"/>
    <w:rsid w:val="45721FD0"/>
    <w:rsid w:val="45723C79"/>
    <w:rsid w:val="45724079"/>
    <w:rsid w:val="45724207"/>
    <w:rsid w:val="45725649"/>
    <w:rsid w:val="45725A27"/>
    <w:rsid w:val="457277D5"/>
    <w:rsid w:val="45727ECA"/>
    <w:rsid w:val="4573507E"/>
    <w:rsid w:val="45737DA4"/>
    <w:rsid w:val="4574077E"/>
    <w:rsid w:val="4574179F"/>
    <w:rsid w:val="45742246"/>
    <w:rsid w:val="4574354D"/>
    <w:rsid w:val="457462A8"/>
    <w:rsid w:val="45746DDE"/>
    <w:rsid w:val="457474B5"/>
    <w:rsid w:val="457479F1"/>
    <w:rsid w:val="4575533A"/>
    <w:rsid w:val="4576003C"/>
    <w:rsid w:val="457625FD"/>
    <w:rsid w:val="457629CC"/>
    <w:rsid w:val="45765517"/>
    <w:rsid w:val="45767D56"/>
    <w:rsid w:val="4577128F"/>
    <w:rsid w:val="45774DEB"/>
    <w:rsid w:val="45777C5A"/>
    <w:rsid w:val="457806B2"/>
    <w:rsid w:val="4578573D"/>
    <w:rsid w:val="45790B3F"/>
    <w:rsid w:val="457A2B2D"/>
    <w:rsid w:val="457A48DC"/>
    <w:rsid w:val="457B0D80"/>
    <w:rsid w:val="457B2220"/>
    <w:rsid w:val="457B2B2E"/>
    <w:rsid w:val="457C0654"/>
    <w:rsid w:val="457C0EFB"/>
    <w:rsid w:val="457C4AF8"/>
    <w:rsid w:val="457C66B9"/>
    <w:rsid w:val="457C68A6"/>
    <w:rsid w:val="457D238B"/>
    <w:rsid w:val="457E261E"/>
    <w:rsid w:val="457E4B22"/>
    <w:rsid w:val="457E617A"/>
    <w:rsid w:val="457F1E24"/>
    <w:rsid w:val="457F1EF2"/>
    <w:rsid w:val="457F2580"/>
    <w:rsid w:val="457F5BEA"/>
    <w:rsid w:val="457F63EC"/>
    <w:rsid w:val="45800144"/>
    <w:rsid w:val="4580244D"/>
    <w:rsid w:val="45803957"/>
    <w:rsid w:val="45805EB9"/>
    <w:rsid w:val="458113AD"/>
    <w:rsid w:val="45815C6A"/>
    <w:rsid w:val="45816F1B"/>
    <w:rsid w:val="4582210E"/>
    <w:rsid w:val="458231B7"/>
    <w:rsid w:val="458262E9"/>
    <w:rsid w:val="458319E2"/>
    <w:rsid w:val="45832CFD"/>
    <w:rsid w:val="45833790"/>
    <w:rsid w:val="45835E86"/>
    <w:rsid w:val="45837A3C"/>
    <w:rsid w:val="45837C34"/>
    <w:rsid w:val="4584093C"/>
    <w:rsid w:val="4584118C"/>
    <w:rsid w:val="4585575A"/>
    <w:rsid w:val="45857508"/>
    <w:rsid w:val="458614D2"/>
    <w:rsid w:val="45861E88"/>
    <w:rsid w:val="45863281"/>
    <w:rsid w:val="458662BF"/>
    <w:rsid w:val="4586730A"/>
    <w:rsid w:val="458755A4"/>
    <w:rsid w:val="4587584B"/>
    <w:rsid w:val="4588349D"/>
    <w:rsid w:val="45885C28"/>
    <w:rsid w:val="45886FF9"/>
    <w:rsid w:val="45891350"/>
    <w:rsid w:val="45891FFF"/>
    <w:rsid w:val="45892438"/>
    <w:rsid w:val="458946E9"/>
    <w:rsid w:val="458A0FC3"/>
    <w:rsid w:val="458A27DF"/>
    <w:rsid w:val="458A288C"/>
    <w:rsid w:val="458A2D71"/>
    <w:rsid w:val="458A4B1F"/>
    <w:rsid w:val="458B0897"/>
    <w:rsid w:val="458B103A"/>
    <w:rsid w:val="458B6AE9"/>
    <w:rsid w:val="458B7490"/>
    <w:rsid w:val="458C09F0"/>
    <w:rsid w:val="458C279F"/>
    <w:rsid w:val="458D157C"/>
    <w:rsid w:val="458D460F"/>
    <w:rsid w:val="458E3310"/>
    <w:rsid w:val="458F0387"/>
    <w:rsid w:val="458F0C0A"/>
    <w:rsid w:val="458F1468"/>
    <w:rsid w:val="458F482B"/>
    <w:rsid w:val="458F65D9"/>
    <w:rsid w:val="45900801"/>
    <w:rsid w:val="459026D1"/>
    <w:rsid w:val="459040FF"/>
    <w:rsid w:val="45905EAD"/>
    <w:rsid w:val="459105AC"/>
    <w:rsid w:val="45911776"/>
    <w:rsid w:val="45911C91"/>
    <w:rsid w:val="45912351"/>
    <w:rsid w:val="45915C44"/>
    <w:rsid w:val="459211CC"/>
    <w:rsid w:val="45921C25"/>
    <w:rsid w:val="459260C9"/>
    <w:rsid w:val="459308C3"/>
    <w:rsid w:val="45930D2F"/>
    <w:rsid w:val="45931C69"/>
    <w:rsid w:val="45933397"/>
    <w:rsid w:val="45935CF2"/>
    <w:rsid w:val="45940CC3"/>
    <w:rsid w:val="45942067"/>
    <w:rsid w:val="45943BEF"/>
    <w:rsid w:val="4594599D"/>
    <w:rsid w:val="45947182"/>
    <w:rsid w:val="45950612"/>
    <w:rsid w:val="45951C6D"/>
    <w:rsid w:val="459534C4"/>
    <w:rsid w:val="45957CD3"/>
    <w:rsid w:val="45961716"/>
    <w:rsid w:val="4596783A"/>
    <w:rsid w:val="45974F01"/>
    <w:rsid w:val="4597548E"/>
    <w:rsid w:val="4597723C"/>
    <w:rsid w:val="45977B3E"/>
    <w:rsid w:val="459806D4"/>
    <w:rsid w:val="459825AF"/>
    <w:rsid w:val="4598356A"/>
    <w:rsid w:val="45991206"/>
    <w:rsid w:val="45991416"/>
    <w:rsid w:val="45992278"/>
    <w:rsid w:val="4599501F"/>
    <w:rsid w:val="4599607C"/>
    <w:rsid w:val="45997458"/>
    <w:rsid w:val="45997645"/>
    <w:rsid w:val="459A0A2D"/>
    <w:rsid w:val="459B18A7"/>
    <w:rsid w:val="459B31D0"/>
    <w:rsid w:val="459B6204"/>
    <w:rsid w:val="459B6D2C"/>
    <w:rsid w:val="459B7574"/>
    <w:rsid w:val="459C0CF6"/>
    <w:rsid w:val="459C2AF6"/>
    <w:rsid w:val="459C3244"/>
    <w:rsid w:val="459C4852"/>
    <w:rsid w:val="459C7C7C"/>
    <w:rsid w:val="459D6B25"/>
    <w:rsid w:val="459E0EDB"/>
    <w:rsid w:val="459E4A6E"/>
    <w:rsid w:val="459E4C37"/>
    <w:rsid w:val="459E681C"/>
    <w:rsid w:val="459F4295"/>
    <w:rsid w:val="459F5838"/>
    <w:rsid w:val="459F6E66"/>
    <w:rsid w:val="45A007E6"/>
    <w:rsid w:val="45A01863"/>
    <w:rsid w:val="45A04342"/>
    <w:rsid w:val="45A04A0E"/>
    <w:rsid w:val="45A054B9"/>
    <w:rsid w:val="45A109DD"/>
    <w:rsid w:val="45A2455E"/>
    <w:rsid w:val="45A32005"/>
    <w:rsid w:val="45A32CAB"/>
    <w:rsid w:val="45A33E32"/>
    <w:rsid w:val="45A357E7"/>
    <w:rsid w:val="45A35BE1"/>
    <w:rsid w:val="45A402DA"/>
    <w:rsid w:val="45A41082"/>
    <w:rsid w:val="45A467DF"/>
    <w:rsid w:val="45A46C77"/>
    <w:rsid w:val="45A47C0E"/>
    <w:rsid w:val="45A51959"/>
    <w:rsid w:val="45A52CD8"/>
    <w:rsid w:val="45A55DFD"/>
    <w:rsid w:val="45A57BAB"/>
    <w:rsid w:val="45A63D52"/>
    <w:rsid w:val="45A656D1"/>
    <w:rsid w:val="45A718A8"/>
    <w:rsid w:val="45A71B75"/>
    <w:rsid w:val="45A731CE"/>
    <w:rsid w:val="45A73923"/>
    <w:rsid w:val="45A755F8"/>
    <w:rsid w:val="45A77687"/>
    <w:rsid w:val="45A81449"/>
    <w:rsid w:val="45A831F7"/>
    <w:rsid w:val="45A84357"/>
    <w:rsid w:val="45A858ED"/>
    <w:rsid w:val="45A86273"/>
    <w:rsid w:val="45A8769B"/>
    <w:rsid w:val="45A92116"/>
    <w:rsid w:val="45A92685"/>
    <w:rsid w:val="45A92AE9"/>
    <w:rsid w:val="45A93428"/>
    <w:rsid w:val="45AA149C"/>
    <w:rsid w:val="45AA197C"/>
    <w:rsid w:val="45AA2264"/>
    <w:rsid w:val="45AA3413"/>
    <w:rsid w:val="45AA35F2"/>
    <w:rsid w:val="45AA3F79"/>
    <w:rsid w:val="45AA51C1"/>
    <w:rsid w:val="45AA6F6F"/>
    <w:rsid w:val="45AB2274"/>
    <w:rsid w:val="45AB2CE7"/>
    <w:rsid w:val="45AB3102"/>
    <w:rsid w:val="45AB3A77"/>
    <w:rsid w:val="45AB3C2E"/>
    <w:rsid w:val="45AB6B4A"/>
    <w:rsid w:val="45AC0C7D"/>
    <w:rsid w:val="45AC0F39"/>
    <w:rsid w:val="45AC24BE"/>
    <w:rsid w:val="45AC718B"/>
    <w:rsid w:val="45AD146A"/>
    <w:rsid w:val="45AD2AE0"/>
    <w:rsid w:val="45AD2F03"/>
    <w:rsid w:val="45AD4CB1"/>
    <w:rsid w:val="45AD6F4E"/>
    <w:rsid w:val="45AE54CB"/>
    <w:rsid w:val="45AE5BB5"/>
    <w:rsid w:val="45AF071F"/>
    <w:rsid w:val="45AF0A29"/>
    <w:rsid w:val="45AF27D7"/>
    <w:rsid w:val="45AF4585"/>
    <w:rsid w:val="45AF65CA"/>
    <w:rsid w:val="45AF75D9"/>
    <w:rsid w:val="45B002FD"/>
    <w:rsid w:val="45B037C9"/>
    <w:rsid w:val="45B0521A"/>
    <w:rsid w:val="45B10AFF"/>
    <w:rsid w:val="45B12399"/>
    <w:rsid w:val="45B128A1"/>
    <w:rsid w:val="45B20519"/>
    <w:rsid w:val="45B2270B"/>
    <w:rsid w:val="45B22C6B"/>
    <w:rsid w:val="45B315A6"/>
    <w:rsid w:val="45B35C90"/>
    <w:rsid w:val="45B3631D"/>
    <w:rsid w:val="45B41382"/>
    <w:rsid w:val="45B422D6"/>
    <w:rsid w:val="45B44292"/>
    <w:rsid w:val="45B46040"/>
    <w:rsid w:val="45B4676C"/>
    <w:rsid w:val="45B47BFC"/>
    <w:rsid w:val="45B47DEE"/>
    <w:rsid w:val="45B50600"/>
    <w:rsid w:val="45B533FA"/>
    <w:rsid w:val="45B53E4D"/>
    <w:rsid w:val="45B55914"/>
    <w:rsid w:val="45B61DB8"/>
    <w:rsid w:val="45B63B66"/>
    <w:rsid w:val="45B63DEE"/>
    <w:rsid w:val="45B66EAB"/>
    <w:rsid w:val="45B7168C"/>
    <w:rsid w:val="45B71951"/>
    <w:rsid w:val="45B71FEF"/>
    <w:rsid w:val="45B72BF4"/>
    <w:rsid w:val="45B734F6"/>
    <w:rsid w:val="45B74253"/>
    <w:rsid w:val="45B750ED"/>
    <w:rsid w:val="45B86B5F"/>
    <w:rsid w:val="45B90966"/>
    <w:rsid w:val="45B918A8"/>
    <w:rsid w:val="45B93139"/>
    <w:rsid w:val="45B93567"/>
    <w:rsid w:val="45B93656"/>
    <w:rsid w:val="45B94E3D"/>
    <w:rsid w:val="45B9500A"/>
    <w:rsid w:val="45B95404"/>
    <w:rsid w:val="45B95FC9"/>
    <w:rsid w:val="45B97A0D"/>
    <w:rsid w:val="45BA2B7D"/>
    <w:rsid w:val="45BA3A6E"/>
    <w:rsid w:val="45BA3F42"/>
    <w:rsid w:val="45BA5821"/>
    <w:rsid w:val="45BB117C"/>
    <w:rsid w:val="45BB1840"/>
    <w:rsid w:val="45BB2050"/>
    <w:rsid w:val="45BB3C89"/>
    <w:rsid w:val="45BB5620"/>
    <w:rsid w:val="45BB6112"/>
    <w:rsid w:val="45BB73CE"/>
    <w:rsid w:val="45BC2204"/>
    <w:rsid w:val="45BC2FE7"/>
    <w:rsid w:val="45BC4EF4"/>
    <w:rsid w:val="45BD38D6"/>
    <w:rsid w:val="45BD448D"/>
    <w:rsid w:val="45BD466F"/>
    <w:rsid w:val="45BE1E11"/>
    <w:rsid w:val="45BE5738"/>
    <w:rsid w:val="45BF1B3C"/>
    <w:rsid w:val="45BF387F"/>
    <w:rsid w:val="45BF4532"/>
    <w:rsid w:val="45BF6450"/>
    <w:rsid w:val="45C002B0"/>
    <w:rsid w:val="45C00E7A"/>
    <w:rsid w:val="45C02053"/>
    <w:rsid w:val="45C02C36"/>
    <w:rsid w:val="45C049E4"/>
    <w:rsid w:val="45C04D0F"/>
    <w:rsid w:val="45C0642E"/>
    <w:rsid w:val="45C07141"/>
    <w:rsid w:val="45C073B1"/>
    <w:rsid w:val="45C108A7"/>
    <w:rsid w:val="45C10E9C"/>
    <w:rsid w:val="45C1250B"/>
    <w:rsid w:val="45C12D21"/>
    <w:rsid w:val="45C142B9"/>
    <w:rsid w:val="45C14BA3"/>
    <w:rsid w:val="45C20E9E"/>
    <w:rsid w:val="45C220FC"/>
    <w:rsid w:val="45C23317"/>
    <w:rsid w:val="45C25725"/>
    <w:rsid w:val="45C269AF"/>
    <w:rsid w:val="45C30031"/>
    <w:rsid w:val="45C3198C"/>
    <w:rsid w:val="45C31EA9"/>
    <w:rsid w:val="45C33690"/>
    <w:rsid w:val="45C34DD1"/>
    <w:rsid w:val="45C36F18"/>
    <w:rsid w:val="45C43104"/>
    <w:rsid w:val="45C50B85"/>
    <w:rsid w:val="45C53DA9"/>
    <w:rsid w:val="45C55FAA"/>
    <w:rsid w:val="45C67B21"/>
    <w:rsid w:val="45C71A34"/>
    <w:rsid w:val="45C71CCD"/>
    <w:rsid w:val="45C73941"/>
    <w:rsid w:val="45C73FC5"/>
    <w:rsid w:val="45C76DDB"/>
    <w:rsid w:val="45C8167A"/>
    <w:rsid w:val="45C81686"/>
    <w:rsid w:val="45C81AEB"/>
    <w:rsid w:val="45C83899"/>
    <w:rsid w:val="45C84168"/>
    <w:rsid w:val="45C849A5"/>
    <w:rsid w:val="45C85647"/>
    <w:rsid w:val="45C86072"/>
    <w:rsid w:val="45C96D61"/>
    <w:rsid w:val="45C97502"/>
    <w:rsid w:val="45CA13BF"/>
    <w:rsid w:val="45CA3563"/>
    <w:rsid w:val="45CA5863"/>
    <w:rsid w:val="45CA7611"/>
    <w:rsid w:val="45CC15DB"/>
    <w:rsid w:val="45CC3389"/>
    <w:rsid w:val="45CC33F1"/>
    <w:rsid w:val="45CD0EAF"/>
    <w:rsid w:val="45CD1AFE"/>
    <w:rsid w:val="45CD65B4"/>
    <w:rsid w:val="45CE07A3"/>
    <w:rsid w:val="45CE5353"/>
    <w:rsid w:val="45CF0619"/>
    <w:rsid w:val="45CF1C33"/>
    <w:rsid w:val="45CF4804"/>
    <w:rsid w:val="45CF69D6"/>
    <w:rsid w:val="45D03BF3"/>
    <w:rsid w:val="45D072B0"/>
    <w:rsid w:val="45D10598"/>
    <w:rsid w:val="45D109A0"/>
    <w:rsid w:val="45D13673"/>
    <w:rsid w:val="45D14358"/>
    <w:rsid w:val="45D21095"/>
    <w:rsid w:val="45D24718"/>
    <w:rsid w:val="45D25067"/>
    <w:rsid w:val="45D26D15"/>
    <w:rsid w:val="45D3296A"/>
    <w:rsid w:val="45D4223E"/>
    <w:rsid w:val="45D43FEC"/>
    <w:rsid w:val="45D472F0"/>
    <w:rsid w:val="45D50990"/>
    <w:rsid w:val="45D5615E"/>
    <w:rsid w:val="45D62BB3"/>
    <w:rsid w:val="45D6372C"/>
    <w:rsid w:val="45D66F35"/>
    <w:rsid w:val="45D67D64"/>
    <w:rsid w:val="45D7020D"/>
    <w:rsid w:val="45D71D2E"/>
    <w:rsid w:val="45D72AE8"/>
    <w:rsid w:val="45D73ADC"/>
    <w:rsid w:val="45D74009"/>
    <w:rsid w:val="45D77616"/>
    <w:rsid w:val="45D814AB"/>
    <w:rsid w:val="45D87D92"/>
    <w:rsid w:val="45D93CF8"/>
    <w:rsid w:val="45D958B6"/>
    <w:rsid w:val="45D97854"/>
    <w:rsid w:val="45DA0ED9"/>
    <w:rsid w:val="45DA6425"/>
    <w:rsid w:val="45DA6657"/>
    <w:rsid w:val="45DB131D"/>
    <w:rsid w:val="45DB35CC"/>
    <w:rsid w:val="45DB537A"/>
    <w:rsid w:val="45DC06D0"/>
    <w:rsid w:val="45DC07AB"/>
    <w:rsid w:val="45DC331D"/>
    <w:rsid w:val="45DC3581"/>
    <w:rsid w:val="45DC7BA7"/>
    <w:rsid w:val="45DD274B"/>
    <w:rsid w:val="45DD5596"/>
    <w:rsid w:val="45DD7344"/>
    <w:rsid w:val="45DE0298"/>
    <w:rsid w:val="45DE0333"/>
    <w:rsid w:val="45DE19CC"/>
    <w:rsid w:val="45DE19D9"/>
    <w:rsid w:val="45DE2E69"/>
    <w:rsid w:val="45DE30BD"/>
    <w:rsid w:val="45DE4E6B"/>
    <w:rsid w:val="45DF4572"/>
    <w:rsid w:val="45DF4C74"/>
    <w:rsid w:val="45E00663"/>
    <w:rsid w:val="45E00BE3"/>
    <w:rsid w:val="45E020D4"/>
    <w:rsid w:val="45E02DC7"/>
    <w:rsid w:val="45E05087"/>
    <w:rsid w:val="45E06E35"/>
    <w:rsid w:val="45E10B02"/>
    <w:rsid w:val="45E154C8"/>
    <w:rsid w:val="45E16709"/>
    <w:rsid w:val="45E16F50"/>
    <w:rsid w:val="45E17391"/>
    <w:rsid w:val="45E200A9"/>
    <w:rsid w:val="45E2495B"/>
    <w:rsid w:val="45E27051"/>
    <w:rsid w:val="45E306D3"/>
    <w:rsid w:val="45E31539"/>
    <w:rsid w:val="45E32481"/>
    <w:rsid w:val="45E32B60"/>
    <w:rsid w:val="45E34CA5"/>
    <w:rsid w:val="45E35FF4"/>
    <w:rsid w:val="45E45737"/>
    <w:rsid w:val="45E524CA"/>
    <w:rsid w:val="45E5269D"/>
    <w:rsid w:val="45E5444B"/>
    <w:rsid w:val="45E63D5D"/>
    <w:rsid w:val="45E701C3"/>
    <w:rsid w:val="45E71F71"/>
    <w:rsid w:val="45E72A8B"/>
    <w:rsid w:val="45E76415"/>
    <w:rsid w:val="45E816EF"/>
    <w:rsid w:val="45E82A98"/>
    <w:rsid w:val="45E83F3B"/>
    <w:rsid w:val="45E858D0"/>
    <w:rsid w:val="45E85CE9"/>
    <w:rsid w:val="45E87A97"/>
    <w:rsid w:val="45E92C81"/>
    <w:rsid w:val="45E92E78"/>
    <w:rsid w:val="45E930EF"/>
    <w:rsid w:val="45E93329"/>
    <w:rsid w:val="45E95C78"/>
    <w:rsid w:val="45E96AEC"/>
    <w:rsid w:val="45E96E20"/>
    <w:rsid w:val="45E97B98"/>
    <w:rsid w:val="45EA0494"/>
    <w:rsid w:val="45EA063F"/>
    <w:rsid w:val="45EA0BB6"/>
    <w:rsid w:val="45EA380F"/>
    <w:rsid w:val="45EA7CB3"/>
    <w:rsid w:val="45EB1610"/>
    <w:rsid w:val="45EB2763"/>
    <w:rsid w:val="45EB289C"/>
    <w:rsid w:val="45EB5315"/>
    <w:rsid w:val="45EC0FC0"/>
    <w:rsid w:val="45EC3A2B"/>
    <w:rsid w:val="45EC57D9"/>
    <w:rsid w:val="45EC7588"/>
    <w:rsid w:val="45ED1ACB"/>
    <w:rsid w:val="45ED2DF7"/>
    <w:rsid w:val="45ED3FB4"/>
    <w:rsid w:val="45ED44B5"/>
    <w:rsid w:val="45ED45AB"/>
    <w:rsid w:val="45ED50B8"/>
    <w:rsid w:val="45EE0F6A"/>
    <w:rsid w:val="45EE240A"/>
    <w:rsid w:val="45EF0E26"/>
    <w:rsid w:val="45EF2ACE"/>
    <w:rsid w:val="45EF7078"/>
    <w:rsid w:val="45F00CA3"/>
    <w:rsid w:val="45F0644A"/>
    <w:rsid w:val="45F077EC"/>
    <w:rsid w:val="45F14B9E"/>
    <w:rsid w:val="45F16243"/>
    <w:rsid w:val="45F20916"/>
    <w:rsid w:val="45F21B4B"/>
    <w:rsid w:val="45F34DBA"/>
    <w:rsid w:val="45F35010"/>
    <w:rsid w:val="45F40C9E"/>
    <w:rsid w:val="45F42411"/>
    <w:rsid w:val="45F47298"/>
    <w:rsid w:val="45F5597B"/>
    <w:rsid w:val="45F572A7"/>
    <w:rsid w:val="45F60406"/>
    <w:rsid w:val="45F610F0"/>
    <w:rsid w:val="45F621B4"/>
    <w:rsid w:val="45F66658"/>
    <w:rsid w:val="45F679AF"/>
    <w:rsid w:val="45F72580"/>
    <w:rsid w:val="45F74DBF"/>
    <w:rsid w:val="45F75F2C"/>
    <w:rsid w:val="45F83B2E"/>
    <w:rsid w:val="45F83B63"/>
    <w:rsid w:val="45F91CA4"/>
    <w:rsid w:val="45F92683"/>
    <w:rsid w:val="45F95CD0"/>
    <w:rsid w:val="45F96148"/>
    <w:rsid w:val="45F96760"/>
    <w:rsid w:val="45F97EF6"/>
    <w:rsid w:val="45FB2063"/>
    <w:rsid w:val="45FB2391"/>
    <w:rsid w:val="45FB3C6E"/>
    <w:rsid w:val="45FB5A1D"/>
    <w:rsid w:val="45FB7E44"/>
    <w:rsid w:val="45FC2A11"/>
    <w:rsid w:val="45FC3543"/>
    <w:rsid w:val="45FC3D81"/>
    <w:rsid w:val="45FC49C6"/>
    <w:rsid w:val="45FC4ACC"/>
    <w:rsid w:val="45FC6117"/>
    <w:rsid w:val="45FC7921"/>
    <w:rsid w:val="45FC792F"/>
    <w:rsid w:val="45FD6615"/>
    <w:rsid w:val="45FD79E7"/>
    <w:rsid w:val="45FE14EA"/>
    <w:rsid w:val="45FE5116"/>
    <w:rsid w:val="45FE550D"/>
    <w:rsid w:val="45FE72BB"/>
    <w:rsid w:val="45FE7882"/>
    <w:rsid w:val="45FF1C64"/>
    <w:rsid w:val="45FF4D83"/>
    <w:rsid w:val="45FF5E6E"/>
    <w:rsid w:val="460011AC"/>
    <w:rsid w:val="460046BF"/>
    <w:rsid w:val="460051DB"/>
    <w:rsid w:val="46005811"/>
    <w:rsid w:val="46024DA2"/>
    <w:rsid w:val="460251E8"/>
    <w:rsid w:val="46027693"/>
    <w:rsid w:val="46030B23"/>
    <w:rsid w:val="46031D8D"/>
    <w:rsid w:val="46032B23"/>
    <w:rsid w:val="460348D1"/>
    <w:rsid w:val="46036BFB"/>
    <w:rsid w:val="46037037"/>
    <w:rsid w:val="4604088B"/>
    <w:rsid w:val="46040D75"/>
    <w:rsid w:val="46043194"/>
    <w:rsid w:val="46045C96"/>
    <w:rsid w:val="4605689B"/>
    <w:rsid w:val="46072075"/>
    <w:rsid w:val="46072613"/>
    <w:rsid w:val="460743C1"/>
    <w:rsid w:val="46074CE0"/>
    <w:rsid w:val="4607616F"/>
    <w:rsid w:val="46076ED6"/>
    <w:rsid w:val="46080139"/>
    <w:rsid w:val="46081EE8"/>
    <w:rsid w:val="46082244"/>
    <w:rsid w:val="46084A19"/>
    <w:rsid w:val="4608511A"/>
    <w:rsid w:val="460912BA"/>
    <w:rsid w:val="46093C28"/>
    <w:rsid w:val="46094CC0"/>
    <w:rsid w:val="4609638B"/>
    <w:rsid w:val="46096C70"/>
    <w:rsid w:val="46097B7B"/>
    <w:rsid w:val="460A2104"/>
    <w:rsid w:val="460A3EC6"/>
    <w:rsid w:val="460A5C60"/>
    <w:rsid w:val="460B1E86"/>
    <w:rsid w:val="460B6868"/>
    <w:rsid w:val="460B6B1C"/>
    <w:rsid w:val="460B6BD6"/>
    <w:rsid w:val="460C0745"/>
    <w:rsid w:val="460C19D8"/>
    <w:rsid w:val="460C5E7C"/>
    <w:rsid w:val="460C7C2A"/>
    <w:rsid w:val="460D1F14"/>
    <w:rsid w:val="460D5750"/>
    <w:rsid w:val="460D74FE"/>
    <w:rsid w:val="460E39A2"/>
    <w:rsid w:val="460E5D09"/>
    <w:rsid w:val="460F14C8"/>
    <w:rsid w:val="460F1C96"/>
    <w:rsid w:val="460F1D6D"/>
    <w:rsid w:val="460F3276"/>
    <w:rsid w:val="460F606C"/>
    <w:rsid w:val="46113492"/>
    <w:rsid w:val="46115240"/>
    <w:rsid w:val="46115CF7"/>
    <w:rsid w:val="46117C21"/>
    <w:rsid w:val="46121645"/>
    <w:rsid w:val="46125A14"/>
    <w:rsid w:val="46125A46"/>
    <w:rsid w:val="46132D66"/>
    <w:rsid w:val="46133029"/>
    <w:rsid w:val="46133FF3"/>
    <w:rsid w:val="46141B31"/>
    <w:rsid w:val="461431B0"/>
    <w:rsid w:val="46144678"/>
    <w:rsid w:val="46146ADE"/>
    <w:rsid w:val="46155842"/>
    <w:rsid w:val="461574CC"/>
    <w:rsid w:val="461602BA"/>
    <w:rsid w:val="46160CD2"/>
    <w:rsid w:val="46162856"/>
    <w:rsid w:val="461646DC"/>
    <w:rsid w:val="46167423"/>
    <w:rsid w:val="461710E5"/>
    <w:rsid w:val="4617213E"/>
    <w:rsid w:val="46184820"/>
    <w:rsid w:val="46184F74"/>
    <w:rsid w:val="461865CE"/>
    <w:rsid w:val="461878BD"/>
    <w:rsid w:val="46192347"/>
    <w:rsid w:val="4619280E"/>
    <w:rsid w:val="46192D48"/>
    <w:rsid w:val="46192DDB"/>
    <w:rsid w:val="461940F5"/>
    <w:rsid w:val="461A2EB7"/>
    <w:rsid w:val="461A77A5"/>
    <w:rsid w:val="461B1C1B"/>
    <w:rsid w:val="461B24A5"/>
    <w:rsid w:val="461B65D7"/>
    <w:rsid w:val="461B6B66"/>
    <w:rsid w:val="461B7E6D"/>
    <w:rsid w:val="461C3B64"/>
    <w:rsid w:val="461C6226"/>
    <w:rsid w:val="461D1E37"/>
    <w:rsid w:val="461D3BE5"/>
    <w:rsid w:val="461E157D"/>
    <w:rsid w:val="461F0444"/>
    <w:rsid w:val="461F1B74"/>
    <w:rsid w:val="461F3D43"/>
    <w:rsid w:val="461F4126"/>
    <w:rsid w:val="461F5467"/>
    <w:rsid w:val="461F55F9"/>
    <w:rsid w:val="461F5BAF"/>
    <w:rsid w:val="461F73FB"/>
    <w:rsid w:val="462002E9"/>
    <w:rsid w:val="462008E0"/>
    <w:rsid w:val="46203170"/>
    <w:rsid w:val="462036D5"/>
    <w:rsid w:val="46207231"/>
    <w:rsid w:val="462079F9"/>
    <w:rsid w:val="46211A1A"/>
    <w:rsid w:val="462140AB"/>
    <w:rsid w:val="46217065"/>
    <w:rsid w:val="462211FB"/>
    <w:rsid w:val="462214CE"/>
    <w:rsid w:val="46225F0C"/>
    <w:rsid w:val="4622744D"/>
    <w:rsid w:val="46236D21"/>
    <w:rsid w:val="46237C0C"/>
    <w:rsid w:val="46237C42"/>
    <w:rsid w:val="462410FC"/>
    <w:rsid w:val="46242C27"/>
    <w:rsid w:val="462431C5"/>
    <w:rsid w:val="46243C38"/>
    <w:rsid w:val="46244F73"/>
    <w:rsid w:val="46246221"/>
    <w:rsid w:val="46250CEB"/>
    <w:rsid w:val="462521AF"/>
    <w:rsid w:val="4625589C"/>
    <w:rsid w:val="4626100A"/>
    <w:rsid w:val="4626202B"/>
    <w:rsid w:val="46265C21"/>
    <w:rsid w:val="462705C0"/>
    <w:rsid w:val="46271B24"/>
    <w:rsid w:val="46276812"/>
    <w:rsid w:val="46277759"/>
    <w:rsid w:val="462813AD"/>
    <w:rsid w:val="46283CFF"/>
    <w:rsid w:val="46284338"/>
    <w:rsid w:val="4628619C"/>
    <w:rsid w:val="462870BB"/>
    <w:rsid w:val="4629258A"/>
    <w:rsid w:val="46293AD9"/>
    <w:rsid w:val="46295ECD"/>
    <w:rsid w:val="462A00B0"/>
    <w:rsid w:val="462A0617"/>
    <w:rsid w:val="462A203A"/>
    <w:rsid w:val="462A2ACA"/>
    <w:rsid w:val="462A6302"/>
    <w:rsid w:val="462B1CB2"/>
    <w:rsid w:val="462B4FB8"/>
    <w:rsid w:val="462C273A"/>
    <w:rsid w:val="462C3E28"/>
    <w:rsid w:val="462C5BD6"/>
    <w:rsid w:val="462C6A1A"/>
    <w:rsid w:val="462D264E"/>
    <w:rsid w:val="462D2C45"/>
    <w:rsid w:val="462D3044"/>
    <w:rsid w:val="462D39BC"/>
    <w:rsid w:val="462D72B0"/>
    <w:rsid w:val="462E521F"/>
    <w:rsid w:val="462E6AB7"/>
    <w:rsid w:val="462F0EAF"/>
    <w:rsid w:val="462F1B6A"/>
    <w:rsid w:val="462F3918"/>
    <w:rsid w:val="462F56C6"/>
    <w:rsid w:val="462F66AF"/>
    <w:rsid w:val="4631143E"/>
    <w:rsid w:val="46311FB0"/>
    <w:rsid w:val="46314544"/>
    <w:rsid w:val="463158E2"/>
    <w:rsid w:val="46317690"/>
    <w:rsid w:val="463179A9"/>
    <w:rsid w:val="46323DD3"/>
    <w:rsid w:val="46324CB2"/>
    <w:rsid w:val="463253E9"/>
    <w:rsid w:val="46326F64"/>
    <w:rsid w:val="46333408"/>
    <w:rsid w:val="4633699E"/>
    <w:rsid w:val="46342CDD"/>
    <w:rsid w:val="46352E0B"/>
    <w:rsid w:val="463539B1"/>
    <w:rsid w:val="46357180"/>
    <w:rsid w:val="46361DF7"/>
    <w:rsid w:val="46362EF9"/>
    <w:rsid w:val="46364CA7"/>
    <w:rsid w:val="463653D0"/>
    <w:rsid w:val="46366A55"/>
    <w:rsid w:val="463718F5"/>
    <w:rsid w:val="463827CD"/>
    <w:rsid w:val="46385F00"/>
    <w:rsid w:val="46386C71"/>
    <w:rsid w:val="463879A4"/>
    <w:rsid w:val="46392332"/>
    <w:rsid w:val="46396545"/>
    <w:rsid w:val="463A1236"/>
    <w:rsid w:val="463A382E"/>
    <w:rsid w:val="463A4797"/>
    <w:rsid w:val="463A5FB7"/>
    <w:rsid w:val="463A767D"/>
    <w:rsid w:val="463B050F"/>
    <w:rsid w:val="463B0C50"/>
    <w:rsid w:val="463B22BD"/>
    <w:rsid w:val="463B2F04"/>
    <w:rsid w:val="463B406B"/>
    <w:rsid w:val="463B4C52"/>
    <w:rsid w:val="463C063F"/>
    <w:rsid w:val="463C2029"/>
    <w:rsid w:val="463C6E35"/>
    <w:rsid w:val="463D2143"/>
    <w:rsid w:val="463D2596"/>
    <w:rsid w:val="463D3884"/>
    <w:rsid w:val="463D6035"/>
    <w:rsid w:val="463D7DE3"/>
    <w:rsid w:val="463E22D9"/>
    <w:rsid w:val="463E3B5B"/>
    <w:rsid w:val="463F0805"/>
    <w:rsid w:val="463F1017"/>
    <w:rsid w:val="463F1DAD"/>
    <w:rsid w:val="463F38B1"/>
    <w:rsid w:val="463F3E85"/>
    <w:rsid w:val="463F7FFF"/>
    <w:rsid w:val="46401681"/>
    <w:rsid w:val="46402205"/>
    <w:rsid w:val="46403803"/>
    <w:rsid w:val="46405B25"/>
    <w:rsid w:val="464060FB"/>
    <w:rsid w:val="464078D3"/>
    <w:rsid w:val="46407B53"/>
    <w:rsid w:val="46411DF5"/>
    <w:rsid w:val="4642189D"/>
    <w:rsid w:val="46422A3B"/>
    <w:rsid w:val="4642364B"/>
    <w:rsid w:val="464248BE"/>
    <w:rsid w:val="46424B25"/>
    <w:rsid w:val="46425C5B"/>
    <w:rsid w:val="46433589"/>
    <w:rsid w:val="46440B86"/>
    <w:rsid w:val="46441D9E"/>
    <w:rsid w:val="46445615"/>
    <w:rsid w:val="464508D5"/>
    <w:rsid w:val="4645313C"/>
    <w:rsid w:val="46456C98"/>
    <w:rsid w:val="4646138E"/>
    <w:rsid w:val="464630CD"/>
    <w:rsid w:val="46464E05"/>
    <w:rsid w:val="464720E4"/>
    <w:rsid w:val="46476EB4"/>
    <w:rsid w:val="46480B57"/>
    <w:rsid w:val="46481584"/>
    <w:rsid w:val="46481CEF"/>
    <w:rsid w:val="46484168"/>
    <w:rsid w:val="46484442"/>
    <w:rsid w:val="46487256"/>
    <w:rsid w:val="464916E9"/>
    <w:rsid w:val="46492C2C"/>
    <w:rsid w:val="46492C94"/>
    <w:rsid w:val="464939A9"/>
    <w:rsid w:val="464945FF"/>
    <w:rsid w:val="464949DA"/>
    <w:rsid w:val="464965E1"/>
    <w:rsid w:val="464A0752"/>
    <w:rsid w:val="464A2500"/>
    <w:rsid w:val="464A64BE"/>
    <w:rsid w:val="464B4747"/>
    <w:rsid w:val="464C0026"/>
    <w:rsid w:val="464C6278"/>
    <w:rsid w:val="464C6DD6"/>
    <w:rsid w:val="464D1C38"/>
    <w:rsid w:val="464D3FEA"/>
    <w:rsid w:val="464D6FA5"/>
    <w:rsid w:val="464E4599"/>
    <w:rsid w:val="464E529E"/>
    <w:rsid w:val="464E72C9"/>
    <w:rsid w:val="464F5C99"/>
    <w:rsid w:val="464F7B16"/>
    <w:rsid w:val="46503FBA"/>
    <w:rsid w:val="46511A49"/>
    <w:rsid w:val="46511AE0"/>
    <w:rsid w:val="4651388E"/>
    <w:rsid w:val="46517D32"/>
    <w:rsid w:val="46522ED9"/>
    <w:rsid w:val="46523BF3"/>
    <w:rsid w:val="46527772"/>
    <w:rsid w:val="465313B5"/>
    <w:rsid w:val="46535859"/>
    <w:rsid w:val="46537607"/>
    <w:rsid w:val="46542E23"/>
    <w:rsid w:val="4654337F"/>
    <w:rsid w:val="4654512D"/>
    <w:rsid w:val="46546942"/>
    <w:rsid w:val="46550474"/>
    <w:rsid w:val="465515D1"/>
    <w:rsid w:val="465545B3"/>
    <w:rsid w:val="46560EA5"/>
    <w:rsid w:val="46563719"/>
    <w:rsid w:val="46564855"/>
    <w:rsid w:val="46565349"/>
    <w:rsid w:val="46566B4B"/>
    <w:rsid w:val="46577FD6"/>
    <w:rsid w:val="465810C1"/>
    <w:rsid w:val="465846BA"/>
    <w:rsid w:val="46584C1D"/>
    <w:rsid w:val="46584C92"/>
    <w:rsid w:val="465901DB"/>
    <w:rsid w:val="46592743"/>
    <w:rsid w:val="465A166B"/>
    <w:rsid w:val="465A2DAC"/>
    <w:rsid w:val="465A4DAB"/>
    <w:rsid w:val="465B0E03"/>
    <w:rsid w:val="465B33D3"/>
    <w:rsid w:val="465B3725"/>
    <w:rsid w:val="465B423C"/>
    <w:rsid w:val="465B470D"/>
    <w:rsid w:val="465C6135"/>
    <w:rsid w:val="465C6B97"/>
    <w:rsid w:val="465D0485"/>
    <w:rsid w:val="465E31BF"/>
    <w:rsid w:val="465F404D"/>
    <w:rsid w:val="465F41FD"/>
    <w:rsid w:val="465F4E7C"/>
    <w:rsid w:val="465F5FAB"/>
    <w:rsid w:val="465F6C1E"/>
    <w:rsid w:val="466000AE"/>
    <w:rsid w:val="46601D24"/>
    <w:rsid w:val="46603AD2"/>
    <w:rsid w:val="466061EE"/>
    <w:rsid w:val="46607F75"/>
    <w:rsid w:val="4661153E"/>
    <w:rsid w:val="4661696D"/>
    <w:rsid w:val="46624496"/>
    <w:rsid w:val="4662784A"/>
    <w:rsid w:val="46634AE0"/>
    <w:rsid w:val="466435C2"/>
    <w:rsid w:val="4664552E"/>
    <w:rsid w:val="46646A2F"/>
    <w:rsid w:val="46647A66"/>
    <w:rsid w:val="466510E8"/>
    <w:rsid w:val="4665250E"/>
    <w:rsid w:val="4665558C"/>
    <w:rsid w:val="4665733A"/>
    <w:rsid w:val="4665779D"/>
    <w:rsid w:val="4666059A"/>
    <w:rsid w:val="4666134F"/>
    <w:rsid w:val="46661C91"/>
    <w:rsid w:val="466664AF"/>
    <w:rsid w:val="46671B49"/>
    <w:rsid w:val="466722E6"/>
    <w:rsid w:val="466727DF"/>
    <w:rsid w:val="466730B2"/>
    <w:rsid w:val="4667436A"/>
    <w:rsid w:val="46674E60"/>
    <w:rsid w:val="4667540C"/>
    <w:rsid w:val="46676E2F"/>
    <w:rsid w:val="466871EB"/>
    <w:rsid w:val="46696E2A"/>
    <w:rsid w:val="466A0B83"/>
    <w:rsid w:val="466A1160"/>
    <w:rsid w:val="466A28A1"/>
    <w:rsid w:val="466A4950"/>
    <w:rsid w:val="466B0DF4"/>
    <w:rsid w:val="466B2BA2"/>
    <w:rsid w:val="466C0FBD"/>
    <w:rsid w:val="466C1505"/>
    <w:rsid w:val="466C2476"/>
    <w:rsid w:val="466C5826"/>
    <w:rsid w:val="466C70BE"/>
    <w:rsid w:val="466D1222"/>
    <w:rsid w:val="466D6415"/>
    <w:rsid w:val="466D7AE1"/>
    <w:rsid w:val="466E2692"/>
    <w:rsid w:val="466E2B07"/>
    <w:rsid w:val="466E4989"/>
    <w:rsid w:val="466F0DBD"/>
    <w:rsid w:val="466F1F67"/>
    <w:rsid w:val="466F4980"/>
    <w:rsid w:val="466F5BEA"/>
    <w:rsid w:val="466F6B46"/>
    <w:rsid w:val="466F7D24"/>
    <w:rsid w:val="467001B9"/>
    <w:rsid w:val="46706677"/>
    <w:rsid w:val="46713F31"/>
    <w:rsid w:val="467158F2"/>
    <w:rsid w:val="46715CDF"/>
    <w:rsid w:val="46717A8D"/>
    <w:rsid w:val="46717FE7"/>
    <w:rsid w:val="46721C10"/>
    <w:rsid w:val="46722A37"/>
    <w:rsid w:val="46722E9B"/>
    <w:rsid w:val="4672304E"/>
    <w:rsid w:val="467236F8"/>
    <w:rsid w:val="46726D27"/>
    <w:rsid w:val="46731554"/>
    <w:rsid w:val="46731A57"/>
    <w:rsid w:val="46733805"/>
    <w:rsid w:val="46737CA9"/>
    <w:rsid w:val="46741642"/>
    <w:rsid w:val="4674757D"/>
    <w:rsid w:val="46752B77"/>
    <w:rsid w:val="467531B7"/>
    <w:rsid w:val="46753A21"/>
    <w:rsid w:val="46754891"/>
    <w:rsid w:val="467579B4"/>
    <w:rsid w:val="4676111D"/>
    <w:rsid w:val="46761547"/>
    <w:rsid w:val="467632F5"/>
    <w:rsid w:val="46764E21"/>
    <w:rsid w:val="46767799"/>
    <w:rsid w:val="4677113D"/>
    <w:rsid w:val="4677534F"/>
    <w:rsid w:val="46780E1B"/>
    <w:rsid w:val="467852BF"/>
    <w:rsid w:val="46794B93"/>
    <w:rsid w:val="46797035"/>
    <w:rsid w:val="467977C5"/>
    <w:rsid w:val="46797CB5"/>
    <w:rsid w:val="467A0C55"/>
    <w:rsid w:val="467A1037"/>
    <w:rsid w:val="467A2DE5"/>
    <w:rsid w:val="467A3084"/>
    <w:rsid w:val="467B090B"/>
    <w:rsid w:val="467B20E5"/>
    <w:rsid w:val="467B36C4"/>
    <w:rsid w:val="467B6CE8"/>
    <w:rsid w:val="467C4DAF"/>
    <w:rsid w:val="467C4E57"/>
    <w:rsid w:val="467C6146"/>
    <w:rsid w:val="467C74F5"/>
    <w:rsid w:val="467C773A"/>
    <w:rsid w:val="467D0B27"/>
    <w:rsid w:val="467D28D5"/>
    <w:rsid w:val="467D4684"/>
    <w:rsid w:val="467E045F"/>
    <w:rsid w:val="467E4A9B"/>
    <w:rsid w:val="467F02FC"/>
    <w:rsid w:val="467F1EF6"/>
    <w:rsid w:val="467F21AA"/>
    <w:rsid w:val="467F5974"/>
    <w:rsid w:val="467F5E08"/>
    <w:rsid w:val="467F664E"/>
    <w:rsid w:val="4680322E"/>
    <w:rsid w:val="46804174"/>
    <w:rsid w:val="46805202"/>
    <w:rsid w:val="46805F22"/>
    <w:rsid w:val="46806976"/>
    <w:rsid w:val="468123C6"/>
    <w:rsid w:val="46816A7D"/>
    <w:rsid w:val="46821FB8"/>
    <w:rsid w:val="4682613E"/>
    <w:rsid w:val="468273E7"/>
    <w:rsid w:val="46827EEC"/>
    <w:rsid w:val="4684044E"/>
    <w:rsid w:val="4684193D"/>
    <w:rsid w:val="46841EB6"/>
    <w:rsid w:val="46845B8C"/>
    <w:rsid w:val="46850939"/>
    <w:rsid w:val="4685178A"/>
    <w:rsid w:val="46853538"/>
    <w:rsid w:val="46853AFC"/>
    <w:rsid w:val="468661F2"/>
    <w:rsid w:val="46867973"/>
    <w:rsid w:val="46873259"/>
    <w:rsid w:val="46873754"/>
    <w:rsid w:val="46873B67"/>
    <w:rsid w:val="46875502"/>
    <w:rsid w:val="468772B0"/>
    <w:rsid w:val="46890F6F"/>
    <w:rsid w:val="4689127A"/>
    <w:rsid w:val="46892255"/>
    <w:rsid w:val="468945C4"/>
    <w:rsid w:val="4689570C"/>
    <w:rsid w:val="468972BA"/>
    <w:rsid w:val="468A0B4E"/>
    <w:rsid w:val="468A43CA"/>
    <w:rsid w:val="468B11D8"/>
    <w:rsid w:val="468B1BDA"/>
    <w:rsid w:val="468B4FF2"/>
    <w:rsid w:val="468C0D6B"/>
    <w:rsid w:val="468C2B19"/>
    <w:rsid w:val="468C306A"/>
    <w:rsid w:val="468C306B"/>
    <w:rsid w:val="468C48C7"/>
    <w:rsid w:val="468C7048"/>
    <w:rsid w:val="468D70CB"/>
    <w:rsid w:val="468E055B"/>
    <w:rsid w:val="468E063F"/>
    <w:rsid w:val="468E61D4"/>
    <w:rsid w:val="468E6891"/>
    <w:rsid w:val="468F0BEE"/>
    <w:rsid w:val="468F1209"/>
    <w:rsid w:val="468F7B20"/>
    <w:rsid w:val="4690085B"/>
    <w:rsid w:val="46901FC9"/>
    <w:rsid w:val="469043B7"/>
    <w:rsid w:val="4691024D"/>
    <w:rsid w:val="469257C1"/>
    <w:rsid w:val="469320F9"/>
    <w:rsid w:val="46933EA7"/>
    <w:rsid w:val="46935C55"/>
    <w:rsid w:val="469443CD"/>
    <w:rsid w:val="4695042E"/>
    <w:rsid w:val="4695154E"/>
    <w:rsid w:val="469519CD"/>
    <w:rsid w:val="46954198"/>
    <w:rsid w:val="46957C1F"/>
    <w:rsid w:val="46963712"/>
    <w:rsid w:val="46963997"/>
    <w:rsid w:val="46964F27"/>
    <w:rsid w:val="46970A61"/>
    <w:rsid w:val="46971BE9"/>
    <w:rsid w:val="46985F11"/>
    <w:rsid w:val="4698770F"/>
    <w:rsid w:val="46987E61"/>
    <w:rsid w:val="46997D56"/>
    <w:rsid w:val="469A3487"/>
    <w:rsid w:val="469A4273"/>
    <w:rsid w:val="469A5235"/>
    <w:rsid w:val="469A7090"/>
    <w:rsid w:val="469A7A9F"/>
    <w:rsid w:val="469B0FAE"/>
    <w:rsid w:val="469B1105"/>
    <w:rsid w:val="469B3CFE"/>
    <w:rsid w:val="469B4984"/>
    <w:rsid w:val="469B6ECE"/>
    <w:rsid w:val="469C4238"/>
    <w:rsid w:val="469C7200"/>
    <w:rsid w:val="469D0882"/>
    <w:rsid w:val="469D1E12"/>
    <w:rsid w:val="469D4BB4"/>
    <w:rsid w:val="469D4D26"/>
    <w:rsid w:val="469D6AD4"/>
    <w:rsid w:val="469E06AA"/>
    <w:rsid w:val="469E1AF9"/>
    <w:rsid w:val="469F3711"/>
    <w:rsid w:val="469F40B1"/>
    <w:rsid w:val="469F45FA"/>
    <w:rsid w:val="46A00372"/>
    <w:rsid w:val="46A02970"/>
    <w:rsid w:val="46A02F49"/>
    <w:rsid w:val="46A02F52"/>
    <w:rsid w:val="46A04C6D"/>
    <w:rsid w:val="46A071D5"/>
    <w:rsid w:val="46A0776D"/>
    <w:rsid w:val="46A07A0C"/>
    <w:rsid w:val="46A13E00"/>
    <w:rsid w:val="46A148F6"/>
    <w:rsid w:val="46A1723C"/>
    <w:rsid w:val="46A17935"/>
    <w:rsid w:val="46A2058E"/>
    <w:rsid w:val="46A2233C"/>
    <w:rsid w:val="46A2261F"/>
    <w:rsid w:val="46A240EA"/>
    <w:rsid w:val="46A26D6F"/>
    <w:rsid w:val="46A27739"/>
    <w:rsid w:val="46A32A32"/>
    <w:rsid w:val="46A4086E"/>
    <w:rsid w:val="46A41C10"/>
    <w:rsid w:val="46A4259B"/>
    <w:rsid w:val="46A42781"/>
    <w:rsid w:val="46A4301F"/>
    <w:rsid w:val="46A460D2"/>
    <w:rsid w:val="46A462BB"/>
    <w:rsid w:val="46A46F1C"/>
    <w:rsid w:val="46A4772B"/>
    <w:rsid w:val="46A47F54"/>
    <w:rsid w:val="46A541DC"/>
    <w:rsid w:val="46A5512F"/>
    <w:rsid w:val="46A60640"/>
    <w:rsid w:val="46A617C3"/>
    <w:rsid w:val="46A63BDA"/>
    <w:rsid w:val="46A64429"/>
    <w:rsid w:val="46A71700"/>
    <w:rsid w:val="46A71E64"/>
    <w:rsid w:val="46A74818"/>
    <w:rsid w:val="46A76FDC"/>
    <w:rsid w:val="46A77215"/>
    <w:rsid w:val="46A77C72"/>
    <w:rsid w:val="46A86A8B"/>
    <w:rsid w:val="46A9191C"/>
    <w:rsid w:val="46A936CA"/>
    <w:rsid w:val="46A9389A"/>
    <w:rsid w:val="46A93F5E"/>
    <w:rsid w:val="46A95163"/>
    <w:rsid w:val="46A95479"/>
    <w:rsid w:val="46A96CEF"/>
    <w:rsid w:val="46AA0BD3"/>
    <w:rsid w:val="46AA2F9F"/>
    <w:rsid w:val="46AA33C7"/>
    <w:rsid w:val="46AA41E6"/>
    <w:rsid w:val="46AA5F4A"/>
    <w:rsid w:val="46AA65F3"/>
    <w:rsid w:val="46AB09A5"/>
    <w:rsid w:val="46AB11F1"/>
    <w:rsid w:val="46AB55E7"/>
    <w:rsid w:val="46AB75EC"/>
    <w:rsid w:val="46AC31BB"/>
    <w:rsid w:val="46AC4F69"/>
    <w:rsid w:val="46AC5466"/>
    <w:rsid w:val="46AC6D17"/>
    <w:rsid w:val="46AC7D91"/>
    <w:rsid w:val="46AD30FB"/>
    <w:rsid w:val="46AD4555"/>
    <w:rsid w:val="46AD4F74"/>
    <w:rsid w:val="46AE0CE1"/>
    <w:rsid w:val="46AE1256"/>
    <w:rsid w:val="46AE69FD"/>
    <w:rsid w:val="46AE6F33"/>
    <w:rsid w:val="46AE7B45"/>
    <w:rsid w:val="46AF075C"/>
    <w:rsid w:val="46B04A59"/>
    <w:rsid w:val="46B06807"/>
    <w:rsid w:val="46B166F6"/>
    <w:rsid w:val="46B1784C"/>
    <w:rsid w:val="46B207D1"/>
    <w:rsid w:val="46B24D85"/>
    <w:rsid w:val="46B2729D"/>
    <w:rsid w:val="46B300A5"/>
    <w:rsid w:val="46B30DE6"/>
    <w:rsid w:val="46B3324E"/>
    <w:rsid w:val="46B359DE"/>
    <w:rsid w:val="46B362F7"/>
    <w:rsid w:val="46B502C1"/>
    <w:rsid w:val="46B5174F"/>
    <w:rsid w:val="46B5206F"/>
    <w:rsid w:val="46B53706"/>
    <w:rsid w:val="46B547C6"/>
    <w:rsid w:val="46B54E47"/>
    <w:rsid w:val="46B61944"/>
    <w:rsid w:val="46B62EB9"/>
    <w:rsid w:val="46B651A1"/>
    <w:rsid w:val="46B65365"/>
    <w:rsid w:val="46B67358"/>
    <w:rsid w:val="46B67767"/>
    <w:rsid w:val="46B67B95"/>
    <w:rsid w:val="46B70BF7"/>
    <w:rsid w:val="46B72338"/>
    <w:rsid w:val="46B74A6E"/>
    <w:rsid w:val="46B8390E"/>
    <w:rsid w:val="46BA0CB9"/>
    <w:rsid w:val="46BA1434"/>
    <w:rsid w:val="46BA5C62"/>
    <w:rsid w:val="46BA64C5"/>
    <w:rsid w:val="46BB2149"/>
    <w:rsid w:val="46BB6641"/>
    <w:rsid w:val="46BC0042"/>
    <w:rsid w:val="46BC1650"/>
    <w:rsid w:val="46BC1678"/>
    <w:rsid w:val="46BC239E"/>
    <w:rsid w:val="46BC35D9"/>
    <w:rsid w:val="46BC369C"/>
    <w:rsid w:val="46BD0F24"/>
    <w:rsid w:val="46BD2CD2"/>
    <w:rsid w:val="46BD32C9"/>
    <w:rsid w:val="46BD3DB9"/>
    <w:rsid w:val="46BD44BC"/>
    <w:rsid w:val="46BD4D70"/>
    <w:rsid w:val="46BD6773"/>
    <w:rsid w:val="46BD7D17"/>
    <w:rsid w:val="46BE108D"/>
    <w:rsid w:val="46BE5EF9"/>
    <w:rsid w:val="46BF5DAF"/>
    <w:rsid w:val="46BF6A4A"/>
    <w:rsid w:val="46C028A6"/>
    <w:rsid w:val="46C04C25"/>
    <w:rsid w:val="46C04FA0"/>
    <w:rsid w:val="46C0680D"/>
    <w:rsid w:val="46C17D8B"/>
    <w:rsid w:val="46C202E8"/>
    <w:rsid w:val="46C2478C"/>
    <w:rsid w:val="46C2487A"/>
    <w:rsid w:val="46C25B9D"/>
    <w:rsid w:val="46C2653A"/>
    <w:rsid w:val="46C277A4"/>
    <w:rsid w:val="46C308DB"/>
    <w:rsid w:val="46C329DE"/>
    <w:rsid w:val="46C36E4A"/>
    <w:rsid w:val="46C40504"/>
    <w:rsid w:val="46C4195A"/>
    <w:rsid w:val="46C44060"/>
    <w:rsid w:val="46C517C1"/>
    <w:rsid w:val="46C53717"/>
    <w:rsid w:val="46C55DCC"/>
    <w:rsid w:val="46C60825"/>
    <w:rsid w:val="46C61DFB"/>
    <w:rsid w:val="46C6468B"/>
    <w:rsid w:val="46C6602A"/>
    <w:rsid w:val="46C66128"/>
    <w:rsid w:val="46C671A0"/>
    <w:rsid w:val="46C67DD9"/>
    <w:rsid w:val="46C70E1C"/>
    <w:rsid w:val="46C71DA3"/>
    <w:rsid w:val="46C73B51"/>
    <w:rsid w:val="46C83092"/>
    <w:rsid w:val="46C832BD"/>
    <w:rsid w:val="46C85C62"/>
    <w:rsid w:val="46C87FF5"/>
    <w:rsid w:val="46C9022F"/>
    <w:rsid w:val="46C91677"/>
    <w:rsid w:val="46C93D6D"/>
    <w:rsid w:val="46C9474D"/>
    <w:rsid w:val="46C95B1B"/>
    <w:rsid w:val="46C978C9"/>
    <w:rsid w:val="46C97DAE"/>
    <w:rsid w:val="46CA2312"/>
    <w:rsid w:val="46CA4285"/>
    <w:rsid w:val="46CA4D92"/>
    <w:rsid w:val="46CB0D6C"/>
    <w:rsid w:val="46CB26D1"/>
    <w:rsid w:val="46CB3641"/>
    <w:rsid w:val="46CC04FD"/>
    <w:rsid w:val="46CC3455"/>
    <w:rsid w:val="46CC3DD3"/>
    <w:rsid w:val="46CC4478"/>
    <w:rsid w:val="46CC670F"/>
    <w:rsid w:val="46CC6DDB"/>
    <w:rsid w:val="46CD4B6D"/>
    <w:rsid w:val="46CD560B"/>
    <w:rsid w:val="46CE0CBD"/>
    <w:rsid w:val="46CE2B3F"/>
    <w:rsid w:val="46CE3131"/>
    <w:rsid w:val="46CE4EDF"/>
    <w:rsid w:val="46CF1F85"/>
    <w:rsid w:val="46CF7B75"/>
    <w:rsid w:val="46D00C57"/>
    <w:rsid w:val="46D01A4F"/>
    <w:rsid w:val="46D02A05"/>
    <w:rsid w:val="46D05BA6"/>
    <w:rsid w:val="46D06405"/>
    <w:rsid w:val="46D11FBC"/>
    <w:rsid w:val="46D12EDF"/>
    <w:rsid w:val="46D1436F"/>
    <w:rsid w:val="46D149CF"/>
    <w:rsid w:val="46D1677D"/>
    <w:rsid w:val="46D17FAE"/>
    <w:rsid w:val="46D257FF"/>
    <w:rsid w:val="46D26F40"/>
    <w:rsid w:val="46D303D0"/>
    <w:rsid w:val="46D331F7"/>
    <w:rsid w:val="46D34FDF"/>
    <w:rsid w:val="46D364BA"/>
    <w:rsid w:val="46D36999"/>
    <w:rsid w:val="46D440C9"/>
    <w:rsid w:val="46D513E1"/>
    <w:rsid w:val="46D52711"/>
    <w:rsid w:val="46D52CF0"/>
    <w:rsid w:val="46D530A1"/>
    <w:rsid w:val="46D538A6"/>
    <w:rsid w:val="46D538E0"/>
    <w:rsid w:val="46D544C0"/>
    <w:rsid w:val="46D54DA8"/>
    <w:rsid w:val="46D5626E"/>
    <w:rsid w:val="46D60EE1"/>
    <w:rsid w:val="46D62AA1"/>
    <w:rsid w:val="46D642A8"/>
    <w:rsid w:val="46D643A4"/>
    <w:rsid w:val="46D701E1"/>
    <w:rsid w:val="46D70238"/>
    <w:rsid w:val="46D72939"/>
    <w:rsid w:val="46D80B14"/>
    <w:rsid w:val="46D8330D"/>
    <w:rsid w:val="46D83FB0"/>
    <w:rsid w:val="46D8622E"/>
    <w:rsid w:val="46D86895"/>
    <w:rsid w:val="46D87B0C"/>
    <w:rsid w:val="46D90A0C"/>
    <w:rsid w:val="46D939F4"/>
    <w:rsid w:val="46D955A7"/>
    <w:rsid w:val="46DA1AD6"/>
    <w:rsid w:val="46DB13AA"/>
    <w:rsid w:val="46DB2520"/>
    <w:rsid w:val="46DB624D"/>
    <w:rsid w:val="46DB65DE"/>
    <w:rsid w:val="46DB6B62"/>
    <w:rsid w:val="46DC2BC3"/>
    <w:rsid w:val="46DC584E"/>
    <w:rsid w:val="46DC75FC"/>
    <w:rsid w:val="46DD15C6"/>
    <w:rsid w:val="46DD1985"/>
    <w:rsid w:val="46DD5122"/>
    <w:rsid w:val="46DE008C"/>
    <w:rsid w:val="46DE32DD"/>
    <w:rsid w:val="46DE3DA2"/>
    <w:rsid w:val="46DE54E3"/>
    <w:rsid w:val="46DE5B86"/>
    <w:rsid w:val="46DE5F6A"/>
    <w:rsid w:val="46DF0E9A"/>
    <w:rsid w:val="46DF2787"/>
    <w:rsid w:val="46DF533E"/>
    <w:rsid w:val="46DF5A91"/>
    <w:rsid w:val="46DF70EC"/>
    <w:rsid w:val="46DF787F"/>
    <w:rsid w:val="46E00068"/>
    <w:rsid w:val="46E0127E"/>
    <w:rsid w:val="46E029D4"/>
    <w:rsid w:val="46E057D0"/>
    <w:rsid w:val="46E0750B"/>
    <w:rsid w:val="46E10058"/>
    <w:rsid w:val="46E13E64"/>
    <w:rsid w:val="46E2098A"/>
    <w:rsid w:val="46E22739"/>
    <w:rsid w:val="46E2533D"/>
    <w:rsid w:val="46E36784"/>
    <w:rsid w:val="46E42146"/>
    <w:rsid w:val="46E44703"/>
    <w:rsid w:val="46E464B1"/>
    <w:rsid w:val="46E47C14"/>
    <w:rsid w:val="46E6047B"/>
    <w:rsid w:val="46E62229"/>
    <w:rsid w:val="46E666CD"/>
    <w:rsid w:val="46E75FA1"/>
    <w:rsid w:val="46E81166"/>
    <w:rsid w:val="46E8207A"/>
    <w:rsid w:val="46E910D3"/>
    <w:rsid w:val="46E91D19"/>
    <w:rsid w:val="46E93AC7"/>
    <w:rsid w:val="46E95528"/>
    <w:rsid w:val="46E968E9"/>
    <w:rsid w:val="46E97F6B"/>
    <w:rsid w:val="46EA7103"/>
    <w:rsid w:val="46EA74AF"/>
    <w:rsid w:val="46EB3CE3"/>
    <w:rsid w:val="46EB5A91"/>
    <w:rsid w:val="46EB783F"/>
    <w:rsid w:val="46EC63A6"/>
    <w:rsid w:val="46ED2CAD"/>
    <w:rsid w:val="46ED3B48"/>
    <w:rsid w:val="46ED5417"/>
    <w:rsid w:val="46ED7B16"/>
    <w:rsid w:val="46EE1362"/>
    <w:rsid w:val="46EE37D3"/>
    <w:rsid w:val="46EE5581"/>
    <w:rsid w:val="46EE761B"/>
    <w:rsid w:val="46EE7B05"/>
    <w:rsid w:val="46F012F9"/>
    <w:rsid w:val="46F024C9"/>
    <w:rsid w:val="46F02E60"/>
    <w:rsid w:val="46F03410"/>
    <w:rsid w:val="46F04E55"/>
    <w:rsid w:val="46F10BCE"/>
    <w:rsid w:val="46F10D27"/>
    <w:rsid w:val="46F13959"/>
    <w:rsid w:val="46F216FD"/>
    <w:rsid w:val="46F2217B"/>
    <w:rsid w:val="46F22218"/>
    <w:rsid w:val="46F233C3"/>
    <w:rsid w:val="46F26E20"/>
    <w:rsid w:val="46F32D69"/>
    <w:rsid w:val="46F34946"/>
    <w:rsid w:val="46F365B9"/>
    <w:rsid w:val="46F42F70"/>
    <w:rsid w:val="46F43A74"/>
    <w:rsid w:val="46F43B9D"/>
    <w:rsid w:val="46F506BE"/>
    <w:rsid w:val="46F5246C"/>
    <w:rsid w:val="46F53B97"/>
    <w:rsid w:val="46F54B62"/>
    <w:rsid w:val="46F56FF8"/>
    <w:rsid w:val="46F618BC"/>
    <w:rsid w:val="46F626C3"/>
    <w:rsid w:val="46F62E90"/>
    <w:rsid w:val="46F64B3C"/>
    <w:rsid w:val="46F66186"/>
    <w:rsid w:val="46F7052F"/>
    <w:rsid w:val="46F72688"/>
    <w:rsid w:val="46F75133"/>
    <w:rsid w:val="46F801AE"/>
    <w:rsid w:val="46F81F5C"/>
    <w:rsid w:val="46F9201D"/>
    <w:rsid w:val="46F942A6"/>
    <w:rsid w:val="46F96400"/>
    <w:rsid w:val="46FA3F26"/>
    <w:rsid w:val="46FA5CD4"/>
    <w:rsid w:val="46FA6D9D"/>
    <w:rsid w:val="46FB75DC"/>
    <w:rsid w:val="46FC2996"/>
    <w:rsid w:val="46FC606B"/>
    <w:rsid w:val="46FC7C9E"/>
    <w:rsid w:val="46FD1EFC"/>
    <w:rsid w:val="46FD57C4"/>
    <w:rsid w:val="46FD732B"/>
    <w:rsid w:val="46FD7572"/>
    <w:rsid w:val="46FE7D5F"/>
    <w:rsid w:val="46FF06D8"/>
    <w:rsid w:val="46FF153C"/>
    <w:rsid w:val="46FF2FEB"/>
    <w:rsid w:val="46FF32EA"/>
    <w:rsid w:val="470009EC"/>
    <w:rsid w:val="470073ED"/>
    <w:rsid w:val="47007E18"/>
    <w:rsid w:val="47010EFF"/>
    <w:rsid w:val="47012B88"/>
    <w:rsid w:val="47012E44"/>
    <w:rsid w:val="47013507"/>
    <w:rsid w:val="470152B5"/>
    <w:rsid w:val="47017063"/>
    <w:rsid w:val="47021D0D"/>
    <w:rsid w:val="47022DDB"/>
    <w:rsid w:val="470248DE"/>
    <w:rsid w:val="47024C1B"/>
    <w:rsid w:val="4703102D"/>
    <w:rsid w:val="470323D1"/>
    <w:rsid w:val="4703462D"/>
    <w:rsid w:val="4703605D"/>
    <w:rsid w:val="47040901"/>
    <w:rsid w:val="47041330"/>
    <w:rsid w:val="47043DA9"/>
    <w:rsid w:val="47046B53"/>
    <w:rsid w:val="47052FBE"/>
    <w:rsid w:val="47064679"/>
    <w:rsid w:val="47066C45"/>
    <w:rsid w:val="47073006"/>
    <w:rsid w:val="47073B53"/>
    <w:rsid w:val="47074862"/>
    <w:rsid w:val="47081961"/>
    <w:rsid w:val="47084DA6"/>
    <w:rsid w:val="47086643"/>
    <w:rsid w:val="470A192F"/>
    <w:rsid w:val="470A1DC8"/>
    <w:rsid w:val="470A3070"/>
    <w:rsid w:val="470A6A08"/>
    <w:rsid w:val="470B1E43"/>
    <w:rsid w:val="470B2422"/>
    <w:rsid w:val="470B7EE1"/>
    <w:rsid w:val="470C0561"/>
    <w:rsid w:val="470D0B07"/>
    <w:rsid w:val="470D0F87"/>
    <w:rsid w:val="470D0FC5"/>
    <w:rsid w:val="470D149B"/>
    <w:rsid w:val="470D1EAB"/>
    <w:rsid w:val="470D371F"/>
    <w:rsid w:val="470D3C59"/>
    <w:rsid w:val="470D40E8"/>
    <w:rsid w:val="470D45A0"/>
    <w:rsid w:val="470D5A07"/>
    <w:rsid w:val="470D6E20"/>
    <w:rsid w:val="470D7941"/>
    <w:rsid w:val="470E2378"/>
    <w:rsid w:val="470E352E"/>
    <w:rsid w:val="470E79D1"/>
    <w:rsid w:val="470F0AB5"/>
    <w:rsid w:val="470F7109"/>
    <w:rsid w:val="47102A24"/>
    <w:rsid w:val="4710374A"/>
    <w:rsid w:val="471054F8"/>
    <w:rsid w:val="471072A6"/>
    <w:rsid w:val="47113998"/>
    <w:rsid w:val="4712105C"/>
    <w:rsid w:val="47121270"/>
    <w:rsid w:val="4712301E"/>
    <w:rsid w:val="471268B3"/>
    <w:rsid w:val="471274C2"/>
    <w:rsid w:val="47133957"/>
    <w:rsid w:val="47136D96"/>
    <w:rsid w:val="4714323A"/>
    <w:rsid w:val="47146CF3"/>
    <w:rsid w:val="47153BAE"/>
    <w:rsid w:val="471548BC"/>
    <w:rsid w:val="47154DC1"/>
    <w:rsid w:val="47156114"/>
    <w:rsid w:val="471579B3"/>
    <w:rsid w:val="47160F4D"/>
    <w:rsid w:val="471630BE"/>
    <w:rsid w:val="471641E4"/>
    <w:rsid w:val="47170634"/>
    <w:rsid w:val="47172AA3"/>
    <w:rsid w:val="4717362E"/>
    <w:rsid w:val="47173F8D"/>
    <w:rsid w:val="47174AD8"/>
    <w:rsid w:val="47176886"/>
    <w:rsid w:val="471825FE"/>
    <w:rsid w:val="471843AC"/>
    <w:rsid w:val="471853EF"/>
    <w:rsid w:val="47186B04"/>
    <w:rsid w:val="471876E9"/>
    <w:rsid w:val="47187C8A"/>
    <w:rsid w:val="47190850"/>
    <w:rsid w:val="47196173"/>
    <w:rsid w:val="471963AA"/>
    <w:rsid w:val="471A0124"/>
    <w:rsid w:val="471A0647"/>
    <w:rsid w:val="471A1ED2"/>
    <w:rsid w:val="471A526A"/>
    <w:rsid w:val="471A6376"/>
    <w:rsid w:val="471B3098"/>
    <w:rsid w:val="471C20EE"/>
    <w:rsid w:val="471C335E"/>
    <w:rsid w:val="471C4883"/>
    <w:rsid w:val="471C5BCD"/>
    <w:rsid w:val="471C683C"/>
    <w:rsid w:val="471D0BAC"/>
    <w:rsid w:val="471D17A3"/>
    <w:rsid w:val="471D19C3"/>
    <w:rsid w:val="471E05BF"/>
    <w:rsid w:val="471E2449"/>
    <w:rsid w:val="471E5786"/>
    <w:rsid w:val="471E5E67"/>
    <w:rsid w:val="471E5F4B"/>
    <w:rsid w:val="471E63F9"/>
    <w:rsid w:val="471E664E"/>
    <w:rsid w:val="471E7C15"/>
    <w:rsid w:val="471F0199"/>
    <w:rsid w:val="471F17CF"/>
    <w:rsid w:val="471F1BDF"/>
    <w:rsid w:val="471F398D"/>
    <w:rsid w:val="471F459B"/>
    <w:rsid w:val="4720574B"/>
    <w:rsid w:val="47205B04"/>
    <w:rsid w:val="47207AD5"/>
    <w:rsid w:val="47207E67"/>
    <w:rsid w:val="47211290"/>
    <w:rsid w:val="4721182B"/>
    <w:rsid w:val="47213261"/>
    <w:rsid w:val="47213A23"/>
    <w:rsid w:val="47213C9A"/>
    <w:rsid w:val="47215957"/>
    <w:rsid w:val="47216E31"/>
    <w:rsid w:val="472172AE"/>
    <w:rsid w:val="47221765"/>
    <w:rsid w:val="47222787"/>
    <w:rsid w:val="47223430"/>
    <w:rsid w:val="472259D0"/>
    <w:rsid w:val="47226FD9"/>
    <w:rsid w:val="4723347D"/>
    <w:rsid w:val="472450A7"/>
    <w:rsid w:val="47246C2E"/>
    <w:rsid w:val="472471F5"/>
    <w:rsid w:val="472521EA"/>
    <w:rsid w:val="47256537"/>
    <w:rsid w:val="47261108"/>
    <w:rsid w:val="47262F6D"/>
    <w:rsid w:val="472647C7"/>
    <w:rsid w:val="47264D1B"/>
    <w:rsid w:val="472661D1"/>
    <w:rsid w:val="47272028"/>
    <w:rsid w:val="47275169"/>
    <w:rsid w:val="47282841"/>
    <w:rsid w:val="472924B7"/>
    <w:rsid w:val="47292BC5"/>
    <w:rsid w:val="4729480B"/>
    <w:rsid w:val="47294EB8"/>
    <w:rsid w:val="472962E9"/>
    <w:rsid w:val="472965B9"/>
    <w:rsid w:val="47297A89"/>
    <w:rsid w:val="472A0F19"/>
    <w:rsid w:val="472B0583"/>
    <w:rsid w:val="472B2331"/>
    <w:rsid w:val="472B3950"/>
    <w:rsid w:val="472B40E0"/>
    <w:rsid w:val="472C14A0"/>
    <w:rsid w:val="472C640A"/>
    <w:rsid w:val="472D048E"/>
    <w:rsid w:val="472D286B"/>
    <w:rsid w:val="472D3228"/>
    <w:rsid w:val="472D42FC"/>
    <w:rsid w:val="472E246B"/>
    <w:rsid w:val="472E597E"/>
    <w:rsid w:val="472E7A45"/>
    <w:rsid w:val="472F1DA7"/>
    <w:rsid w:val="472F1E22"/>
    <w:rsid w:val="472F42D1"/>
    <w:rsid w:val="472F5ACD"/>
    <w:rsid w:val="473016F6"/>
    <w:rsid w:val="47305546"/>
    <w:rsid w:val="47305B9A"/>
    <w:rsid w:val="47315C38"/>
    <w:rsid w:val="4731621B"/>
    <w:rsid w:val="473204DC"/>
    <w:rsid w:val="47321912"/>
    <w:rsid w:val="47323972"/>
    <w:rsid w:val="4732546E"/>
    <w:rsid w:val="47325B69"/>
    <w:rsid w:val="47330B3B"/>
    <w:rsid w:val="47332F94"/>
    <w:rsid w:val="473417FC"/>
    <w:rsid w:val="47354F5E"/>
    <w:rsid w:val="47354FB0"/>
    <w:rsid w:val="4735602C"/>
    <w:rsid w:val="47356D0C"/>
    <w:rsid w:val="47360BAE"/>
    <w:rsid w:val="47363F31"/>
    <w:rsid w:val="47370E61"/>
    <w:rsid w:val="47372A84"/>
    <w:rsid w:val="47376F28"/>
    <w:rsid w:val="4738008B"/>
    <w:rsid w:val="47385261"/>
    <w:rsid w:val="473867FC"/>
    <w:rsid w:val="47386C5C"/>
    <w:rsid w:val="47392CA0"/>
    <w:rsid w:val="47393B5A"/>
    <w:rsid w:val="47394A4E"/>
    <w:rsid w:val="47396ED2"/>
    <w:rsid w:val="473A2575"/>
    <w:rsid w:val="473A4323"/>
    <w:rsid w:val="473C009B"/>
    <w:rsid w:val="473C332E"/>
    <w:rsid w:val="473C40E4"/>
    <w:rsid w:val="473C62ED"/>
    <w:rsid w:val="473D0BE9"/>
    <w:rsid w:val="473D3E13"/>
    <w:rsid w:val="473E081F"/>
    <w:rsid w:val="473E2065"/>
    <w:rsid w:val="473E7C34"/>
    <w:rsid w:val="473F01B1"/>
    <w:rsid w:val="473F2CD7"/>
    <w:rsid w:val="473F33F0"/>
    <w:rsid w:val="473F460B"/>
    <w:rsid w:val="473F4AE6"/>
    <w:rsid w:val="473F525B"/>
    <w:rsid w:val="473F7B8B"/>
    <w:rsid w:val="4740402F"/>
    <w:rsid w:val="47411B27"/>
    <w:rsid w:val="47411B55"/>
    <w:rsid w:val="474133A2"/>
    <w:rsid w:val="474156B1"/>
    <w:rsid w:val="474167CC"/>
    <w:rsid w:val="47421D71"/>
    <w:rsid w:val="47422D97"/>
    <w:rsid w:val="474273C1"/>
    <w:rsid w:val="47431429"/>
    <w:rsid w:val="47432E89"/>
    <w:rsid w:val="4743487A"/>
    <w:rsid w:val="474358CD"/>
    <w:rsid w:val="474433F3"/>
    <w:rsid w:val="47443AD6"/>
    <w:rsid w:val="474451A1"/>
    <w:rsid w:val="47451645"/>
    <w:rsid w:val="47453CDA"/>
    <w:rsid w:val="474565A3"/>
    <w:rsid w:val="474601C2"/>
    <w:rsid w:val="47460F19"/>
    <w:rsid w:val="47464BBD"/>
    <w:rsid w:val="4746684B"/>
    <w:rsid w:val="47466FB1"/>
    <w:rsid w:val="47474EAA"/>
    <w:rsid w:val="4748112D"/>
    <w:rsid w:val="47482EE3"/>
    <w:rsid w:val="47483902"/>
    <w:rsid w:val="47483BE5"/>
    <w:rsid w:val="474868A6"/>
    <w:rsid w:val="47486A40"/>
    <w:rsid w:val="47490A0A"/>
    <w:rsid w:val="47497073"/>
    <w:rsid w:val="474978B5"/>
    <w:rsid w:val="474A0503"/>
    <w:rsid w:val="474A6C5C"/>
    <w:rsid w:val="474B043A"/>
    <w:rsid w:val="474B29D4"/>
    <w:rsid w:val="474B4782"/>
    <w:rsid w:val="474B478B"/>
    <w:rsid w:val="474B6530"/>
    <w:rsid w:val="474B6E87"/>
    <w:rsid w:val="474C0B9A"/>
    <w:rsid w:val="474C2E23"/>
    <w:rsid w:val="474D1675"/>
    <w:rsid w:val="474D22A8"/>
    <w:rsid w:val="474D2918"/>
    <w:rsid w:val="474D3AEE"/>
    <w:rsid w:val="474D4178"/>
    <w:rsid w:val="474E0314"/>
    <w:rsid w:val="474E12FD"/>
    <w:rsid w:val="474E5743"/>
    <w:rsid w:val="474E6020"/>
    <w:rsid w:val="474E7388"/>
    <w:rsid w:val="474F00F8"/>
    <w:rsid w:val="474F3C8D"/>
    <w:rsid w:val="474F4072"/>
    <w:rsid w:val="474F4272"/>
    <w:rsid w:val="47501534"/>
    <w:rsid w:val="47503A3F"/>
    <w:rsid w:val="47503B46"/>
    <w:rsid w:val="47504375"/>
    <w:rsid w:val="47504F42"/>
    <w:rsid w:val="47507FEA"/>
    <w:rsid w:val="47511BBD"/>
    <w:rsid w:val="47514036"/>
    <w:rsid w:val="47514501"/>
    <w:rsid w:val="47515805"/>
    <w:rsid w:val="47523D62"/>
    <w:rsid w:val="47524C24"/>
    <w:rsid w:val="47526C95"/>
    <w:rsid w:val="475278BE"/>
    <w:rsid w:val="47530F1F"/>
    <w:rsid w:val="47532CF6"/>
    <w:rsid w:val="4753711C"/>
    <w:rsid w:val="47543636"/>
    <w:rsid w:val="47545812"/>
    <w:rsid w:val="47545E09"/>
    <w:rsid w:val="475470F8"/>
    <w:rsid w:val="4755098B"/>
    <w:rsid w:val="4755115C"/>
    <w:rsid w:val="47551D2C"/>
    <w:rsid w:val="4755356C"/>
    <w:rsid w:val="4755399D"/>
    <w:rsid w:val="475573AE"/>
    <w:rsid w:val="4756572C"/>
    <w:rsid w:val="47572B07"/>
    <w:rsid w:val="47576591"/>
    <w:rsid w:val="475855FA"/>
    <w:rsid w:val="475956E5"/>
    <w:rsid w:val="475A2C17"/>
    <w:rsid w:val="475A49C5"/>
    <w:rsid w:val="475A5F5D"/>
    <w:rsid w:val="475A6773"/>
    <w:rsid w:val="475A68B7"/>
    <w:rsid w:val="475B03AC"/>
    <w:rsid w:val="475B10E8"/>
    <w:rsid w:val="475B27DA"/>
    <w:rsid w:val="475B720E"/>
    <w:rsid w:val="475C073D"/>
    <w:rsid w:val="475C24EB"/>
    <w:rsid w:val="475C4A87"/>
    <w:rsid w:val="475D07A2"/>
    <w:rsid w:val="475D2E26"/>
    <w:rsid w:val="475D5424"/>
    <w:rsid w:val="475E1611"/>
    <w:rsid w:val="475E2707"/>
    <w:rsid w:val="475E5238"/>
    <w:rsid w:val="475E6263"/>
    <w:rsid w:val="475E66C8"/>
    <w:rsid w:val="475E6ABA"/>
    <w:rsid w:val="475E7C22"/>
    <w:rsid w:val="475F022D"/>
    <w:rsid w:val="475F1FDB"/>
    <w:rsid w:val="475F5482"/>
    <w:rsid w:val="47603568"/>
    <w:rsid w:val="47604C12"/>
    <w:rsid w:val="47613D2A"/>
    <w:rsid w:val="47613FA5"/>
    <w:rsid w:val="47615D53"/>
    <w:rsid w:val="476160C4"/>
    <w:rsid w:val="47616496"/>
    <w:rsid w:val="4761650B"/>
    <w:rsid w:val="47617AE4"/>
    <w:rsid w:val="47617B01"/>
    <w:rsid w:val="47620699"/>
    <w:rsid w:val="47625049"/>
    <w:rsid w:val="47627C1A"/>
    <w:rsid w:val="47631ACB"/>
    <w:rsid w:val="47633879"/>
    <w:rsid w:val="47636202"/>
    <w:rsid w:val="47637CCE"/>
    <w:rsid w:val="47637D1D"/>
    <w:rsid w:val="4764152B"/>
    <w:rsid w:val="4764253A"/>
    <w:rsid w:val="4764410D"/>
    <w:rsid w:val="47646F3F"/>
    <w:rsid w:val="476475F1"/>
    <w:rsid w:val="47653A95"/>
    <w:rsid w:val="4765510B"/>
    <w:rsid w:val="47655545"/>
    <w:rsid w:val="47655843"/>
    <w:rsid w:val="4766096F"/>
    <w:rsid w:val="476615BC"/>
    <w:rsid w:val="4766336A"/>
    <w:rsid w:val="47663D1A"/>
    <w:rsid w:val="47665118"/>
    <w:rsid w:val="476721D3"/>
    <w:rsid w:val="47675DCA"/>
    <w:rsid w:val="4767627D"/>
    <w:rsid w:val="47677A2B"/>
    <w:rsid w:val="4768075B"/>
    <w:rsid w:val="47685334"/>
    <w:rsid w:val="476870E2"/>
    <w:rsid w:val="4769139B"/>
    <w:rsid w:val="476937DB"/>
    <w:rsid w:val="47694C08"/>
    <w:rsid w:val="47694C86"/>
    <w:rsid w:val="476A10AC"/>
    <w:rsid w:val="476A4246"/>
    <w:rsid w:val="476B0980"/>
    <w:rsid w:val="476B40C0"/>
    <w:rsid w:val="476B4E24"/>
    <w:rsid w:val="476B6BD2"/>
    <w:rsid w:val="476B7812"/>
    <w:rsid w:val="476C20A9"/>
    <w:rsid w:val="476C4160"/>
    <w:rsid w:val="476C4CE5"/>
    <w:rsid w:val="476C6162"/>
    <w:rsid w:val="476D294A"/>
    <w:rsid w:val="476D39E1"/>
    <w:rsid w:val="476D46F8"/>
    <w:rsid w:val="476D4D2D"/>
    <w:rsid w:val="476D5FE7"/>
    <w:rsid w:val="476D64A6"/>
    <w:rsid w:val="476E221E"/>
    <w:rsid w:val="476F0250"/>
    <w:rsid w:val="476F0470"/>
    <w:rsid w:val="476F66C2"/>
    <w:rsid w:val="476F79AC"/>
    <w:rsid w:val="47700ADD"/>
    <w:rsid w:val="4770243A"/>
    <w:rsid w:val="477041E8"/>
    <w:rsid w:val="477043DC"/>
    <w:rsid w:val="47705F96"/>
    <w:rsid w:val="47726561"/>
    <w:rsid w:val="47743368"/>
    <w:rsid w:val="47743CD8"/>
    <w:rsid w:val="477517FF"/>
    <w:rsid w:val="4776212D"/>
    <w:rsid w:val="47762584"/>
    <w:rsid w:val="47770B52"/>
    <w:rsid w:val="477737C9"/>
    <w:rsid w:val="47776530"/>
    <w:rsid w:val="47777325"/>
    <w:rsid w:val="47785564"/>
    <w:rsid w:val="477912EF"/>
    <w:rsid w:val="4779309D"/>
    <w:rsid w:val="477A5EA1"/>
    <w:rsid w:val="477B2F1C"/>
    <w:rsid w:val="477B408F"/>
    <w:rsid w:val="477B4631"/>
    <w:rsid w:val="477B5067"/>
    <w:rsid w:val="477B7331"/>
    <w:rsid w:val="477C0DDF"/>
    <w:rsid w:val="477C2B8D"/>
    <w:rsid w:val="477D1C88"/>
    <w:rsid w:val="477E30E1"/>
    <w:rsid w:val="477E4B57"/>
    <w:rsid w:val="477E6905"/>
    <w:rsid w:val="477F5B53"/>
    <w:rsid w:val="477F61D9"/>
    <w:rsid w:val="477F6B72"/>
    <w:rsid w:val="477F7142"/>
    <w:rsid w:val="478005D2"/>
    <w:rsid w:val="4780267D"/>
    <w:rsid w:val="47806D67"/>
    <w:rsid w:val="478101A3"/>
    <w:rsid w:val="478119FA"/>
    <w:rsid w:val="47812FF2"/>
    <w:rsid w:val="47823D5E"/>
    <w:rsid w:val="47824238"/>
    <w:rsid w:val="47831E8B"/>
    <w:rsid w:val="4783216D"/>
    <w:rsid w:val="47833FA1"/>
    <w:rsid w:val="47835CCA"/>
    <w:rsid w:val="47845072"/>
    <w:rsid w:val="47857C94"/>
    <w:rsid w:val="4786174C"/>
    <w:rsid w:val="478631D4"/>
    <w:rsid w:val="47863A0C"/>
    <w:rsid w:val="478665C6"/>
    <w:rsid w:val="47867568"/>
    <w:rsid w:val="478754B2"/>
    <w:rsid w:val="478764BE"/>
    <w:rsid w:val="47876685"/>
    <w:rsid w:val="47881532"/>
    <w:rsid w:val="47881934"/>
    <w:rsid w:val="47882D15"/>
    <w:rsid w:val="478832E0"/>
    <w:rsid w:val="47887784"/>
    <w:rsid w:val="478902C6"/>
    <w:rsid w:val="47892735"/>
    <w:rsid w:val="478A34FC"/>
    <w:rsid w:val="478A4254"/>
    <w:rsid w:val="478A5995"/>
    <w:rsid w:val="478B1022"/>
    <w:rsid w:val="478B2DD0"/>
    <w:rsid w:val="478B38B6"/>
    <w:rsid w:val="478B3F94"/>
    <w:rsid w:val="478B4B7E"/>
    <w:rsid w:val="478B56E4"/>
    <w:rsid w:val="478B6E25"/>
    <w:rsid w:val="478C02B5"/>
    <w:rsid w:val="478C4766"/>
    <w:rsid w:val="478D08F6"/>
    <w:rsid w:val="478D6B48"/>
    <w:rsid w:val="478E2BCC"/>
    <w:rsid w:val="478F5068"/>
    <w:rsid w:val="479000C6"/>
    <w:rsid w:val="47901855"/>
    <w:rsid w:val="479038B1"/>
    <w:rsid w:val="47910635"/>
    <w:rsid w:val="4792415F"/>
    <w:rsid w:val="47925F0D"/>
    <w:rsid w:val="47926A9A"/>
    <w:rsid w:val="47931C9E"/>
    <w:rsid w:val="479362F4"/>
    <w:rsid w:val="479368EE"/>
    <w:rsid w:val="47941035"/>
    <w:rsid w:val="47941618"/>
    <w:rsid w:val="47941C85"/>
    <w:rsid w:val="47946129"/>
    <w:rsid w:val="47947ED7"/>
    <w:rsid w:val="47951367"/>
    <w:rsid w:val="47952AA8"/>
    <w:rsid w:val="47953C4F"/>
    <w:rsid w:val="479559FD"/>
    <w:rsid w:val="4795758E"/>
    <w:rsid w:val="47961C9D"/>
    <w:rsid w:val="47961EA1"/>
    <w:rsid w:val="47962732"/>
    <w:rsid w:val="47963ED9"/>
    <w:rsid w:val="47966384"/>
    <w:rsid w:val="47971775"/>
    <w:rsid w:val="479779C7"/>
    <w:rsid w:val="479814DE"/>
    <w:rsid w:val="47986858"/>
    <w:rsid w:val="479954ED"/>
    <w:rsid w:val="479A29EE"/>
    <w:rsid w:val="479A77CF"/>
    <w:rsid w:val="479B02AF"/>
    <w:rsid w:val="479B1265"/>
    <w:rsid w:val="479B26AA"/>
    <w:rsid w:val="479B364B"/>
    <w:rsid w:val="479B51D9"/>
    <w:rsid w:val="479B74B7"/>
    <w:rsid w:val="479C322F"/>
    <w:rsid w:val="479C4FDD"/>
    <w:rsid w:val="479C7AAE"/>
    <w:rsid w:val="479C7DAA"/>
    <w:rsid w:val="479D28B5"/>
    <w:rsid w:val="479D620D"/>
    <w:rsid w:val="479D6F35"/>
    <w:rsid w:val="479E0D55"/>
    <w:rsid w:val="479E48B1"/>
    <w:rsid w:val="479E6CD4"/>
    <w:rsid w:val="479E6FA7"/>
    <w:rsid w:val="479F672B"/>
    <w:rsid w:val="47A04ACD"/>
    <w:rsid w:val="47A06367"/>
    <w:rsid w:val="47A07E0C"/>
    <w:rsid w:val="47A125F4"/>
    <w:rsid w:val="47A143A2"/>
    <w:rsid w:val="47A155C0"/>
    <w:rsid w:val="47A171EC"/>
    <w:rsid w:val="47A224DB"/>
    <w:rsid w:val="47A22B0F"/>
    <w:rsid w:val="47A2461B"/>
    <w:rsid w:val="47A26F7C"/>
    <w:rsid w:val="47A3011A"/>
    <w:rsid w:val="47A3636C"/>
    <w:rsid w:val="47A3782A"/>
    <w:rsid w:val="47A45C40"/>
    <w:rsid w:val="47A45E91"/>
    <w:rsid w:val="47A479CC"/>
    <w:rsid w:val="47A50D6A"/>
    <w:rsid w:val="47A50E5C"/>
    <w:rsid w:val="47A520E4"/>
    <w:rsid w:val="47A52415"/>
    <w:rsid w:val="47A646BA"/>
    <w:rsid w:val="47A66BF5"/>
    <w:rsid w:val="47A779B4"/>
    <w:rsid w:val="47A81BD4"/>
    <w:rsid w:val="47A824CD"/>
    <w:rsid w:val="47A8634D"/>
    <w:rsid w:val="47A872E3"/>
    <w:rsid w:val="47A93BD6"/>
    <w:rsid w:val="47AA1CA0"/>
    <w:rsid w:val="47AA594C"/>
    <w:rsid w:val="47AA76FA"/>
    <w:rsid w:val="47AB25D5"/>
    <w:rsid w:val="47AB4DBB"/>
    <w:rsid w:val="47AB598B"/>
    <w:rsid w:val="47AB7721"/>
    <w:rsid w:val="47AC2547"/>
    <w:rsid w:val="47AC2559"/>
    <w:rsid w:val="47AC3472"/>
    <w:rsid w:val="47AC7234"/>
    <w:rsid w:val="47AC789F"/>
    <w:rsid w:val="47AD0B4B"/>
    <w:rsid w:val="47AD0F98"/>
    <w:rsid w:val="47AE1F5A"/>
    <w:rsid w:val="47AE56AF"/>
    <w:rsid w:val="47AF2F63"/>
    <w:rsid w:val="47AF4ADF"/>
    <w:rsid w:val="47AF6ABF"/>
    <w:rsid w:val="47B02837"/>
    <w:rsid w:val="47B03BC4"/>
    <w:rsid w:val="47B044B4"/>
    <w:rsid w:val="47B05595"/>
    <w:rsid w:val="47B1017C"/>
    <w:rsid w:val="47B10A89"/>
    <w:rsid w:val="47B12BBC"/>
    <w:rsid w:val="47B16CDB"/>
    <w:rsid w:val="47B172AE"/>
    <w:rsid w:val="47B2035D"/>
    <w:rsid w:val="47B2359D"/>
    <w:rsid w:val="47B24801"/>
    <w:rsid w:val="47B318AC"/>
    <w:rsid w:val="47B36031"/>
    <w:rsid w:val="47B40579"/>
    <w:rsid w:val="47B42327"/>
    <w:rsid w:val="47B42C8C"/>
    <w:rsid w:val="47B440D5"/>
    <w:rsid w:val="47B464C3"/>
    <w:rsid w:val="47B474C1"/>
    <w:rsid w:val="47B50951"/>
    <w:rsid w:val="47B51C5E"/>
    <w:rsid w:val="47B55DC2"/>
    <w:rsid w:val="47B605E7"/>
    <w:rsid w:val="47B617EB"/>
    <w:rsid w:val="47B61FD8"/>
    <w:rsid w:val="47B64041"/>
    <w:rsid w:val="47B65AE7"/>
    <w:rsid w:val="47B70069"/>
    <w:rsid w:val="47B71E17"/>
    <w:rsid w:val="47B72B90"/>
    <w:rsid w:val="47B73271"/>
    <w:rsid w:val="47B73BC5"/>
    <w:rsid w:val="47B84838"/>
    <w:rsid w:val="47B86FD6"/>
    <w:rsid w:val="47B944B8"/>
    <w:rsid w:val="47B95B8F"/>
    <w:rsid w:val="47B96C92"/>
    <w:rsid w:val="47B9793D"/>
    <w:rsid w:val="47BA5463"/>
    <w:rsid w:val="47BB1907"/>
    <w:rsid w:val="47BB1BD4"/>
    <w:rsid w:val="47BB36B5"/>
    <w:rsid w:val="47BB4657"/>
    <w:rsid w:val="47BB474E"/>
    <w:rsid w:val="47BB6637"/>
    <w:rsid w:val="47BC11DC"/>
    <w:rsid w:val="47BC33E7"/>
    <w:rsid w:val="47BC543D"/>
    <w:rsid w:val="47BC567F"/>
    <w:rsid w:val="47BC71EA"/>
    <w:rsid w:val="47BC742D"/>
    <w:rsid w:val="47BD5A3C"/>
    <w:rsid w:val="47BD70E3"/>
    <w:rsid w:val="47BE03C0"/>
    <w:rsid w:val="47BE0573"/>
    <w:rsid w:val="47BE31A6"/>
    <w:rsid w:val="47BE4827"/>
    <w:rsid w:val="47BE4A4F"/>
    <w:rsid w:val="47BE4F54"/>
    <w:rsid w:val="47BE6DA8"/>
    <w:rsid w:val="47BF7CE0"/>
    <w:rsid w:val="47C05A64"/>
    <w:rsid w:val="47C06F1E"/>
    <w:rsid w:val="47C10635"/>
    <w:rsid w:val="47C14A44"/>
    <w:rsid w:val="47C167F2"/>
    <w:rsid w:val="47C22C96"/>
    <w:rsid w:val="47C24200"/>
    <w:rsid w:val="47C2581D"/>
    <w:rsid w:val="47C307BC"/>
    <w:rsid w:val="47C316E5"/>
    <w:rsid w:val="47C32038"/>
    <w:rsid w:val="47C3256A"/>
    <w:rsid w:val="47C34CFC"/>
    <w:rsid w:val="47C36A0E"/>
    <w:rsid w:val="47C42409"/>
    <w:rsid w:val="47C47F85"/>
    <w:rsid w:val="47C50090"/>
    <w:rsid w:val="47C562E2"/>
    <w:rsid w:val="47C60A18"/>
    <w:rsid w:val="47C6205A"/>
    <w:rsid w:val="47C62373"/>
    <w:rsid w:val="47C65C99"/>
    <w:rsid w:val="47C77E3D"/>
    <w:rsid w:val="47C8099D"/>
    <w:rsid w:val="47C83BFF"/>
    <w:rsid w:val="47C84024"/>
    <w:rsid w:val="47C87B80"/>
    <w:rsid w:val="47C92554"/>
    <w:rsid w:val="47CA1B4A"/>
    <w:rsid w:val="47CA2374"/>
    <w:rsid w:val="47CA38F8"/>
    <w:rsid w:val="47CA56A6"/>
    <w:rsid w:val="47CB141F"/>
    <w:rsid w:val="47CB2B77"/>
    <w:rsid w:val="47CC07A2"/>
    <w:rsid w:val="47CC5748"/>
    <w:rsid w:val="47CC58C3"/>
    <w:rsid w:val="47CD234C"/>
    <w:rsid w:val="47CD33E9"/>
    <w:rsid w:val="47CD5197"/>
    <w:rsid w:val="47CD6BD8"/>
    <w:rsid w:val="47CD6F16"/>
    <w:rsid w:val="47CE1987"/>
    <w:rsid w:val="47CE1F77"/>
    <w:rsid w:val="47CF0F0F"/>
    <w:rsid w:val="47CF53B3"/>
    <w:rsid w:val="47CF5D47"/>
    <w:rsid w:val="47D040D0"/>
    <w:rsid w:val="47D05559"/>
    <w:rsid w:val="47D06A35"/>
    <w:rsid w:val="47D06CCE"/>
    <w:rsid w:val="47D14C87"/>
    <w:rsid w:val="47D14FED"/>
    <w:rsid w:val="47D15BA1"/>
    <w:rsid w:val="47D209FF"/>
    <w:rsid w:val="47D215BA"/>
    <w:rsid w:val="47D227AD"/>
    <w:rsid w:val="47D261CA"/>
    <w:rsid w:val="47D328E5"/>
    <w:rsid w:val="47D3292A"/>
    <w:rsid w:val="47D33EDA"/>
    <w:rsid w:val="47D34905"/>
    <w:rsid w:val="47D3493F"/>
    <w:rsid w:val="47D4106D"/>
    <w:rsid w:val="47D4158E"/>
    <w:rsid w:val="47D429C9"/>
    <w:rsid w:val="47D44777"/>
    <w:rsid w:val="47D44F36"/>
    <w:rsid w:val="47D46525"/>
    <w:rsid w:val="47D52060"/>
    <w:rsid w:val="47D567FA"/>
    <w:rsid w:val="47D57F3B"/>
    <w:rsid w:val="47D604EF"/>
    <w:rsid w:val="47D610D7"/>
    <w:rsid w:val="47D61B66"/>
    <w:rsid w:val="47D66712"/>
    <w:rsid w:val="47D70B8B"/>
    <w:rsid w:val="47D74267"/>
    <w:rsid w:val="47D75B8A"/>
    <w:rsid w:val="47D76015"/>
    <w:rsid w:val="47D77DC3"/>
    <w:rsid w:val="47D83CEB"/>
    <w:rsid w:val="47D851ED"/>
    <w:rsid w:val="47D91D8D"/>
    <w:rsid w:val="47D9485C"/>
    <w:rsid w:val="47D9517B"/>
    <w:rsid w:val="47D97FDF"/>
    <w:rsid w:val="47DA2F58"/>
    <w:rsid w:val="47DA5965"/>
    <w:rsid w:val="47DB3D58"/>
    <w:rsid w:val="47DB5B06"/>
    <w:rsid w:val="47DB778C"/>
    <w:rsid w:val="47DB78B4"/>
    <w:rsid w:val="47DC0AA5"/>
    <w:rsid w:val="47DC187E"/>
    <w:rsid w:val="47DC3E7E"/>
    <w:rsid w:val="47DC529C"/>
    <w:rsid w:val="47DD74FA"/>
    <w:rsid w:val="47DD7AD0"/>
    <w:rsid w:val="47DE1152"/>
    <w:rsid w:val="47DE55F6"/>
    <w:rsid w:val="47DE6D7A"/>
    <w:rsid w:val="47DE73A4"/>
    <w:rsid w:val="47DE7B5D"/>
    <w:rsid w:val="47DF2578"/>
    <w:rsid w:val="47DF460B"/>
    <w:rsid w:val="47E0136E"/>
    <w:rsid w:val="47E0229E"/>
    <w:rsid w:val="47E03C18"/>
    <w:rsid w:val="47E04C36"/>
    <w:rsid w:val="47E0504E"/>
    <w:rsid w:val="47E05EA0"/>
    <w:rsid w:val="47E1161E"/>
    <w:rsid w:val="47E179D2"/>
    <w:rsid w:val="47E210AF"/>
    <w:rsid w:val="47E250E6"/>
    <w:rsid w:val="47E2708B"/>
    <w:rsid w:val="47E32A44"/>
    <w:rsid w:val="47E32C0C"/>
    <w:rsid w:val="47E339CF"/>
    <w:rsid w:val="47E349BA"/>
    <w:rsid w:val="47E36768"/>
    <w:rsid w:val="47E401D1"/>
    <w:rsid w:val="47E449FA"/>
    <w:rsid w:val="47E50732"/>
    <w:rsid w:val="47E524E0"/>
    <w:rsid w:val="47E532EE"/>
    <w:rsid w:val="47E552A8"/>
    <w:rsid w:val="47E5572E"/>
    <w:rsid w:val="47E56984"/>
    <w:rsid w:val="47E60F98"/>
    <w:rsid w:val="47E6311A"/>
    <w:rsid w:val="47E6466E"/>
    <w:rsid w:val="47E66258"/>
    <w:rsid w:val="47E668FA"/>
    <w:rsid w:val="47E66AAB"/>
    <w:rsid w:val="47E726FC"/>
    <w:rsid w:val="47E80223"/>
    <w:rsid w:val="47E81FD1"/>
    <w:rsid w:val="47E863B1"/>
    <w:rsid w:val="47E86474"/>
    <w:rsid w:val="47E8735E"/>
    <w:rsid w:val="47E929BD"/>
    <w:rsid w:val="47E95008"/>
    <w:rsid w:val="47E96DA6"/>
    <w:rsid w:val="47E97841"/>
    <w:rsid w:val="47EA40F3"/>
    <w:rsid w:val="47EA43FA"/>
    <w:rsid w:val="47EA6100"/>
    <w:rsid w:val="47EA7AF7"/>
    <w:rsid w:val="47EB2161"/>
    <w:rsid w:val="47EB2B09"/>
    <w:rsid w:val="47EB3AA0"/>
    <w:rsid w:val="47EB6FAC"/>
    <w:rsid w:val="47EB7590"/>
    <w:rsid w:val="47EC35F1"/>
    <w:rsid w:val="47EC625B"/>
    <w:rsid w:val="47EC7D13"/>
    <w:rsid w:val="47ED2FD9"/>
    <w:rsid w:val="47ED3A8B"/>
    <w:rsid w:val="47ED4A81"/>
    <w:rsid w:val="47ED61C2"/>
    <w:rsid w:val="47EE053F"/>
    <w:rsid w:val="47EF15B1"/>
    <w:rsid w:val="47EF7803"/>
    <w:rsid w:val="47F0094B"/>
    <w:rsid w:val="47F00E85"/>
    <w:rsid w:val="47F03402"/>
    <w:rsid w:val="47F03F6B"/>
    <w:rsid w:val="47F04783"/>
    <w:rsid w:val="47F118FC"/>
    <w:rsid w:val="47F15FD3"/>
    <w:rsid w:val="47F210A1"/>
    <w:rsid w:val="47F21C4B"/>
    <w:rsid w:val="47F22034"/>
    <w:rsid w:val="47F22E4F"/>
    <w:rsid w:val="47F24A8C"/>
    <w:rsid w:val="47F24BFD"/>
    <w:rsid w:val="47F25917"/>
    <w:rsid w:val="47F26A04"/>
    <w:rsid w:val="47F33293"/>
    <w:rsid w:val="47F40975"/>
    <w:rsid w:val="47F41EFC"/>
    <w:rsid w:val="47F43BEA"/>
    <w:rsid w:val="47F44E19"/>
    <w:rsid w:val="47F46BC7"/>
    <w:rsid w:val="47F53213"/>
    <w:rsid w:val="47F622FE"/>
    <w:rsid w:val="47F646ED"/>
    <w:rsid w:val="47F70466"/>
    <w:rsid w:val="47F71E45"/>
    <w:rsid w:val="47F7280F"/>
    <w:rsid w:val="47F73F7B"/>
    <w:rsid w:val="47F76B92"/>
    <w:rsid w:val="47F81E0A"/>
    <w:rsid w:val="47F830A4"/>
    <w:rsid w:val="47F857B5"/>
    <w:rsid w:val="47F866B8"/>
    <w:rsid w:val="47F92430"/>
    <w:rsid w:val="47F941DE"/>
    <w:rsid w:val="47F953E6"/>
    <w:rsid w:val="47FA54AF"/>
    <w:rsid w:val="47FA5FC8"/>
    <w:rsid w:val="47FB1C56"/>
    <w:rsid w:val="47FB2049"/>
    <w:rsid w:val="47FC0C05"/>
    <w:rsid w:val="47FC11A5"/>
    <w:rsid w:val="47FC396E"/>
    <w:rsid w:val="47FC4AB9"/>
    <w:rsid w:val="47FC6111"/>
    <w:rsid w:val="47FC782A"/>
    <w:rsid w:val="47FD3CCE"/>
    <w:rsid w:val="47FE0B55"/>
    <w:rsid w:val="47FE13FC"/>
    <w:rsid w:val="47FE17F4"/>
    <w:rsid w:val="47FE1C87"/>
    <w:rsid w:val="47FE35A2"/>
    <w:rsid w:val="47FE5A06"/>
    <w:rsid w:val="47FE7A46"/>
    <w:rsid w:val="47FE7B21"/>
    <w:rsid w:val="47FF0510"/>
    <w:rsid w:val="47FF1A67"/>
    <w:rsid w:val="47FF56FA"/>
    <w:rsid w:val="47FF71AB"/>
    <w:rsid w:val="480015B7"/>
    <w:rsid w:val="48003002"/>
    <w:rsid w:val="4800556C"/>
    <w:rsid w:val="48006E83"/>
    <w:rsid w:val="48006F6A"/>
    <w:rsid w:val="4800731A"/>
    <w:rsid w:val="48010C03"/>
    <w:rsid w:val="48015FA1"/>
    <w:rsid w:val="48017A71"/>
    <w:rsid w:val="480212E4"/>
    <w:rsid w:val="48024364"/>
    <w:rsid w:val="48026624"/>
    <w:rsid w:val="48026F58"/>
    <w:rsid w:val="48027313"/>
    <w:rsid w:val="4803070C"/>
    <w:rsid w:val="4803505C"/>
    <w:rsid w:val="48036E0A"/>
    <w:rsid w:val="480375AF"/>
    <w:rsid w:val="48044449"/>
    <w:rsid w:val="48050DD4"/>
    <w:rsid w:val="4805136B"/>
    <w:rsid w:val="480558D9"/>
    <w:rsid w:val="48066B36"/>
    <w:rsid w:val="48066D69"/>
    <w:rsid w:val="480713DE"/>
    <w:rsid w:val="48072039"/>
    <w:rsid w:val="480768FB"/>
    <w:rsid w:val="48076F55"/>
    <w:rsid w:val="48081689"/>
    <w:rsid w:val="48082673"/>
    <w:rsid w:val="48082692"/>
    <w:rsid w:val="48082DCA"/>
    <w:rsid w:val="48084421"/>
    <w:rsid w:val="480846C7"/>
    <w:rsid w:val="48085C14"/>
    <w:rsid w:val="48087B11"/>
    <w:rsid w:val="4809075C"/>
    <w:rsid w:val="480908C5"/>
    <w:rsid w:val="48092B19"/>
    <w:rsid w:val="480933A7"/>
    <w:rsid w:val="480956EA"/>
    <w:rsid w:val="480A0199"/>
    <w:rsid w:val="480A5BBA"/>
    <w:rsid w:val="480A5F6C"/>
    <w:rsid w:val="480A63EB"/>
    <w:rsid w:val="480A73F6"/>
    <w:rsid w:val="480C149A"/>
    <w:rsid w:val="480D1814"/>
    <w:rsid w:val="480D1A37"/>
    <w:rsid w:val="480D34F4"/>
    <w:rsid w:val="480D6A28"/>
    <w:rsid w:val="480E00CC"/>
    <w:rsid w:val="480E5EDB"/>
    <w:rsid w:val="480F3A01"/>
    <w:rsid w:val="480F4D12"/>
    <w:rsid w:val="480F57AF"/>
    <w:rsid w:val="480F6EB9"/>
    <w:rsid w:val="480F755D"/>
    <w:rsid w:val="480F7E76"/>
    <w:rsid w:val="48103A20"/>
    <w:rsid w:val="48103BC2"/>
    <w:rsid w:val="48104152"/>
    <w:rsid w:val="48107B00"/>
    <w:rsid w:val="48111527"/>
    <w:rsid w:val="481132D5"/>
    <w:rsid w:val="48113E7C"/>
    <w:rsid w:val="48116446"/>
    <w:rsid w:val="481173B1"/>
    <w:rsid w:val="4812530C"/>
    <w:rsid w:val="481334F1"/>
    <w:rsid w:val="48141018"/>
    <w:rsid w:val="4814136D"/>
    <w:rsid w:val="48144CB2"/>
    <w:rsid w:val="48147269"/>
    <w:rsid w:val="48147E14"/>
    <w:rsid w:val="481608EC"/>
    <w:rsid w:val="4816212D"/>
    <w:rsid w:val="48164D90"/>
    <w:rsid w:val="48166358"/>
    <w:rsid w:val="48166B3E"/>
    <w:rsid w:val="481728B6"/>
    <w:rsid w:val="48174664"/>
    <w:rsid w:val="48180B08"/>
    <w:rsid w:val="48183D4F"/>
    <w:rsid w:val="481903DC"/>
    <w:rsid w:val="48193C2B"/>
    <w:rsid w:val="48195133"/>
    <w:rsid w:val="4819662E"/>
    <w:rsid w:val="48197D63"/>
    <w:rsid w:val="481A0002"/>
    <w:rsid w:val="481A57A9"/>
    <w:rsid w:val="481B109C"/>
    <w:rsid w:val="481B23A6"/>
    <w:rsid w:val="481B4F36"/>
    <w:rsid w:val="481C1C7A"/>
    <w:rsid w:val="481C286B"/>
    <w:rsid w:val="481C7631"/>
    <w:rsid w:val="481D241F"/>
    <w:rsid w:val="481D3B60"/>
    <w:rsid w:val="481D611E"/>
    <w:rsid w:val="481E3C44"/>
    <w:rsid w:val="481E4E27"/>
    <w:rsid w:val="481E59F2"/>
    <w:rsid w:val="481E5F6E"/>
    <w:rsid w:val="481F0B6D"/>
    <w:rsid w:val="481F0C82"/>
    <w:rsid w:val="481F16CC"/>
    <w:rsid w:val="481F1DC1"/>
    <w:rsid w:val="481F54E2"/>
    <w:rsid w:val="481F653B"/>
    <w:rsid w:val="48202A46"/>
    <w:rsid w:val="48205C0E"/>
    <w:rsid w:val="48207910"/>
    <w:rsid w:val="482129F5"/>
    <w:rsid w:val="48212BE3"/>
    <w:rsid w:val="48217291"/>
    <w:rsid w:val="48221986"/>
    <w:rsid w:val="48221A23"/>
    <w:rsid w:val="48222520"/>
    <w:rsid w:val="482249FF"/>
    <w:rsid w:val="482254E2"/>
    <w:rsid w:val="4822746E"/>
    <w:rsid w:val="48236291"/>
    <w:rsid w:val="48244099"/>
    <w:rsid w:val="4824463D"/>
    <w:rsid w:val="48251C6A"/>
    <w:rsid w:val="48253782"/>
    <w:rsid w:val="48256D81"/>
    <w:rsid w:val="482570AD"/>
    <w:rsid w:val="48261581"/>
    <w:rsid w:val="48264B8E"/>
    <w:rsid w:val="48264C12"/>
    <w:rsid w:val="48266033"/>
    <w:rsid w:val="48267077"/>
    <w:rsid w:val="48270A94"/>
    <w:rsid w:val="48270D4B"/>
    <w:rsid w:val="48272AF9"/>
    <w:rsid w:val="482739EF"/>
    <w:rsid w:val="48275E19"/>
    <w:rsid w:val="48286871"/>
    <w:rsid w:val="48287D77"/>
    <w:rsid w:val="482946B1"/>
    <w:rsid w:val="48297AD3"/>
    <w:rsid w:val="482A083B"/>
    <w:rsid w:val="482A3F4C"/>
    <w:rsid w:val="482A4397"/>
    <w:rsid w:val="482A512B"/>
    <w:rsid w:val="482A533B"/>
    <w:rsid w:val="482A7B83"/>
    <w:rsid w:val="482B01E3"/>
    <w:rsid w:val="482B07DA"/>
    <w:rsid w:val="482B1545"/>
    <w:rsid w:val="482B51BC"/>
    <w:rsid w:val="482B7D05"/>
    <w:rsid w:val="482C45B3"/>
    <w:rsid w:val="482C610A"/>
    <w:rsid w:val="482C6F4F"/>
    <w:rsid w:val="482D1954"/>
    <w:rsid w:val="482D5080"/>
    <w:rsid w:val="482E0134"/>
    <w:rsid w:val="482E1EEE"/>
    <w:rsid w:val="482E20D9"/>
    <w:rsid w:val="482E3FF1"/>
    <w:rsid w:val="482E4AE5"/>
    <w:rsid w:val="482E4C12"/>
    <w:rsid w:val="482F072B"/>
    <w:rsid w:val="482F19AD"/>
    <w:rsid w:val="482F442F"/>
    <w:rsid w:val="482F4911"/>
    <w:rsid w:val="482F7BFF"/>
    <w:rsid w:val="48300895"/>
    <w:rsid w:val="48300B8D"/>
    <w:rsid w:val="48302395"/>
    <w:rsid w:val="4830289A"/>
    <w:rsid w:val="48311D25"/>
    <w:rsid w:val="48311DB4"/>
    <w:rsid w:val="48312BFE"/>
    <w:rsid w:val="483136D4"/>
    <w:rsid w:val="48313978"/>
    <w:rsid w:val="48315726"/>
    <w:rsid w:val="48315F28"/>
    <w:rsid w:val="48316DCF"/>
    <w:rsid w:val="483231A6"/>
    <w:rsid w:val="48324F67"/>
    <w:rsid w:val="48334CF0"/>
    <w:rsid w:val="48335942"/>
    <w:rsid w:val="483376F0"/>
    <w:rsid w:val="48341402"/>
    <w:rsid w:val="483416BA"/>
    <w:rsid w:val="48345216"/>
    <w:rsid w:val="483461E5"/>
    <w:rsid w:val="48346632"/>
    <w:rsid w:val="48347A0A"/>
    <w:rsid w:val="48351D12"/>
    <w:rsid w:val="4835569B"/>
    <w:rsid w:val="48360F8E"/>
    <w:rsid w:val="48362D3C"/>
    <w:rsid w:val="4837060D"/>
    <w:rsid w:val="483724A9"/>
    <w:rsid w:val="48382F58"/>
    <w:rsid w:val="48392779"/>
    <w:rsid w:val="483969EE"/>
    <w:rsid w:val="48396CD0"/>
    <w:rsid w:val="483A1661"/>
    <w:rsid w:val="483A1966"/>
    <w:rsid w:val="483A3E7D"/>
    <w:rsid w:val="483A5C59"/>
    <w:rsid w:val="483A7C69"/>
    <w:rsid w:val="483B1BA3"/>
    <w:rsid w:val="483B2A48"/>
    <w:rsid w:val="483B3085"/>
    <w:rsid w:val="483B3442"/>
    <w:rsid w:val="483B47F6"/>
    <w:rsid w:val="483B60D2"/>
    <w:rsid w:val="483B70E9"/>
    <w:rsid w:val="483C014C"/>
    <w:rsid w:val="483D056E"/>
    <w:rsid w:val="483D40CA"/>
    <w:rsid w:val="483E6094"/>
    <w:rsid w:val="483E6113"/>
    <w:rsid w:val="483E7E42"/>
    <w:rsid w:val="483E7E7D"/>
    <w:rsid w:val="483F3B01"/>
    <w:rsid w:val="483F42E6"/>
    <w:rsid w:val="483F44A0"/>
    <w:rsid w:val="483F48B4"/>
    <w:rsid w:val="483F581F"/>
    <w:rsid w:val="4840005F"/>
    <w:rsid w:val="48401E0D"/>
    <w:rsid w:val="48403BBB"/>
    <w:rsid w:val="48403CD7"/>
    <w:rsid w:val="48412F5B"/>
    <w:rsid w:val="48413F3C"/>
    <w:rsid w:val="48415908"/>
    <w:rsid w:val="48420BDC"/>
    <w:rsid w:val="484216E1"/>
    <w:rsid w:val="48422CAA"/>
    <w:rsid w:val="48425B85"/>
    <w:rsid w:val="48427933"/>
    <w:rsid w:val="4843227E"/>
    <w:rsid w:val="484336AB"/>
    <w:rsid w:val="48435459"/>
    <w:rsid w:val="484418DC"/>
    <w:rsid w:val="484418FD"/>
    <w:rsid w:val="484420B1"/>
    <w:rsid w:val="48457423"/>
    <w:rsid w:val="48463878"/>
    <w:rsid w:val="48467EE9"/>
    <w:rsid w:val="4847086D"/>
    <w:rsid w:val="484713ED"/>
    <w:rsid w:val="4847319B"/>
    <w:rsid w:val="48474613"/>
    <w:rsid w:val="48474F49"/>
    <w:rsid w:val="484820BD"/>
    <w:rsid w:val="48482A6F"/>
    <w:rsid w:val="48482BD4"/>
    <w:rsid w:val="4848386C"/>
    <w:rsid w:val="484841A9"/>
    <w:rsid w:val="4848451F"/>
    <w:rsid w:val="48485E62"/>
    <w:rsid w:val="48496F13"/>
    <w:rsid w:val="484A2E59"/>
    <w:rsid w:val="484A4A39"/>
    <w:rsid w:val="484A67E7"/>
    <w:rsid w:val="484A77A0"/>
    <w:rsid w:val="484B0905"/>
    <w:rsid w:val="484C175E"/>
    <w:rsid w:val="484C3116"/>
    <w:rsid w:val="484C63F2"/>
    <w:rsid w:val="484C6A03"/>
    <w:rsid w:val="484D3BD3"/>
    <w:rsid w:val="484D45B0"/>
    <w:rsid w:val="484D62D8"/>
    <w:rsid w:val="484E1338"/>
    <w:rsid w:val="484E4529"/>
    <w:rsid w:val="484E72FA"/>
    <w:rsid w:val="484E7BF9"/>
    <w:rsid w:val="484F02A2"/>
    <w:rsid w:val="484F1804"/>
    <w:rsid w:val="484F2050"/>
    <w:rsid w:val="484F3DFE"/>
    <w:rsid w:val="484F436A"/>
    <w:rsid w:val="484F781F"/>
    <w:rsid w:val="4850472D"/>
    <w:rsid w:val="48516FB5"/>
    <w:rsid w:val="48517241"/>
    <w:rsid w:val="4852279F"/>
    <w:rsid w:val="48523C7F"/>
    <w:rsid w:val="48524A37"/>
    <w:rsid w:val="485252F7"/>
    <w:rsid w:val="48527770"/>
    <w:rsid w:val="48531BE9"/>
    <w:rsid w:val="48533584"/>
    <w:rsid w:val="485350A5"/>
    <w:rsid w:val="48536C35"/>
    <w:rsid w:val="48537D67"/>
    <w:rsid w:val="48537D92"/>
    <w:rsid w:val="4854035E"/>
    <w:rsid w:val="48540850"/>
    <w:rsid w:val="48541414"/>
    <w:rsid w:val="485464DC"/>
    <w:rsid w:val="48547666"/>
    <w:rsid w:val="48547C90"/>
    <w:rsid w:val="485564CD"/>
    <w:rsid w:val="48561630"/>
    <w:rsid w:val="48564F54"/>
    <w:rsid w:val="48573D01"/>
    <w:rsid w:val="48575181"/>
    <w:rsid w:val="485779F4"/>
    <w:rsid w:val="48580E9D"/>
    <w:rsid w:val="485853A8"/>
    <w:rsid w:val="48587156"/>
    <w:rsid w:val="48590997"/>
    <w:rsid w:val="48592ECE"/>
    <w:rsid w:val="48594C7C"/>
    <w:rsid w:val="485A035C"/>
    <w:rsid w:val="485B27A2"/>
    <w:rsid w:val="485B4F92"/>
    <w:rsid w:val="485B6C46"/>
    <w:rsid w:val="485C0671"/>
    <w:rsid w:val="485C1423"/>
    <w:rsid w:val="485D29BF"/>
    <w:rsid w:val="485D3431"/>
    <w:rsid w:val="485D651B"/>
    <w:rsid w:val="485D6D3C"/>
    <w:rsid w:val="485D78B2"/>
    <w:rsid w:val="485E2293"/>
    <w:rsid w:val="485F13CA"/>
    <w:rsid w:val="485F1C05"/>
    <w:rsid w:val="485F64E4"/>
    <w:rsid w:val="48601329"/>
    <w:rsid w:val="486038A6"/>
    <w:rsid w:val="4860425D"/>
    <w:rsid w:val="48607053"/>
    <w:rsid w:val="48621D83"/>
    <w:rsid w:val="48623B31"/>
    <w:rsid w:val="4862602D"/>
    <w:rsid w:val="48627FD5"/>
    <w:rsid w:val="48633724"/>
    <w:rsid w:val="486362F5"/>
    <w:rsid w:val="4863723F"/>
    <w:rsid w:val="48644BB4"/>
    <w:rsid w:val="48645AFB"/>
    <w:rsid w:val="486518B6"/>
    <w:rsid w:val="48655C70"/>
    <w:rsid w:val="48657235"/>
    <w:rsid w:val="48657AC5"/>
    <w:rsid w:val="48661841"/>
    <w:rsid w:val="4866256E"/>
    <w:rsid w:val="486637E6"/>
    <w:rsid w:val="48672DD1"/>
    <w:rsid w:val="4867383D"/>
    <w:rsid w:val="48675555"/>
    <w:rsid w:val="486755EB"/>
    <w:rsid w:val="48677399"/>
    <w:rsid w:val="486814F4"/>
    <w:rsid w:val="48686106"/>
    <w:rsid w:val="48693111"/>
    <w:rsid w:val="486A0C38"/>
    <w:rsid w:val="486B0E35"/>
    <w:rsid w:val="486B1193"/>
    <w:rsid w:val="486B4A87"/>
    <w:rsid w:val="486C0702"/>
    <w:rsid w:val="486C0E54"/>
    <w:rsid w:val="486C2C02"/>
    <w:rsid w:val="486C49B0"/>
    <w:rsid w:val="486D0AE8"/>
    <w:rsid w:val="486D52FD"/>
    <w:rsid w:val="486D73A7"/>
    <w:rsid w:val="486E0728"/>
    <w:rsid w:val="486E2835"/>
    <w:rsid w:val="486E443B"/>
    <w:rsid w:val="486E697A"/>
    <w:rsid w:val="486F05D1"/>
    <w:rsid w:val="486F21F4"/>
    <w:rsid w:val="486F624E"/>
    <w:rsid w:val="48701EB5"/>
    <w:rsid w:val="4870272E"/>
    <w:rsid w:val="48707469"/>
    <w:rsid w:val="48711A69"/>
    <w:rsid w:val="48711FC6"/>
    <w:rsid w:val="487150F9"/>
    <w:rsid w:val="487171B8"/>
    <w:rsid w:val="48735D3E"/>
    <w:rsid w:val="48741AB6"/>
    <w:rsid w:val="48742876"/>
    <w:rsid w:val="487448E8"/>
    <w:rsid w:val="48745B01"/>
    <w:rsid w:val="48750D69"/>
    <w:rsid w:val="48755B9A"/>
    <w:rsid w:val="48757D08"/>
    <w:rsid w:val="48760E5F"/>
    <w:rsid w:val="48763A80"/>
    <w:rsid w:val="4876582E"/>
    <w:rsid w:val="48766FC9"/>
    <w:rsid w:val="48767229"/>
    <w:rsid w:val="487675DC"/>
    <w:rsid w:val="487815A6"/>
    <w:rsid w:val="48783354"/>
    <w:rsid w:val="48785BFB"/>
    <w:rsid w:val="487877F8"/>
    <w:rsid w:val="4879053A"/>
    <w:rsid w:val="48790E7B"/>
    <w:rsid w:val="48791073"/>
    <w:rsid w:val="487948F7"/>
    <w:rsid w:val="4879708B"/>
    <w:rsid w:val="487970CD"/>
    <w:rsid w:val="487A2FF8"/>
    <w:rsid w:val="487A531F"/>
    <w:rsid w:val="487A69FC"/>
    <w:rsid w:val="487B2E3B"/>
    <w:rsid w:val="487B2E45"/>
    <w:rsid w:val="487B4F9E"/>
    <w:rsid w:val="487B5562"/>
    <w:rsid w:val="487C3FEE"/>
    <w:rsid w:val="487C42CB"/>
    <w:rsid w:val="487C5459"/>
    <w:rsid w:val="487D096B"/>
    <w:rsid w:val="487D1CE9"/>
    <w:rsid w:val="487D6BBD"/>
    <w:rsid w:val="487D6E9C"/>
    <w:rsid w:val="487E45E0"/>
    <w:rsid w:val="487E5F09"/>
    <w:rsid w:val="487F0B87"/>
    <w:rsid w:val="487F2935"/>
    <w:rsid w:val="487F438D"/>
    <w:rsid w:val="487F7FF2"/>
    <w:rsid w:val="48802209"/>
    <w:rsid w:val="488066AD"/>
    <w:rsid w:val="48811D03"/>
    <w:rsid w:val="488162D3"/>
    <w:rsid w:val="4882013D"/>
    <w:rsid w:val="488217F2"/>
    <w:rsid w:val="4882187E"/>
    <w:rsid w:val="48822425"/>
    <w:rsid w:val="4882353B"/>
    <w:rsid w:val="48823938"/>
    <w:rsid w:val="48825F81"/>
    <w:rsid w:val="48831CF9"/>
    <w:rsid w:val="48832815"/>
    <w:rsid w:val="48834259"/>
    <w:rsid w:val="488352B7"/>
    <w:rsid w:val="48840529"/>
    <w:rsid w:val="48840FB8"/>
    <w:rsid w:val="488425FC"/>
    <w:rsid w:val="488427F3"/>
    <w:rsid w:val="48842BB3"/>
    <w:rsid w:val="488501FF"/>
    <w:rsid w:val="48850625"/>
    <w:rsid w:val="488535CA"/>
    <w:rsid w:val="48853CC3"/>
    <w:rsid w:val="488548FE"/>
    <w:rsid w:val="4885492E"/>
    <w:rsid w:val="48855264"/>
    <w:rsid w:val="48855A71"/>
    <w:rsid w:val="4886168F"/>
    <w:rsid w:val="48863E0A"/>
    <w:rsid w:val="48864FD7"/>
    <w:rsid w:val="48870344"/>
    <w:rsid w:val="48873598"/>
    <w:rsid w:val="48877A3B"/>
    <w:rsid w:val="488820AE"/>
    <w:rsid w:val="48883F5F"/>
    <w:rsid w:val="48890D0E"/>
    <w:rsid w:val="488937B4"/>
    <w:rsid w:val="4889543F"/>
    <w:rsid w:val="48896B80"/>
    <w:rsid w:val="48897310"/>
    <w:rsid w:val="488B752C"/>
    <w:rsid w:val="488C0C0D"/>
    <w:rsid w:val="488C15B3"/>
    <w:rsid w:val="488C18AE"/>
    <w:rsid w:val="488C32A4"/>
    <w:rsid w:val="488C373D"/>
    <w:rsid w:val="488C5052"/>
    <w:rsid w:val="488C5501"/>
    <w:rsid w:val="488C6E00"/>
    <w:rsid w:val="488D3164"/>
    <w:rsid w:val="488E1DE3"/>
    <w:rsid w:val="488E1FA2"/>
    <w:rsid w:val="488E4926"/>
    <w:rsid w:val="488E5E66"/>
    <w:rsid w:val="488F069E"/>
    <w:rsid w:val="488F532C"/>
    <w:rsid w:val="488F717B"/>
    <w:rsid w:val="48900E4B"/>
    <w:rsid w:val="48904B42"/>
    <w:rsid w:val="48904BC8"/>
    <w:rsid w:val="48905312"/>
    <w:rsid w:val="4891078D"/>
    <w:rsid w:val="48912668"/>
    <w:rsid w:val="48913EB4"/>
    <w:rsid w:val="48914416"/>
    <w:rsid w:val="489167A2"/>
    <w:rsid w:val="48927C32"/>
    <w:rsid w:val="48931F3C"/>
    <w:rsid w:val="48932B8A"/>
    <w:rsid w:val="489363E0"/>
    <w:rsid w:val="4894000C"/>
    <w:rsid w:val="48943C93"/>
    <w:rsid w:val="48943F06"/>
    <w:rsid w:val="489456D0"/>
    <w:rsid w:val="4894639D"/>
    <w:rsid w:val="48961184"/>
    <w:rsid w:val="48961963"/>
    <w:rsid w:val="48961A2D"/>
    <w:rsid w:val="48965ED0"/>
    <w:rsid w:val="4896718C"/>
    <w:rsid w:val="4896764F"/>
    <w:rsid w:val="489723B6"/>
    <w:rsid w:val="48972614"/>
    <w:rsid w:val="489727C8"/>
    <w:rsid w:val="48981C49"/>
    <w:rsid w:val="48987DA5"/>
    <w:rsid w:val="489932CB"/>
    <w:rsid w:val="48994F34"/>
    <w:rsid w:val="489A06AD"/>
    <w:rsid w:val="489A151D"/>
    <w:rsid w:val="489A39DB"/>
    <w:rsid w:val="489A5D1F"/>
    <w:rsid w:val="489A68C8"/>
    <w:rsid w:val="489A7086"/>
    <w:rsid w:val="489A74AD"/>
    <w:rsid w:val="489A776F"/>
    <w:rsid w:val="489B34E7"/>
    <w:rsid w:val="489B3856"/>
    <w:rsid w:val="489B5295"/>
    <w:rsid w:val="489B7043"/>
    <w:rsid w:val="489C0AAB"/>
    <w:rsid w:val="489D1132"/>
    <w:rsid w:val="489D2DBB"/>
    <w:rsid w:val="489D5CBF"/>
    <w:rsid w:val="489D6486"/>
    <w:rsid w:val="489D725F"/>
    <w:rsid w:val="489E48D3"/>
    <w:rsid w:val="489E7916"/>
    <w:rsid w:val="489F0FFE"/>
    <w:rsid w:val="489F2FD7"/>
    <w:rsid w:val="489F3DF5"/>
    <w:rsid w:val="489F4D85"/>
    <w:rsid w:val="48A00AFD"/>
    <w:rsid w:val="48A0169B"/>
    <w:rsid w:val="48A028AB"/>
    <w:rsid w:val="48A04659"/>
    <w:rsid w:val="48A04F79"/>
    <w:rsid w:val="48A06F69"/>
    <w:rsid w:val="48A16436"/>
    <w:rsid w:val="48A203D1"/>
    <w:rsid w:val="48A2301B"/>
    <w:rsid w:val="48A24875"/>
    <w:rsid w:val="48A26614"/>
    <w:rsid w:val="48A30BB7"/>
    <w:rsid w:val="48A31C82"/>
    <w:rsid w:val="48A32770"/>
    <w:rsid w:val="48A341E1"/>
    <w:rsid w:val="48A37F90"/>
    <w:rsid w:val="48A405ED"/>
    <w:rsid w:val="48A44912"/>
    <w:rsid w:val="48A50AE2"/>
    <w:rsid w:val="48A51C70"/>
    <w:rsid w:val="48A56114"/>
    <w:rsid w:val="48A56548"/>
    <w:rsid w:val="48A577C5"/>
    <w:rsid w:val="48A57EC2"/>
    <w:rsid w:val="48A60C4B"/>
    <w:rsid w:val="48A64317"/>
    <w:rsid w:val="48A64365"/>
    <w:rsid w:val="48A67538"/>
    <w:rsid w:val="48A67773"/>
    <w:rsid w:val="48A67F37"/>
    <w:rsid w:val="48A709C8"/>
    <w:rsid w:val="48A71E8C"/>
    <w:rsid w:val="48A73C3A"/>
    <w:rsid w:val="48A75B34"/>
    <w:rsid w:val="48A92C89"/>
    <w:rsid w:val="48A94A29"/>
    <w:rsid w:val="48A9531F"/>
    <w:rsid w:val="48A95C04"/>
    <w:rsid w:val="48AA4E97"/>
    <w:rsid w:val="48AA5240"/>
    <w:rsid w:val="48AA54D8"/>
    <w:rsid w:val="48AB197C"/>
    <w:rsid w:val="48AB1FA9"/>
    <w:rsid w:val="48AB372A"/>
    <w:rsid w:val="48AC07D9"/>
    <w:rsid w:val="48AC1250"/>
    <w:rsid w:val="48AC2FFE"/>
    <w:rsid w:val="48AC33AA"/>
    <w:rsid w:val="48AC74A2"/>
    <w:rsid w:val="48AD0AEC"/>
    <w:rsid w:val="48AD1C1C"/>
    <w:rsid w:val="48AD2BB1"/>
    <w:rsid w:val="48AD7EB1"/>
    <w:rsid w:val="48AE0B5A"/>
    <w:rsid w:val="48AE321A"/>
    <w:rsid w:val="48AE355C"/>
    <w:rsid w:val="48AE45E7"/>
    <w:rsid w:val="48AE59D5"/>
    <w:rsid w:val="48AE5CCA"/>
    <w:rsid w:val="48AE6D76"/>
    <w:rsid w:val="48AF7E4F"/>
    <w:rsid w:val="48B00446"/>
    <w:rsid w:val="48B00D40"/>
    <w:rsid w:val="48B06B47"/>
    <w:rsid w:val="48B06F92"/>
    <w:rsid w:val="48B102D4"/>
    <w:rsid w:val="48B11034"/>
    <w:rsid w:val="48B11A2E"/>
    <w:rsid w:val="48B12662"/>
    <w:rsid w:val="48B12D0A"/>
    <w:rsid w:val="48B14AB8"/>
    <w:rsid w:val="48B16866"/>
    <w:rsid w:val="48B17EE2"/>
    <w:rsid w:val="48B20663"/>
    <w:rsid w:val="48B2260A"/>
    <w:rsid w:val="48B30830"/>
    <w:rsid w:val="48B3438D"/>
    <w:rsid w:val="48B35F73"/>
    <w:rsid w:val="48B40105"/>
    <w:rsid w:val="48B40F59"/>
    <w:rsid w:val="48B41B3C"/>
    <w:rsid w:val="48B4470D"/>
    <w:rsid w:val="48B452E0"/>
    <w:rsid w:val="48B545A9"/>
    <w:rsid w:val="48B5518F"/>
    <w:rsid w:val="48B55B9D"/>
    <w:rsid w:val="48B55EDD"/>
    <w:rsid w:val="48B56357"/>
    <w:rsid w:val="48B60321"/>
    <w:rsid w:val="48B620CF"/>
    <w:rsid w:val="48B63D1B"/>
    <w:rsid w:val="48B63E7D"/>
    <w:rsid w:val="48B640A1"/>
    <w:rsid w:val="48B65303"/>
    <w:rsid w:val="48B66031"/>
    <w:rsid w:val="48B73CFC"/>
    <w:rsid w:val="48B8194D"/>
    <w:rsid w:val="48B84099"/>
    <w:rsid w:val="48B85E47"/>
    <w:rsid w:val="48B86E34"/>
    <w:rsid w:val="48B87BF5"/>
    <w:rsid w:val="48B94FFB"/>
    <w:rsid w:val="48B9571B"/>
    <w:rsid w:val="48B97C81"/>
    <w:rsid w:val="48BA2B87"/>
    <w:rsid w:val="48BA396D"/>
    <w:rsid w:val="48BA47F7"/>
    <w:rsid w:val="48BA59AE"/>
    <w:rsid w:val="48BB1493"/>
    <w:rsid w:val="48BB438D"/>
    <w:rsid w:val="48BB6E3E"/>
    <w:rsid w:val="48BB76E5"/>
    <w:rsid w:val="48BC2937"/>
    <w:rsid w:val="48BD0481"/>
    <w:rsid w:val="48BD16AF"/>
    <w:rsid w:val="48BD345D"/>
    <w:rsid w:val="48BD4198"/>
    <w:rsid w:val="48BD4FB2"/>
    <w:rsid w:val="48BD520B"/>
    <w:rsid w:val="48BE15C6"/>
    <w:rsid w:val="48BE57BF"/>
    <w:rsid w:val="48BF2D31"/>
    <w:rsid w:val="48BF512D"/>
    <w:rsid w:val="48BF514C"/>
    <w:rsid w:val="48BF5427"/>
    <w:rsid w:val="48BF71D5"/>
    <w:rsid w:val="48C017F9"/>
    <w:rsid w:val="48C0601B"/>
    <w:rsid w:val="48C07896"/>
    <w:rsid w:val="48C12F4D"/>
    <w:rsid w:val="48C20A74"/>
    <w:rsid w:val="48C21E0A"/>
    <w:rsid w:val="48C2259C"/>
    <w:rsid w:val="48C22822"/>
    <w:rsid w:val="48C255D0"/>
    <w:rsid w:val="48C301A1"/>
    <w:rsid w:val="48C30F03"/>
    <w:rsid w:val="48C37EC0"/>
    <w:rsid w:val="48C4659A"/>
    <w:rsid w:val="48C47F1B"/>
    <w:rsid w:val="48C52312"/>
    <w:rsid w:val="48C52A88"/>
    <w:rsid w:val="48C540C0"/>
    <w:rsid w:val="48C55692"/>
    <w:rsid w:val="48C61D6E"/>
    <w:rsid w:val="48C62FBC"/>
    <w:rsid w:val="48C663AF"/>
    <w:rsid w:val="48C742DC"/>
    <w:rsid w:val="48C755D8"/>
    <w:rsid w:val="48C75ACF"/>
    <w:rsid w:val="48C7608A"/>
    <w:rsid w:val="48C86725"/>
    <w:rsid w:val="48C90054"/>
    <w:rsid w:val="48C928D2"/>
    <w:rsid w:val="48C935BF"/>
    <w:rsid w:val="48C93BB0"/>
    <w:rsid w:val="48C94013"/>
    <w:rsid w:val="48C97A69"/>
    <w:rsid w:val="48CA54A3"/>
    <w:rsid w:val="48CB20B8"/>
    <w:rsid w:val="48CB3DCC"/>
    <w:rsid w:val="48CB55FA"/>
    <w:rsid w:val="48CB5B7A"/>
    <w:rsid w:val="48CB7DC3"/>
    <w:rsid w:val="48CC2994"/>
    <w:rsid w:val="48CC544E"/>
    <w:rsid w:val="48CC653A"/>
    <w:rsid w:val="48CC7892"/>
    <w:rsid w:val="48CD3873"/>
    <w:rsid w:val="48CD3E24"/>
    <w:rsid w:val="48CE11C6"/>
    <w:rsid w:val="48CE3503"/>
    <w:rsid w:val="48CE566A"/>
    <w:rsid w:val="48CE7418"/>
    <w:rsid w:val="48CF7E4A"/>
    <w:rsid w:val="48D013E2"/>
    <w:rsid w:val="48D027A5"/>
    <w:rsid w:val="48D04989"/>
    <w:rsid w:val="48D04C93"/>
    <w:rsid w:val="48D04F3E"/>
    <w:rsid w:val="48D079F1"/>
    <w:rsid w:val="48D07BD4"/>
    <w:rsid w:val="48D1000A"/>
    <w:rsid w:val="48D11CAA"/>
    <w:rsid w:val="48D125A1"/>
    <w:rsid w:val="48D12A65"/>
    <w:rsid w:val="48D13C35"/>
    <w:rsid w:val="48D16F09"/>
    <w:rsid w:val="48D17EB4"/>
    <w:rsid w:val="48D250C5"/>
    <w:rsid w:val="48D30AEF"/>
    <w:rsid w:val="48D3130D"/>
    <w:rsid w:val="48D31904"/>
    <w:rsid w:val="48D32C81"/>
    <w:rsid w:val="48D3318F"/>
    <w:rsid w:val="48D34A2F"/>
    <w:rsid w:val="48D34F31"/>
    <w:rsid w:val="48D367DD"/>
    <w:rsid w:val="48D41126"/>
    <w:rsid w:val="48D428A2"/>
    <w:rsid w:val="48D4336B"/>
    <w:rsid w:val="48D52555"/>
    <w:rsid w:val="48D525B6"/>
    <w:rsid w:val="48D52AE9"/>
    <w:rsid w:val="48D569F9"/>
    <w:rsid w:val="48D6279C"/>
    <w:rsid w:val="48D6451F"/>
    <w:rsid w:val="48D662CD"/>
    <w:rsid w:val="48D6720F"/>
    <w:rsid w:val="48D710FA"/>
    <w:rsid w:val="48D7293E"/>
    <w:rsid w:val="48D80297"/>
    <w:rsid w:val="48D80AA5"/>
    <w:rsid w:val="48D80F37"/>
    <w:rsid w:val="48D82045"/>
    <w:rsid w:val="48D82443"/>
    <w:rsid w:val="48D82712"/>
    <w:rsid w:val="48D836CD"/>
    <w:rsid w:val="48D936A8"/>
    <w:rsid w:val="48D93B61"/>
    <w:rsid w:val="48D93BA5"/>
    <w:rsid w:val="48D970B1"/>
    <w:rsid w:val="48DA11AE"/>
    <w:rsid w:val="48DA2AB1"/>
    <w:rsid w:val="48DA400F"/>
    <w:rsid w:val="48DA6428"/>
    <w:rsid w:val="48DB0FFC"/>
    <w:rsid w:val="48DB1B35"/>
    <w:rsid w:val="48DB38E3"/>
    <w:rsid w:val="48DB3C1F"/>
    <w:rsid w:val="48DC7D87"/>
    <w:rsid w:val="48DD035C"/>
    <w:rsid w:val="48DD21D8"/>
    <w:rsid w:val="48DD2DF1"/>
    <w:rsid w:val="48DD3919"/>
    <w:rsid w:val="48DD58AD"/>
    <w:rsid w:val="48DE22FE"/>
    <w:rsid w:val="48DF1625"/>
    <w:rsid w:val="48DF1660"/>
    <w:rsid w:val="48DF2EB0"/>
    <w:rsid w:val="48DF33D4"/>
    <w:rsid w:val="48DF7244"/>
    <w:rsid w:val="48E0229A"/>
    <w:rsid w:val="48E0616F"/>
    <w:rsid w:val="48E076C9"/>
    <w:rsid w:val="48E10B59"/>
    <w:rsid w:val="48E11FE9"/>
    <w:rsid w:val="48E12982"/>
    <w:rsid w:val="48E1372A"/>
    <w:rsid w:val="48E1539E"/>
    <w:rsid w:val="48E22EC4"/>
    <w:rsid w:val="48E30ED1"/>
    <w:rsid w:val="48E31676"/>
    <w:rsid w:val="48E3798F"/>
    <w:rsid w:val="48E40C1B"/>
    <w:rsid w:val="48E41AB5"/>
    <w:rsid w:val="48E42798"/>
    <w:rsid w:val="48E431CA"/>
    <w:rsid w:val="48E44E8E"/>
    <w:rsid w:val="48E46C3C"/>
    <w:rsid w:val="48E474DA"/>
    <w:rsid w:val="48E50991"/>
    <w:rsid w:val="48E54BA8"/>
    <w:rsid w:val="48E56510"/>
    <w:rsid w:val="48E57678"/>
    <w:rsid w:val="48E626B6"/>
    <w:rsid w:val="48E629B4"/>
    <w:rsid w:val="48E72288"/>
    <w:rsid w:val="48E75E5B"/>
    <w:rsid w:val="48E7672C"/>
    <w:rsid w:val="48E7759C"/>
    <w:rsid w:val="48E80A2C"/>
    <w:rsid w:val="48E8206D"/>
    <w:rsid w:val="48E90838"/>
    <w:rsid w:val="48E92155"/>
    <w:rsid w:val="48E924A4"/>
    <w:rsid w:val="48E94252"/>
    <w:rsid w:val="48E96000"/>
    <w:rsid w:val="48E96E30"/>
    <w:rsid w:val="48EA1689"/>
    <w:rsid w:val="48EA334C"/>
    <w:rsid w:val="48EA4D4F"/>
    <w:rsid w:val="48EB0079"/>
    <w:rsid w:val="48EB0D13"/>
    <w:rsid w:val="48EB16F0"/>
    <w:rsid w:val="48EB1D78"/>
    <w:rsid w:val="48EB621C"/>
    <w:rsid w:val="48EB7FCA"/>
    <w:rsid w:val="48EC396C"/>
    <w:rsid w:val="48EC3D42"/>
    <w:rsid w:val="48EC5AF0"/>
    <w:rsid w:val="48EC789E"/>
    <w:rsid w:val="48ED1CCD"/>
    <w:rsid w:val="48ED2365"/>
    <w:rsid w:val="48EE5167"/>
    <w:rsid w:val="48EF79DD"/>
    <w:rsid w:val="48F03833"/>
    <w:rsid w:val="48F044EA"/>
    <w:rsid w:val="48F055E1"/>
    <w:rsid w:val="48F05FA7"/>
    <w:rsid w:val="48F0738F"/>
    <w:rsid w:val="48F10807"/>
    <w:rsid w:val="48F13107"/>
    <w:rsid w:val="48F14EB5"/>
    <w:rsid w:val="48F167C7"/>
    <w:rsid w:val="48F21359"/>
    <w:rsid w:val="48F22A5D"/>
    <w:rsid w:val="48F30BBC"/>
    <w:rsid w:val="48F30C2D"/>
    <w:rsid w:val="48F30D3D"/>
    <w:rsid w:val="48F31F4B"/>
    <w:rsid w:val="48F32BEA"/>
    <w:rsid w:val="48F34668"/>
    <w:rsid w:val="48F36E7F"/>
    <w:rsid w:val="48F50E49"/>
    <w:rsid w:val="48F52BF7"/>
    <w:rsid w:val="48F549A5"/>
    <w:rsid w:val="48F6071D"/>
    <w:rsid w:val="48F61D17"/>
    <w:rsid w:val="48F74BC1"/>
    <w:rsid w:val="48F75950"/>
    <w:rsid w:val="48F77395"/>
    <w:rsid w:val="48F80521"/>
    <w:rsid w:val="48F826E7"/>
    <w:rsid w:val="48F84495"/>
    <w:rsid w:val="48F86243"/>
    <w:rsid w:val="48F95E36"/>
    <w:rsid w:val="48F97C49"/>
    <w:rsid w:val="48FA020D"/>
    <w:rsid w:val="48FA1FBB"/>
    <w:rsid w:val="48FA6372"/>
    <w:rsid w:val="48FA645F"/>
    <w:rsid w:val="48FB0953"/>
    <w:rsid w:val="48FB41C9"/>
    <w:rsid w:val="48FB42D1"/>
    <w:rsid w:val="48FB5D34"/>
    <w:rsid w:val="48FB5E78"/>
    <w:rsid w:val="48FB64CA"/>
    <w:rsid w:val="48FC0332"/>
    <w:rsid w:val="48FC21D7"/>
    <w:rsid w:val="48FC35CC"/>
    <w:rsid w:val="48FC7900"/>
    <w:rsid w:val="48FD049F"/>
    <w:rsid w:val="48FD05A2"/>
    <w:rsid w:val="48FD1AAC"/>
    <w:rsid w:val="48FD385A"/>
    <w:rsid w:val="48FD44EF"/>
    <w:rsid w:val="48FD5F50"/>
    <w:rsid w:val="48FE25C9"/>
    <w:rsid w:val="48FE2AFB"/>
    <w:rsid w:val="48FF3A76"/>
    <w:rsid w:val="48FF5824"/>
    <w:rsid w:val="48FF75D2"/>
    <w:rsid w:val="49000143"/>
    <w:rsid w:val="490019CF"/>
    <w:rsid w:val="49001FC6"/>
    <w:rsid w:val="4900334A"/>
    <w:rsid w:val="490037F4"/>
    <w:rsid w:val="49003E49"/>
    <w:rsid w:val="4900704D"/>
    <w:rsid w:val="490115D2"/>
    <w:rsid w:val="490125BD"/>
    <w:rsid w:val="49014A37"/>
    <w:rsid w:val="49022A62"/>
    <w:rsid w:val="490268FD"/>
    <w:rsid w:val="4902753E"/>
    <w:rsid w:val="49031920"/>
    <w:rsid w:val="490347AA"/>
    <w:rsid w:val="49035633"/>
    <w:rsid w:val="4904108C"/>
    <w:rsid w:val="49041B90"/>
    <w:rsid w:val="49042E3A"/>
    <w:rsid w:val="49044BE8"/>
    <w:rsid w:val="4905177A"/>
    <w:rsid w:val="49057F53"/>
    <w:rsid w:val="49060960"/>
    <w:rsid w:val="490613E3"/>
    <w:rsid w:val="49064E04"/>
    <w:rsid w:val="49064F7E"/>
    <w:rsid w:val="49067A0F"/>
    <w:rsid w:val="49070598"/>
    <w:rsid w:val="49071918"/>
    <w:rsid w:val="49072075"/>
    <w:rsid w:val="4907292A"/>
    <w:rsid w:val="49075B6C"/>
    <w:rsid w:val="49080B7C"/>
    <w:rsid w:val="4908675A"/>
    <w:rsid w:val="49090450"/>
    <w:rsid w:val="490911CB"/>
    <w:rsid w:val="49091D7C"/>
    <w:rsid w:val="490948F4"/>
    <w:rsid w:val="49094FFB"/>
    <w:rsid w:val="490966A2"/>
    <w:rsid w:val="490A1F2C"/>
    <w:rsid w:val="490A67FA"/>
    <w:rsid w:val="490B3B57"/>
    <w:rsid w:val="490B7D44"/>
    <w:rsid w:val="490C1A8F"/>
    <w:rsid w:val="490C1CEF"/>
    <w:rsid w:val="490D1094"/>
    <w:rsid w:val="490D2A70"/>
    <w:rsid w:val="490E1005"/>
    <w:rsid w:val="490E2EFC"/>
    <w:rsid w:val="490E3CB9"/>
    <w:rsid w:val="49105066"/>
    <w:rsid w:val="4910529E"/>
    <w:rsid w:val="49105C83"/>
    <w:rsid w:val="49106A68"/>
    <w:rsid w:val="49107A31"/>
    <w:rsid w:val="49115557"/>
    <w:rsid w:val="491164F6"/>
    <w:rsid w:val="49120DF4"/>
    <w:rsid w:val="49121EEA"/>
    <w:rsid w:val="49122725"/>
    <w:rsid w:val="491237A9"/>
    <w:rsid w:val="491246D0"/>
    <w:rsid w:val="49125524"/>
    <w:rsid w:val="49125B3D"/>
    <w:rsid w:val="49127986"/>
    <w:rsid w:val="491339E7"/>
    <w:rsid w:val="49137521"/>
    <w:rsid w:val="4914045F"/>
    <w:rsid w:val="49143505"/>
    <w:rsid w:val="49144C4F"/>
    <w:rsid w:val="49150CD8"/>
    <w:rsid w:val="491513A5"/>
    <w:rsid w:val="49151A70"/>
    <w:rsid w:val="49152795"/>
    <w:rsid w:val="49153299"/>
    <w:rsid w:val="49156DF5"/>
    <w:rsid w:val="49161781"/>
    <w:rsid w:val="4916491B"/>
    <w:rsid w:val="49172B6D"/>
    <w:rsid w:val="4917379D"/>
    <w:rsid w:val="49174F39"/>
    <w:rsid w:val="49177011"/>
    <w:rsid w:val="49180694"/>
    <w:rsid w:val="491843BB"/>
    <w:rsid w:val="49184B37"/>
    <w:rsid w:val="49184C88"/>
    <w:rsid w:val="491856F9"/>
    <w:rsid w:val="491868E5"/>
    <w:rsid w:val="491904E2"/>
    <w:rsid w:val="49191969"/>
    <w:rsid w:val="491A07DB"/>
    <w:rsid w:val="491A0FE8"/>
    <w:rsid w:val="491A440C"/>
    <w:rsid w:val="491B1D88"/>
    <w:rsid w:val="491B38B1"/>
    <w:rsid w:val="491B615E"/>
    <w:rsid w:val="491C12E5"/>
    <w:rsid w:val="491C3795"/>
    <w:rsid w:val="491C440D"/>
    <w:rsid w:val="491C4628"/>
    <w:rsid w:val="491C63D6"/>
    <w:rsid w:val="491D1296"/>
    <w:rsid w:val="491D3EFC"/>
    <w:rsid w:val="491D5CAA"/>
    <w:rsid w:val="491D766A"/>
    <w:rsid w:val="491E1998"/>
    <w:rsid w:val="491E223B"/>
    <w:rsid w:val="491F1A22"/>
    <w:rsid w:val="491F1F8A"/>
    <w:rsid w:val="491F331C"/>
    <w:rsid w:val="491F37A0"/>
    <w:rsid w:val="491F4CE5"/>
    <w:rsid w:val="491F5EC6"/>
    <w:rsid w:val="491F7C74"/>
    <w:rsid w:val="492054B4"/>
    <w:rsid w:val="49206389"/>
    <w:rsid w:val="49211C3E"/>
    <w:rsid w:val="4922090B"/>
    <w:rsid w:val="49221512"/>
    <w:rsid w:val="4922204C"/>
    <w:rsid w:val="49227764"/>
    <w:rsid w:val="4923483F"/>
    <w:rsid w:val="49236EB7"/>
    <w:rsid w:val="492434DC"/>
    <w:rsid w:val="4924528A"/>
    <w:rsid w:val="49245B31"/>
    <w:rsid w:val="492476AB"/>
    <w:rsid w:val="492507A1"/>
    <w:rsid w:val="492509CD"/>
    <w:rsid w:val="4925753D"/>
    <w:rsid w:val="49260292"/>
    <w:rsid w:val="49260AEC"/>
    <w:rsid w:val="49267254"/>
    <w:rsid w:val="4926728C"/>
    <w:rsid w:val="49276B29"/>
    <w:rsid w:val="49282FCC"/>
    <w:rsid w:val="49283EF6"/>
    <w:rsid w:val="4928477D"/>
    <w:rsid w:val="49284D7B"/>
    <w:rsid w:val="49290AF3"/>
    <w:rsid w:val="49296D45"/>
    <w:rsid w:val="492A07DE"/>
    <w:rsid w:val="492A3F12"/>
    <w:rsid w:val="492B03C7"/>
    <w:rsid w:val="492B0EAD"/>
    <w:rsid w:val="492B67EB"/>
    <w:rsid w:val="492B6C47"/>
    <w:rsid w:val="492C5D96"/>
    <w:rsid w:val="492C5DD4"/>
    <w:rsid w:val="492D296F"/>
    <w:rsid w:val="492D458E"/>
    <w:rsid w:val="492E034E"/>
    <w:rsid w:val="492E435B"/>
    <w:rsid w:val="492E4754"/>
    <w:rsid w:val="492E6109"/>
    <w:rsid w:val="492E6BC3"/>
    <w:rsid w:val="492E6F7B"/>
    <w:rsid w:val="492E7EB7"/>
    <w:rsid w:val="492F0154"/>
    <w:rsid w:val="49301E81"/>
    <w:rsid w:val="49303C2F"/>
    <w:rsid w:val="49305CE7"/>
    <w:rsid w:val="493078C5"/>
    <w:rsid w:val="49310757"/>
    <w:rsid w:val="49310F9E"/>
    <w:rsid w:val="4931120E"/>
    <w:rsid w:val="49311755"/>
    <w:rsid w:val="493127F5"/>
    <w:rsid w:val="49315F6B"/>
    <w:rsid w:val="49325BF9"/>
    <w:rsid w:val="49327CD0"/>
    <w:rsid w:val="493317BA"/>
    <w:rsid w:val="49331971"/>
    <w:rsid w:val="493351B2"/>
    <w:rsid w:val="493354CD"/>
    <w:rsid w:val="49335A35"/>
    <w:rsid w:val="49337602"/>
    <w:rsid w:val="49341C01"/>
    <w:rsid w:val="49342E74"/>
    <w:rsid w:val="49350A2A"/>
    <w:rsid w:val="49351245"/>
    <w:rsid w:val="4935193E"/>
    <w:rsid w:val="49351A18"/>
    <w:rsid w:val="49357497"/>
    <w:rsid w:val="49361952"/>
    <w:rsid w:val="493648DD"/>
    <w:rsid w:val="4936582A"/>
    <w:rsid w:val="49373210"/>
    <w:rsid w:val="49374D6D"/>
    <w:rsid w:val="4938292D"/>
    <w:rsid w:val="49382AE4"/>
    <w:rsid w:val="49386700"/>
    <w:rsid w:val="49396F88"/>
    <w:rsid w:val="493A02D3"/>
    <w:rsid w:val="493A2D00"/>
    <w:rsid w:val="493A4AAE"/>
    <w:rsid w:val="493B3321"/>
    <w:rsid w:val="493C0826"/>
    <w:rsid w:val="493C25D4"/>
    <w:rsid w:val="493C4382"/>
    <w:rsid w:val="493E00E4"/>
    <w:rsid w:val="493E0A83"/>
    <w:rsid w:val="493E0C63"/>
    <w:rsid w:val="493E459E"/>
    <w:rsid w:val="493E4F67"/>
    <w:rsid w:val="493E599D"/>
    <w:rsid w:val="493F20C4"/>
    <w:rsid w:val="493F3E72"/>
    <w:rsid w:val="49402FEB"/>
    <w:rsid w:val="494035B4"/>
    <w:rsid w:val="49404905"/>
    <w:rsid w:val="494055D5"/>
    <w:rsid w:val="4941408E"/>
    <w:rsid w:val="49415E3C"/>
    <w:rsid w:val="49417BEA"/>
    <w:rsid w:val="49423962"/>
    <w:rsid w:val="49423C9C"/>
    <w:rsid w:val="49425710"/>
    <w:rsid w:val="49425E50"/>
    <w:rsid w:val="49431A4D"/>
    <w:rsid w:val="49431BB4"/>
    <w:rsid w:val="49432AC6"/>
    <w:rsid w:val="49433D88"/>
    <w:rsid w:val="49437E06"/>
    <w:rsid w:val="49441489"/>
    <w:rsid w:val="49441A0C"/>
    <w:rsid w:val="49443B8A"/>
    <w:rsid w:val="4944592C"/>
    <w:rsid w:val="494553E6"/>
    <w:rsid w:val="49457586"/>
    <w:rsid w:val="494616A5"/>
    <w:rsid w:val="4946789C"/>
    <w:rsid w:val="49470BAF"/>
    <w:rsid w:val="49470F79"/>
    <w:rsid w:val="49473A6B"/>
    <w:rsid w:val="49474F7F"/>
    <w:rsid w:val="49475D01"/>
    <w:rsid w:val="49477BE3"/>
    <w:rsid w:val="494827BD"/>
    <w:rsid w:val="49483D67"/>
    <w:rsid w:val="4948541D"/>
    <w:rsid w:val="49490EB7"/>
    <w:rsid w:val="49492D77"/>
    <w:rsid w:val="49492F43"/>
    <w:rsid w:val="494A0382"/>
    <w:rsid w:val="494A7DC8"/>
    <w:rsid w:val="494B2817"/>
    <w:rsid w:val="494B6CBB"/>
    <w:rsid w:val="494C0609"/>
    <w:rsid w:val="494C26D0"/>
    <w:rsid w:val="494C3066"/>
    <w:rsid w:val="494C435E"/>
    <w:rsid w:val="494C6C37"/>
    <w:rsid w:val="494D2A33"/>
    <w:rsid w:val="494D47E1"/>
    <w:rsid w:val="494D5B77"/>
    <w:rsid w:val="494D658F"/>
    <w:rsid w:val="494E0559"/>
    <w:rsid w:val="494E5744"/>
    <w:rsid w:val="494F67AB"/>
    <w:rsid w:val="495042D1"/>
    <w:rsid w:val="4950607F"/>
    <w:rsid w:val="49506749"/>
    <w:rsid w:val="49506891"/>
    <w:rsid w:val="49507689"/>
    <w:rsid w:val="49507E2D"/>
    <w:rsid w:val="49520049"/>
    <w:rsid w:val="49531B73"/>
    <w:rsid w:val="4953791E"/>
    <w:rsid w:val="495434A1"/>
    <w:rsid w:val="49543A4B"/>
    <w:rsid w:val="49546FB8"/>
    <w:rsid w:val="49553A98"/>
    <w:rsid w:val="49554EDB"/>
    <w:rsid w:val="49555444"/>
    <w:rsid w:val="4956636B"/>
    <w:rsid w:val="495723CC"/>
    <w:rsid w:val="49573B45"/>
    <w:rsid w:val="49573D2A"/>
    <w:rsid w:val="495770F6"/>
    <w:rsid w:val="4957740E"/>
    <w:rsid w:val="495806A6"/>
    <w:rsid w:val="49583186"/>
    <w:rsid w:val="4958385C"/>
    <w:rsid w:val="49584F34"/>
    <w:rsid w:val="49590FD1"/>
    <w:rsid w:val="495913D8"/>
    <w:rsid w:val="49592115"/>
    <w:rsid w:val="49594CEC"/>
    <w:rsid w:val="495A2754"/>
    <w:rsid w:val="495A4BCE"/>
    <w:rsid w:val="495B18F1"/>
    <w:rsid w:val="495B2AA9"/>
    <w:rsid w:val="495C0A9C"/>
    <w:rsid w:val="495C20AE"/>
    <w:rsid w:val="495C5B79"/>
    <w:rsid w:val="495C67D2"/>
    <w:rsid w:val="495D254A"/>
    <w:rsid w:val="495D3071"/>
    <w:rsid w:val="495D5D25"/>
    <w:rsid w:val="495E0009"/>
    <w:rsid w:val="495E5A1F"/>
    <w:rsid w:val="495F0B5E"/>
    <w:rsid w:val="495F4514"/>
    <w:rsid w:val="495F62C2"/>
    <w:rsid w:val="495F741D"/>
    <w:rsid w:val="49602F8D"/>
    <w:rsid w:val="496041B8"/>
    <w:rsid w:val="496076FB"/>
    <w:rsid w:val="4961028C"/>
    <w:rsid w:val="496115BD"/>
    <w:rsid w:val="4961203A"/>
    <w:rsid w:val="49613DC1"/>
    <w:rsid w:val="4961604F"/>
    <w:rsid w:val="49616443"/>
    <w:rsid w:val="496168F1"/>
    <w:rsid w:val="496206AA"/>
    <w:rsid w:val="4963096F"/>
    <w:rsid w:val="49635DB3"/>
    <w:rsid w:val="49637F65"/>
    <w:rsid w:val="49647D7D"/>
    <w:rsid w:val="496549D0"/>
    <w:rsid w:val="49656AE1"/>
    <w:rsid w:val="49660411"/>
    <w:rsid w:val="496625DE"/>
    <w:rsid w:val="49663AF5"/>
    <w:rsid w:val="49663FA8"/>
    <w:rsid w:val="4966471F"/>
    <w:rsid w:val="496658A3"/>
    <w:rsid w:val="49665EE0"/>
    <w:rsid w:val="49667651"/>
    <w:rsid w:val="49670780"/>
    <w:rsid w:val="49674171"/>
    <w:rsid w:val="49675177"/>
    <w:rsid w:val="49675AE0"/>
    <w:rsid w:val="4968786D"/>
    <w:rsid w:val="49690EEF"/>
    <w:rsid w:val="49697141"/>
    <w:rsid w:val="49697F6F"/>
    <w:rsid w:val="496A337A"/>
    <w:rsid w:val="496A4813"/>
    <w:rsid w:val="496A5C71"/>
    <w:rsid w:val="496B1556"/>
    <w:rsid w:val="496B1CD2"/>
    <w:rsid w:val="496B2EB9"/>
    <w:rsid w:val="496C10AF"/>
    <w:rsid w:val="496D01F5"/>
    <w:rsid w:val="496D0DE5"/>
    <w:rsid w:val="496D271F"/>
    <w:rsid w:val="496D45F2"/>
    <w:rsid w:val="496D4D42"/>
    <w:rsid w:val="496D4F07"/>
    <w:rsid w:val="496D6C31"/>
    <w:rsid w:val="496E4757"/>
    <w:rsid w:val="496E4C92"/>
    <w:rsid w:val="496E6505"/>
    <w:rsid w:val="496F0BFB"/>
    <w:rsid w:val="496F6F12"/>
    <w:rsid w:val="497003A2"/>
    <w:rsid w:val="497004D0"/>
    <w:rsid w:val="4970328B"/>
    <w:rsid w:val="49706721"/>
    <w:rsid w:val="497074B0"/>
    <w:rsid w:val="497172C8"/>
    <w:rsid w:val="4972249A"/>
    <w:rsid w:val="4972418C"/>
    <w:rsid w:val="49724248"/>
    <w:rsid w:val="49725893"/>
    <w:rsid w:val="49732986"/>
    <w:rsid w:val="49733446"/>
    <w:rsid w:val="49735974"/>
    <w:rsid w:val="497418F4"/>
    <w:rsid w:val="49753CC6"/>
    <w:rsid w:val="49753D38"/>
    <w:rsid w:val="49757894"/>
    <w:rsid w:val="49762D55"/>
    <w:rsid w:val="4976422D"/>
    <w:rsid w:val="497707D8"/>
    <w:rsid w:val="4977147E"/>
    <w:rsid w:val="4977185E"/>
    <w:rsid w:val="4977360C"/>
    <w:rsid w:val="49775666"/>
    <w:rsid w:val="497756A4"/>
    <w:rsid w:val="49776083"/>
    <w:rsid w:val="49777961"/>
    <w:rsid w:val="49787384"/>
    <w:rsid w:val="4979368B"/>
    <w:rsid w:val="49793828"/>
    <w:rsid w:val="49794CE7"/>
    <w:rsid w:val="497951CE"/>
    <w:rsid w:val="497955D6"/>
    <w:rsid w:val="497A134E"/>
    <w:rsid w:val="497A6883"/>
    <w:rsid w:val="497B03D2"/>
    <w:rsid w:val="497B2E05"/>
    <w:rsid w:val="497B639D"/>
    <w:rsid w:val="497B6BF6"/>
    <w:rsid w:val="497C0086"/>
    <w:rsid w:val="497C071F"/>
    <w:rsid w:val="497C0C22"/>
    <w:rsid w:val="497C50C6"/>
    <w:rsid w:val="497C6E74"/>
    <w:rsid w:val="497C750B"/>
    <w:rsid w:val="497D0FCD"/>
    <w:rsid w:val="497D1963"/>
    <w:rsid w:val="497D29A6"/>
    <w:rsid w:val="497D499A"/>
    <w:rsid w:val="497E0E3E"/>
    <w:rsid w:val="497E2BEC"/>
    <w:rsid w:val="497E3493"/>
    <w:rsid w:val="497E5735"/>
    <w:rsid w:val="497E7886"/>
    <w:rsid w:val="497F0713"/>
    <w:rsid w:val="497F16C9"/>
    <w:rsid w:val="497F6965"/>
    <w:rsid w:val="49804BB7"/>
    <w:rsid w:val="49805976"/>
    <w:rsid w:val="49805B50"/>
    <w:rsid w:val="49807271"/>
    <w:rsid w:val="4981092F"/>
    <w:rsid w:val="49811327"/>
    <w:rsid w:val="49811952"/>
    <w:rsid w:val="498126DD"/>
    <w:rsid w:val="4981448B"/>
    <w:rsid w:val="498148FD"/>
    <w:rsid w:val="49816239"/>
    <w:rsid w:val="498306B4"/>
    <w:rsid w:val="49831626"/>
    <w:rsid w:val="49831DB7"/>
    <w:rsid w:val="49831FB1"/>
    <w:rsid w:val="49832EBB"/>
    <w:rsid w:val="49836455"/>
    <w:rsid w:val="49836818"/>
    <w:rsid w:val="498378EF"/>
    <w:rsid w:val="49837F59"/>
    <w:rsid w:val="4984163B"/>
    <w:rsid w:val="4984282A"/>
    <w:rsid w:val="49843F7B"/>
    <w:rsid w:val="49845A0E"/>
    <w:rsid w:val="49845D29"/>
    <w:rsid w:val="49847CA8"/>
    <w:rsid w:val="498502AC"/>
    <w:rsid w:val="49851138"/>
    <w:rsid w:val="49852879"/>
    <w:rsid w:val="498577D8"/>
    <w:rsid w:val="49857DB0"/>
    <w:rsid w:val="49861AA1"/>
    <w:rsid w:val="49862E17"/>
    <w:rsid w:val="49865B1D"/>
    <w:rsid w:val="4986640F"/>
    <w:rsid w:val="49867CF3"/>
    <w:rsid w:val="49870F95"/>
    <w:rsid w:val="49871266"/>
    <w:rsid w:val="49873AA6"/>
    <w:rsid w:val="49875199"/>
    <w:rsid w:val="49877032"/>
    <w:rsid w:val="49877DA8"/>
    <w:rsid w:val="49883A6B"/>
    <w:rsid w:val="49885819"/>
    <w:rsid w:val="4989217A"/>
    <w:rsid w:val="4989333F"/>
    <w:rsid w:val="49897AB9"/>
    <w:rsid w:val="498A0891"/>
    <w:rsid w:val="498A3B1A"/>
    <w:rsid w:val="498A525B"/>
    <w:rsid w:val="498A77E3"/>
    <w:rsid w:val="498B4FAA"/>
    <w:rsid w:val="498B5309"/>
    <w:rsid w:val="498B57D8"/>
    <w:rsid w:val="498B70B7"/>
    <w:rsid w:val="498C0248"/>
    <w:rsid w:val="498C3781"/>
    <w:rsid w:val="498C63FE"/>
    <w:rsid w:val="498D0F17"/>
    <w:rsid w:val="498D1081"/>
    <w:rsid w:val="498D249B"/>
    <w:rsid w:val="498D5DAF"/>
    <w:rsid w:val="498D72D3"/>
    <w:rsid w:val="498E0956"/>
    <w:rsid w:val="498E6BA8"/>
    <w:rsid w:val="498F1B24"/>
    <w:rsid w:val="498F2280"/>
    <w:rsid w:val="498F22CF"/>
    <w:rsid w:val="498F4DFA"/>
    <w:rsid w:val="498F592E"/>
    <w:rsid w:val="4990233E"/>
    <w:rsid w:val="49905938"/>
    <w:rsid w:val="49906221"/>
    <w:rsid w:val="499128FB"/>
    <w:rsid w:val="49916BE6"/>
    <w:rsid w:val="499248EA"/>
    <w:rsid w:val="49924E7D"/>
    <w:rsid w:val="49926698"/>
    <w:rsid w:val="49926DAE"/>
    <w:rsid w:val="4993216D"/>
    <w:rsid w:val="49935F6C"/>
    <w:rsid w:val="49942410"/>
    <w:rsid w:val="499441BE"/>
    <w:rsid w:val="49950C2D"/>
    <w:rsid w:val="49951CE4"/>
    <w:rsid w:val="499524F4"/>
    <w:rsid w:val="49956188"/>
    <w:rsid w:val="499620BD"/>
    <w:rsid w:val="499624A2"/>
    <w:rsid w:val="49963B70"/>
    <w:rsid w:val="49971F00"/>
    <w:rsid w:val="49974E88"/>
    <w:rsid w:val="499807FC"/>
    <w:rsid w:val="49986F59"/>
    <w:rsid w:val="4999217F"/>
    <w:rsid w:val="49995C78"/>
    <w:rsid w:val="499A360F"/>
    <w:rsid w:val="499A379E"/>
    <w:rsid w:val="499A72FA"/>
    <w:rsid w:val="499A7FD9"/>
    <w:rsid w:val="499B01FC"/>
    <w:rsid w:val="499B0896"/>
    <w:rsid w:val="499B3A02"/>
    <w:rsid w:val="499C0B00"/>
    <w:rsid w:val="499C3252"/>
    <w:rsid w:val="499C5F2F"/>
    <w:rsid w:val="499C7517"/>
    <w:rsid w:val="499C7EBD"/>
    <w:rsid w:val="499D0ED7"/>
    <w:rsid w:val="499D1675"/>
    <w:rsid w:val="499E328F"/>
    <w:rsid w:val="499E3362"/>
    <w:rsid w:val="499E377C"/>
    <w:rsid w:val="499E41E5"/>
    <w:rsid w:val="499E61AC"/>
    <w:rsid w:val="499E6DEB"/>
    <w:rsid w:val="499E7F53"/>
    <w:rsid w:val="499F0DB5"/>
    <w:rsid w:val="499F48B0"/>
    <w:rsid w:val="499F7D64"/>
    <w:rsid w:val="49A0323E"/>
    <w:rsid w:val="49A05503"/>
    <w:rsid w:val="49A07007"/>
    <w:rsid w:val="49A07A3C"/>
    <w:rsid w:val="49A10689"/>
    <w:rsid w:val="49A14B2D"/>
    <w:rsid w:val="49A168DB"/>
    <w:rsid w:val="49A219D8"/>
    <w:rsid w:val="49A21DA1"/>
    <w:rsid w:val="49A3143A"/>
    <w:rsid w:val="49A32653"/>
    <w:rsid w:val="49A333DA"/>
    <w:rsid w:val="49A34401"/>
    <w:rsid w:val="49A40179"/>
    <w:rsid w:val="49A40A36"/>
    <w:rsid w:val="49A47292"/>
    <w:rsid w:val="49A534E2"/>
    <w:rsid w:val="49A5461D"/>
    <w:rsid w:val="49A563CB"/>
    <w:rsid w:val="49A60395"/>
    <w:rsid w:val="49A62FB9"/>
    <w:rsid w:val="49A66D32"/>
    <w:rsid w:val="49A73042"/>
    <w:rsid w:val="49A75C13"/>
    <w:rsid w:val="49A8026C"/>
    <w:rsid w:val="49A870A3"/>
    <w:rsid w:val="49A94C00"/>
    <w:rsid w:val="49AA19C3"/>
    <w:rsid w:val="49AA3104"/>
    <w:rsid w:val="49AB1508"/>
    <w:rsid w:val="49AB492B"/>
    <w:rsid w:val="49AB59AC"/>
    <w:rsid w:val="49AB775A"/>
    <w:rsid w:val="49AC11BF"/>
    <w:rsid w:val="49AC39AB"/>
    <w:rsid w:val="49AD0CA2"/>
    <w:rsid w:val="49AD1DAD"/>
    <w:rsid w:val="49AD43E2"/>
    <w:rsid w:val="49AD53CA"/>
    <w:rsid w:val="49AD54A3"/>
    <w:rsid w:val="49AD5AB1"/>
    <w:rsid w:val="49AD7F2A"/>
    <w:rsid w:val="49AE0344"/>
    <w:rsid w:val="49AF0145"/>
    <w:rsid w:val="49AF0610"/>
    <w:rsid w:val="49AF0FF8"/>
    <w:rsid w:val="49AF14CF"/>
    <w:rsid w:val="49AF724A"/>
    <w:rsid w:val="49B04D70"/>
    <w:rsid w:val="49B05AEA"/>
    <w:rsid w:val="49B06B1E"/>
    <w:rsid w:val="49B16CC5"/>
    <w:rsid w:val="49B20AE8"/>
    <w:rsid w:val="49B23C69"/>
    <w:rsid w:val="49B24C36"/>
    <w:rsid w:val="49B26BE7"/>
    <w:rsid w:val="49B303BC"/>
    <w:rsid w:val="49B320E3"/>
    <w:rsid w:val="49B3535C"/>
    <w:rsid w:val="49B358F7"/>
    <w:rsid w:val="49B35B1D"/>
    <w:rsid w:val="49B404DB"/>
    <w:rsid w:val="49B44860"/>
    <w:rsid w:val="49B45646"/>
    <w:rsid w:val="49B4660E"/>
    <w:rsid w:val="49B47DCC"/>
    <w:rsid w:val="49B52386"/>
    <w:rsid w:val="49B540C7"/>
    <w:rsid w:val="49B54134"/>
    <w:rsid w:val="49B605D8"/>
    <w:rsid w:val="49B65092"/>
    <w:rsid w:val="49B760FE"/>
    <w:rsid w:val="49B7712F"/>
    <w:rsid w:val="49B81129"/>
    <w:rsid w:val="49B81199"/>
    <w:rsid w:val="49B81B9F"/>
    <w:rsid w:val="49B820A2"/>
    <w:rsid w:val="49B90028"/>
    <w:rsid w:val="49B900C8"/>
    <w:rsid w:val="49BA14B8"/>
    <w:rsid w:val="49BA174B"/>
    <w:rsid w:val="49BA1F5C"/>
    <w:rsid w:val="49BA2E42"/>
    <w:rsid w:val="49BA4E2F"/>
    <w:rsid w:val="49BA5AED"/>
    <w:rsid w:val="49BB2948"/>
    <w:rsid w:val="49BB4089"/>
    <w:rsid w:val="49BB5BEF"/>
    <w:rsid w:val="49BC1967"/>
    <w:rsid w:val="49BC27FF"/>
    <w:rsid w:val="49BC361C"/>
    <w:rsid w:val="49BC3715"/>
    <w:rsid w:val="49BC54C3"/>
    <w:rsid w:val="49BC5720"/>
    <w:rsid w:val="49BD157A"/>
    <w:rsid w:val="49BD169D"/>
    <w:rsid w:val="49BD20C1"/>
    <w:rsid w:val="49BD5BEA"/>
    <w:rsid w:val="49BD69A9"/>
    <w:rsid w:val="49BE0964"/>
    <w:rsid w:val="49BE56DF"/>
    <w:rsid w:val="49BE748D"/>
    <w:rsid w:val="49BE7E39"/>
    <w:rsid w:val="49BF43D9"/>
    <w:rsid w:val="49BF4AE4"/>
    <w:rsid w:val="49BF4FB3"/>
    <w:rsid w:val="49BF6D61"/>
    <w:rsid w:val="49C00490"/>
    <w:rsid w:val="49C02C56"/>
    <w:rsid w:val="49C03205"/>
    <w:rsid w:val="49C037AB"/>
    <w:rsid w:val="49C0532A"/>
    <w:rsid w:val="49C1138B"/>
    <w:rsid w:val="49C11AC1"/>
    <w:rsid w:val="49C12AD9"/>
    <w:rsid w:val="49C14C65"/>
    <w:rsid w:val="49C16F7D"/>
    <w:rsid w:val="49C17EDE"/>
    <w:rsid w:val="49C17EFB"/>
    <w:rsid w:val="49C30254"/>
    <w:rsid w:val="49C31C2B"/>
    <w:rsid w:val="49C34AA3"/>
    <w:rsid w:val="49C41B7C"/>
    <w:rsid w:val="49C42252"/>
    <w:rsid w:val="49C425C9"/>
    <w:rsid w:val="49C4335C"/>
    <w:rsid w:val="49C4513B"/>
    <w:rsid w:val="49C5081B"/>
    <w:rsid w:val="49C56A6D"/>
    <w:rsid w:val="49C64593"/>
    <w:rsid w:val="49C674A0"/>
    <w:rsid w:val="49C7262C"/>
    <w:rsid w:val="49C751FD"/>
    <w:rsid w:val="49C820BA"/>
    <w:rsid w:val="49C83E68"/>
    <w:rsid w:val="49C970B8"/>
    <w:rsid w:val="49CA2B1D"/>
    <w:rsid w:val="49CA4084"/>
    <w:rsid w:val="49CA5E32"/>
    <w:rsid w:val="49CA6723"/>
    <w:rsid w:val="49CA7BE0"/>
    <w:rsid w:val="49CB1BAA"/>
    <w:rsid w:val="49CB3352"/>
    <w:rsid w:val="49CB7EBB"/>
    <w:rsid w:val="49CC2D77"/>
    <w:rsid w:val="49CC3B3C"/>
    <w:rsid w:val="49CC43C6"/>
    <w:rsid w:val="49CC4E1C"/>
    <w:rsid w:val="49CC7E2E"/>
    <w:rsid w:val="49CD4750"/>
    <w:rsid w:val="49CD5922"/>
    <w:rsid w:val="49CD6A25"/>
    <w:rsid w:val="49CD76D0"/>
    <w:rsid w:val="49CE0DBE"/>
    <w:rsid w:val="49CE2F31"/>
    <w:rsid w:val="49CF169A"/>
    <w:rsid w:val="49CF490A"/>
    <w:rsid w:val="49D00F6E"/>
    <w:rsid w:val="49D01A78"/>
    <w:rsid w:val="49D03A26"/>
    <w:rsid w:val="49D06B70"/>
    <w:rsid w:val="49D071C0"/>
    <w:rsid w:val="49D10E80"/>
    <w:rsid w:val="49D1249D"/>
    <w:rsid w:val="49D15412"/>
    <w:rsid w:val="49D161C3"/>
    <w:rsid w:val="49D2118A"/>
    <w:rsid w:val="49D22310"/>
    <w:rsid w:val="49D22F38"/>
    <w:rsid w:val="49D24CE6"/>
    <w:rsid w:val="49D368B0"/>
    <w:rsid w:val="49D40684"/>
    <w:rsid w:val="49D408FC"/>
    <w:rsid w:val="49D4280C"/>
    <w:rsid w:val="49D433E9"/>
    <w:rsid w:val="49D4699A"/>
    <w:rsid w:val="49D51330"/>
    <w:rsid w:val="49D55D16"/>
    <w:rsid w:val="49D56585"/>
    <w:rsid w:val="49D5691C"/>
    <w:rsid w:val="49D56932"/>
    <w:rsid w:val="49D57C8E"/>
    <w:rsid w:val="49D57FB8"/>
    <w:rsid w:val="49D61658"/>
    <w:rsid w:val="49D64583"/>
    <w:rsid w:val="49D73B02"/>
    <w:rsid w:val="49D767A1"/>
    <w:rsid w:val="49D84A41"/>
    <w:rsid w:val="49D852EE"/>
    <w:rsid w:val="49D92519"/>
    <w:rsid w:val="49D92B8C"/>
    <w:rsid w:val="49D942C7"/>
    <w:rsid w:val="49D96075"/>
    <w:rsid w:val="49D97AA0"/>
    <w:rsid w:val="49D97E23"/>
    <w:rsid w:val="49DA3948"/>
    <w:rsid w:val="49DA6460"/>
    <w:rsid w:val="49DA79B2"/>
    <w:rsid w:val="49DB0B27"/>
    <w:rsid w:val="49DC199F"/>
    <w:rsid w:val="49DC2BD2"/>
    <w:rsid w:val="49DC3DB7"/>
    <w:rsid w:val="49DC5F93"/>
    <w:rsid w:val="49DC7715"/>
    <w:rsid w:val="49DC7913"/>
    <w:rsid w:val="49DD0E2C"/>
    <w:rsid w:val="49DD4190"/>
    <w:rsid w:val="49DD5ACD"/>
    <w:rsid w:val="49DE02CC"/>
    <w:rsid w:val="49DE053E"/>
    <w:rsid w:val="49DE08B3"/>
    <w:rsid w:val="49DE368B"/>
    <w:rsid w:val="49DE53F9"/>
    <w:rsid w:val="49DF112C"/>
    <w:rsid w:val="49DF11B1"/>
    <w:rsid w:val="49DF1BFA"/>
    <w:rsid w:val="49DF1D43"/>
    <w:rsid w:val="49DF61B7"/>
    <w:rsid w:val="49E019BF"/>
    <w:rsid w:val="49E031D3"/>
    <w:rsid w:val="49E04080"/>
    <w:rsid w:val="49E07403"/>
    <w:rsid w:val="49E1048E"/>
    <w:rsid w:val="49E113CD"/>
    <w:rsid w:val="49E14471"/>
    <w:rsid w:val="49E14F29"/>
    <w:rsid w:val="49E15DA4"/>
    <w:rsid w:val="49E16015"/>
    <w:rsid w:val="49E23A16"/>
    <w:rsid w:val="49E2478A"/>
    <w:rsid w:val="49E25C9B"/>
    <w:rsid w:val="49E309B5"/>
    <w:rsid w:val="49E30CA1"/>
    <w:rsid w:val="49E30F5B"/>
    <w:rsid w:val="49E340B9"/>
    <w:rsid w:val="49E368A8"/>
    <w:rsid w:val="49E36EF3"/>
    <w:rsid w:val="49E40956"/>
    <w:rsid w:val="49E41B54"/>
    <w:rsid w:val="49E44725"/>
    <w:rsid w:val="49E45618"/>
    <w:rsid w:val="49E514EF"/>
    <w:rsid w:val="49E51876"/>
    <w:rsid w:val="49E534EA"/>
    <w:rsid w:val="49E53974"/>
    <w:rsid w:val="49E54A1A"/>
    <w:rsid w:val="49E55BB5"/>
    <w:rsid w:val="49E61D37"/>
    <w:rsid w:val="49E62540"/>
    <w:rsid w:val="49E730A6"/>
    <w:rsid w:val="49E80617"/>
    <w:rsid w:val="49E8275C"/>
    <w:rsid w:val="49E837D8"/>
    <w:rsid w:val="49E862B8"/>
    <w:rsid w:val="49EA0282"/>
    <w:rsid w:val="49EA2030"/>
    <w:rsid w:val="49EA64D4"/>
    <w:rsid w:val="49EB5DA8"/>
    <w:rsid w:val="49EC224C"/>
    <w:rsid w:val="49EC3FFA"/>
    <w:rsid w:val="49ED033A"/>
    <w:rsid w:val="49ED0C99"/>
    <w:rsid w:val="49ED5932"/>
    <w:rsid w:val="49ED734A"/>
    <w:rsid w:val="49ED7D72"/>
    <w:rsid w:val="49EF1B6F"/>
    <w:rsid w:val="49EF3AEA"/>
    <w:rsid w:val="49EF5898"/>
    <w:rsid w:val="49EF7646"/>
    <w:rsid w:val="49EF7770"/>
    <w:rsid w:val="49F02CC8"/>
    <w:rsid w:val="49F033BE"/>
    <w:rsid w:val="49F06755"/>
    <w:rsid w:val="49F1079A"/>
    <w:rsid w:val="49F11610"/>
    <w:rsid w:val="49F11633"/>
    <w:rsid w:val="49F15899"/>
    <w:rsid w:val="49F17864"/>
    <w:rsid w:val="49F20E51"/>
    <w:rsid w:val="49F252D7"/>
    <w:rsid w:val="49F27137"/>
    <w:rsid w:val="49F31649"/>
    <w:rsid w:val="49F32630"/>
    <w:rsid w:val="49F3676E"/>
    <w:rsid w:val="49F44C5D"/>
    <w:rsid w:val="49F508EA"/>
    <w:rsid w:val="49F509D5"/>
    <w:rsid w:val="49F534BC"/>
    <w:rsid w:val="49F544D5"/>
    <w:rsid w:val="49F556AA"/>
    <w:rsid w:val="49F6170B"/>
    <w:rsid w:val="49F64E79"/>
    <w:rsid w:val="49F65B1F"/>
    <w:rsid w:val="49F66B3A"/>
    <w:rsid w:val="49F66C27"/>
    <w:rsid w:val="49F66F47"/>
    <w:rsid w:val="49F67B22"/>
    <w:rsid w:val="49F710F5"/>
    <w:rsid w:val="49F7299F"/>
    <w:rsid w:val="49F73469"/>
    <w:rsid w:val="49F7474D"/>
    <w:rsid w:val="49F76C71"/>
    <w:rsid w:val="49F8145A"/>
    <w:rsid w:val="49F81F89"/>
    <w:rsid w:val="49F836CC"/>
    <w:rsid w:val="49F8402B"/>
    <w:rsid w:val="49F92273"/>
    <w:rsid w:val="49F93EC4"/>
    <w:rsid w:val="49F97701"/>
    <w:rsid w:val="49FA008C"/>
    <w:rsid w:val="49FA4A26"/>
    <w:rsid w:val="49FA4E64"/>
    <w:rsid w:val="49FA5FEB"/>
    <w:rsid w:val="49FB05BC"/>
    <w:rsid w:val="49FB423D"/>
    <w:rsid w:val="49FC1D63"/>
    <w:rsid w:val="49FC2B50"/>
    <w:rsid w:val="49FC6E66"/>
    <w:rsid w:val="49FC7FB5"/>
    <w:rsid w:val="49FD6207"/>
    <w:rsid w:val="49FE4F6D"/>
    <w:rsid w:val="49FE5ADB"/>
    <w:rsid w:val="49FF1B34"/>
    <w:rsid w:val="49FF29E7"/>
    <w:rsid w:val="49FF44E4"/>
    <w:rsid w:val="4A001853"/>
    <w:rsid w:val="4A003601"/>
    <w:rsid w:val="4A007AA5"/>
    <w:rsid w:val="4A0109D8"/>
    <w:rsid w:val="4A010F61"/>
    <w:rsid w:val="4A013465"/>
    <w:rsid w:val="4A013925"/>
    <w:rsid w:val="4A013C4D"/>
    <w:rsid w:val="4A01737A"/>
    <w:rsid w:val="4A023139"/>
    <w:rsid w:val="4A02381D"/>
    <w:rsid w:val="4A0250DD"/>
    <w:rsid w:val="4A02764A"/>
    <w:rsid w:val="4A030452"/>
    <w:rsid w:val="4A03113E"/>
    <w:rsid w:val="4A031344"/>
    <w:rsid w:val="4A037596"/>
    <w:rsid w:val="4A04058A"/>
    <w:rsid w:val="4A0425CE"/>
    <w:rsid w:val="4A042BE1"/>
    <w:rsid w:val="4A046BA5"/>
    <w:rsid w:val="4A046EDC"/>
    <w:rsid w:val="4A050C18"/>
    <w:rsid w:val="4A05194D"/>
    <w:rsid w:val="4A0526E0"/>
    <w:rsid w:val="4A052EE0"/>
    <w:rsid w:val="4A05330E"/>
    <w:rsid w:val="4A0550BC"/>
    <w:rsid w:val="4A056DF9"/>
    <w:rsid w:val="4A05755A"/>
    <w:rsid w:val="4A060092"/>
    <w:rsid w:val="4A062BE2"/>
    <w:rsid w:val="4A064990"/>
    <w:rsid w:val="4A064E1D"/>
    <w:rsid w:val="4A06662F"/>
    <w:rsid w:val="4A07044E"/>
    <w:rsid w:val="4A070E34"/>
    <w:rsid w:val="4A0751ED"/>
    <w:rsid w:val="4A084BAC"/>
    <w:rsid w:val="4A085BCB"/>
    <w:rsid w:val="4A08695A"/>
    <w:rsid w:val="4A091E94"/>
    <w:rsid w:val="4A0923DF"/>
    <w:rsid w:val="4A093B35"/>
    <w:rsid w:val="4A0963DA"/>
    <w:rsid w:val="4A0A248B"/>
    <w:rsid w:val="4A0A2722"/>
    <w:rsid w:val="4A0A4480"/>
    <w:rsid w:val="4A0A4A38"/>
    <w:rsid w:val="4A0A4DA4"/>
    <w:rsid w:val="4A0A6787"/>
    <w:rsid w:val="4A0A7CF5"/>
    <w:rsid w:val="4A0B01F8"/>
    <w:rsid w:val="4A0B1020"/>
    <w:rsid w:val="4A0B1FA6"/>
    <w:rsid w:val="4A0B277F"/>
    <w:rsid w:val="4A0B5F70"/>
    <w:rsid w:val="4A0B78D0"/>
    <w:rsid w:val="4A0C5DFE"/>
    <w:rsid w:val="4A0C644A"/>
    <w:rsid w:val="4A0D21C2"/>
    <w:rsid w:val="4A0D3F70"/>
    <w:rsid w:val="4A0E0B26"/>
    <w:rsid w:val="4A0E17A6"/>
    <w:rsid w:val="4A0E29D3"/>
    <w:rsid w:val="4A0E42C4"/>
    <w:rsid w:val="4A0E48CD"/>
    <w:rsid w:val="4A0E6AF1"/>
    <w:rsid w:val="4A0F36E6"/>
    <w:rsid w:val="4A0F39E7"/>
    <w:rsid w:val="4A0F5F3A"/>
    <w:rsid w:val="4A1022B2"/>
    <w:rsid w:val="4A104EBD"/>
    <w:rsid w:val="4A1053DF"/>
    <w:rsid w:val="4A111CB3"/>
    <w:rsid w:val="4A113A0C"/>
    <w:rsid w:val="4A113A61"/>
    <w:rsid w:val="4A11580F"/>
    <w:rsid w:val="4A116313"/>
    <w:rsid w:val="4A1256E6"/>
    <w:rsid w:val="4A126E47"/>
    <w:rsid w:val="4A1277D9"/>
    <w:rsid w:val="4A13038E"/>
    <w:rsid w:val="4A1304B6"/>
    <w:rsid w:val="4A131EAD"/>
    <w:rsid w:val="4A1320AA"/>
    <w:rsid w:val="4A133393"/>
    <w:rsid w:val="4A1420C3"/>
    <w:rsid w:val="4A1433AF"/>
    <w:rsid w:val="4A143551"/>
    <w:rsid w:val="4A143D64"/>
    <w:rsid w:val="4A1452FF"/>
    <w:rsid w:val="4A1505F1"/>
    <w:rsid w:val="4A16040D"/>
    <w:rsid w:val="4A161077"/>
    <w:rsid w:val="4A161729"/>
    <w:rsid w:val="4A162E25"/>
    <w:rsid w:val="4A163850"/>
    <w:rsid w:val="4A1649E3"/>
    <w:rsid w:val="4A1672C9"/>
    <w:rsid w:val="4A17094B"/>
    <w:rsid w:val="4A174DEF"/>
    <w:rsid w:val="4A176B9D"/>
    <w:rsid w:val="4A183041"/>
    <w:rsid w:val="4A185553"/>
    <w:rsid w:val="4A187736"/>
    <w:rsid w:val="4A190B67"/>
    <w:rsid w:val="4A191ED4"/>
    <w:rsid w:val="4A192915"/>
    <w:rsid w:val="4A19349D"/>
    <w:rsid w:val="4A1939BF"/>
    <w:rsid w:val="4A193CE9"/>
    <w:rsid w:val="4A1946C3"/>
    <w:rsid w:val="4A197DE0"/>
    <w:rsid w:val="4A1A0C51"/>
    <w:rsid w:val="4A1A32F7"/>
    <w:rsid w:val="4A1A5033"/>
    <w:rsid w:val="4A1B48DF"/>
    <w:rsid w:val="4A1B668D"/>
    <w:rsid w:val="4A1C0855"/>
    <w:rsid w:val="4A1C16AC"/>
    <w:rsid w:val="4A1C1ABF"/>
    <w:rsid w:val="4A1C1F96"/>
    <w:rsid w:val="4A1C2405"/>
    <w:rsid w:val="4A1C41B3"/>
    <w:rsid w:val="4A1D1D8E"/>
    <w:rsid w:val="4A1D29C4"/>
    <w:rsid w:val="4A1D2A2A"/>
    <w:rsid w:val="4A1D47D9"/>
    <w:rsid w:val="4A1D54B5"/>
    <w:rsid w:val="4A1D7FCA"/>
    <w:rsid w:val="4A1E3175"/>
    <w:rsid w:val="4A1E617D"/>
    <w:rsid w:val="4A1F2091"/>
    <w:rsid w:val="4A201340"/>
    <w:rsid w:val="4A201EF6"/>
    <w:rsid w:val="4A205A52"/>
    <w:rsid w:val="4A206A16"/>
    <w:rsid w:val="4A206B42"/>
    <w:rsid w:val="4A2117CA"/>
    <w:rsid w:val="4A211AF6"/>
    <w:rsid w:val="4A212F9A"/>
    <w:rsid w:val="4A22215C"/>
    <w:rsid w:val="4A2246C7"/>
    <w:rsid w:val="4A2255B3"/>
    <w:rsid w:val="4A225C6E"/>
    <w:rsid w:val="4A227A1C"/>
    <w:rsid w:val="4A231EA8"/>
    <w:rsid w:val="4A232E2A"/>
    <w:rsid w:val="4A232E8A"/>
    <w:rsid w:val="4A23362D"/>
    <w:rsid w:val="4A233794"/>
    <w:rsid w:val="4A235542"/>
    <w:rsid w:val="4A235F41"/>
    <w:rsid w:val="4A23700F"/>
    <w:rsid w:val="4A240477"/>
    <w:rsid w:val="4A245AD9"/>
    <w:rsid w:val="4A246FE7"/>
    <w:rsid w:val="4A253068"/>
    <w:rsid w:val="4A25669C"/>
    <w:rsid w:val="4A25750C"/>
    <w:rsid w:val="4A2603F9"/>
    <w:rsid w:val="4A275968"/>
    <w:rsid w:val="4A280DAA"/>
    <w:rsid w:val="4A2819C9"/>
    <w:rsid w:val="4A281C81"/>
    <w:rsid w:val="4A282240"/>
    <w:rsid w:val="4A282B58"/>
    <w:rsid w:val="4A28573E"/>
    <w:rsid w:val="4A286FFC"/>
    <w:rsid w:val="4A292E59"/>
    <w:rsid w:val="4A296ECE"/>
    <w:rsid w:val="4A297E99"/>
    <w:rsid w:val="4A2A42E9"/>
    <w:rsid w:val="4A2A4B22"/>
    <w:rsid w:val="4A2A5995"/>
    <w:rsid w:val="4A2A5D9D"/>
    <w:rsid w:val="4A2A68D0"/>
    <w:rsid w:val="4A2B030E"/>
    <w:rsid w:val="4A2B32C6"/>
    <w:rsid w:val="4A2B3865"/>
    <w:rsid w:val="4A2B43F6"/>
    <w:rsid w:val="4A2B63F5"/>
    <w:rsid w:val="4A2B6EBA"/>
    <w:rsid w:val="4A2C034A"/>
    <w:rsid w:val="4A2C089A"/>
    <w:rsid w:val="4A2C2648"/>
    <w:rsid w:val="4A2C2C3E"/>
    <w:rsid w:val="4A2C791A"/>
    <w:rsid w:val="4A2D0BEC"/>
    <w:rsid w:val="4A2D17DA"/>
    <w:rsid w:val="4A2D63C1"/>
    <w:rsid w:val="4A2E0DC2"/>
    <w:rsid w:val="4A2E2C6A"/>
    <w:rsid w:val="4A2E5769"/>
    <w:rsid w:val="4A2E7BEA"/>
    <w:rsid w:val="4A2F023C"/>
    <w:rsid w:val="4A2F2139"/>
    <w:rsid w:val="4A2F368F"/>
    <w:rsid w:val="4A2F40FA"/>
    <w:rsid w:val="4A2F6CCB"/>
    <w:rsid w:val="4A30015B"/>
    <w:rsid w:val="4A301A0D"/>
    <w:rsid w:val="4A3069B1"/>
    <w:rsid w:val="4A307F8C"/>
    <w:rsid w:val="4A314103"/>
    <w:rsid w:val="4A315EB1"/>
    <w:rsid w:val="4A3161C0"/>
    <w:rsid w:val="4A32018D"/>
    <w:rsid w:val="4A32283C"/>
    <w:rsid w:val="4A325785"/>
    <w:rsid w:val="4A326368"/>
    <w:rsid w:val="4A33043B"/>
    <w:rsid w:val="4A33165E"/>
    <w:rsid w:val="4A331C29"/>
    <w:rsid w:val="4A3431F4"/>
    <w:rsid w:val="4A345071"/>
    <w:rsid w:val="4A3459A1"/>
    <w:rsid w:val="4A34774F"/>
    <w:rsid w:val="4A347F6C"/>
    <w:rsid w:val="4A350324"/>
    <w:rsid w:val="4A35299A"/>
    <w:rsid w:val="4A3571DA"/>
    <w:rsid w:val="4A361680"/>
    <w:rsid w:val="4A362557"/>
    <w:rsid w:val="4A362F02"/>
    <w:rsid w:val="4A3634C7"/>
    <w:rsid w:val="4A363FCD"/>
    <w:rsid w:val="4A3729E1"/>
    <w:rsid w:val="4A372D9B"/>
    <w:rsid w:val="4A3749B0"/>
    <w:rsid w:val="4A376E49"/>
    <w:rsid w:val="4A381B21"/>
    <w:rsid w:val="4A38682C"/>
    <w:rsid w:val="4A38723F"/>
    <w:rsid w:val="4A392FB7"/>
    <w:rsid w:val="4A394D65"/>
    <w:rsid w:val="4A396B13"/>
    <w:rsid w:val="4A3A1558"/>
    <w:rsid w:val="4A3A3DDE"/>
    <w:rsid w:val="4A3A62B3"/>
    <w:rsid w:val="4A3B0ADD"/>
    <w:rsid w:val="4A3B1213"/>
    <w:rsid w:val="4A3B288C"/>
    <w:rsid w:val="4A3B2BA3"/>
    <w:rsid w:val="4A3B3096"/>
    <w:rsid w:val="4A3C51B1"/>
    <w:rsid w:val="4A3C6604"/>
    <w:rsid w:val="4A3C7E3F"/>
    <w:rsid w:val="4A3D0385"/>
    <w:rsid w:val="4A3D12CF"/>
    <w:rsid w:val="4A3D33C2"/>
    <w:rsid w:val="4A3D4856"/>
    <w:rsid w:val="4A3D5334"/>
    <w:rsid w:val="4A3E05CE"/>
    <w:rsid w:val="4A3E237C"/>
    <w:rsid w:val="4A3E275F"/>
    <w:rsid w:val="4A3E412A"/>
    <w:rsid w:val="4A3E64D4"/>
    <w:rsid w:val="4A3F0AE8"/>
    <w:rsid w:val="4A3F255E"/>
    <w:rsid w:val="4A3F3886"/>
    <w:rsid w:val="4A3F55D1"/>
    <w:rsid w:val="4A400E5B"/>
    <w:rsid w:val="4A404346"/>
    <w:rsid w:val="4A407EA2"/>
    <w:rsid w:val="4A413C1A"/>
    <w:rsid w:val="4A415940"/>
    <w:rsid w:val="4A4200BE"/>
    <w:rsid w:val="4A421E6C"/>
    <w:rsid w:val="4A431740"/>
    <w:rsid w:val="4A433A00"/>
    <w:rsid w:val="4A433C50"/>
    <w:rsid w:val="4A435BE4"/>
    <w:rsid w:val="4A4365D1"/>
    <w:rsid w:val="4A436FAB"/>
    <w:rsid w:val="4A43796D"/>
    <w:rsid w:val="4A437992"/>
    <w:rsid w:val="4A4450E9"/>
    <w:rsid w:val="4A452170"/>
    <w:rsid w:val="4A4554B8"/>
    <w:rsid w:val="4A460EC0"/>
    <w:rsid w:val="4A4756D4"/>
    <w:rsid w:val="4A476649"/>
    <w:rsid w:val="4A477482"/>
    <w:rsid w:val="4A477DE3"/>
    <w:rsid w:val="4A4831FA"/>
    <w:rsid w:val="4A484F98"/>
    <w:rsid w:val="4A484FA8"/>
    <w:rsid w:val="4A485DEB"/>
    <w:rsid w:val="4A49144C"/>
    <w:rsid w:val="4A49202A"/>
    <w:rsid w:val="4A494606"/>
    <w:rsid w:val="4A497872"/>
    <w:rsid w:val="4A4A0D02"/>
    <w:rsid w:val="4A4A0D21"/>
    <w:rsid w:val="4A4A2ACF"/>
    <w:rsid w:val="4A4A3C07"/>
    <w:rsid w:val="4A4A3CE5"/>
    <w:rsid w:val="4A4A5813"/>
    <w:rsid w:val="4A4A67C9"/>
    <w:rsid w:val="4A4A6F73"/>
    <w:rsid w:val="4A4B4D63"/>
    <w:rsid w:val="4A4B6664"/>
    <w:rsid w:val="4A4C2CEB"/>
    <w:rsid w:val="4A4C6847"/>
    <w:rsid w:val="4A4C7934"/>
    <w:rsid w:val="4A4D0811"/>
    <w:rsid w:val="4A4D798D"/>
    <w:rsid w:val="4A4D7D35"/>
    <w:rsid w:val="4A4E1B4D"/>
    <w:rsid w:val="4A4E5E50"/>
    <w:rsid w:val="4A4E6A63"/>
    <w:rsid w:val="4A4F27DB"/>
    <w:rsid w:val="4A4F4589"/>
    <w:rsid w:val="4A5003DE"/>
    <w:rsid w:val="4A502F78"/>
    <w:rsid w:val="4A50392C"/>
    <w:rsid w:val="4A50404B"/>
    <w:rsid w:val="4A510301"/>
    <w:rsid w:val="4A5120AF"/>
    <w:rsid w:val="4A5127E7"/>
    <w:rsid w:val="4A514A62"/>
    <w:rsid w:val="4A522065"/>
    <w:rsid w:val="4A525E27"/>
    <w:rsid w:val="4A527BD5"/>
    <w:rsid w:val="4A5360C6"/>
    <w:rsid w:val="4A5361C2"/>
    <w:rsid w:val="4A5376B8"/>
    <w:rsid w:val="4A5406A0"/>
    <w:rsid w:val="4A54394D"/>
    <w:rsid w:val="4A546750"/>
    <w:rsid w:val="4A547DF1"/>
    <w:rsid w:val="4A555161"/>
    <w:rsid w:val="4A563B69"/>
    <w:rsid w:val="4A565917"/>
    <w:rsid w:val="4A5676C5"/>
    <w:rsid w:val="4A5751EC"/>
    <w:rsid w:val="4A575C2B"/>
    <w:rsid w:val="4A5816F0"/>
    <w:rsid w:val="4A58386A"/>
    <w:rsid w:val="4A5857D0"/>
    <w:rsid w:val="4A590BAD"/>
    <w:rsid w:val="4A5922DB"/>
    <w:rsid w:val="4A5971B6"/>
    <w:rsid w:val="4A5974BD"/>
    <w:rsid w:val="4A5A0DA2"/>
    <w:rsid w:val="4A5A3A15"/>
    <w:rsid w:val="4A5A6E35"/>
    <w:rsid w:val="4A5B0308"/>
    <w:rsid w:val="4A5B1180"/>
    <w:rsid w:val="4A5B4CDC"/>
    <w:rsid w:val="4A5B6485"/>
    <w:rsid w:val="4A5B714C"/>
    <w:rsid w:val="4A5C08B9"/>
    <w:rsid w:val="4A5C370E"/>
    <w:rsid w:val="4A5C5CE8"/>
    <w:rsid w:val="4A5D1534"/>
    <w:rsid w:val="4A5D4EF8"/>
    <w:rsid w:val="4A5D6347"/>
    <w:rsid w:val="4A5D766A"/>
    <w:rsid w:val="4A5E1268"/>
    <w:rsid w:val="4A5E2A1E"/>
    <w:rsid w:val="4A5E47CC"/>
    <w:rsid w:val="4A5E4AD1"/>
    <w:rsid w:val="4A5E657A"/>
    <w:rsid w:val="4A5F4669"/>
    <w:rsid w:val="4A5F69CD"/>
    <w:rsid w:val="4A6022F2"/>
    <w:rsid w:val="4A60348D"/>
    <w:rsid w:val="4A605AF9"/>
    <w:rsid w:val="4A606796"/>
    <w:rsid w:val="4A61285F"/>
    <w:rsid w:val="4A6128EE"/>
    <w:rsid w:val="4A613534"/>
    <w:rsid w:val="4A621B5A"/>
    <w:rsid w:val="4A621E0D"/>
    <w:rsid w:val="4A62250E"/>
    <w:rsid w:val="4A623EAE"/>
    <w:rsid w:val="4A6242ED"/>
    <w:rsid w:val="4A624335"/>
    <w:rsid w:val="4A6244A5"/>
    <w:rsid w:val="4A62465B"/>
    <w:rsid w:val="4A6257DA"/>
    <w:rsid w:val="4A630034"/>
    <w:rsid w:val="4A631216"/>
    <w:rsid w:val="4A632FEA"/>
    <w:rsid w:val="4A633B90"/>
    <w:rsid w:val="4A63691E"/>
    <w:rsid w:val="4A636FDB"/>
    <w:rsid w:val="4A64138E"/>
    <w:rsid w:val="4A650610"/>
    <w:rsid w:val="4A65243C"/>
    <w:rsid w:val="4A653DAC"/>
    <w:rsid w:val="4A653DE0"/>
    <w:rsid w:val="4A653DFE"/>
    <w:rsid w:val="4A6550FC"/>
    <w:rsid w:val="4A655B5A"/>
    <w:rsid w:val="4A656AA8"/>
    <w:rsid w:val="4A656EA3"/>
    <w:rsid w:val="4A661715"/>
    <w:rsid w:val="4A672A5C"/>
    <w:rsid w:val="4A672DFB"/>
    <w:rsid w:val="4A673681"/>
    <w:rsid w:val="4A680F75"/>
    <w:rsid w:val="4A686E5C"/>
    <w:rsid w:val="4A6873F9"/>
    <w:rsid w:val="4A687CF9"/>
    <w:rsid w:val="4A69389D"/>
    <w:rsid w:val="4A693949"/>
    <w:rsid w:val="4A697967"/>
    <w:rsid w:val="4A6A177C"/>
    <w:rsid w:val="4A6A3171"/>
    <w:rsid w:val="4A6A5651"/>
    <w:rsid w:val="4A6B2B7B"/>
    <w:rsid w:val="4A6B31CD"/>
    <w:rsid w:val="4A6B79F7"/>
    <w:rsid w:val="4A6C05DA"/>
    <w:rsid w:val="4A6C0C97"/>
    <w:rsid w:val="4A6C1D7D"/>
    <w:rsid w:val="4A6C5088"/>
    <w:rsid w:val="4A6C6EE9"/>
    <w:rsid w:val="4A6D183E"/>
    <w:rsid w:val="4A6D4A0F"/>
    <w:rsid w:val="4A6D7B2D"/>
    <w:rsid w:val="4A6E2C61"/>
    <w:rsid w:val="4A6E2CCE"/>
    <w:rsid w:val="4A6E33DF"/>
    <w:rsid w:val="4A6E37A2"/>
    <w:rsid w:val="4A6F2535"/>
    <w:rsid w:val="4A6F502D"/>
    <w:rsid w:val="4A6F69D9"/>
    <w:rsid w:val="4A705F99"/>
    <w:rsid w:val="4A7144FF"/>
    <w:rsid w:val="4A71452B"/>
    <w:rsid w:val="4A715D6F"/>
    <w:rsid w:val="4A72164F"/>
    <w:rsid w:val="4A722025"/>
    <w:rsid w:val="4A725227"/>
    <w:rsid w:val="4A730277"/>
    <w:rsid w:val="4A732ADF"/>
    <w:rsid w:val="4A7346B1"/>
    <w:rsid w:val="4A742D7F"/>
    <w:rsid w:val="4A743FEF"/>
    <w:rsid w:val="4A745975"/>
    <w:rsid w:val="4A745D9D"/>
    <w:rsid w:val="4A7553B8"/>
    <w:rsid w:val="4A755582"/>
    <w:rsid w:val="4A76083B"/>
    <w:rsid w:val="4A761C01"/>
    <w:rsid w:val="4A765636"/>
    <w:rsid w:val="4A767D68"/>
    <w:rsid w:val="4A775369"/>
    <w:rsid w:val="4A7754C1"/>
    <w:rsid w:val="4A77763C"/>
    <w:rsid w:val="4A783AE0"/>
    <w:rsid w:val="4A783D80"/>
    <w:rsid w:val="4A783F78"/>
    <w:rsid w:val="4A79080E"/>
    <w:rsid w:val="4A791460"/>
    <w:rsid w:val="4A791606"/>
    <w:rsid w:val="4A797DE0"/>
    <w:rsid w:val="4A7A262F"/>
    <w:rsid w:val="4A7A3FB4"/>
    <w:rsid w:val="4A7A6D67"/>
    <w:rsid w:val="4A7A7858"/>
    <w:rsid w:val="4A7B35D0"/>
    <w:rsid w:val="4A7B576F"/>
    <w:rsid w:val="4A7C10E1"/>
    <w:rsid w:val="4A7C638B"/>
    <w:rsid w:val="4A7D066F"/>
    <w:rsid w:val="4A7D2EA4"/>
    <w:rsid w:val="4A7D4C52"/>
    <w:rsid w:val="4A7D5EFD"/>
    <w:rsid w:val="4A7E09CA"/>
    <w:rsid w:val="4A7E6222"/>
    <w:rsid w:val="4A7E7BF1"/>
    <w:rsid w:val="4A7F0564"/>
    <w:rsid w:val="4A7F1081"/>
    <w:rsid w:val="4A7F4E6E"/>
    <w:rsid w:val="4A7F5C8E"/>
    <w:rsid w:val="4A7F5F45"/>
    <w:rsid w:val="4A7F6689"/>
    <w:rsid w:val="4A800BE6"/>
    <w:rsid w:val="4A801388"/>
    <w:rsid w:val="4A802994"/>
    <w:rsid w:val="4A8029B6"/>
    <w:rsid w:val="4A804742"/>
    <w:rsid w:val="4A807F11"/>
    <w:rsid w:val="4A811448"/>
    <w:rsid w:val="4A817A4D"/>
    <w:rsid w:val="4A821E5D"/>
    <w:rsid w:val="4A823B2D"/>
    <w:rsid w:val="4A82495E"/>
    <w:rsid w:val="4A826E97"/>
    <w:rsid w:val="4A834233"/>
    <w:rsid w:val="4A835FE1"/>
    <w:rsid w:val="4A83777B"/>
    <w:rsid w:val="4A842484"/>
    <w:rsid w:val="4A842D0B"/>
    <w:rsid w:val="4A851D59"/>
    <w:rsid w:val="4A856383"/>
    <w:rsid w:val="4A857AC4"/>
    <w:rsid w:val="4A862B3E"/>
    <w:rsid w:val="4A871C5E"/>
    <w:rsid w:val="4A871F75"/>
    <w:rsid w:val="4A8811E9"/>
    <w:rsid w:val="4A8835F7"/>
    <w:rsid w:val="4A883874"/>
    <w:rsid w:val="4A885446"/>
    <w:rsid w:val="4A886551"/>
    <w:rsid w:val="4A886DB3"/>
    <w:rsid w:val="4A891BA0"/>
    <w:rsid w:val="4A892F7B"/>
    <w:rsid w:val="4A895CED"/>
    <w:rsid w:val="4A897A9B"/>
    <w:rsid w:val="4A8A736F"/>
    <w:rsid w:val="4A8B2D8A"/>
    <w:rsid w:val="4A8B461F"/>
    <w:rsid w:val="4A8B7794"/>
    <w:rsid w:val="4A8C091B"/>
    <w:rsid w:val="4A8C15F4"/>
    <w:rsid w:val="4A8C30E7"/>
    <w:rsid w:val="4A8C3685"/>
    <w:rsid w:val="4A8C46F5"/>
    <w:rsid w:val="4A8C54CE"/>
    <w:rsid w:val="4A8C74C8"/>
    <w:rsid w:val="4A8C758B"/>
    <w:rsid w:val="4A8D3982"/>
    <w:rsid w:val="4A8D4454"/>
    <w:rsid w:val="4A8D6AB1"/>
    <w:rsid w:val="4A8D763B"/>
    <w:rsid w:val="4A8E0B76"/>
    <w:rsid w:val="4A8E50B1"/>
    <w:rsid w:val="4A8F0E29"/>
    <w:rsid w:val="4A8F144F"/>
    <w:rsid w:val="4A8F2006"/>
    <w:rsid w:val="4A8F2BD7"/>
    <w:rsid w:val="4A8F4B67"/>
    <w:rsid w:val="4A90145A"/>
    <w:rsid w:val="4A9061E0"/>
    <w:rsid w:val="4A910A80"/>
    <w:rsid w:val="4A9122CB"/>
    <w:rsid w:val="4A912CE0"/>
    <w:rsid w:val="4A9138D3"/>
    <w:rsid w:val="4A914BA1"/>
    <w:rsid w:val="4A916067"/>
    <w:rsid w:val="4A91694F"/>
    <w:rsid w:val="4A921B45"/>
    <w:rsid w:val="4A924743"/>
    <w:rsid w:val="4A926343"/>
    <w:rsid w:val="4A9274F7"/>
    <w:rsid w:val="4A930987"/>
    <w:rsid w:val="4A931643"/>
    <w:rsid w:val="4A9326C8"/>
    <w:rsid w:val="4A93465E"/>
    <w:rsid w:val="4A934E8E"/>
    <w:rsid w:val="4A93645E"/>
    <w:rsid w:val="4A9425A1"/>
    <w:rsid w:val="4A942E74"/>
    <w:rsid w:val="4A942E83"/>
    <w:rsid w:val="4A944BFE"/>
    <w:rsid w:val="4A952A9D"/>
    <w:rsid w:val="4A955E78"/>
    <w:rsid w:val="4A961A3C"/>
    <w:rsid w:val="4A9621B8"/>
    <w:rsid w:val="4A965D14"/>
    <w:rsid w:val="4A966022"/>
    <w:rsid w:val="4A967308"/>
    <w:rsid w:val="4A971ED9"/>
    <w:rsid w:val="4A985F30"/>
    <w:rsid w:val="4A986173"/>
    <w:rsid w:val="4A987777"/>
    <w:rsid w:val="4A987CDE"/>
    <w:rsid w:val="4A993D9E"/>
    <w:rsid w:val="4A9A1030"/>
    <w:rsid w:val="4A9A1CA8"/>
    <w:rsid w:val="4A9A7119"/>
    <w:rsid w:val="4A9A7D35"/>
    <w:rsid w:val="4A9B157C"/>
    <w:rsid w:val="4A9B5A20"/>
    <w:rsid w:val="4A9D2C6A"/>
    <w:rsid w:val="4A9D3546"/>
    <w:rsid w:val="4A9D5D4B"/>
    <w:rsid w:val="4A9D70A2"/>
    <w:rsid w:val="4A9E1F83"/>
    <w:rsid w:val="4A9E25F6"/>
    <w:rsid w:val="4A9E2D7F"/>
    <w:rsid w:val="4A9E2E1A"/>
    <w:rsid w:val="4A9E5A9A"/>
    <w:rsid w:val="4A9E67FA"/>
    <w:rsid w:val="4A9F106C"/>
    <w:rsid w:val="4A9F1AFB"/>
    <w:rsid w:val="4A9F72BE"/>
    <w:rsid w:val="4AA04DE4"/>
    <w:rsid w:val="4AA06B93"/>
    <w:rsid w:val="4AA13AD4"/>
    <w:rsid w:val="4AA2018C"/>
    <w:rsid w:val="4AA2290B"/>
    <w:rsid w:val="4AA234F0"/>
    <w:rsid w:val="4AA23D74"/>
    <w:rsid w:val="4AA2459F"/>
    <w:rsid w:val="4AA246B9"/>
    <w:rsid w:val="4AA25BA7"/>
    <w:rsid w:val="4AA303D3"/>
    <w:rsid w:val="4AA3304D"/>
    <w:rsid w:val="4AA4190C"/>
    <w:rsid w:val="4AA448D5"/>
    <w:rsid w:val="4AA45E7D"/>
    <w:rsid w:val="4AA46683"/>
    <w:rsid w:val="4AA5064D"/>
    <w:rsid w:val="4AA541A9"/>
    <w:rsid w:val="4AA66BD5"/>
    <w:rsid w:val="4AA7384C"/>
    <w:rsid w:val="4AA7504D"/>
    <w:rsid w:val="4AA76173"/>
    <w:rsid w:val="4AA80814"/>
    <w:rsid w:val="4AA8652C"/>
    <w:rsid w:val="4AA91EEB"/>
    <w:rsid w:val="4AA93C99"/>
    <w:rsid w:val="4AA95C51"/>
    <w:rsid w:val="4AA9720C"/>
    <w:rsid w:val="4AAA0B3D"/>
    <w:rsid w:val="4AAA2FAB"/>
    <w:rsid w:val="4AAA5627"/>
    <w:rsid w:val="4AAA5C63"/>
    <w:rsid w:val="4AAA5D52"/>
    <w:rsid w:val="4AAA7A11"/>
    <w:rsid w:val="4AAB0F81"/>
    <w:rsid w:val="4AAB146D"/>
    <w:rsid w:val="4AAB2D94"/>
    <w:rsid w:val="4AAC19DB"/>
    <w:rsid w:val="4AAC3789"/>
    <w:rsid w:val="4AAC3C5B"/>
    <w:rsid w:val="4AAC5537"/>
    <w:rsid w:val="4AAD305D"/>
    <w:rsid w:val="4AAD40FF"/>
    <w:rsid w:val="4AAD41A4"/>
    <w:rsid w:val="4AAE0160"/>
    <w:rsid w:val="4AAE0FE3"/>
    <w:rsid w:val="4AAE12AF"/>
    <w:rsid w:val="4AAE5753"/>
    <w:rsid w:val="4AAE7501"/>
    <w:rsid w:val="4AAF1742"/>
    <w:rsid w:val="4AAF2E68"/>
    <w:rsid w:val="4AAF6DD6"/>
    <w:rsid w:val="4AAF7382"/>
    <w:rsid w:val="4AAF7B51"/>
    <w:rsid w:val="4AAF7F32"/>
    <w:rsid w:val="4AB03279"/>
    <w:rsid w:val="4AB033A5"/>
    <w:rsid w:val="4AB07EAF"/>
    <w:rsid w:val="4AB10DA0"/>
    <w:rsid w:val="4AB12B4E"/>
    <w:rsid w:val="4AB12FBE"/>
    <w:rsid w:val="4AB14E40"/>
    <w:rsid w:val="4AB16D17"/>
    <w:rsid w:val="4AB20F2B"/>
    <w:rsid w:val="4AB21473"/>
    <w:rsid w:val="4AB224B1"/>
    <w:rsid w:val="4AB253A0"/>
    <w:rsid w:val="4AB272BA"/>
    <w:rsid w:val="4AB307FF"/>
    <w:rsid w:val="4AB3299E"/>
    <w:rsid w:val="4AB32D6A"/>
    <w:rsid w:val="4AB341A3"/>
    <w:rsid w:val="4AB34B18"/>
    <w:rsid w:val="4AB37F71"/>
    <w:rsid w:val="4AB42891"/>
    <w:rsid w:val="4AB50890"/>
    <w:rsid w:val="4AB53D21"/>
    <w:rsid w:val="4AB56AE2"/>
    <w:rsid w:val="4AB651B1"/>
    <w:rsid w:val="4AB6597F"/>
    <w:rsid w:val="4AB662CE"/>
    <w:rsid w:val="4AB663B6"/>
    <w:rsid w:val="4AB67DF8"/>
    <w:rsid w:val="4AB73604"/>
    <w:rsid w:val="4AB7467F"/>
    <w:rsid w:val="4AB746EB"/>
    <w:rsid w:val="4AB77D82"/>
    <w:rsid w:val="4AB80380"/>
    <w:rsid w:val="4AB820E1"/>
    <w:rsid w:val="4AB8212E"/>
    <w:rsid w:val="4AB83510"/>
    <w:rsid w:val="4AB83DE3"/>
    <w:rsid w:val="4AB83EDC"/>
    <w:rsid w:val="4AB84CE2"/>
    <w:rsid w:val="4AB861A7"/>
    <w:rsid w:val="4AB903AB"/>
    <w:rsid w:val="4AB93457"/>
    <w:rsid w:val="4AB94C1E"/>
    <w:rsid w:val="4AB973E7"/>
    <w:rsid w:val="4AB97C24"/>
    <w:rsid w:val="4ABA28A7"/>
    <w:rsid w:val="4ABA3AAD"/>
    <w:rsid w:val="4ABA3B32"/>
    <w:rsid w:val="4ABA4045"/>
    <w:rsid w:val="4ABA40F8"/>
    <w:rsid w:val="4ABA5EA6"/>
    <w:rsid w:val="4ABB39CC"/>
    <w:rsid w:val="4ABB577A"/>
    <w:rsid w:val="4ABC2D18"/>
    <w:rsid w:val="4ABC70AC"/>
    <w:rsid w:val="4ABD03D6"/>
    <w:rsid w:val="4ABD14F2"/>
    <w:rsid w:val="4ABD24B3"/>
    <w:rsid w:val="4ABD2B34"/>
    <w:rsid w:val="4ABE526B"/>
    <w:rsid w:val="4ABF34BD"/>
    <w:rsid w:val="4ABF6514"/>
    <w:rsid w:val="4AC00E34"/>
    <w:rsid w:val="4AC00FE3"/>
    <w:rsid w:val="4AC03C7C"/>
    <w:rsid w:val="4AC05487"/>
    <w:rsid w:val="4AC057DB"/>
    <w:rsid w:val="4AC07235"/>
    <w:rsid w:val="4AC13A05"/>
    <w:rsid w:val="4AC13F56"/>
    <w:rsid w:val="4AC15A9F"/>
    <w:rsid w:val="4AC15E63"/>
    <w:rsid w:val="4AC21ED8"/>
    <w:rsid w:val="4AC22FAD"/>
    <w:rsid w:val="4AC26B09"/>
    <w:rsid w:val="4AC300C6"/>
    <w:rsid w:val="4AC36325"/>
    <w:rsid w:val="4AC37A66"/>
    <w:rsid w:val="4AC40AD3"/>
    <w:rsid w:val="4AC42386"/>
    <w:rsid w:val="4AC42881"/>
    <w:rsid w:val="4AC42B02"/>
    <w:rsid w:val="4AC46D25"/>
    <w:rsid w:val="4AC53816"/>
    <w:rsid w:val="4AC53904"/>
    <w:rsid w:val="4AC53DBC"/>
    <w:rsid w:val="4AC62A9D"/>
    <w:rsid w:val="4AC65870"/>
    <w:rsid w:val="4AC67B6F"/>
    <w:rsid w:val="4AC705C3"/>
    <w:rsid w:val="4AC72371"/>
    <w:rsid w:val="4AC72B1A"/>
    <w:rsid w:val="4AC7359A"/>
    <w:rsid w:val="4AC7411F"/>
    <w:rsid w:val="4AC77877"/>
    <w:rsid w:val="4AC80D07"/>
    <w:rsid w:val="4AC846A6"/>
    <w:rsid w:val="4AC92197"/>
    <w:rsid w:val="4AC9433B"/>
    <w:rsid w:val="4AC960E9"/>
    <w:rsid w:val="4AC9666C"/>
    <w:rsid w:val="4ACA2D9D"/>
    <w:rsid w:val="4ACA7228"/>
    <w:rsid w:val="4ACA769A"/>
    <w:rsid w:val="4ACB190A"/>
    <w:rsid w:val="4ACC59BF"/>
    <w:rsid w:val="4ACC5A9E"/>
    <w:rsid w:val="4ACC654B"/>
    <w:rsid w:val="4ACC6B34"/>
    <w:rsid w:val="4ACC7988"/>
    <w:rsid w:val="4ACD2569"/>
    <w:rsid w:val="4ACD370E"/>
    <w:rsid w:val="4ACE1952"/>
    <w:rsid w:val="4ACE1D64"/>
    <w:rsid w:val="4ACE4B79"/>
    <w:rsid w:val="4ACF1226"/>
    <w:rsid w:val="4ACF6FC9"/>
    <w:rsid w:val="4ACF739E"/>
    <w:rsid w:val="4ACF7478"/>
    <w:rsid w:val="4AD040BF"/>
    <w:rsid w:val="4AD11442"/>
    <w:rsid w:val="4AD14F9E"/>
    <w:rsid w:val="4AD351BA"/>
    <w:rsid w:val="4AD35E1A"/>
    <w:rsid w:val="4AD36F68"/>
    <w:rsid w:val="4AD4683C"/>
    <w:rsid w:val="4AD472AA"/>
    <w:rsid w:val="4AD52CE0"/>
    <w:rsid w:val="4AD54A8E"/>
    <w:rsid w:val="4AD5594C"/>
    <w:rsid w:val="4AD578A7"/>
    <w:rsid w:val="4AD64DDE"/>
    <w:rsid w:val="4AD66A58"/>
    <w:rsid w:val="4AD77089"/>
    <w:rsid w:val="4AD827D0"/>
    <w:rsid w:val="4AD84FD2"/>
    <w:rsid w:val="4AD8632C"/>
    <w:rsid w:val="4AD87052"/>
    <w:rsid w:val="4AD907E7"/>
    <w:rsid w:val="4AD9315C"/>
    <w:rsid w:val="4AD95B82"/>
    <w:rsid w:val="4AD978E9"/>
    <w:rsid w:val="4ADA311C"/>
    <w:rsid w:val="4ADA6548"/>
    <w:rsid w:val="4ADB50F4"/>
    <w:rsid w:val="4ADB5E1D"/>
    <w:rsid w:val="4ADB5F83"/>
    <w:rsid w:val="4ADB7BCB"/>
    <w:rsid w:val="4ADC4775"/>
    <w:rsid w:val="4ADD1A9D"/>
    <w:rsid w:val="4ADD1B95"/>
    <w:rsid w:val="4ADD3943"/>
    <w:rsid w:val="4ADD6D8E"/>
    <w:rsid w:val="4ADD7792"/>
    <w:rsid w:val="4ADE114A"/>
    <w:rsid w:val="4ADE31AF"/>
    <w:rsid w:val="4ADE5AFE"/>
    <w:rsid w:val="4ADE77E5"/>
    <w:rsid w:val="4ADF0C4E"/>
    <w:rsid w:val="4ADF2EB9"/>
    <w:rsid w:val="4ADF43BD"/>
    <w:rsid w:val="4ADF4649"/>
    <w:rsid w:val="4ADF5C77"/>
    <w:rsid w:val="4ADF6F8E"/>
    <w:rsid w:val="4ADF76BB"/>
    <w:rsid w:val="4ADF7F73"/>
    <w:rsid w:val="4AE0041E"/>
    <w:rsid w:val="4AE01685"/>
    <w:rsid w:val="4AE01DD6"/>
    <w:rsid w:val="4AE02C96"/>
    <w:rsid w:val="4AE05B16"/>
    <w:rsid w:val="4AE05FA8"/>
    <w:rsid w:val="4AE10FB0"/>
    <w:rsid w:val="4AE16CDF"/>
    <w:rsid w:val="4AE20F59"/>
    <w:rsid w:val="4AE253FD"/>
    <w:rsid w:val="4AE327DE"/>
    <w:rsid w:val="4AE3610B"/>
    <w:rsid w:val="4AE42B1C"/>
    <w:rsid w:val="4AE439BE"/>
    <w:rsid w:val="4AE441AD"/>
    <w:rsid w:val="4AE447B6"/>
    <w:rsid w:val="4AE50A49"/>
    <w:rsid w:val="4AE52AA6"/>
    <w:rsid w:val="4AE53522"/>
    <w:rsid w:val="4AE616BF"/>
    <w:rsid w:val="4AE63A88"/>
    <w:rsid w:val="4AE7656F"/>
    <w:rsid w:val="4AE802F1"/>
    <w:rsid w:val="4AE86B80"/>
    <w:rsid w:val="4AE91781"/>
    <w:rsid w:val="4AE922E8"/>
    <w:rsid w:val="4AE93A6A"/>
    <w:rsid w:val="4AE946FD"/>
    <w:rsid w:val="4AE9500F"/>
    <w:rsid w:val="4AE9678B"/>
    <w:rsid w:val="4AEA40A1"/>
    <w:rsid w:val="4AEA6060"/>
    <w:rsid w:val="4AEA7280"/>
    <w:rsid w:val="4AEB2504"/>
    <w:rsid w:val="4AEC002A"/>
    <w:rsid w:val="4AEC627C"/>
    <w:rsid w:val="4AED1592"/>
    <w:rsid w:val="4AEE3F4C"/>
    <w:rsid w:val="4AEE4A0B"/>
    <w:rsid w:val="4AEE5C96"/>
    <w:rsid w:val="4AEF3676"/>
    <w:rsid w:val="4AEF6A83"/>
    <w:rsid w:val="4AF018C8"/>
    <w:rsid w:val="4AF03E46"/>
    <w:rsid w:val="4AF05D4A"/>
    <w:rsid w:val="4AF07B1A"/>
    <w:rsid w:val="4AF07F13"/>
    <w:rsid w:val="4AF13892"/>
    <w:rsid w:val="4AF13957"/>
    <w:rsid w:val="4AF15640"/>
    <w:rsid w:val="4AF173EE"/>
    <w:rsid w:val="4AF20133"/>
    <w:rsid w:val="4AF23F74"/>
    <w:rsid w:val="4AF313B8"/>
    <w:rsid w:val="4AF33166"/>
    <w:rsid w:val="4AF33D06"/>
    <w:rsid w:val="4AF34F14"/>
    <w:rsid w:val="4AF37275"/>
    <w:rsid w:val="4AF37B33"/>
    <w:rsid w:val="4AF4055F"/>
    <w:rsid w:val="4AF408B8"/>
    <w:rsid w:val="4AF42F8E"/>
    <w:rsid w:val="4AF44F6F"/>
    <w:rsid w:val="4AF511B4"/>
    <w:rsid w:val="4AF5244C"/>
    <w:rsid w:val="4AF53014"/>
    <w:rsid w:val="4AF55130"/>
    <w:rsid w:val="4AF561A9"/>
    <w:rsid w:val="4AF56EDE"/>
    <w:rsid w:val="4AF57209"/>
    <w:rsid w:val="4AF57D24"/>
    <w:rsid w:val="4AF60EA8"/>
    <w:rsid w:val="4AF62C56"/>
    <w:rsid w:val="4AF63D85"/>
    <w:rsid w:val="4AF64A04"/>
    <w:rsid w:val="4AF8077D"/>
    <w:rsid w:val="4AF869CF"/>
    <w:rsid w:val="4AF92706"/>
    <w:rsid w:val="4AF971FF"/>
    <w:rsid w:val="4AFA21CE"/>
    <w:rsid w:val="4AFA2747"/>
    <w:rsid w:val="4AFA62A3"/>
    <w:rsid w:val="4AFA6AD9"/>
    <w:rsid w:val="4AFB026D"/>
    <w:rsid w:val="4AFB1021"/>
    <w:rsid w:val="4AFB1CF7"/>
    <w:rsid w:val="4AFC379A"/>
    <w:rsid w:val="4AFC64BF"/>
    <w:rsid w:val="4AFD2237"/>
    <w:rsid w:val="4AFD46C8"/>
    <w:rsid w:val="4AFE43FA"/>
    <w:rsid w:val="4AFE7550"/>
    <w:rsid w:val="4AFF39A7"/>
    <w:rsid w:val="4AFF47E8"/>
    <w:rsid w:val="4AFF5FAF"/>
    <w:rsid w:val="4AFF6A8B"/>
    <w:rsid w:val="4AFF7D5D"/>
    <w:rsid w:val="4B001672"/>
    <w:rsid w:val="4B0062C7"/>
    <w:rsid w:val="4B007631"/>
    <w:rsid w:val="4B00782E"/>
    <w:rsid w:val="4B013AD5"/>
    <w:rsid w:val="4B015D61"/>
    <w:rsid w:val="4B01788B"/>
    <w:rsid w:val="4B022328"/>
    <w:rsid w:val="4B0233A9"/>
    <w:rsid w:val="4B0233B1"/>
    <w:rsid w:val="4B025A8C"/>
    <w:rsid w:val="4B025F5D"/>
    <w:rsid w:val="4B026592"/>
    <w:rsid w:val="4B026AB5"/>
    <w:rsid w:val="4B0322FB"/>
    <w:rsid w:val="4B0323C8"/>
    <w:rsid w:val="4B033A83"/>
    <w:rsid w:val="4B03457A"/>
    <w:rsid w:val="4B0347A3"/>
    <w:rsid w:val="4B034EF9"/>
    <w:rsid w:val="4B041A6F"/>
    <w:rsid w:val="4B0435C5"/>
    <w:rsid w:val="4B045373"/>
    <w:rsid w:val="4B046E84"/>
    <w:rsid w:val="4B047819"/>
    <w:rsid w:val="4B052E99"/>
    <w:rsid w:val="4B053BA1"/>
    <w:rsid w:val="4B054C48"/>
    <w:rsid w:val="4B0610EB"/>
    <w:rsid w:val="4B063DFE"/>
    <w:rsid w:val="4B0709C0"/>
    <w:rsid w:val="4B070DBE"/>
    <w:rsid w:val="4B074E64"/>
    <w:rsid w:val="4B076C12"/>
    <w:rsid w:val="4B084110"/>
    <w:rsid w:val="4B0844CE"/>
    <w:rsid w:val="4B090BDC"/>
    <w:rsid w:val="4B09298A"/>
    <w:rsid w:val="4B094738"/>
    <w:rsid w:val="4B0A0ABA"/>
    <w:rsid w:val="4B0A12D3"/>
    <w:rsid w:val="4B0A368B"/>
    <w:rsid w:val="4B0A42CA"/>
    <w:rsid w:val="4B0A4FD7"/>
    <w:rsid w:val="4B0A55CE"/>
    <w:rsid w:val="4B0A717A"/>
    <w:rsid w:val="4B0A7321"/>
    <w:rsid w:val="4B0B1A88"/>
    <w:rsid w:val="4B0B3AEE"/>
    <w:rsid w:val="4B0B5621"/>
    <w:rsid w:val="4B0C0623"/>
    <w:rsid w:val="4B0C247A"/>
    <w:rsid w:val="4B0C5AA2"/>
    <w:rsid w:val="4B0C5FAB"/>
    <w:rsid w:val="4B0C5FD6"/>
    <w:rsid w:val="4B0D06CC"/>
    <w:rsid w:val="4B0D2AAF"/>
    <w:rsid w:val="4B0D30A6"/>
    <w:rsid w:val="4B0D71E2"/>
    <w:rsid w:val="4B0E1D4E"/>
    <w:rsid w:val="4B0E369D"/>
    <w:rsid w:val="4B0E571D"/>
    <w:rsid w:val="4B0E5D36"/>
    <w:rsid w:val="4B0E61F2"/>
    <w:rsid w:val="4B0F02D7"/>
    <w:rsid w:val="4B0F6794"/>
    <w:rsid w:val="4B101F6A"/>
    <w:rsid w:val="4B103D18"/>
    <w:rsid w:val="4B105AC6"/>
    <w:rsid w:val="4B11183E"/>
    <w:rsid w:val="4B114024"/>
    <w:rsid w:val="4B116CFB"/>
    <w:rsid w:val="4B11724C"/>
    <w:rsid w:val="4B121E1D"/>
    <w:rsid w:val="4B125CE2"/>
    <w:rsid w:val="4B130258"/>
    <w:rsid w:val="4B1332AD"/>
    <w:rsid w:val="4B133808"/>
    <w:rsid w:val="4B1355B6"/>
    <w:rsid w:val="4B135E7E"/>
    <w:rsid w:val="4B137364"/>
    <w:rsid w:val="4B14473D"/>
    <w:rsid w:val="4B146C4C"/>
    <w:rsid w:val="4B14730E"/>
    <w:rsid w:val="4B1530DD"/>
    <w:rsid w:val="4B15353E"/>
    <w:rsid w:val="4B1559B7"/>
    <w:rsid w:val="4B157262"/>
    <w:rsid w:val="4B15783A"/>
    <w:rsid w:val="4B161C2E"/>
    <w:rsid w:val="4B1650A7"/>
    <w:rsid w:val="4B166E55"/>
    <w:rsid w:val="4B16705D"/>
    <w:rsid w:val="4B1730BE"/>
    <w:rsid w:val="4B18454E"/>
    <w:rsid w:val="4B1930E4"/>
    <w:rsid w:val="4B1A4B97"/>
    <w:rsid w:val="4B1A6945"/>
    <w:rsid w:val="4B1A7813"/>
    <w:rsid w:val="4B1B26BD"/>
    <w:rsid w:val="4B1B40A8"/>
    <w:rsid w:val="4B1B446B"/>
    <w:rsid w:val="4B1B4DBC"/>
    <w:rsid w:val="4B1B6E18"/>
    <w:rsid w:val="4B1C03B8"/>
    <w:rsid w:val="4B1C4686"/>
    <w:rsid w:val="4B1C49B4"/>
    <w:rsid w:val="4B1C75E5"/>
    <w:rsid w:val="4B1C7A0A"/>
    <w:rsid w:val="4B1D01E3"/>
    <w:rsid w:val="4B1D4687"/>
    <w:rsid w:val="4B1D6435"/>
    <w:rsid w:val="4B1D6F30"/>
    <w:rsid w:val="4B1E03C0"/>
    <w:rsid w:val="4B1F03FF"/>
    <w:rsid w:val="4B1F1E4C"/>
    <w:rsid w:val="4B1F21AD"/>
    <w:rsid w:val="4B1F2F07"/>
    <w:rsid w:val="4B20558B"/>
    <w:rsid w:val="4B207D0D"/>
    <w:rsid w:val="4B210482"/>
    <w:rsid w:val="4B2108F3"/>
    <w:rsid w:val="4B21330F"/>
    <w:rsid w:val="4B215F25"/>
    <w:rsid w:val="4B215FFD"/>
    <w:rsid w:val="4B217CD3"/>
    <w:rsid w:val="4B221E63"/>
    <w:rsid w:val="4B223A4B"/>
    <w:rsid w:val="4B2257F9"/>
    <w:rsid w:val="4B225CF9"/>
    <w:rsid w:val="4B232B7B"/>
    <w:rsid w:val="4B240FB3"/>
    <w:rsid w:val="4B241531"/>
    <w:rsid w:val="4B241572"/>
    <w:rsid w:val="4B241C17"/>
    <w:rsid w:val="4B244232"/>
    <w:rsid w:val="4B245A16"/>
    <w:rsid w:val="4B245E00"/>
    <w:rsid w:val="4B2477C4"/>
    <w:rsid w:val="4B254A2A"/>
    <w:rsid w:val="4B257098"/>
    <w:rsid w:val="4B2579D9"/>
    <w:rsid w:val="4B2652EA"/>
    <w:rsid w:val="4B271062"/>
    <w:rsid w:val="4B27353A"/>
    <w:rsid w:val="4B273F89"/>
    <w:rsid w:val="4B275459"/>
    <w:rsid w:val="4B2772B4"/>
    <w:rsid w:val="4B277FE2"/>
    <w:rsid w:val="4B283AF2"/>
    <w:rsid w:val="4B284BDC"/>
    <w:rsid w:val="4B285784"/>
    <w:rsid w:val="4B29014C"/>
    <w:rsid w:val="4B29302C"/>
    <w:rsid w:val="4B294DDA"/>
    <w:rsid w:val="4B295727"/>
    <w:rsid w:val="4B296B88"/>
    <w:rsid w:val="4B2A09A7"/>
    <w:rsid w:val="4B2A405F"/>
    <w:rsid w:val="4B2B0B52"/>
    <w:rsid w:val="4B2B2900"/>
    <w:rsid w:val="4B2B29C4"/>
    <w:rsid w:val="4B2B6DA4"/>
    <w:rsid w:val="4B2B77A3"/>
    <w:rsid w:val="4B2C0426"/>
    <w:rsid w:val="4B2C0BC9"/>
    <w:rsid w:val="4B2C447B"/>
    <w:rsid w:val="4B2C5595"/>
    <w:rsid w:val="4B2C5D7D"/>
    <w:rsid w:val="4B2C6678"/>
    <w:rsid w:val="4B2D0336"/>
    <w:rsid w:val="4B2D52E4"/>
    <w:rsid w:val="4B2E0642"/>
    <w:rsid w:val="4B2E07CF"/>
    <w:rsid w:val="4B2E5353"/>
    <w:rsid w:val="4B2F3F16"/>
    <w:rsid w:val="4B30028E"/>
    <w:rsid w:val="4B3043BA"/>
    <w:rsid w:val="4B307F16"/>
    <w:rsid w:val="4B313C65"/>
    <w:rsid w:val="4B313C8F"/>
    <w:rsid w:val="4B315A3D"/>
    <w:rsid w:val="4B320132"/>
    <w:rsid w:val="4B321EE0"/>
    <w:rsid w:val="4B322A64"/>
    <w:rsid w:val="4B340CF1"/>
    <w:rsid w:val="4B3425E6"/>
    <w:rsid w:val="4B344504"/>
    <w:rsid w:val="4B3469D9"/>
    <w:rsid w:val="4B352633"/>
    <w:rsid w:val="4B354F31"/>
    <w:rsid w:val="4B35552D"/>
    <w:rsid w:val="4B361218"/>
    <w:rsid w:val="4B36139E"/>
    <w:rsid w:val="4B363221"/>
    <w:rsid w:val="4B364751"/>
    <w:rsid w:val="4B375749"/>
    <w:rsid w:val="4B377B13"/>
    <w:rsid w:val="4B380701"/>
    <w:rsid w:val="4B383B38"/>
    <w:rsid w:val="4B383FB4"/>
    <w:rsid w:val="4B38501D"/>
    <w:rsid w:val="4B386BAF"/>
    <w:rsid w:val="4B386DCB"/>
    <w:rsid w:val="4B390433"/>
    <w:rsid w:val="4B3A0B60"/>
    <w:rsid w:val="4B3A1029"/>
    <w:rsid w:val="4B3A2B43"/>
    <w:rsid w:val="4B3A6FE7"/>
    <w:rsid w:val="4B3B1EDD"/>
    <w:rsid w:val="4B3B24B9"/>
    <w:rsid w:val="4B3B2D08"/>
    <w:rsid w:val="4B3B5BE2"/>
    <w:rsid w:val="4B3B68BB"/>
    <w:rsid w:val="4B3B6EF7"/>
    <w:rsid w:val="4B3C0126"/>
    <w:rsid w:val="4B3C0E21"/>
    <w:rsid w:val="4B3C2D5F"/>
    <w:rsid w:val="4B3C4B0D"/>
    <w:rsid w:val="4B3C5738"/>
    <w:rsid w:val="4B3C5D15"/>
    <w:rsid w:val="4B3C60EE"/>
    <w:rsid w:val="4B3D0885"/>
    <w:rsid w:val="4B3D0AFC"/>
    <w:rsid w:val="4B3D2633"/>
    <w:rsid w:val="4B3D3B99"/>
    <w:rsid w:val="4B3D4425"/>
    <w:rsid w:val="4B3D651A"/>
    <w:rsid w:val="4B3D6AD7"/>
    <w:rsid w:val="4B3D73BE"/>
    <w:rsid w:val="4B3D73C4"/>
    <w:rsid w:val="4B3E34EB"/>
    <w:rsid w:val="4B3E37F6"/>
    <w:rsid w:val="4B3F0159"/>
    <w:rsid w:val="4B3F0270"/>
    <w:rsid w:val="4B3F09A8"/>
    <w:rsid w:val="4B3F337C"/>
    <w:rsid w:val="4B40126C"/>
    <w:rsid w:val="4B4022CA"/>
    <w:rsid w:val="4B404CF7"/>
    <w:rsid w:val="4B404E69"/>
    <w:rsid w:val="4B404F60"/>
    <w:rsid w:val="4B4102A7"/>
    <w:rsid w:val="4B410375"/>
    <w:rsid w:val="4B41102A"/>
    <w:rsid w:val="4B411787"/>
    <w:rsid w:val="4B412124"/>
    <w:rsid w:val="4B41632B"/>
    <w:rsid w:val="4B425E9C"/>
    <w:rsid w:val="4B427BF1"/>
    <w:rsid w:val="4B427C4A"/>
    <w:rsid w:val="4B430C4B"/>
    <w:rsid w:val="4B4316AD"/>
    <w:rsid w:val="4B4327E6"/>
    <w:rsid w:val="4B4340EE"/>
    <w:rsid w:val="4B434576"/>
    <w:rsid w:val="4B4349A3"/>
    <w:rsid w:val="4B441C14"/>
    <w:rsid w:val="4B442CE6"/>
    <w:rsid w:val="4B442FC1"/>
    <w:rsid w:val="4B44381C"/>
    <w:rsid w:val="4B451EBD"/>
    <w:rsid w:val="4B452F6D"/>
    <w:rsid w:val="4B453E97"/>
    <w:rsid w:val="4B456D7D"/>
    <w:rsid w:val="4B456D8B"/>
    <w:rsid w:val="4B46053A"/>
    <w:rsid w:val="4B4614E8"/>
    <w:rsid w:val="4B46598C"/>
    <w:rsid w:val="4B4675CC"/>
    <w:rsid w:val="4B4734B2"/>
    <w:rsid w:val="4B475260"/>
    <w:rsid w:val="4B481704"/>
    <w:rsid w:val="4B481EEC"/>
    <w:rsid w:val="4B490FD8"/>
    <w:rsid w:val="4B492A9E"/>
    <w:rsid w:val="4B494ABD"/>
    <w:rsid w:val="4B49547C"/>
    <w:rsid w:val="4B495595"/>
    <w:rsid w:val="4B497CCE"/>
    <w:rsid w:val="4B4A201C"/>
    <w:rsid w:val="4B4A6ECF"/>
    <w:rsid w:val="4B4B11F4"/>
    <w:rsid w:val="4B4B4D50"/>
    <w:rsid w:val="4B4B6AFE"/>
    <w:rsid w:val="4B4B7F55"/>
    <w:rsid w:val="4B4C086D"/>
    <w:rsid w:val="4B4C0AC8"/>
    <w:rsid w:val="4B4C0B87"/>
    <w:rsid w:val="4B4C2876"/>
    <w:rsid w:val="4B4C5E55"/>
    <w:rsid w:val="4B4C6376"/>
    <w:rsid w:val="4B4C70F8"/>
    <w:rsid w:val="4B4D0363"/>
    <w:rsid w:val="4B4D48CE"/>
    <w:rsid w:val="4B4E2A92"/>
    <w:rsid w:val="4B4E46D5"/>
    <w:rsid w:val="4B4E65EF"/>
    <w:rsid w:val="4B4E6DBC"/>
    <w:rsid w:val="4B4F659A"/>
    <w:rsid w:val="4B4F69B2"/>
    <w:rsid w:val="4B5005B9"/>
    <w:rsid w:val="4B50170D"/>
    <w:rsid w:val="4B502367"/>
    <w:rsid w:val="4B50324F"/>
    <w:rsid w:val="4B504DA3"/>
    <w:rsid w:val="4B5053E8"/>
    <w:rsid w:val="4B514A1F"/>
    <w:rsid w:val="4B517E8D"/>
    <w:rsid w:val="4B5236EA"/>
    <w:rsid w:val="4B5300A9"/>
    <w:rsid w:val="4B551F02"/>
    <w:rsid w:val="4B553060"/>
    <w:rsid w:val="4B553E21"/>
    <w:rsid w:val="4B5541D6"/>
    <w:rsid w:val="4B555BCF"/>
    <w:rsid w:val="4B555C31"/>
    <w:rsid w:val="4B55797D"/>
    <w:rsid w:val="4B563C89"/>
    <w:rsid w:val="4B5670C1"/>
    <w:rsid w:val="4B570D16"/>
    <w:rsid w:val="4B573A2A"/>
    <w:rsid w:val="4B576C2F"/>
    <w:rsid w:val="4B577B99"/>
    <w:rsid w:val="4B58121B"/>
    <w:rsid w:val="4B582A18"/>
    <w:rsid w:val="4B5856BF"/>
    <w:rsid w:val="4B585A6E"/>
    <w:rsid w:val="4B58626D"/>
    <w:rsid w:val="4B5871AC"/>
    <w:rsid w:val="4B58746D"/>
    <w:rsid w:val="4B591900"/>
    <w:rsid w:val="4B5935B0"/>
    <w:rsid w:val="4B5945B2"/>
    <w:rsid w:val="4B5A25B7"/>
    <w:rsid w:val="4B5A31E5"/>
    <w:rsid w:val="4B5A4B64"/>
    <w:rsid w:val="4B5A4F93"/>
    <w:rsid w:val="4B5A5750"/>
    <w:rsid w:val="4B5B1AA3"/>
    <w:rsid w:val="4B5B534E"/>
    <w:rsid w:val="4B5B5DD4"/>
    <w:rsid w:val="4B5C0D0B"/>
    <w:rsid w:val="4B5C51AF"/>
    <w:rsid w:val="4B5C5B6A"/>
    <w:rsid w:val="4B5C6F5D"/>
    <w:rsid w:val="4B5D2CD5"/>
    <w:rsid w:val="4B5D4A84"/>
    <w:rsid w:val="4B5E0F27"/>
    <w:rsid w:val="4B5E2C33"/>
    <w:rsid w:val="4B5E5853"/>
    <w:rsid w:val="4B5E60CF"/>
    <w:rsid w:val="4B5F07FC"/>
    <w:rsid w:val="4B5F18B4"/>
    <w:rsid w:val="4B5F64BF"/>
    <w:rsid w:val="4B5F6A4E"/>
    <w:rsid w:val="4B5F7C80"/>
    <w:rsid w:val="4B603D34"/>
    <w:rsid w:val="4B61087C"/>
    <w:rsid w:val="4B6119E3"/>
    <w:rsid w:val="4B612460"/>
    <w:rsid w:val="4B61433A"/>
    <w:rsid w:val="4B614574"/>
    <w:rsid w:val="4B615E5A"/>
    <w:rsid w:val="4B616322"/>
    <w:rsid w:val="4B61791F"/>
    <w:rsid w:val="4B622061"/>
    <w:rsid w:val="4B62209A"/>
    <w:rsid w:val="4B622B3D"/>
    <w:rsid w:val="4B626DA5"/>
    <w:rsid w:val="4B627FC4"/>
    <w:rsid w:val="4B63024A"/>
    <w:rsid w:val="4B634797"/>
    <w:rsid w:val="4B6360B4"/>
    <w:rsid w:val="4B63653E"/>
    <w:rsid w:val="4B636AF4"/>
    <w:rsid w:val="4B637490"/>
    <w:rsid w:val="4B6403F9"/>
    <w:rsid w:val="4B6422B6"/>
    <w:rsid w:val="4B644064"/>
    <w:rsid w:val="4B64491C"/>
    <w:rsid w:val="4B645D5C"/>
    <w:rsid w:val="4B645E12"/>
    <w:rsid w:val="4B64748B"/>
    <w:rsid w:val="4B653D52"/>
    <w:rsid w:val="4B661B8A"/>
    <w:rsid w:val="4B663938"/>
    <w:rsid w:val="4B663FE5"/>
    <w:rsid w:val="4B670046"/>
    <w:rsid w:val="4B670125"/>
    <w:rsid w:val="4B6725B9"/>
    <w:rsid w:val="4B6769ED"/>
    <w:rsid w:val="4B6776B0"/>
    <w:rsid w:val="4B681D2E"/>
    <w:rsid w:val="4B6825A0"/>
    <w:rsid w:val="4B682692"/>
    <w:rsid w:val="4B68292E"/>
    <w:rsid w:val="4B685902"/>
    <w:rsid w:val="4B687E83"/>
    <w:rsid w:val="4B69167A"/>
    <w:rsid w:val="4B693428"/>
    <w:rsid w:val="4B69347A"/>
    <w:rsid w:val="4B6940A7"/>
    <w:rsid w:val="4B6978CC"/>
    <w:rsid w:val="4B6A2B68"/>
    <w:rsid w:val="4B6A3DF6"/>
    <w:rsid w:val="4B6A5865"/>
    <w:rsid w:val="4B6A76EC"/>
    <w:rsid w:val="4B6A78ED"/>
    <w:rsid w:val="4B6B2018"/>
    <w:rsid w:val="4B6B53F2"/>
    <w:rsid w:val="4B6B650B"/>
    <w:rsid w:val="4B6B71A0"/>
    <w:rsid w:val="4B6B7E57"/>
    <w:rsid w:val="4B6C2A28"/>
    <w:rsid w:val="4B6C4A23"/>
    <w:rsid w:val="4B6C4CC7"/>
    <w:rsid w:val="4B6D0800"/>
    <w:rsid w:val="4B6D0836"/>
    <w:rsid w:val="4B6D2777"/>
    <w:rsid w:val="4B6D30F4"/>
    <w:rsid w:val="4B6E2DCB"/>
    <w:rsid w:val="4B6E462D"/>
    <w:rsid w:val="4B6E4EE3"/>
    <w:rsid w:val="4B6E73C3"/>
    <w:rsid w:val="4B700C5B"/>
    <w:rsid w:val="4B702839"/>
    <w:rsid w:val="4B7047B7"/>
    <w:rsid w:val="4B707176"/>
    <w:rsid w:val="4B71210A"/>
    <w:rsid w:val="4B7122DD"/>
    <w:rsid w:val="4B716EB0"/>
    <w:rsid w:val="4B720D9C"/>
    <w:rsid w:val="4B724E48"/>
    <w:rsid w:val="4B726781"/>
    <w:rsid w:val="4B7324F9"/>
    <w:rsid w:val="4B7342A7"/>
    <w:rsid w:val="4B736055"/>
    <w:rsid w:val="4B7365E9"/>
    <w:rsid w:val="4B746095"/>
    <w:rsid w:val="4B7464EB"/>
    <w:rsid w:val="4B747A79"/>
    <w:rsid w:val="4B75001F"/>
    <w:rsid w:val="4B751DCD"/>
    <w:rsid w:val="4B756271"/>
    <w:rsid w:val="4B771FE9"/>
    <w:rsid w:val="4B7778F3"/>
    <w:rsid w:val="4B777B3B"/>
    <w:rsid w:val="4B7802DF"/>
    <w:rsid w:val="4B7804F1"/>
    <w:rsid w:val="4B7818BD"/>
    <w:rsid w:val="4B796F10"/>
    <w:rsid w:val="4B797B0F"/>
    <w:rsid w:val="4B7A73E4"/>
    <w:rsid w:val="4B7C13AE"/>
    <w:rsid w:val="4B7C2455"/>
    <w:rsid w:val="4B7C2570"/>
    <w:rsid w:val="4B7C315C"/>
    <w:rsid w:val="4B7C7600"/>
    <w:rsid w:val="4B7D0C82"/>
    <w:rsid w:val="4B7D60AB"/>
    <w:rsid w:val="4B7D6ED4"/>
    <w:rsid w:val="4B7E0122"/>
    <w:rsid w:val="4B7E2836"/>
    <w:rsid w:val="4B7E3CEA"/>
    <w:rsid w:val="4B7F0C10"/>
    <w:rsid w:val="4B7F2773"/>
    <w:rsid w:val="4B7F38EA"/>
    <w:rsid w:val="4B7F49FA"/>
    <w:rsid w:val="4B7F5883"/>
    <w:rsid w:val="4B7F62CD"/>
    <w:rsid w:val="4B7F62DD"/>
    <w:rsid w:val="4B7F6393"/>
    <w:rsid w:val="4B7F7482"/>
    <w:rsid w:val="4B800E83"/>
    <w:rsid w:val="4B802F8F"/>
    <w:rsid w:val="4B80463C"/>
    <w:rsid w:val="4B805862"/>
    <w:rsid w:val="4B810772"/>
    <w:rsid w:val="4B814C16"/>
    <w:rsid w:val="4B8169C4"/>
    <w:rsid w:val="4B821AF3"/>
    <w:rsid w:val="4B8244EA"/>
    <w:rsid w:val="4B83098E"/>
    <w:rsid w:val="4B8322F0"/>
    <w:rsid w:val="4B83273C"/>
    <w:rsid w:val="4B835837"/>
    <w:rsid w:val="4B840CAF"/>
    <w:rsid w:val="4B842010"/>
    <w:rsid w:val="4B842C60"/>
    <w:rsid w:val="4B8464B4"/>
    <w:rsid w:val="4B853015"/>
    <w:rsid w:val="4B8545B6"/>
    <w:rsid w:val="4B856FDC"/>
    <w:rsid w:val="4B863A81"/>
    <w:rsid w:val="4B863FDA"/>
    <w:rsid w:val="4B865A2C"/>
    <w:rsid w:val="4B8664CD"/>
    <w:rsid w:val="4B8678A9"/>
    <w:rsid w:val="4B872361"/>
    <w:rsid w:val="4B880AC0"/>
    <w:rsid w:val="4B882210"/>
    <w:rsid w:val="4B883A34"/>
    <w:rsid w:val="4B885FA4"/>
    <w:rsid w:val="4B8874CF"/>
    <w:rsid w:val="4B887CA6"/>
    <w:rsid w:val="4B893ACB"/>
    <w:rsid w:val="4B895FDD"/>
    <w:rsid w:val="4B897627"/>
    <w:rsid w:val="4B8A5FB1"/>
    <w:rsid w:val="4B8B09BD"/>
    <w:rsid w:val="4B8B15F1"/>
    <w:rsid w:val="4B8B2133"/>
    <w:rsid w:val="4B8B253D"/>
    <w:rsid w:val="4B8B339F"/>
    <w:rsid w:val="4B8B4870"/>
    <w:rsid w:val="4B8B7843"/>
    <w:rsid w:val="4B8C0C0B"/>
    <w:rsid w:val="4B8C328B"/>
    <w:rsid w:val="4B8D5369"/>
    <w:rsid w:val="4B8D7117"/>
    <w:rsid w:val="4B8E2E8F"/>
    <w:rsid w:val="4B8E31F1"/>
    <w:rsid w:val="4B8E790E"/>
    <w:rsid w:val="4B8F2746"/>
    <w:rsid w:val="4B8F2A67"/>
    <w:rsid w:val="4B8F7333"/>
    <w:rsid w:val="4B9009B5"/>
    <w:rsid w:val="4B901B2C"/>
    <w:rsid w:val="4B904E59"/>
    <w:rsid w:val="4B906C07"/>
    <w:rsid w:val="4B9106E2"/>
    <w:rsid w:val="4B92297F"/>
    <w:rsid w:val="4B9252EC"/>
    <w:rsid w:val="4B925C57"/>
    <w:rsid w:val="4B930C42"/>
    <w:rsid w:val="4B93319E"/>
    <w:rsid w:val="4B9366F7"/>
    <w:rsid w:val="4B936E1A"/>
    <w:rsid w:val="4B937C85"/>
    <w:rsid w:val="4B940DC2"/>
    <w:rsid w:val="4B941664"/>
    <w:rsid w:val="4B944EC6"/>
    <w:rsid w:val="4B9506C1"/>
    <w:rsid w:val="4B95421D"/>
    <w:rsid w:val="4B954C08"/>
    <w:rsid w:val="4B955DD8"/>
    <w:rsid w:val="4B956A9B"/>
    <w:rsid w:val="4B96081F"/>
    <w:rsid w:val="4B961983"/>
    <w:rsid w:val="4B970143"/>
    <w:rsid w:val="4B971D44"/>
    <w:rsid w:val="4B9759E4"/>
    <w:rsid w:val="4B977F46"/>
    <w:rsid w:val="4B977F95"/>
    <w:rsid w:val="4B982BB3"/>
    <w:rsid w:val="4B982C84"/>
    <w:rsid w:val="4B986E74"/>
    <w:rsid w:val="4B987E50"/>
    <w:rsid w:val="4B990AD9"/>
    <w:rsid w:val="4B99165E"/>
    <w:rsid w:val="4B99689A"/>
    <w:rsid w:val="4B9A117C"/>
    <w:rsid w:val="4B9A5CD8"/>
    <w:rsid w:val="4B9A7A7B"/>
    <w:rsid w:val="4B9A7A86"/>
    <w:rsid w:val="4B9B00F7"/>
    <w:rsid w:val="4B9B02F6"/>
    <w:rsid w:val="4B9B4365"/>
    <w:rsid w:val="4B9C1A50"/>
    <w:rsid w:val="4B9C37FE"/>
    <w:rsid w:val="4B9C517B"/>
    <w:rsid w:val="4B9C57F5"/>
    <w:rsid w:val="4B9D0B7C"/>
    <w:rsid w:val="4B9E6239"/>
    <w:rsid w:val="4B9E7576"/>
    <w:rsid w:val="4B9E7D1F"/>
    <w:rsid w:val="4B9F1F22"/>
    <w:rsid w:val="4B9F4176"/>
    <w:rsid w:val="4B9F509C"/>
    <w:rsid w:val="4B9F6E4A"/>
    <w:rsid w:val="4BA00B9B"/>
    <w:rsid w:val="4BA05250"/>
    <w:rsid w:val="4BA10E14"/>
    <w:rsid w:val="4BA1252B"/>
    <w:rsid w:val="4BA12BC2"/>
    <w:rsid w:val="4BA15123"/>
    <w:rsid w:val="4BA17066"/>
    <w:rsid w:val="4BA206E8"/>
    <w:rsid w:val="4BA235D3"/>
    <w:rsid w:val="4BA25610"/>
    <w:rsid w:val="4BA32466"/>
    <w:rsid w:val="4BA32DDE"/>
    <w:rsid w:val="4BA33F87"/>
    <w:rsid w:val="4BA34B8C"/>
    <w:rsid w:val="4BA3693A"/>
    <w:rsid w:val="4BA40904"/>
    <w:rsid w:val="4BA426B2"/>
    <w:rsid w:val="4BA478B5"/>
    <w:rsid w:val="4BA51A26"/>
    <w:rsid w:val="4BA52506"/>
    <w:rsid w:val="4BA52BB9"/>
    <w:rsid w:val="4BA623E6"/>
    <w:rsid w:val="4BA6467C"/>
    <w:rsid w:val="4BA65874"/>
    <w:rsid w:val="4BA6642B"/>
    <w:rsid w:val="4BA743F3"/>
    <w:rsid w:val="4BA744EF"/>
    <w:rsid w:val="4BA803F5"/>
    <w:rsid w:val="4BA864CD"/>
    <w:rsid w:val="4BA91A77"/>
    <w:rsid w:val="4BA95F1B"/>
    <w:rsid w:val="4BA97CC9"/>
    <w:rsid w:val="4BAA526B"/>
    <w:rsid w:val="4BAA594D"/>
    <w:rsid w:val="4BAB1C93"/>
    <w:rsid w:val="4BAB2719"/>
    <w:rsid w:val="4BAB3A41"/>
    <w:rsid w:val="4BAB57EF"/>
    <w:rsid w:val="4BAB6BB2"/>
    <w:rsid w:val="4BAB70BA"/>
    <w:rsid w:val="4BAC2CCE"/>
    <w:rsid w:val="4BAC7EBB"/>
    <w:rsid w:val="4BAD11F3"/>
    <w:rsid w:val="4BAD1567"/>
    <w:rsid w:val="4BAD5A0B"/>
    <w:rsid w:val="4BAD6BFC"/>
    <w:rsid w:val="4BAE0BB6"/>
    <w:rsid w:val="4BAE268D"/>
    <w:rsid w:val="4BAE52DF"/>
    <w:rsid w:val="4BAF1783"/>
    <w:rsid w:val="4BAF2602"/>
    <w:rsid w:val="4BAF3C6B"/>
    <w:rsid w:val="4BAF5928"/>
    <w:rsid w:val="4BAF6755"/>
    <w:rsid w:val="4BAF77E3"/>
    <w:rsid w:val="4BB01057"/>
    <w:rsid w:val="4BB02E05"/>
    <w:rsid w:val="4BB0607D"/>
    <w:rsid w:val="4BB072A9"/>
    <w:rsid w:val="4BB07CCC"/>
    <w:rsid w:val="4BB1115C"/>
    <w:rsid w:val="4BB1658B"/>
    <w:rsid w:val="4BB20BB0"/>
    <w:rsid w:val="4BB22C34"/>
    <w:rsid w:val="4BB24DCF"/>
    <w:rsid w:val="4BB26B7D"/>
    <w:rsid w:val="4BB351BD"/>
    <w:rsid w:val="4BB40B47"/>
    <w:rsid w:val="4BB46342"/>
    <w:rsid w:val="4BB46D99"/>
    <w:rsid w:val="4BB50B63"/>
    <w:rsid w:val="4BB52B12"/>
    <w:rsid w:val="4BB5666E"/>
    <w:rsid w:val="4BB60F6D"/>
    <w:rsid w:val="4BB70638"/>
    <w:rsid w:val="4BB708BE"/>
    <w:rsid w:val="4BB711A2"/>
    <w:rsid w:val="4BB723FD"/>
    <w:rsid w:val="4BB77EB1"/>
    <w:rsid w:val="4BB837B1"/>
    <w:rsid w:val="4BB8645E"/>
    <w:rsid w:val="4BB86830"/>
    <w:rsid w:val="4BB876AE"/>
    <w:rsid w:val="4BB90721"/>
    <w:rsid w:val="4BB915F4"/>
    <w:rsid w:val="4BB9659A"/>
    <w:rsid w:val="4BBA0128"/>
    <w:rsid w:val="4BBA0D7E"/>
    <w:rsid w:val="4BBA34C0"/>
    <w:rsid w:val="4BBA3C84"/>
    <w:rsid w:val="4BBA3D87"/>
    <w:rsid w:val="4BBA4992"/>
    <w:rsid w:val="4BBB3483"/>
    <w:rsid w:val="4BBC0AAB"/>
    <w:rsid w:val="4BBC5A7B"/>
    <w:rsid w:val="4BBC5C4E"/>
    <w:rsid w:val="4BBC79FC"/>
    <w:rsid w:val="4BBD12BD"/>
    <w:rsid w:val="4BBD2276"/>
    <w:rsid w:val="4BBD45B4"/>
    <w:rsid w:val="4BBD5522"/>
    <w:rsid w:val="4BBD76FF"/>
    <w:rsid w:val="4BBE0BC6"/>
    <w:rsid w:val="4BBE19C6"/>
    <w:rsid w:val="4BBE33D4"/>
    <w:rsid w:val="4BBE3F02"/>
    <w:rsid w:val="4BBE4FA8"/>
    <w:rsid w:val="4BBF129A"/>
    <w:rsid w:val="4BBF1B49"/>
    <w:rsid w:val="4BBF201F"/>
    <w:rsid w:val="4BBF46D3"/>
    <w:rsid w:val="4BBF4ADB"/>
    <w:rsid w:val="4BBF74EC"/>
    <w:rsid w:val="4BC0573E"/>
    <w:rsid w:val="4BC12D2E"/>
    <w:rsid w:val="4BC13264"/>
    <w:rsid w:val="4BC15012"/>
    <w:rsid w:val="4BC2579E"/>
    <w:rsid w:val="4BC307D9"/>
    <w:rsid w:val="4BC30D8B"/>
    <w:rsid w:val="4BC36D42"/>
    <w:rsid w:val="4BC36FDC"/>
    <w:rsid w:val="4BC44B03"/>
    <w:rsid w:val="4BC468B1"/>
    <w:rsid w:val="4BC52D55"/>
    <w:rsid w:val="4BC52D91"/>
    <w:rsid w:val="4BC55E91"/>
    <w:rsid w:val="4BC61EF2"/>
    <w:rsid w:val="4BC66ACD"/>
    <w:rsid w:val="4BC73382"/>
    <w:rsid w:val="4BC74010"/>
    <w:rsid w:val="4BC82845"/>
    <w:rsid w:val="4BC85F53"/>
    <w:rsid w:val="4BC973E3"/>
    <w:rsid w:val="4BCA12BF"/>
    <w:rsid w:val="4BCA6DC8"/>
    <w:rsid w:val="4BCB5025"/>
    <w:rsid w:val="4BCB7C3F"/>
    <w:rsid w:val="4BCC4D54"/>
    <w:rsid w:val="4BCC585A"/>
    <w:rsid w:val="4BCC5D64"/>
    <w:rsid w:val="4BCC6BD6"/>
    <w:rsid w:val="4BCD39B7"/>
    <w:rsid w:val="4BCD5B11"/>
    <w:rsid w:val="4BCD7E5B"/>
    <w:rsid w:val="4BCE0684"/>
    <w:rsid w:val="4BCE4281"/>
    <w:rsid w:val="4BCF0039"/>
    <w:rsid w:val="4BCF13C2"/>
    <w:rsid w:val="4BCF3255"/>
    <w:rsid w:val="4BCF3BD3"/>
    <w:rsid w:val="4BCF5498"/>
    <w:rsid w:val="4BCF56C4"/>
    <w:rsid w:val="4BD00888"/>
    <w:rsid w:val="4BD0199E"/>
    <w:rsid w:val="4BD033EB"/>
    <w:rsid w:val="4BD034A7"/>
    <w:rsid w:val="4BD046E5"/>
    <w:rsid w:val="4BD05255"/>
    <w:rsid w:val="4BD15B75"/>
    <w:rsid w:val="4BD20FCE"/>
    <w:rsid w:val="4BD21BD6"/>
    <w:rsid w:val="4BD23DD3"/>
    <w:rsid w:val="4BD27220"/>
    <w:rsid w:val="4BD324AA"/>
    <w:rsid w:val="4BD411EA"/>
    <w:rsid w:val="4BD42F98"/>
    <w:rsid w:val="4BD44D46"/>
    <w:rsid w:val="4BD5286C"/>
    <w:rsid w:val="4BD52D1E"/>
    <w:rsid w:val="4BD53689"/>
    <w:rsid w:val="4BD568E0"/>
    <w:rsid w:val="4BD56D10"/>
    <w:rsid w:val="4BD56EA4"/>
    <w:rsid w:val="4BD619E7"/>
    <w:rsid w:val="4BD702A6"/>
    <w:rsid w:val="4BD703B3"/>
    <w:rsid w:val="4BD72A88"/>
    <w:rsid w:val="4BD72C8D"/>
    <w:rsid w:val="4BD73978"/>
    <w:rsid w:val="4BD74836"/>
    <w:rsid w:val="4BD765E4"/>
    <w:rsid w:val="4BD7721E"/>
    <w:rsid w:val="4BD8075A"/>
    <w:rsid w:val="4BD9235C"/>
    <w:rsid w:val="4BD95797"/>
    <w:rsid w:val="4BD96800"/>
    <w:rsid w:val="4BD96D40"/>
    <w:rsid w:val="4BDA11FB"/>
    <w:rsid w:val="4BDA4326"/>
    <w:rsid w:val="4BDA49C7"/>
    <w:rsid w:val="4BDB2578"/>
    <w:rsid w:val="4BDB6362"/>
    <w:rsid w:val="4BDB7F53"/>
    <w:rsid w:val="4BDC009E"/>
    <w:rsid w:val="4BDC1E4C"/>
    <w:rsid w:val="4BDC3DB9"/>
    <w:rsid w:val="4BDC3F89"/>
    <w:rsid w:val="4BDC5859"/>
    <w:rsid w:val="4BDD4118"/>
    <w:rsid w:val="4BDD55A8"/>
    <w:rsid w:val="4BDD5875"/>
    <w:rsid w:val="4BDE5BC4"/>
    <w:rsid w:val="4BDE6E82"/>
    <w:rsid w:val="4BDE7A28"/>
    <w:rsid w:val="4BDE7CD6"/>
    <w:rsid w:val="4BDF1609"/>
    <w:rsid w:val="4BDF193C"/>
    <w:rsid w:val="4BE01E4D"/>
    <w:rsid w:val="4BE02A99"/>
    <w:rsid w:val="4BE07B8E"/>
    <w:rsid w:val="4BE10103"/>
    <w:rsid w:val="4BE11211"/>
    <w:rsid w:val="4BE13907"/>
    <w:rsid w:val="4BE13F29"/>
    <w:rsid w:val="4BE150DE"/>
    <w:rsid w:val="4BE156B5"/>
    <w:rsid w:val="4BE168AD"/>
    <w:rsid w:val="4BE17463"/>
    <w:rsid w:val="4BE30F3B"/>
    <w:rsid w:val="4BE3142D"/>
    <w:rsid w:val="4BE331DB"/>
    <w:rsid w:val="4BE35CA0"/>
    <w:rsid w:val="4BE40D01"/>
    <w:rsid w:val="4BE4177C"/>
    <w:rsid w:val="4BE41F6F"/>
    <w:rsid w:val="4BE428AA"/>
    <w:rsid w:val="4BE43FEB"/>
    <w:rsid w:val="4BE44FEB"/>
    <w:rsid w:val="4BE45480"/>
    <w:rsid w:val="4BE470A4"/>
    <w:rsid w:val="4BE5236A"/>
    <w:rsid w:val="4BE57EF0"/>
    <w:rsid w:val="4BE60F1D"/>
    <w:rsid w:val="4BE614DC"/>
    <w:rsid w:val="4BE62CCB"/>
    <w:rsid w:val="4BE63890"/>
    <w:rsid w:val="4BE64A79"/>
    <w:rsid w:val="4BE6690B"/>
    <w:rsid w:val="4BE66D1E"/>
    <w:rsid w:val="4BE710D5"/>
    <w:rsid w:val="4BE73AB6"/>
    <w:rsid w:val="4BE77253"/>
    <w:rsid w:val="4BE807F1"/>
    <w:rsid w:val="4BE8259F"/>
    <w:rsid w:val="4BE83319"/>
    <w:rsid w:val="4BE86A43"/>
    <w:rsid w:val="4BE9528C"/>
    <w:rsid w:val="4BE96317"/>
    <w:rsid w:val="4BE97046"/>
    <w:rsid w:val="4BEA14D5"/>
    <w:rsid w:val="4BEA2AC3"/>
    <w:rsid w:val="4BEA36C4"/>
    <w:rsid w:val="4BEA4569"/>
    <w:rsid w:val="4BEA671C"/>
    <w:rsid w:val="4BEA7E5D"/>
    <w:rsid w:val="4BEB02E1"/>
    <w:rsid w:val="4BEB208F"/>
    <w:rsid w:val="4BEB349F"/>
    <w:rsid w:val="4BEB5BB4"/>
    <w:rsid w:val="4BEB6533"/>
    <w:rsid w:val="4BEC277D"/>
    <w:rsid w:val="4BEC2CBC"/>
    <w:rsid w:val="4BED22AB"/>
    <w:rsid w:val="4BED4059"/>
    <w:rsid w:val="4BED5E07"/>
    <w:rsid w:val="4BED6455"/>
    <w:rsid w:val="4BED6AFE"/>
    <w:rsid w:val="4BED6C76"/>
    <w:rsid w:val="4BEE5272"/>
    <w:rsid w:val="4BEF1B80"/>
    <w:rsid w:val="4BEF7B95"/>
    <w:rsid w:val="4BEF7DD1"/>
    <w:rsid w:val="4BF03B4A"/>
    <w:rsid w:val="4BF1125E"/>
    <w:rsid w:val="4BF11ABA"/>
    <w:rsid w:val="4BF13A1E"/>
    <w:rsid w:val="4BF2065A"/>
    <w:rsid w:val="4BF21670"/>
    <w:rsid w:val="4BF2341E"/>
    <w:rsid w:val="4BF278C2"/>
    <w:rsid w:val="4BF27A7E"/>
    <w:rsid w:val="4BF313AD"/>
    <w:rsid w:val="4BF43789"/>
    <w:rsid w:val="4BF45801"/>
    <w:rsid w:val="4BF508B4"/>
    <w:rsid w:val="4BF541CA"/>
    <w:rsid w:val="4BF54F6F"/>
    <w:rsid w:val="4BF61160"/>
    <w:rsid w:val="4BF70291"/>
    <w:rsid w:val="4BF70A34"/>
    <w:rsid w:val="4BF72460"/>
    <w:rsid w:val="4BF754A5"/>
    <w:rsid w:val="4BF76C86"/>
    <w:rsid w:val="4BF805D9"/>
    <w:rsid w:val="4BF80FD2"/>
    <w:rsid w:val="4BF81368"/>
    <w:rsid w:val="4BF90C50"/>
    <w:rsid w:val="4BF929FE"/>
    <w:rsid w:val="4BF947AC"/>
    <w:rsid w:val="4BF9566E"/>
    <w:rsid w:val="4BFA0DE1"/>
    <w:rsid w:val="4BFA22D2"/>
    <w:rsid w:val="4BFA611A"/>
    <w:rsid w:val="4BFB3CBA"/>
    <w:rsid w:val="4BFB53E8"/>
    <w:rsid w:val="4BFB6342"/>
    <w:rsid w:val="4BFB6776"/>
    <w:rsid w:val="4BFC429C"/>
    <w:rsid w:val="4BFC604B"/>
    <w:rsid w:val="4BFD1BED"/>
    <w:rsid w:val="4BFE0015"/>
    <w:rsid w:val="4BFE3C9D"/>
    <w:rsid w:val="4BFE6267"/>
    <w:rsid w:val="4BFF02FC"/>
    <w:rsid w:val="4BFF0BF2"/>
    <w:rsid w:val="4BFF29C8"/>
    <w:rsid w:val="4BFF3767"/>
    <w:rsid w:val="4BFF5133"/>
    <w:rsid w:val="4BFF5B3B"/>
    <w:rsid w:val="4BFF74B1"/>
    <w:rsid w:val="4BFF7C3D"/>
    <w:rsid w:val="4C00047A"/>
    <w:rsid w:val="4C003D8D"/>
    <w:rsid w:val="4C0104C1"/>
    <w:rsid w:val="4C012324"/>
    <w:rsid w:val="4C0132BF"/>
    <w:rsid w:val="4C013661"/>
    <w:rsid w:val="4C0160E3"/>
    <w:rsid w:val="4C017910"/>
    <w:rsid w:val="4C024209"/>
    <w:rsid w:val="4C030A03"/>
    <w:rsid w:val="4C03387D"/>
    <w:rsid w:val="4C0373D9"/>
    <w:rsid w:val="4C043151"/>
    <w:rsid w:val="4C0459C8"/>
    <w:rsid w:val="4C047A21"/>
    <w:rsid w:val="4C050346"/>
    <w:rsid w:val="4C053323"/>
    <w:rsid w:val="4C054A64"/>
    <w:rsid w:val="4C0575F5"/>
    <w:rsid w:val="4C061897"/>
    <w:rsid w:val="4C066EC9"/>
    <w:rsid w:val="4C07336D"/>
    <w:rsid w:val="4C073A5A"/>
    <w:rsid w:val="4C073CC9"/>
    <w:rsid w:val="4C077D8F"/>
    <w:rsid w:val="4C080527"/>
    <w:rsid w:val="4C080E93"/>
    <w:rsid w:val="4C0833E5"/>
    <w:rsid w:val="4C0849EF"/>
    <w:rsid w:val="4C084C42"/>
    <w:rsid w:val="4C0A0767"/>
    <w:rsid w:val="4C0A69B9"/>
    <w:rsid w:val="4C0A72D4"/>
    <w:rsid w:val="4C0B0EB0"/>
    <w:rsid w:val="4C0B2731"/>
    <w:rsid w:val="4C0B3787"/>
    <w:rsid w:val="4C0B479C"/>
    <w:rsid w:val="4C0B7195"/>
    <w:rsid w:val="4C0B78B5"/>
    <w:rsid w:val="4C0D0258"/>
    <w:rsid w:val="4C0D0B6E"/>
    <w:rsid w:val="4C0D2006"/>
    <w:rsid w:val="4C0D64AA"/>
    <w:rsid w:val="4C0E0F49"/>
    <w:rsid w:val="4C0E2026"/>
    <w:rsid w:val="4C0E5A41"/>
    <w:rsid w:val="4C0E640D"/>
    <w:rsid w:val="4C0F2222"/>
    <w:rsid w:val="4C0F4F55"/>
    <w:rsid w:val="4C0F5D7E"/>
    <w:rsid w:val="4C10068B"/>
    <w:rsid w:val="4C101AF6"/>
    <w:rsid w:val="4C101B77"/>
    <w:rsid w:val="4C102B15"/>
    <w:rsid w:val="4C107D48"/>
    <w:rsid w:val="4C121D12"/>
    <w:rsid w:val="4C122435"/>
    <w:rsid w:val="4C123AC0"/>
    <w:rsid w:val="4C12586E"/>
    <w:rsid w:val="4C126A80"/>
    <w:rsid w:val="4C127068"/>
    <w:rsid w:val="4C1302E3"/>
    <w:rsid w:val="4C1326C5"/>
    <w:rsid w:val="4C136DB7"/>
    <w:rsid w:val="4C14066F"/>
    <w:rsid w:val="4C1415E6"/>
    <w:rsid w:val="4C143394"/>
    <w:rsid w:val="4C143D97"/>
    <w:rsid w:val="4C144E0A"/>
    <w:rsid w:val="4C147916"/>
    <w:rsid w:val="4C152E18"/>
    <w:rsid w:val="4C15535E"/>
    <w:rsid w:val="4C155B9F"/>
    <w:rsid w:val="4C160AFB"/>
    <w:rsid w:val="4C1632F2"/>
    <w:rsid w:val="4C1635B0"/>
    <w:rsid w:val="4C166E79"/>
    <w:rsid w:val="4C1672F2"/>
    <w:rsid w:val="4C170E71"/>
    <w:rsid w:val="4C1710D6"/>
    <w:rsid w:val="4C172E84"/>
    <w:rsid w:val="4C172F09"/>
    <w:rsid w:val="4C173A9C"/>
    <w:rsid w:val="4C1753ED"/>
    <w:rsid w:val="4C177464"/>
    <w:rsid w:val="4C182651"/>
    <w:rsid w:val="4C192C29"/>
    <w:rsid w:val="4C1930A0"/>
    <w:rsid w:val="4C194750"/>
    <w:rsid w:val="4C196102"/>
    <w:rsid w:val="4C196BFC"/>
    <w:rsid w:val="4C1A4723"/>
    <w:rsid w:val="4C1A6C8C"/>
    <w:rsid w:val="4C1A71C0"/>
    <w:rsid w:val="4C1B1C30"/>
    <w:rsid w:val="4C1B6C8A"/>
    <w:rsid w:val="4C1C049B"/>
    <w:rsid w:val="4C1C35F7"/>
    <w:rsid w:val="4C1C493F"/>
    <w:rsid w:val="4C1C66ED"/>
    <w:rsid w:val="4C1D1FAE"/>
    <w:rsid w:val="4C1D7300"/>
    <w:rsid w:val="4C1E2465"/>
    <w:rsid w:val="4C1E4213"/>
    <w:rsid w:val="4C1E42C6"/>
    <w:rsid w:val="4C1E5BF9"/>
    <w:rsid w:val="4C1F06B5"/>
    <w:rsid w:val="4C1F487B"/>
    <w:rsid w:val="4C1F5BC0"/>
    <w:rsid w:val="4C1F6A9B"/>
    <w:rsid w:val="4C20094D"/>
    <w:rsid w:val="4C201F6A"/>
    <w:rsid w:val="4C2061DD"/>
    <w:rsid w:val="4C207421"/>
    <w:rsid w:val="4C207F8B"/>
    <w:rsid w:val="4C212507"/>
    <w:rsid w:val="4C212AFC"/>
    <w:rsid w:val="4C213D03"/>
    <w:rsid w:val="4C215AB1"/>
    <w:rsid w:val="4C2205FF"/>
    <w:rsid w:val="4C224884"/>
    <w:rsid w:val="4C22541C"/>
    <w:rsid w:val="4C226EE3"/>
    <w:rsid w:val="4C2316E7"/>
    <w:rsid w:val="4C231BC1"/>
    <w:rsid w:val="4C235CCD"/>
    <w:rsid w:val="4C237A7B"/>
    <w:rsid w:val="4C24147D"/>
    <w:rsid w:val="4C247D3C"/>
    <w:rsid w:val="4C250050"/>
    <w:rsid w:val="4C251A45"/>
    <w:rsid w:val="4C2537F3"/>
    <w:rsid w:val="4C254AA8"/>
    <w:rsid w:val="4C256BFE"/>
    <w:rsid w:val="4C260A78"/>
    <w:rsid w:val="4C261319"/>
    <w:rsid w:val="4C2630C7"/>
    <w:rsid w:val="4C2635C6"/>
    <w:rsid w:val="4C266086"/>
    <w:rsid w:val="4C2665B0"/>
    <w:rsid w:val="4C26696E"/>
    <w:rsid w:val="4C285091"/>
    <w:rsid w:val="4C287494"/>
    <w:rsid w:val="4C292002"/>
    <w:rsid w:val="4C294226"/>
    <w:rsid w:val="4C2964F2"/>
    <w:rsid w:val="4C297F18"/>
    <w:rsid w:val="4C2A0E0A"/>
    <w:rsid w:val="4C2A21FE"/>
    <w:rsid w:val="4C2A2657"/>
    <w:rsid w:val="4C2A705C"/>
    <w:rsid w:val="4C2B110D"/>
    <w:rsid w:val="4C2B36B5"/>
    <w:rsid w:val="4C2B3A02"/>
    <w:rsid w:val="4C2B5007"/>
    <w:rsid w:val="4C2C15D1"/>
    <w:rsid w:val="4C2C2DD4"/>
    <w:rsid w:val="4C2C351A"/>
    <w:rsid w:val="4C2C52AC"/>
    <w:rsid w:val="4C2D08FA"/>
    <w:rsid w:val="4C2D1536"/>
    <w:rsid w:val="4C2D7292"/>
    <w:rsid w:val="4C2E2B61"/>
    <w:rsid w:val="4C2E4820"/>
    <w:rsid w:val="4C2E5100"/>
    <w:rsid w:val="4C2F01CE"/>
    <w:rsid w:val="4C2F313B"/>
    <w:rsid w:val="4C2F5C8C"/>
    <w:rsid w:val="4C2F6590"/>
    <w:rsid w:val="4C303F46"/>
    <w:rsid w:val="4C30584E"/>
    <w:rsid w:val="4C3103EA"/>
    <w:rsid w:val="4C310EB0"/>
    <w:rsid w:val="4C312198"/>
    <w:rsid w:val="4C3170F6"/>
    <w:rsid w:val="4C3200F1"/>
    <w:rsid w:val="4C322DD9"/>
    <w:rsid w:val="4C32539B"/>
    <w:rsid w:val="4C330503"/>
    <w:rsid w:val="4C33092C"/>
    <w:rsid w:val="4C3321FE"/>
    <w:rsid w:val="4C3337D0"/>
    <w:rsid w:val="4C341C88"/>
    <w:rsid w:val="4C343A36"/>
    <w:rsid w:val="4C3457E4"/>
    <w:rsid w:val="4C346A0E"/>
    <w:rsid w:val="4C347831"/>
    <w:rsid w:val="4C35155C"/>
    <w:rsid w:val="4C357803"/>
    <w:rsid w:val="4C360F5A"/>
    <w:rsid w:val="4C361137"/>
    <w:rsid w:val="4C362151"/>
    <w:rsid w:val="4C3658A8"/>
    <w:rsid w:val="4C365A00"/>
    <w:rsid w:val="4C371778"/>
    <w:rsid w:val="4C373527"/>
    <w:rsid w:val="4C374D22"/>
    <w:rsid w:val="4C3752D5"/>
    <w:rsid w:val="4C380D83"/>
    <w:rsid w:val="4C383131"/>
    <w:rsid w:val="4C39104D"/>
    <w:rsid w:val="4C3910AD"/>
    <w:rsid w:val="4C3918D4"/>
    <w:rsid w:val="4C392DFB"/>
    <w:rsid w:val="4C3954F1"/>
    <w:rsid w:val="4C3A13A5"/>
    <w:rsid w:val="4C3B1BD6"/>
    <w:rsid w:val="4C3B49A3"/>
    <w:rsid w:val="4C3B4DC5"/>
    <w:rsid w:val="4C3B6274"/>
    <w:rsid w:val="4C3C0B94"/>
    <w:rsid w:val="4C3C28EB"/>
    <w:rsid w:val="4C3C44A4"/>
    <w:rsid w:val="4C3E067E"/>
    <w:rsid w:val="4C3E15A6"/>
    <w:rsid w:val="4C3E2B07"/>
    <w:rsid w:val="4C3E4868"/>
    <w:rsid w:val="4C3F4944"/>
    <w:rsid w:val="4C3F6085"/>
    <w:rsid w:val="4C40062D"/>
    <w:rsid w:val="4C401AB1"/>
    <w:rsid w:val="4C405B5F"/>
    <w:rsid w:val="4C405DD4"/>
    <w:rsid w:val="4C406A18"/>
    <w:rsid w:val="4C407861"/>
    <w:rsid w:val="4C412DB2"/>
    <w:rsid w:val="4C4146A7"/>
    <w:rsid w:val="4C41565A"/>
    <w:rsid w:val="4C417F01"/>
    <w:rsid w:val="4C417FD8"/>
    <w:rsid w:val="4C421E8C"/>
    <w:rsid w:val="4C424368"/>
    <w:rsid w:val="4C425841"/>
    <w:rsid w:val="4C425E4D"/>
    <w:rsid w:val="4C43011D"/>
    <w:rsid w:val="4C43303F"/>
    <w:rsid w:val="4C433C79"/>
    <w:rsid w:val="4C4354B9"/>
    <w:rsid w:val="4C435948"/>
    <w:rsid w:val="4C435E96"/>
    <w:rsid w:val="4C436BE5"/>
    <w:rsid w:val="4C447326"/>
    <w:rsid w:val="4C450520"/>
    <w:rsid w:val="4C453E95"/>
    <w:rsid w:val="4C454A60"/>
    <w:rsid w:val="4C45669E"/>
    <w:rsid w:val="4C46376A"/>
    <w:rsid w:val="4C465518"/>
    <w:rsid w:val="4C475409"/>
    <w:rsid w:val="4C475CA7"/>
    <w:rsid w:val="4C481290"/>
    <w:rsid w:val="4C482703"/>
    <w:rsid w:val="4C485734"/>
    <w:rsid w:val="4C487137"/>
    <w:rsid w:val="4C4874E2"/>
    <w:rsid w:val="4C4876FE"/>
    <w:rsid w:val="4C492576"/>
    <w:rsid w:val="4C494D2A"/>
    <w:rsid w:val="4C4A0649"/>
    <w:rsid w:val="4C4A3198"/>
    <w:rsid w:val="4C4A325A"/>
    <w:rsid w:val="4C4A3D19"/>
    <w:rsid w:val="4C4B0D80"/>
    <w:rsid w:val="4C4B4628"/>
    <w:rsid w:val="4C4B6313"/>
    <w:rsid w:val="4C4B7FDE"/>
    <w:rsid w:val="4C4C303E"/>
    <w:rsid w:val="4C4C5224"/>
    <w:rsid w:val="4C4C5AB8"/>
    <w:rsid w:val="4C4C6440"/>
    <w:rsid w:val="4C4D29E7"/>
    <w:rsid w:val="4C4D4AF8"/>
    <w:rsid w:val="4C4D5D9B"/>
    <w:rsid w:val="4C4D6F48"/>
    <w:rsid w:val="4C4E03D8"/>
    <w:rsid w:val="4C4E4831"/>
    <w:rsid w:val="4C4F0870"/>
    <w:rsid w:val="4C4F1604"/>
    <w:rsid w:val="4C4F261E"/>
    <w:rsid w:val="4C4F4439"/>
    <w:rsid w:val="4C4F6AC2"/>
    <w:rsid w:val="4C507BE4"/>
    <w:rsid w:val="4C511632"/>
    <w:rsid w:val="4C51283A"/>
    <w:rsid w:val="4C512C69"/>
    <w:rsid w:val="4C515898"/>
    <w:rsid w:val="4C516396"/>
    <w:rsid w:val="4C516F03"/>
    <w:rsid w:val="4C52192A"/>
    <w:rsid w:val="4C522DBA"/>
    <w:rsid w:val="4C523EBC"/>
    <w:rsid w:val="4C525421"/>
    <w:rsid w:val="4C5336D2"/>
    <w:rsid w:val="4C534C6E"/>
    <w:rsid w:val="4C5358CA"/>
    <w:rsid w:val="4C5365B2"/>
    <w:rsid w:val="4C540BCE"/>
    <w:rsid w:val="4C5440D8"/>
    <w:rsid w:val="4C5456DA"/>
    <w:rsid w:val="4C546E1B"/>
    <w:rsid w:val="4C547C35"/>
    <w:rsid w:val="4C555C3D"/>
    <w:rsid w:val="4C555ECC"/>
    <w:rsid w:val="4C556008"/>
    <w:rsid w:val="4C55664D"/>
    <w:rsid w:val="4C556A88"/>
    <w:rsid w:val="4C563007"/>
    <w:rsid w:val="4C563B83"/>
    <w:rsid w:val="4C567637"/>
    <w:rsid w:val="4C567E51"/>
    <w:rsid w:val="4C57579C"/>
    <w:rsid w:val="4C57625F"/>
    <w:rsid w:val="4C577725"/>
    <w:rsid w:val="4C582392"/>
    <w:rsid w:val="4C583BC9"/>
    <w:rsid w:val="4C583E07"/>
    <w:rsid w:val="4C5900BC"/>
    <w:rsid w:val="4C590753"/>
    <w:rsid w:val="4C59349D"/>
    <w:rsid w:val="4C59379A"/>
    <w:rsid w:val="4C5948FD"/>
    <w:rsid w:val="4C59524B"/>
    <w:rsid w:val="4C5B0FC3"/>
    <w:rsid w:val="4C5B17D5"/>
    <w:rsid w:val="4C5B4DD9"/>
    <w:rsid w:val="4C5B7215"/>
    <w:rsid w:val="4C5C2F8D"/>
    <w:rsid w:val="4C5C4D3B"/>
    <w:rsid w:val="4C5C55AD"/>
    <w:rsid w:val="4C5D11DF"/>
    <w:rsid w:val="4C5D160E"/>
    <w:rsid w:val="4C5D7084"/>
    <w:rsid w:val="4C5E4F57"/>
    <w:rsid w:val="4C5E6D05"/>
    <w:rsid w:val="4C5E6F43"/>
    <w:rsid w:val="4C5F70AB"/>
    <w:rsid w:val="4C602858"/>
    <w:rsid w:val="4C602A7D"/>
    <w:rsid w:val="4C60482B"/>
    <w:rsid w:val="4C606B6A"/>
    <w:rsid w:val="4C611B45"/>
    <w:rsid w:val="4C611D44"/>
    <w:rsid w:val="4C612351"/>
    <w:rsid w:val="4C616192"/>
    <w:rsid w:val="4C617F8F"/>
    <w:rsid w:val="4C6201DA"/>
    <w:rsid w:val="4C6216EC"/>
    <w:rsid w:val="4C627CDE"/>
    <w:rsid w:val="4C63256E"/>
    <w:rsid w:val="4C633D3F"/>
    <w:rsid w:val="4C63427A"/>
    <w:rsid w:val="4C63431C"/>
    <w:rsid w:val="4C6360CA"/>
    <w:rsid w:val="4C641F25"/>
    <w:rsid w:val="4C643805"/>
    <w:rsid w:val="4C643A1E"/>
    <w:rsid w:val="4C645728"/>
    <w:rsid w:val="4C64639A"/>
    <w:rsid w:val="4C651E42"/>
    <w:rsid w:val="4C652B4F"/>
    <w:rsid w:val="4C653BF0"/>
    <w:rsid w:val="4C654C7A"/>
    <w:rsid w:val="4C6562E6"/>
    <w:rsid w:val="4C65665F"/>
    <w:rsid w:val="4C657DA0"/>
    <w:rsid w:val="4C657DB3"/>
    <w:rsid w:val="4C660202"/>
    <w:rsid w:val="4C667968"/>
    <w:rsid w:val="4C6726C0"/>
    <w:rsid w:val="4C675BBA"/>
    <w:rsid w:val="4C682784"/>
    <w:rsid w:val="4C6836E0"/>
    <w:rsid w:val="4C687B84"/>
    <w:rsid w:val="4C692009"/>
    <w:rsid w:val="4C693341"/>
    <w:rsid w:val="4C693E57"/>
    <w:rsid w:val="4C694FE0"/>
    <w:rsid w:val="4C6977C5"/>
    <w:rsid w:val="4C6A38FC"/>
    <w:rsid w:val="4C6A56AA"/>
    <w:rsid w:val="4C6A62D1"/>
    <w:rsid w:val="4C6B24D1"/>
    <w:rsid w:val="4C6B4F7E"/>
    <w:rsid w:val="4C6B5228"/>
    <w:rsid w:val="4C6B71E1"/>
    <w:rsid w:val="4C6C1422"/>
    <w:rsid w:val="4C6C27E0"/>
    <w:rsid w:val="4C6C2DBF"/>
    <w:rsid w:val="4C6C3961"/>
    <w:rsid w:val="4C6C3C35"/>
    <w:rsid w:val="4C6C6DEE"/>
    <w:rsid w:val="4C6C7AAD"/>
    <w:rsid w:val="4C6D0CF6"/>
    <w:rsid w:val="4C6D439F"/>
    <w:rsid w:val="4C6D4408"/>
    <w:rsid w:val="4C6D519A"/>
    <w:rsid w:val="4C6D6532"/>
    <w:rsid w:val="4C6D6F48"/>
    <w:rsid w:val="4C6E069B"/>
    <w:rsid w:val="4C6E0FF4"/>
    <w:rsid w:val="4C6F0F12"/>
    <w:rsid w:val="4C6F2CC0"/>
    <w:rsid w:val="4C6F2EB1"/>
    <w:rsid w:val="4C6F4A6E"/>
    <w:rsid w:val="4C6F7406"/>
    <w:rsid w:val="4C70222F"/>
    <w:rsid w:val="4C7028FA"/>
    <w:rsid w:val="4C704EB3"/>
    <w:rsid w:val="4C707281"/>
    <w:rsid w:val="4C7142F0"/>
    <w:rsid w:val="4C715CED"/>
    <w:rsid w:val="4C72455F"/>
    <w:rsid w:val="4C725A12"/>
    <w:rsid w:val="4C72630D"/>
    <w:rsid w:val="4C72685D"/>
    <w:rsid w:val="4C7277D3"/>
    <w:rsid w:val="4C731D91"/>
    <w:rsid w:val="4C7327B1"/>
    <w:rsid w:val="4C735844"/>
    <w:rsid w:val="4C737E9D"/>
    <w:rsid w:val="4C7402D7"/>
    <w:rsid w:val="4C742085"/>
    <w:rsid w:val="4C7605FC"/>
    <w:rsid w:val="4C760D25"/>
    <w:rsid w:val="4C760F26"/>
    <w:rsid w:val="4C76404F"/>
    <w:rsid w:val="4C7675E4"/>
    <w:rsid w:val="4C771B75"/>
    <w:rsid w:val="4C773E2F"/>
    <w:rsid w:val="4C784AD5"/>
    <w:rsid w:val="4C790E8C"/>
    <w:rsid w:val="4C793B3F"/>
    <w:rsid w:val="4C7958ED"/>
    <w:rsid w:val="4C79769B"/>
    <w:rsid w:val="4C7976A6"/>
    <w:rsid w:val="4C7B1665"/>
    <w:rsid w:val="4C7B3413"/>
    <w:rsid w:val="4C7B4A6C"/>
    <w:rsid w:val="4C7B5088"/>
    <w:rsid w:val="4C7B50F0"/>
    <w:rsid w:val="4C7B5CB0"/>
    <w:rsid w:val="4C7B633B"/>
    <w:rsid w:val="4C7C3456"/>
    <w:rsid w:val="4C7C4B97"/>
    <w:rsid w:val="4C7C6027"/>
    <w:rsid w:val="4C7C718B"/>
    <w:rsid w:val="4C7D1C18"/>
    <w:rsid w:val="4C7D362F"/>
    <w:rsid w:val="4C7D48E6"/>
    <w:rsid w:val="4C7D53DD"/>
    <w:rsid w:val="4C7E1155"/>
    <w:rsid w:val="4C7E2F03"/>
    <w:rsid w:val="4C7E4CB1"/>
    <w:rsid w:val="4C7E5DCB"/>
    <w:rsid w:val="4C7E5ECA"/>
    <w:rsid w:val="4C7E5F01"/>
    <w:rsid w:val="4C7E722E"/>
    <w:rsid w:val="4C7F765B"/>
    <w:rsid w:val="4C803267"/>
    <w:rsid w:val="4C804ECE"/>
    <w:rsid w:val="4C806C7C"/>
    <w:rsid w:val="4C8106FD"/>
    <w:rsid w:val="4C8147A2"/>
    <w:rsid w:val="4C815E38"/>
    <w:rsid w:val="4C820DF1"/>
    <w:rsid w:val="4C820EB4"/>
    <w:rsid w:val="4C8229F4"/>
    <w:rsid w:val="4C8272C8"/>
    <w:rsid w:val="4C8301AF"/>
    <w:rsid w:val="4C83051A"/>
    <w:rsid w:val="4C833329"/>
    <w:rsid w:val="4C83676C"/>
    <w:rsid w:val="4C8451A4"/>
    <w:rsid w:val="4C854063"/>
    <w:rsid w:val="4C854292"/>
    <w:rsid w:val="4C856040"/>
    <w:rsid w:val="4C86081A"/>
    <w:rsid w:val="4C870DBC"/>
    <w:rsid w:val="4C871470"/>
    <w:rsid w:val="4C87313A"/>
    <w:rsid w:val="4C873AFE"/>
    <w:rsid w:val="4C874849"/>
    <w:rsid w:val="4C8748D9"/>
    <w:rsid w:val="4C87625C"/>
    <w:rsid w:val="4C876AA5"/>
    <w:rsid w:val="4C880A8E"/>
    <w:rsid w:val="4C882619"/>
    <w:rsid w:val="4C8851E6"/>
    <w:rsid w:val="4C8855F9"/>
    <w:rsid w:val="4C891FD4"/>
    <w:rsid w:val="4C8A062B"/>
    <w:rsid w:val="4C8A18A8"/>
    <w:rsid w:val="4C8A5D4C"/>
    <w:rsid w:val="4C8B54F3"/>
    <w:rsid w:val="4C8C3872"/>
    <w:rsid w:val="4C8C5620"/>
    <w:rsid w:val="4C8C73CE"/>
    <w:rsid w:val="4C8D1398"/>
    <w:rsid w:val="4C8D1EAF"/>
    <w:rsid w:val="4C8D3147"/>
    <w:rsid w:val="4C8D3D54"/>
    <w:rsid w:val="4C8E2C3B"/>
    <w:rsid w:val="4C8F1814"/>
    <w:rsid w:val="4C8F3363"/>
    <w:rsid w:val="4C8F5111"/>
    <w:rsid w:val="4C8F63AD"/>
    <w:rsid w:val="4C900F09"/>
    <w:rsid w:val="4C910E89"/>
    <w:rsid w:val="4C912C37"/>
    <w:rsid w:val="4C9141EC"/>
    <w:rsid w:val="4C9149E5"/>
    <w:rsid w:val="4C9170DB"/>
    <w:rsid w:val="4C92075D"/>
    <w:rsid w:val="4C93238C"/>
    <w:rsid w:val="4C9331FD"/>
    <w:rsid w:val="4C934BC0"/>
    <w:rsid w:val="4C934C01"/>
    <w:rsid w:val="4C936233"/>
    <w:rsid w:val="4C936D6E"/>
    <w:rsid w:val="4C937730"/>
    <w:rsid w:val="4C940979"/>
    <w:rsid w:val="4C9414B3"/>
    <w:rsid w:val="4C942B6D"/>
    <w:rsid w:val="4C944260"/>
    <w:rsid w:val="4C954F21"/>
    <w:rsid w:val="4C957630"/>
    <w:rsid w:val="4C96024D"/>
    <w:rsid w:val="4C9603F7"/>
    <w:rsid w:val="4C96649F"/>
    <w:rsid w:val="4C97005E"/>
    <w:rsid w:val="4C970202"/>
    <w:rsid w:val="4C972C2F"/>
    <w:rsid w:val="4C9743B6"/>
    <w:rsid w:val="4C974589"/>
    <w:rsid w:val="4C975D0B"/>
    <w:rsid w:val="4C9814EE"/>
    <w:rsid w:val="4C983FC5"/>
    <w:rsid w:val="4C991F08"/>
    <w:rsid w:val="4C99371C"/>
    <w:rsid w:val="4C995039"/>
    <w:rsid w:val="4C99554F"/>
    <w:rsid w:val="4C9978BA"/>
    <w:rsid w:val="4C9A0120"/>
    <w:rsid w:val="4C9A4AB5"/>
    <w:rsid w:val="4C9B3AB5"/>
    <w:rsid w:val="4C9B5863"/>
    <w:rsid w:val="4C9C18E3"/>
    <w:rsid w:val="4C9C2A40"/>
    <w:rsid w:val="4C9C39AE"/>
    <w:rsid w:val="4C9C559F"/>
    <w:rsid w:val="4C9D06B7"/>
    <w:rsid w:val="4C9D15DC"/>
    <w:rsid w:val="4C9D2539"/>
    <w:rsid w:val="4C9D3A54"/>
    <w:rsid w:val="4C9D5A7F"/>
    <w:rsid w:val="4C9E3C95"/>
    <w:rsid w:val="4C9E5354"/>
    <w:rsid w:val="4C9E67F0"/>
    <w:rsid w:val="4C9E6DC0"/>
    <w:rsid w:val="4C9E7102"/>
    <w:rsid w:val="4C9E7F31"/>
    <w:rsid w:val="4C9F2A85"/>
    <w:rsid w:val="4C9F4630"/>
    <w:rsid w:val="4C9F467E"/>
    <w:rsid w:val="4CA02E7A"/>
    <w:rsid w:val="4CA0433D"/>
    <w:rsid w:val="4CA06198"/>
    <w:rsid w:val="4CA0731E"/>
    <w:rsid w:val="4CA17D7D"/>
    <w:rsid w:val="4CA231FB"/>
    <w:rsid w:val="4CA23CDF"/>
    <w:rsid w:val="4CA24E44"/>
    <w:rsid w:val="4CA26BF2"/>
    <w:rsid w:val="4CA27D25"/>
    <w:rsid w:val="4CA27D42"/>
    <w:rsid w:val="4CA30BBC"/>
    <w:rsid w:val="4CA31BFB"/>
    <w:rsid w:val="4CA3296A"/>
    <w:rsid w:val="4CA46E0E"/>
    <w:rsid w:val="4CA51434"/>
    <w:rsid w:val="4CA55233"/>
    <w:rsid w:val="4CA66498"/>
    <w:rsid w:val="4CA706AC"/>
    <w:rsid w:val="4CA7245A"/>
    <w:rsid w:val="4CA72622"/>
    <w:rsid w:val="4CA72724"/>
    <w:rsid w:val="4CA77B53"/>
    <w:rsid w:val="4CA84268"/>
    <w:rsid w:val="4CA845D9"/>
    <w:rsid w:val="4CA8645C"/>
    <w:rsid w:val="4CA906E2"/>
    <w:rsid w:val="4CA94424"/>
    <w:rsid w:val="4CA95438"/>
    <w:rsid w:val="4CA961D2"/>
    <w:rsid w:val="4CA962A7"/>
    <w:rsid w:val="4CA974AC"/>
    <w:rsid w:val="4CAA0A58"/>
    <w:rsid w:val="4CAA3844"/>
    <w:rsid w:val="4CAA3CF8"/>
    <w:rsid w:val="4CAA5AA7"/>
    <w:rsid w:val="4CAA7BB1"/>
    <w:rsid w:val="4CAB7964"/>
    <w:rsid w:val="4CAB7DA9"/>
    <w:rsid w:val="4CAC024B"/>
    <w:rsid w:val="4CAD16C2"/>
    <w:rsid w:val="4CAD2284"/>
    <w:rsid w:val="4CAD4E55"/>
    <w:rsid w:val="4CAE158F"/>
    <w:rsid w:val="4CAE1A3B"/>
    <w:rsid w:val="4CAE37E9"/>
    <w:rsid w:val="4CAE46F8"/>
    <w:rsid w:val="4CAF130F"/>
    <w:rsid w:val="4CAF2607"/>
    <w:rsid w:val="4CAF438B"/>
    <w:rsid w:val="4CAF57B3"/>
    <w:rsid w:val="4CAF66DA"/>
    <w:rsid w:val="4CAF7561"/>
    <w:rsid w:val="4CB01B1D"/>
    <w:rsid w:val="4CB06169"/>
    <w:rsid w:val="4CB06596"/>
    <w:rsid w:val="4CB1020D"/>
    <w:rsid w:val="4CB11873"/>
    <w:rsid w:val="4CB132D9"/>
    <w:rsid w:val="4CB137D6"/>
    <w:rsid w:val="4CB15087"/>
    <w:rsid w:val="4CB163A7"/>
    <w:rsid w:val="4CB16912"/>
    <w:rsid w:val="4CB22BAD"/>
    <w:rsid w:val="4CB35FD1"/>
    <w:rsid w:val="4CB37051"/>
    <w:rsid w:val="4CB371E7"/>
    <w:rsid w:val="4CB42157"/>
    <w:rsid w:val="4CB42DC9"/>
    <w:rsid w:val="4CB44B77"/>
    <w:rsid w:val="4CB46149"/>
    <w:rsid w:val="4CB54D28"/>
    <w:rsid w:val="4CB55C44"/>
    <w:rsid w:val="4CB56786"/>
    <w:rsid w:val="4CB608EF"/>
    <w:rsid w:val="4CB61F07"/>
    <w:rsid w:val="4CB62160"/>
    <w:rsid w:val="4CB622D8"/>
    <w:rsid w:val="4CB6269D"/>
    <w:rsid w:val="4CB642BA"/>
    <w:rsid w:val="4CB64A77"/>
    <w:rsid w:val="4CB66B41"/>
    <w:rsid w:val="4CB701C3"/>
    <w:rsid w:val="4CB71349"/>
    <w:rsid w:val="4CB81145"/>
    <w:rsid w:val="4CB84018"/>
    <w:rsid w:val="4CB85AEA"/>
    <w:rsid w:val="4CB86415"/>
    <w:rsid w:val="4CB87CD7"/>
    <w:rsid w:val="4CB91F68"/>
    <w:rsid w:val="4CB9218D"/>
    <w:rsid w:val="4CB93F3C"/>
    <w:rsid w:val="4CB964C7"/>
    <w:rsid w:val="4CB96F72"/>
    <w:rsid w:val="4CBA03DF"/>
    <w:rsid w:val="4CBA1EEE"/>
    <w:rsid w:val="4CBA3F14"/>
    <w:rsid w:val="4CBA5CCA"/>
    <w:rsid w:val="4CBA6FA6"/>
    <w:rsid w:val="4CBB2B7F"/>
    <w:rsid w:val="4CBB364F"/>
    <w:rsid w:val="4CBB4158"/>
    <w:rsid w:val="4CBB5F06"/>
    <w:rsid w:val="4CBB7CB4"/>
    <w:rsid w:val="4CBC34BA"/>
    <w:rsid w:val="4CBD1C7E"/>
    <w:rsid w:val="4CBD54D7"/>
    <w:rsid w:val="4CBE1552"/>
    <w:rsid w:val="4CBE1B0F"/>
    <w:rsid w:val="4CBE4ABF"/>
    <w:rsid w:val="4CBE5DDA"/>
    <w:rsid w:val="4CBE77A4"/>
    <w:rsid w:val="4CBF2100"/>
    <w:rsid w:val="4CBF4695"/>
    <w:rsid w:val="4CBF59F6"/>
    <w:rsid w:val="4CBF7A93"/>
    <w:rsid w:val="4CBF7AF9"/>
    <w:rsid w:val="4CC0351C"/>
    <w:rsid w:val="4CC052CA"/>
    <w:rsid w:val="4CC10E03"/>
    <w:rsid w:val="4CC1157E"/>
    <w:rsid w:val="4CC208D3"/>
    <w:rsid w:val="4CC2216C"/>
    <w:rsid w:val="4CC23FEE"/>
    <w:rsid w:val="4CC245E5"/>
    <w:rsid w:val="4CC2732C"/>
    <w:rsid w:val="4CC27B3C"/>
    <w:rsid w:val="4CC319C1"/>
    <w:rsid w:val="4CC3236F"/>
    <w:rsid w:val="4CC324CA"/>
    <w:rsid w:val="4CC34DBA"/>
    <w:rsid w:val="4CC351DA"/>
    <w:rsid w:val="4CC36B68"/>
    <w:rsid w:val="4CC40862"/>
    <w:rsid w:val="4CC4090C"/>
    <w:rsid w:val="4CC411FA"/>
    <w:rsid w:val="4CC425C7"/>
    <w:rsid w:val="4CC4300C"/>
    <w:rsid w:val="4CC451D3"/>
    <w:rsid w:val="4CC5050B"/>
    <w:rsid w:val="4CC50B32"/>
    <w:rsid w:val="4CC520BD"/>
    <w:rsid w:val="4CC528E0"/>
    <w:rsid w:val="4CC56A7E"/>
    <w:rsid w:val="4CC60007"/>
    <w:rsid w:val="4CC6023B"/>
    <w:rsid w:val="4CC6045D"/>
    <w:rsid w:val="4CC614C1"/>
    <w:rsid w:val="4CC6456C"/>
    <w:rsid w:val="4CC72AFC"/>
    <w:rsid w:val="4CC72EDE"/>
    <w:rsid w:val="4CC748AA"/>
    <w:rsid w:val="4CC76658"/>
    <w:rsid w:val="4CC7713D"/>
    <w:rsid w:val="4CC805CD"/>
    <w:rsid w:val="4CC81293"/>
    <w:rsid w:val="4CC823D1"/>
    <w:rsid w:val="4CC85B76"/>
    <w:rsid w:val="4CC90623"/>
    <w:rsid w:val="4CC91AC1"/>
    <w:rsid w:val="4CC91F76"/>
    <w:rsid w:val="4CC9370E"/>
    <w:rsid w:val="4CC96874"/>
    <w:rsid w:val="4CCA2AA8"/>
    <w:rsid w:val="4CCA439B"/>
    <w:rsid w:val="4CCA5279"/>
    <w:rsid w:val="4CCA7EF7"/>
    <w:rsid w:val="4CCB21D2"/>
    <w:rsid w:val="4CCB50DA"/>
    <w:rsid w:val="4CCB580D"/>
    <w:rsid w:val="4CCC0113"/>
    <w:rsid w:val="4CCC1871"/>
    <w:rsid w:val="4CCC1EC1"/>
    <w:rsid w:val="4CCC3C6F"/>
    <w:rsid w:val="4CCE3E8B"/>
    <w:rsid w:val="4CCE5C39"/>
    <w:rsid w:val="4CCE5E23"/>
    <w:rsid w:val="4CCE6A8F"/>
    <w:rsid w:val="4CCE79E7"/>
    <w:rsid w:val="4CCF3977"/>
    <w:rsid w:val="4CCF418E"/>
    <w:rsid w:val="4CCF550D"/>
    <w:rsid w:val="4CCF6D5F"/>
    <w:rsid w:val="4CD001EF"/>
    <w:rsid w:val="4CD073CE"/>
    <w:rsid w:val="4CD07C03"/>
    <w:rsid w:val="4CD1167F"/>
    <w:rsid w:val="4CD15729"/>
    <w:rsid w:val="4CD22B0F"/>
    <w:rsid w:val="4CD25495"/>
    <w:rsid w:val="4CD27244"/>
    <w:rsid w:val="4CD27E1A"/>
    <w:rsid w:val="4CD30122"/>
    <w:rsid w:val="4CD314A1"/>
    <w:rsid w:val="4CD3324F"/>
    <w:rsid w:val="4CD35713"/>
    <w:rsid w:val="4CD36B70"/>
    <w:rsid w:val="4CD416D1"/>
    <w:rsid w:val="4CD4314F"/>
    <w:rsid w:val="4CD47F1E"/>
    <w:rsid w:val="4CD513A4"/>
    <w:rsid w:val="4CD51490"/>
    <w:rsid w:val="4CD528D8"/>
    <w:rsid w:val="4CD5363D"/>
    <w:rsid w:val="4CD55219"/>
    <w:rsid w:val="4CD572F2"/>
    <w:rsid w:val="4CD57D2F"/>
    <w:rsid w:val="4CD60902"/>
    <w:rsid w:val="4CD60F91"/>
    <w:rsid w:val="4CD61765"/>
    <w:rsid w:val="4CD62D3F"/>
    <w:rsid w:val="4CD64061"/>
    <w:rsid w:val="4CD6475A"/>
    <w:rsid w:val="4CD6689C"/>
    <w:rsid w:val="4CD66B8D"/>
    <w:rsid w:val="4CD75070"/>
    <w:rsid w:val="4CD75E2C"/>
    <w:rsid w:val="4CD80866"/>
    <w:rsid w:val="4CD81552"/>
    <w:rsid w:val="4CD82703"/>
    <w:rsid w:val="4CD8364B"/>
    <w:rsid w:val="4CD86981"/>
    <w:rsid w:val="4CD86AB8"/>
    <w:rsid w:val="4CD8739E"/>
    <w:rsid w:val="4CD94010"/>
    <w:rsid w:val="4CD945DE"/>
    <w:rsid w:val="4CDA2830"/>
    <w:rsid w:val="4CDA32AA"/>
    <w:rsid w:val="4CDA3896"/>
    <w:rsid w:val="4CDB0356"/>
    <w:rsid w:val="4CDB2104"/>
    <w:rsid w:val="4CDB29F2"/>
    <w:rsid w:val="4CDB3066"/>
    <w:rsid w:val="4CDB47A8"/>
    <w:rsid w:val="4CDB65A8"/>
    <w:rsid w:val="4CDD0A1A"/>
    <w:rsid w:val="4CDD40CE"/>
    <w:rsid w:val="4CDD5E7C"/>
    <w:rsid w:val="4CDD7C2A"/>
    <w:rsid w:val="4CDE39A2"/>
    <w:rsid w:val="4CDF1BF4"/>
    <w:rsid w:val="4CDF3C83"/>
    <w:rsid w:val="4CDF614E"/>
    <w:rsid w:val="4CDF6503"/>
    <w:rsid w:val="4CDF7E46"/>
    <w:rsid w:val="4CE01C90"/>
    <w:rsid w:val="4CE03BBE"/>
    <w:rsid w:val="4CE04669"/>
    <w:rsid w:val="4CE0596C"/>
    <w:rsid w:val="4CE0771A"/>
    <w:rsid w:val="4CE10AB5"/>
    <w:rsid w:val="4CE17EB1"/>
    <w:rsid w:val="4CE208F1"/>
    <w:rsid w:val="4CE25872"/>
    <w:rsid w:val="4CE27519"/>
    <w:rsid w:val="4CE27936"/>
    <w:rsid w:val="4CE30FB8"/>
    <w:rsid w:val="4CE33B79"/>
    <w:rsid w:val="4CE3489E"/>
    <w:rsid w:val="4CE34C1D"/>
    <w:rsid w:val="4CE356D9"/>
    <w:rsid w:val="4CE36A34"/>
    <w:rsid w:val="4CE37B6E"/>
    <w:rsid w:val="4CE40CD3"/>
    <w:rsid w:val="4CE54CFF"/>
    <w:rsid w:val="4CE62415"/>
    <w:rsid w:val="4CE63AB6"/>
    <w:rsid w:val="4CE63B56"/>
    <w:rsid w:val="4CE679B9"/>
    <w:rsid w:val="4CE70AA9"/>
    <w:rsid w:val="4CE74093"/>
    <w:rsid w:val="4CE74F4D"/>
    <w:rsid w:val="4CE76CFB"/>
    <w:rsid w:val="4CE80765"/>
    <w:rsid w:val="4CE8206F"/>
    <w:rsid w:val="4CE83658"/>
    <w:rsid w:val="4CE84AB9"/>
    <w:rsid w:val="4CE85856"/>
    <w:rsid w:val="4CE86476"/>
    <w:rsid w:val="4CE87C56"/>
    <w:rsid w:val="4CE90CC5"/>
    <w:rsid w:val="4CE916F9"/>
    <w:rsid w:val="4CE924D7"/>
    <w:rsid w:val="4CE92A73"/>
    <w:rsid w:val="4CE94821"/>
    <w:rsid w:val="4CEA0588"/>
    <w:rsid w:val="4CEA0599"/>
    <w:rsid w:val="4CEA2347"/>
    <w:rsid w:val="4CEA3F9B"/>
    <w:rsid w:val="4CEB4760"/>
    <w:rsid w:val="4CEC2563"/>
    <w:rsid w:val="4CEC2ED5"/>
    <w:rsid w:val="4CEC4311"/>
    <w:rsid w:val="4CEC60BF"/>
    <w:rsid w:val="4CEC77D5"/>
    <w:rsid w:val="4CED66AC"/>
    <w:rsid w:val="4CEE0A4E"/>
    <w:rsid w:val="4CEE1C41"/>
    <w:rsid w:val="4CEE22E8"/>
    <w:rsid w:val="4CEE39E6"/>
    <w:rsid w:val="4CEE4856"/>
    <w:rsid w:val="4CEE5F3C"/>
    <w:rsid w:val="4CEE62DB"/>
    <w:rsid w:val="4CEE7DBE"/>
    <w:rsid w:val="4CEF23CF"/>
    <w:rsid w:val="4CEF795D"/>
    <w:rsid w:val="4CF02266"/>
    <w:rsid w:val="4CF03E01"/>
    <w:rsid w:val="4CF05B1F"/>
    <w:rsid w:val="4CF136D5"/>
    <w:rsid w:val="4CF13A14"/>
    <w:rsid w:val="4CF16E87"/>
    <w:rsid w:val="4CF17B79"/>
    <w:rsid w:val="4CF17D0F"/>
    <w:rsid w:val="4CF213BF"/>
    <w:rsid w:val="4CF24CCA"/>
    <w:rsid w:val="4CF33589"/>
    <w:rsid w:val="4CF336FB"/>
    <w:rsid w:val="4CF338F1"/>
    <w:rsid w:val="4CF3744D"/>
    <w:rsid w:val="4CF40C7B"/>
    <w:rsid w:val="4CF431C6"/>
    <w:rsid w:val="4CF43D45"/>
    <w:rsid w:val="4CF44A19"/>
    <w:rsid w:val="4CF44B7D"/>
    <w:rsid w:val="4CF46753"/>
    <w:rsid w:val="4CF51418"/>
    <w:rsid w:val="4CF5512A"/>
    <w:rsid w:val="4CF55FFC"/>
    <w:rsid w:val="4CF57C60"/>
    <w:rsid w:val="4CF60CEC"/>
    <w:rsid w:val="4CF64446"/>
    <w:rsid w:val="4CF65190"/>
    <w:rsid w:val="4CF65B9C"/>
    <w:rsid w:val="4CF66040"/>
    <w:rsid w:val="4CF66F3E"/>
    <w:rsid w:val="4CF73886"/>
    <w:rsid w:val="4CF80F08"/>
    <w:rsid w:val="4CF8263C"/>
    <w:rsid w:val="4CF82CB6"/>
    <w:rsid w:val="4CF84A64"/>
    <w:rsid w:val="4CF85F6B"/>
    <w:rsid w:val="4CF907DC"/>
    <w:rsid w:val="4CF91FCC"/>
    <w:rsid w:val="4CF95AB8"/>
    <w:rsid w:val="4CFA21AD"/>
    <w:rsid w:val="4CFA4C80"/>
    <w:rsid w:val="4CFA6A2E"/>
    <w:rsid w:val="4CFA6BE0"/>
    <w:rsid w:val="4CFB09F8"/>
    <w:rsid w:val="4CFB10FF"/>
    <w:rsid w:val="4CFB1BA9"/>
    <w:rsid w:val="4CFB27A6"/>
    <w:rsid w:val="4CFB3E59"/>
    <w:rsid w:val="4CFB4554"/>
    <w:rsid w:val="4CFB48EC"/>
    <w:rsid w:val="4CFB6302"/>
    <w:rsid w:val="4CFD1977"/>
    <w:rsid w:val="4CFD207A"/>
    <w:rsid w:val="4CFD4074"/>
    <w:rsid w:val="4CFD651E"/>
    <w:rsid w:val="4CFE0BB0"/>
    <w:rsid w:val="4CFE5DF2"/>
    <w:rsid w:val="4CFF2296"/>
    <w:rsid w:val="4CFF4044"/>
    <w:rsid w:val="4CFF46FD"/>
    <w:rsid w:val="4CFF5785"/>
    <w:rsid w:val="4CFF6EE0"/>
    <w:rsid w:val="4D000D8C"/>
    <w:rsid w:val="4D001B6A"/>
    <w:rsid w:val="4D002C56"/>
    <w:rsid w:val="4D01600E"/>
    <w:rsid w:val="4D01701D"/>
    <w:rsid w:val="4D021D86"/>
    <w:rsid w:val="4D021ED2"/>
    <w:rsid w:val="4D022D79"/>
    <w:rsid w:val="4D023B34"/>
    <w:rsid w:val="4D0258E3"/>
    <w:rsid w:val="4D027691"/>
    <w:rsid w:val="4D031A83"/>
    <w:rsid w:val="4D0478AD"/>
    <w:rsid w:val="4D05056F"/>
    <w:rsid w:val="4D050CD7"/>
    <w:rsid w:val="4D052C3A"/>
    <w:rsid w:val="4D057181"/>
    <w:rsid w:val="4D0619FF"/>
    <w:rsid w:val="4D063625"/>
    <w:rsid w:val="4D070F4E"/>
    <w:rsid w:val="4D07114B"/>
    <w:rsid w:val="4D073405"/>
    <w:rsid w:val="4D07542A"/>
    <w:rsid w:val="4D07629A"/>
    <w:rsid w:val="4D07739D"/>
    <w:rsid w:val="4D080CA4"/>
    <w:rsid w:val="4D081A62"/>
    <w:rsid w:val="4D08260F"/>
    <w:rsid w:val="4D08431F"/>
    <w:rsid w:val="4D090380"/>
    <w:rsid w:val="4D095AF7"/>
    <w:rsid w:val="4D096D0D"/>
    <w:rsid w:val="4D0A1810"/>
    <w:rsid w:val="4D0A2F51"/>
    <w:rsid w:val="4D0A7035"/>
    <w:rsid w:val="4D0B0C3B"/>
    <w:rsid w:val="4D0B2CA0"/>
    <w:rsid w:val="4D0B43E1"/>
    <w:rsid w:val="4D0B5C2F"/>
    <w:rsid w:val="4D0C050F"/>
    <w:rsid w:val="4D0C0E22"/>
    <w:rsid w:val="4D0C49B3"/>
    <w:rsid w:val="4D0C5302"/>
    <w:rsid w:val="4D0D0569"/>
    <w:rsid w:val="4D0D2F13"/>
    <w:rsid w:val="4D0D367E"/>
    <w:rsid w:val="4D0D6339"/>
    <w:rsid w:val="4D0E00FB"/>
    <w:rsid w:val="4D0E072B"/>
    <w:rsid w:val="4D0E2176"/>
    <w:rsid w:val="4D0E24D9"/>
    <w:rsid w:val="4D0E267D"/>
    <w:rsid w:val="4D0E4287"/>
    <w:rsid w:val="4D0E4A4F"/>
    <w:rsid w:val="4D0E6AEB"/>
    <w:rsid w:val="4D0E78EF"/>
    <w:rsid w:val="4D0F1DAD"/>
    <w:rsid w:val="4D0F2340"/>
    <w:rsid w:val="4D0F41F2"/>
    <w:rsid w:val="4D0F7FFF"/>
    <w:rsid w:val="4D10556E"/>
    <w:rsid w:val="4D11040C"/>
    <w:rsid w:val="4D111FCA"/>
    <w:rsid w:val="4D11296A"/>
    <w:rsid w:val="4D115B26"/>
    <w:rsid w:val="4D123632"/>
    <w:rsid w:val="4D132B73"/>
    <w:rsid w:val="4D137AF0"/>
    <w:rsid w:val="4D14446C"/>
    <w:rsid w:val="4D145493"/>
    <w:rsid w:val="4D1473C4"/>
    <w:rsid w:val="4D15004A"/>
    <w:rsid w:val="4D151ABA"/>
    <w:rsid w:val="4D153868"/>
    <w:rsid w:val="4D1554C9"/>
    <w:rsid w:val="4D15772F"/>
    <w:rsid w:val="4D157ECE"/>
    <w:rsid w:val="4D160A89"/>
    <w:rsid w:val="4D161505"/>
    <w:rsid w:val="4D163647"/>
    <w:rsid w:val="4D163C3E"/>
    <w:rsid w:val="4D16575F"/>
    <w:rsid w:val="4D1657A4"/>
    <w:rsid w:val="4D1675E0"/>
    <w:rsid w:val="4D172838"/>
    <w:rsid w:val="4D17300C"/>
    <w:rsid w:val="4D175555"/>
    <w:rsid w:val="4D176606"/>
    <w:rsid w:val="4D180B27"/>
    <w:rsid w:val="4D181DE3"/>
    <w:rsid w:val="4D183358"/>
    <w:rsid w:val="4D186EB4"/>
    <w:rsid w:val="4D193516"/>
    <w:rsid w:val="4D193A6D"/>
    <w:rsid w:val="4D19531B"/>
    <w:rsid w:val="4D1A0334"/>
    <w:rsid w:val="4D1A0E7E"/>
    <w:rsid w:val="4D1A1305"/>
    <w:rsid w:val="4D1A1A87"/>
    <w:rsid w:val="4D1A2C2C"/>
    <w:rsid w:val="4D1A5A11"/>
    <w:rsid w:val="4D1A650D"/>
    <w:rsid w:val="4D1A70D0"/>
    <w:rsid w:val="4D1B09DA"/>
    <w:rsid w:val="4D1B1D7F"/>
    <w:rsid w:val="4D1B24FA"/>
    <w:rsid w:val="4D1B2EDF"/>
    <w:rsid w:val="4D1B4331"/>
    <w:rsid w:val="4D1B477C"/>
    <w:rsid w:val="4D1B4BF6"/>
    <w:rsid w:val="4D1B65FF"/>
    <w:rsid w:val="4D1B69A4"/>
    <w:rsid w:val="4D1C1C6E"/>
    <w:rsid w:val="4D1C2EB6"/>
    <w:rsid w:val="4D1C2EF1"/>
    <w:rsid w:val="4D1C4D73"/>
    <w:rsid w:val="4D1C5366"/>
    <w:rsid w:val="4D1C7EAA"/>
    <w:rsid w:val="4D1D14BA"/>
    <w:rsid w:val="4D1D44CA"/>
    <w:rsid w:val="4D1D5E80"/>
    <w:rsid w:val="4D1D7FAD"/>
    <w:rsid w:val="4D1F0243"/>
    <w:rsid w:val="4D1F028C"/>
    <w:rsid w:val="4D1F0944"/>
    <w:rsid w:val="4D1F46E6"/>
    <w:rsid w:val="4D201391"/>
    <w:rsid w:val="4D207734"/>
    <w:rsid w:val="4D21063A"/>
    <w:rsid w:val="4D211650"/>
    <w:rsid w:val="4D213A30"/>
    <w:rsid w:val="4D220322"/>
    <w:rsid w:val="4D2211D8"/>
    <w:rsid w:val="4D225F85"/>
    <w:rsid w:val="4D230F27"/>
    <w:rsid w:val="4D241CFD"/>
    <w:rsid w:val="4D24341A"/>
    <w:rsid w:val="4D244CBF"/>
    <w:rsid w:val="4D24699C"/>
    <w:rsid w:val="4D2506D7"/>
    <w:rsid w:val="4D254816"/>
    <w:rsid w:val="4D25687F"/>
    <w:rsid w:val="4D260379"/>
    <w:rsid w:val="4D263576"/>
    <w:rsid w:val="4D267823"/>
    <w:rsid w:val="4D267F38"/>
    <w:rsid w:val="4D271345"/>
    <w:rsid w:val="4D2717ED"/>
    <w:rsid w:val="4D272479"/>
    <w:rsid w:val="4D27359B"/>
    <w:rsid w:val="4D275349"/>
    <w:rsid w:val="4D2770F7"/>
    <w:rsid w:val="4D283909"/>
    <w:rsid w:val="4D286C8E"/>
    <w:rsid w:val="4D291576"/>
    <w:rsid w:val="4D292E6F"/>
    <w:rsid w:val="4D293F48"/>
    <w:rsid w:val="4D294D99"/>
    <w:rsid w:val="4D2954C5"/>
    <w:rsid w:val="4D295E56"/>
    <w:rsid w:val="4D296C01"/>
    <w:rsid w:val="4D2A05E8"/>
    <w:rsid w:val="4D2A0DFA"/>
    <w:rsid w:val="4D2A28E5"/>
    <w:rsid w:val="4D2B308B"/>
    <w:rsid w:val="4D2B4E39"/>
    <w:rsid w:val="4D2C0BB1"/>
    <w:rsid w:val="4D2C295F"/>
    <w:rsid w:val="4D2C2C79"/>
    <w:rsid w:val="4D2C54D2"/>
    <w:rsid w:val="4D2C583A"/>
    <w:rsid w:val="4D2C67F8"/>
    <w:rsid w:val="4D2C6E03"/>
    <w:rsid w:val="4D2D2AB6"/>
    <w:rsid w:val="4D2E0486"/>
    <w:rsid w:val="4D2E0BA0"/>
    <w:rsid w:val="4D2E2B7B"/>
    <w:rsid w:val="4D2E492A"/>
    <w:rsid w:val="4D2F07C8"/>
    <w:rsid w:val="4D2F1D3D"/>
    <w:rsid w:val="4D2F209B"/>
    <w:rsid w:val="4D2F2177"/>
    <w:rsid w:val="4D2F26D0"/>
    <w:rsid w:val="4D2F304D"/>
    <w:rsid w:val="4D2F5DDE"/>
    <w:rsid w:val="4D2F68CF"/>
    <w:rsid w:val="4D2F7140"/>
    <w:rsid w:val="4D2F7A65"/>
    <w:rsid w:val="4D3006A2"/>
    <w:rsid w:val="4D302450"/>
    <w:rsid w:val="4D304C6C"/>
    <w:rsid w:val="4D310332"/>
    <w:rsid w:val="4D312395"/>
    <w:rsid w:val="4D3124AA"/>
    <w:rsid w:val="4D31282B"/>
    <w:rsid w:val="4D31441A"/>
    <w:rsid w:val="4D3160FC"/>
    <w:rsid w:val="4D3161C8"/>
    <w:rsid w:val="4D3175D0"/>
    <w:rsid w:val="4D317F76"/>
    <w:rsid w:val="4D321EEC"/>
    <w:rsid w:val="4D32215D"/>
    <w:rsid w:val="4D32758C"/>
    <w:rsid w:val="4D327B66"/>
    <w:rsid w:val="4D331F40"/>
    <w:rsid w:val="4D3335ED"/>
    <w:rsid w:val="4D333CEE"/>
    <w:rsid w:val="4D3354CE"/>
    <w:rsid w:val="4D33703F"/>
    <w:rsid w:val="4D3412AE"/>
    <w:rsid w:val="4D341814"/>
    <w:rsid w:val="4D341EAC"/>
    <w:rsid w:val="4D35120C"/>
    <w:rsid w:val="4D353521"/>
    <w:rsid w:val="4D355F0D"/>
    <w:rsid w:val="4D356CEC"/>
    <w:rsid w:val="4D360ADE"/>
    <w:rsid w:val="4D3637DE"/>
    <w:rsid w:val="4D36558C"/>
    <w:rsid w:val="4D366C69"/>
    <w:rsid w:val="4D37082D"/>
    <w:rsid w:val="4D371A30"/>
    <w:rsid w:val="4D371F6E"/>
    <w:rsid w:val="4D3729A8"/>
    <w:rsid w:val="4D381304"/>
    <w:rsid w:val="4D381CBD"/>
    <w:rsid w:val="4D385576"/>
    <w:rsid w:val="4D3857A8"/>
    <w:rsid w:val="4D387556"/>
    <w:rsid w:val="4D39434A"/>
    <w:rsid w:val="4D3A1043"/>
    <w:rsid w:val="4D3A507C"/>
    <w:rsid w:val="4D3A6EA3"/>
    <w:rsid w:val="4D3B063E"/>
    <w:rsid w:val="4D3B0DF4"/>
    <w:rsid w:val="4D3B2BA3"/>
    <w:rsid w:val="4D3B3CAF"/>
    <w:rsid w:val="4D3C320F"/>
    <w:rsid w:val="4D3C5DDD"/>
    <w:rsid w:val="4D3C6C8D"/>
    <w:rsid w:val="4D3C6F84"/>
    <w:rsid w:val="4D3C7046"/>
    <w:rsid w:val="4D3D00D9"/>
    <w:rsid w:val="4D3D2620"/>
    <w:rsid w:val="4D3D2DBF"/>
    <w:rsid w:val="4D3D469F"/>
    <w:rsid w:val="4D3D5DE0"/>
    <w:rsid w:val="4D3D691B"/>
    <w:rsid w:val="4D3F08E5"/>
    <w:rsid w:val="4D3F5A9B"/>
    <w:rsid w:val="4D3F6B37"/>
    <w:rsid w:val="4D4001B9"/>
    <w:rsid w:val="4D40241F"/>
    <w:rsid w:val="4D403020"/>
    <w:rsid w:val="4D4128AF"/>
    <w:rsid w:val="4D41465D"/>
    <w:rsid w:val="4D416E20"/>
    <w:rsid w:val="4D4203D5"/>
    <w:rsid w:val="4D423F31"/>
    <w:rsid w:val="4D43162C"/>
    <w:rsid w:val="4D4327B0"/>
    <w:rsid w:val="4D4330E2"/>
    <w:rsid w:val="4D4350F1"/>
    <w:rsid w:val="4D44414D"/>
    <w:rsid w:val="4D444572"/>
    <w:rsid w:val="4D444646"/>
    <w:rsid w:val="4D445597"/>
    <w:rsid w:val="4D4526F2"/>
    <w:rsid w:val="4D455202"/>
    <w:rsid w:val="4D455A02"/>
    <w:rsid w:val="4D461C73"/>
    <w:rsid w:val="4D464AB5"/>
    <w:rsid w:val="4D466E92"/>
    <w:rsid w:val="4D467EC5"/>
    <w:rsid w:val="4D470EE5"/>
    <w:rsid w:val="4D477799"/>
    <w:rsid w:val="4D487C17"/>
    <w:rsid w:val="4D490D91"/>
    <w:rsid w:val="4D491763"/>
    <w:rsid w:val="4D493511"/>
    <w:rsid w:val="4D493BAB"/>
    <w:rsid w:val="4D4A301A"/>
    <w:rsid w:val="4D4A7BE1"/>
    <w:rsid w:val="4D4B0133"/>
    <w:rsid w:val="4D4B2544"/>
    <w:rsid w:val="4D4B4653"/>
    <w:rsid w:val="4D4B54DB"/>
    <w:rsid w:val="4D4B7289"/>
    <w:rsid w:val="4D4C3002"/>
    <w:rsid w:val="4D4C4DB0"/>
    <w:rsid w:val="4D4D1254"/>
    <w:rsid w:val="4D4D4DDF"/>
    <w:rsid w:val="4D4D75AB"/>
    <w:rsid w:val="4D4D7800"/>
    <w:rsid w:val="4D4E0B28"/>
    <w:rsid w:val="4D4E54D9"/>
    <w:rsid w:val="4D4E7696"/>
    <w:rsid w:val="4D4F1685"/>
    <w:rsid w:val="4D4F5166"/>
    <w:rsid w:val="4D5018B2"/>
    <w:rsid w:val="4D502AF2"/>
    <w:rsid w:val="4D5048A0"/>
    <w:rsid w:val="4D50664E"/>
    <w:rsid w:val="4D50765F"/>
    <w:rsid w:val="4D507F44"/>
    <w:rsid w:val="4D5100F0"/>
    <w:rsid w:val="4D510618"/>
    <w:rsid w:val="4D513928"/>
    <w:rsid w:val="4D513FA5"/>
    <w:rsid w:val="4D515DB4"/>
    <w:rsid w:val="4D516679"/>
    <w:rsid w:val="4D530006"/>
    <w:rsid w:val="4D5325E2"/>
    <w:rsid w:val="4D532CFB"/>
    <w:rsid w:val="4D534875"/>
    <w:rsid w:val="4D537EEC"/>
    <w:rsid w:val="4D541496"/>
    <w:rsid w:val="4D5476D3"/>
    <w:rsid w:val="4D550108"/>
    <w:rsid w:val="4D551EB6"/>
    <w:rsid w:val="4D553DB6"/>
    <w:rsid w:val="4D56230A"/>
    <w:rsid w:val="4D5665E0"/>
    <w:rsid w:val="4D5679DC"/>
    <w:rsid w:val="4D57435B"/>
    <w:rsid w:val="4D57657B"/>
    <w:rsid w:val="4D583E78"/>
    <w:rsid w:val="4D587BF8"/>
    <w:rsid w:val="4D591183"/>
    <w:rsid w:val="4D592737"/>
    <w:rsid w:val="4D5932A3"/>
    <w:rsid w:val="4D5954A8"/>
    <w:rsid w:val="4D5A127B"/>
    <w:rsid w:val="4D5A3970"/>
    <w:rsid w:val="4D5A3BC7"/>
    <w:rsid w:val="4D5A593F"/>
    <w:rsid w:val="4D5A7023"/>
    <w:rsid w:val="4D5A74CD"/>
    <w:rsid w:val="4D5B09D5"/>
    <w:rsid w:val="4D5B1ADC"/>
    <w:rsid w:val="4D5B2B82"/>
    <w:rsid w:val="4D5B7C28"/>
    <w:rsid w:val="4D5C3245"/>
    <w:rsid w:val="4D5C33CD"/>
    <w:rsid w:val="4D5C5644"/>
    <w:rsid w:val="4D5C7866"/>
    <w:rsid w:val="4D5D0B93"/>
    <w:rsid w:val="4D5D520F"/>
    <w:rsid w:val="4D5D7491"/>
    <w:rsid w:val="4D5E368A"/>
    <w:rsid w:val="4D5E453C"/>
    <w:rsid w:val="4D5E5F88"/>
    <w:rsid w:val="4D5F0F87"/>
    <w:rsid w:val="4D5F100A"/>
    <w:rsid w:val="4D5F45EE"/>
    <w:rsid w:val="4D5F4AE3"/>
    <w:rsid w:val="4D5F4F1C"/>
    <w:rsid w:val="4D5F5A1A"/>
    <w:rsid w:val="4D60310C"/>
    <w:rsid w:val="4D605D68"/>
    <w:rsid w:val="4D606C2D"/>
    <w:rsid w:val="4D61085B"/>
    <w:rsid w:val="4D616AAD"/>
    <w:rsid w:val="4D616B71"/>
    <w:rsid w:val="4D6229C2"/>
    <w:rsid w:val="4D6245D3"/>
    <w:rsid w:val="4D626381"/>
    <w:rsid w:val="4D64034B"/>
    <w:rsid w:val="4D64784A"/>
    <w:rsid w:val="4D651E53"/>
    <w:rsid w:val="4D653147"/>
    <w:rsid w:val="4D660221"/>
    <w:rsid w:val="4D661307"/>
    <w:rsid w:val="4D662315"/>
    <w:rsid w:val="4D6640C3"/>
    <w:rsid w:val="4D664D3B"/>
    <w:rsid w:val="4D666E75"/>
    <w:rsid w:val="4D671BE9"/>
    <w:rsid w:val="4D673998"/>
    <w:rsid w:val="4D6761CB"/>
    <w:rsid w:val="4D67790C"/>
    <w:rsid w:val="4D677E3B"/>
    <w:rsid w:val="4D680118"/>
    <w:rsid w:val="4D69222C"/>
    <w:rsid w:val="4D693BB4"/>
    <w:rsid w:val="4D694DD5"/>
    <w:rsid w:val="4D694DFD"/>
    <w:rsid w:val="4D695962"/>
    <w:rsid w:val="4D697710"/>
    <w:rsid w:val="4D6A38FE"/>
    <w:rsid w:val="4D6A5AC6"/>
    <w:rsid w:val="4D6B16DA"/>
    <w:rsid w:val="4D6B3488"/>
    <w:rsid w:val="4D6B792C"/>
    <w:rsid w:val="4D6D1D86"/>
    <w:rsid w:val="4D6D2BF0"/>
    <w:rsid w:val="4D6D36A4"/>
    <w:rsid w:val="4D6E08C5"/>
    <w:rsid w:val="4D6E11CA"/>
    <w:rsid w:val="4D6E2F78"/>
    <w:rsid w:val="4D6E4D26"/>
    <w:rsid w:val="4D6E5D95"/>
    <w:rsid w:val="4D6F109A"/>
    <w:rsid w:val="4D6F3625"/>
    <w:rsid w:val="4D6F478C"/>
    <w:rsid w:val="4D7006C7"/>
    <w:rsid w:val="4D7009BD"/>
    <w:rsid w:val="4D700A9E"/>
    <w:rsid w:val="4D70226F"/>
    <w:rsid w:val="4D703440"/>
    <w:rsid w:val="4D7035CF"/>
    <w:rsid w:val="4D706CF0"/>
    <w:rsid w:val="4D7109F4"/>
    <w:rsid w:val="4D714816"/>
    <w:rsid w:val="4D715103"/>
    <w:rsid w:val="4D720CBA"/>
    <w:rsid w:val="4D722A68"/>
    <w:rsid w:val="4D730311"/>
    <w:rsid w:val="4D731F9A"/>
    <w:rsid w:val="4D732205"/>
    <w:rsid w:val="4D73249A"/>
    <w:rsid w:val="4D736796"/>
    <w:rsid w:val="4D7367E0"/>
    <w:rsid w:val="4D737BCA"/>
    <w:rsid w:val="4D741F0F"/>
    <w:rsid w:val="4D746D8D"/>
    <w:rsid w:val="4D753674"/>
    <w:rsid w:val="4D7545FE"/>
    <w:rsid w:val="4D755D19"/>
    <w:rsid w:val="4D7560E1"/>
    <w:rsid w:val="4D757D4E"/>
    <w:rsid w:val="4D764DF5"/>
    <w:rsid w:val="4D7762D0"/>
    <w:rsid w:val="4D78714F"/>
    <w:rsid w:val="4D793CA5"/>
    <w:rsid w:val="4D795E80"/>
    <w:rsid w:val="4D7A36CB"/>
    <w:rsid w:val="4D7A50A5"/>
    <w:rsid w:val="4D7A68BD"/>
    <w:rsid w:val="4D7B7443"/>
    <w:rsid w:val="4D7C0A37"/>
    <w:rsid w:val="4D7C38E7"/>
    <w:rsid w:val="4D7C5695"/>
    <w:rsid w:val="4D7C5DE7"/>
    <w:rsid w:val="4D7D1B31"/>
    <w:rsid w:val="4D7D31BB"/>
    <w:rsid w:val="4D7D65B1"/>
    <w:rsid w:val="4D7D692C"/>
    <w:rsid w:val="4D7E6C27"/>
    <w:rsid w:val="4D7E765F"/>
    <w:rsid w:val="4D7F0CE1"/>
    <w:rsid w:val="4D7F21B3"/>
    <w:rsid w:val="4D7F33D7"/>
    <w:rsid w:val="4D7F6F33"/>
    <w:rsid w:val="4D7F7F40"/>
    <w:rsid w:val="4D8004B2"/>
    <w:rsid w:val="4D801AEF"/>
    <w:rsid w:val="4D803D4D"/>
    <w:rsid w:val="4D8052E4"/>
    <w:rsid w:val="4D810EFD"/>
    <w:rsid w:val="4D812CAB"/>
    <w:rsid w:val="4D815253"/>
    <w:rsid w:val="4D822DD2"/>
    <w:rsid w:val="4D826A23"/>
    <w:rsid w:val="4D8352F8"/>
    <w:rsid w:val="4D8409ED"/>
    <w:rsid w:val="4D844549"/>
    <w:rsid w:val="4D8502C3"/>
    <w:rsid w:val="4D852E94"/>
    <w:rsid w:val="4D87059A"/>
    <w:rsid w:val="4D873F3A"/>
    <w:rsid w:val="4D876D1B"/>
    <w:rsid w:val="4D881B7D"/>
    <w:rsid w:val="4D88228C"/>
    <w:rsid w:val="4D886C44"/>
    <w:rsid w:val="4D891B60"/>
    <w:rsid w:val="4D892A45"/>
    <w:rsid w:val="4D897DB2"/>
    <w:rsid w:val="4D8A0683"/>
    <w:rsid w:val="4D8B1D7C"/>
    <w:rsid w:val="4D8B2069"/>
    <w:rsid w:val="4D8B34B4"/>
    <w:rsid w:val="4D8B3B2A"/>
    <w:rsid w:val="4D8C1650"/>
    <w:rsid w:val="4D8C33FE"/>
    <w:rsid w:val="4D8C5624"/>
    <w:rsid w:val="4D8D78A2"/>
    <w:rsid w:val="4D8E1BF9"/>
    <w:rsid w:val="4D8E2AB6"/>
    <w:rsid w:val="4D8E361A"/>
    <w:rsid w:val="4D8E53C8"/>
    <w:rsid w:val="4D8E5687"/>
    <w:rsid w:val="4D8E608C"/>
    <w:rsid w:val="4D8F6B17"/>
    <w:rsid w:val="4D8F7340"/>
    <w:rsid w:val="4D8F76D3"/>
    <w:rsid w:val="4D90440A"/>
    <w:rsid w:val="4D911DA1"/>
    <w:rsid w:val="4D913557"/>
    <w:rsid w:val="4D9158EE"/>
    <w:rsid w:val="4D9211BF"/>
    <w:rsid w:val="4D922250"/>
    <w:rsid w:val="4D92310A"/>
    <w:rsid w:val="4D924EB8"/>
    <w:rsid w:val="4D926C66"/>
    <w:rsid w:val="4D931B82"/>
    <w:rsid w:val="4D9329DF"/>
    <w:rsid w:val="4D933B71"/>
    <w:rsid w:val="4D934966"/>
    <w:rsid w:val="4D937972"/>
    <w:rsid w:val="4D944593"/>
    <w:rsid w:val="4D946928"/>
    <w:rsid w:val="4D950505"/>
    <w:rsid w:val="4D952989"/>
    <w:rsid w:val="4D9549A9"/>
    <w:rsid w:val="4D9555CE"/>
    <w:rsid w:val="4D9662FC"/>
    <w:rsid w:val="4D9724CF"/>
    <w:rsid w:val="4D973DDB"/>
    <w:rsid w:val="4D974E85"/>
    <w:rsid w:val="4D98024B"/>
    <w:rsid w:val="4D980D45"/>
    <w:rsid w:val="4D98130A"/>
    <w:rsid w:val="4D981DA3"/>
    <w:rsid w:val="4D986247"/>
    <w:rsid w:val="4D987FF5"/>
    <w:rsid w:val="4D9923C8"/>
    <w:rsid w:val="4D996685"/>
    <w:rsid w:val="4D9A0864"/>
    <w:rsid w:val="4D9A1FBF"/>
    <w:rsid w:val="4D9A27D1"/>
    <w:rsid w:val="4D9A2D9D"/>
    <w:rsid w:val="4D9A38A9"/>
    <w:rsid w:val="4D9A3C2A"/>
    <w:rsid w:val="4D9A3D6D"/>
    <w:rsid w:val="4D9A55DF"/>
    <w:rsid w:val="4D9B3EA0"/>
    <w:rsid w:val="4D9B4CFD"/>
    <w:rsid w:val="4D9B50BA"/>
    <w:rsid w:val="4D9B6278"/>
    <w:rsid w:val="4D9C0793"/>
    <w:rsid w:val="4D9C13B3"/>
    <w:rsid w:val="4D9C5D37"/>
    <w:rsid w:val="4D9C6513"/>
    <w:rsid w:val="4D9C6910"/>
    <w:rsid w:val="4D9C7694"/>
    <w:rsid w:val="4D9C7AE5"/>
    <w:rsid w:val="4D9D385D"/>
    <w:rsid w:val="4D9D79DA"/>
    <w:rsid w:val="4D9E1AAF"/>
    <w:rsid w:val="4D9E1F61"/>
    <w:rsid w:val="4D9E37FA"/>
    <w:rsid w:val="4D9E7443"/>
    <w:rsid w:val="4D9E7587"/>
    <w:rsid w:val="4D9F1383"/>
    <w:rsid w:val="4D9F3131"/>
    <w:rsid w:val="4D9F5602"/>
    <w:rsid w:val="4D9F660C"/>
    <w:rsid w:val="4DA00871"/>
    <w:rsid w:val="4DA022AA"/>
    <w:rsid w:val="4DA04ECB"/>
    <w:rsid w:val="4DA10F2C"/>
    <w:rsid w:val="4DA1116C"/>
    <w:rsid w:val="4DA130C5"/>
    <w:rsid w:val="4DA1334D"/>
    <w:rsid w:val="4DA150FB"/>
    <w:rsid w:val="4DA155CD"/>
    <w:rsid w:val="4DA16EA9"/>
    <w:rsid w:val="4DA223BC"/>
    <w:rsid w:val="4DA22C22"/>
    <w:rsid w:val="4DA24A79"/>
    <w:rsid w:val="4DA34F8D"/>
    <w:rsid w:val="4DA35692"/>
    <w:rsid w:val="4DA370C6"/>
    <w:rsid w:val="4DA37C53"/>
    <w:rsid w:val="4DA400C4"/>
    <w:rsid w:val="4DA41222"/>
    <w:rsid w:val="4DA42BE1"/>
    <w:rsid w:val="4DA42E3E"/>
    <w:rsid w:val="4DA437AE"/>
    <w:rsid w:val="4DA44F26"/>
    <w:rsid w:val="4DA45221"/>
    <w:rsid w:val="4DA4641D"/>
    <w:rsid w:val="4DA4699A"/>
    <w:rsid w:val="4DA4715E"/>
    <w:rsid w:val="4DA478AD"/>
    <w:rsid w:val="4DA60964"/>
    <w:rsid w:val="4DA621CD"/>
    <w:rsid w:val="4DA70238"/>
    <w:rsid w:val="4DA768AC"/>
    <w:rsid w:val="4DA818A3"/>
    <w:rsid w:val="4DA837CC"/>
    <w:rsid w:val="4DA846DC"/>
    <w:rsid w:val="4DA8648A"/>
    <w:rsid w:val="4DA90454"/>
    <w:rsid w:val="4DA91C75"/>
    <w:rsid w:val="4DA92202"/>
    <w:rsid w:val="4DA96587"/>
    <w:rsid w:val="4DA976BE"/>
    <w:rsid w:val="4DAB1AD6"/>
    <w:rsid w:val="4DAB46E8"/>
    <w:rsid w:val="4DAB5F7A"/>
    <w:rsid w:val="4DAB60AB"/>
    <w:rsid w:val="4DAB6ABE"/>
    <w:rsid w:val="4DAB7D28"/>
    <w:rsid w:val="4DAC07FF"/>
    <w:rsid w:val="4DAC584E"/>
    <w:rsid w:val="4DAC603F"/>
    <w:rsid w:val="4DAD168E"/>
    <w:rsid w:val="4DAD3AA0"/>
    <w:rsid w:val="4DAD74CF"/>
    <w:rsid w:val="4DAD7E6E"/>
    <w:rsid w:val="4DAE020B"/>
    <w:rsid w:val="4DAE095F"/>
    <w:rsid w:val="4DAE15C6"/>
    <w:rsid w:val="4DAE1980"/>
    <w:rsid w:val="4DAE5A6A"/>
    <w:rsid w:val="4DAE6685"/>
    <w:rsid w:val="4DAE7818"/>
    <w:rsid w:val="4DAF3530"/>
    <w:rsid w:val="4DAF7B35"/>
    <w:rsid w:val="4DB017E2"/>
    <w:rsid w:val="4DB03590"/>
    <w:rsid w:val="4DB049C0"/>
    <w:rsid w:val="4DB0533F"/>
    <w:rsid w:val="4DB059B3"/>
    <w:rsid w:val="4DB05E50"/>
    <w:rsid w:val="4DB12E65"/>
    <w:rsid w:val="4DB14284"/>
    <w:rsid w:val="4DB1767E"/>
    <w:rsid w:val="4DB2111E"/>
    <w:rsid w:val="4DB30B60"/>
    <w:rsid w:val="4DB33341"/>
    <w:rsid w:val="4DB341F0"/>
    <w:rsid w:val="4DB34209"/>
    <w:rsid w:val="4DB34E47"/>
    <w:rsid w:val="4DB37DB7"/>
    <w:rsid w:val="4DB41AB9"/>
    <w:rsid w:val="4DB43081"/>
    <w:rsid w:val="4DB447D1"/>
    <w:rsid w:val="4DB45069"/>
    <w:rsid w:val="4DB53377"/>
    <w:rsid w:val="4DB54912"/>
    <w:rsid w:val="4DB57861"/>
    <w:rsid w:val="4DB63E04"/>
    <w:rsid w:val="4DB66C1C"/>
    <w:rsid w:val="4DB708A2"/>
    <w:rsid w:val="4DB72B71"/>
    <w:rsid w:val="4DB766CD"/>
    <w:rsid w:val="4DB76DBD"/>
    <w:rsid w:val="4DB841F3"/>
    <w:rsid w:val="4DB85903"/>
    <w:rsid w:val="4DB85E98"/>
    <w:rsid w:val="4DB90697"/>
    <w:rsid w:val="4DB90E66"/>
    <w:rsid w:val="4DB9552E"/>
    <w:rsid w:val="4DB964A1"/>
    <w:rsid w:val="4DBA54D7"/>
    <w:rsid w:val="4DBA61BD"/>
    <w:rsid w:val="4DBA7F6B"/>
    <w:rsid w:val="4DBB3A99"/>
    <w:rsid w:val="4DBB46A4"/>
    <w:rsid w:val="4DBB5413"/>
    <w:rsid w:val="4DBC0187"/>
    <w:rsid w:val="4DBC2E93"/>
    <w:rsid w:val="4DBC3274"/>
    <w:rsid w:val="4DBC3CE3"/>
    <w:rsid w:val="4DBC43F3"/>
    <w:rsid w:val="4DBD6FC4"/>
    <w:rsid w:val="4DBD7A51"/>
    <w:rsid w:val="4DBD7A5B"/>
    <w:rsid w:val="4DBE0454"/>
    <w:rsid w:val="4DBE107C"/>
    <w:rsid w:val="4DBE1B95"/>
    <w:rsid w:val="4DBE3EFF"/>
    <w:rsid w:val="4DBE65D6"/>
    <w:rsid w:val="4DBF18E4"/>
    <w:rsid w:val="4DBF1A26"/>
    <w:rsid w:val="4DBF3025"/>
    <w:rsid w:val="4DBF37D4"/>
    <w:rsid w:val="4DBF5582"/>
    <w:rsid w:val="4DC06C81"/>
    <w:rsid w:val="4DC112FA"/>
    <w:rsid w:val="4DC1173F"/>
    <w:rsid w:val="4DC16B5E"/>
    <w:rsid w:val="4DC31516"/>
    <w:rsid w:val="4DC33239"/>
    <w:rsid w:val="4DC332C4"/>
    <w:rsid w:val="4DC374C3"/>
    <w:rsid w:val="4DC37806"/>
    <w:rsid w:val="4DC40316"/>
    <w:rsid w:val="4DC40DEA"/>
    <w:rsid w:val="4DC42B98"/>
    <w:rsid w:val="4DC4528E"/>
    <w:rsid w:val="4DC50327"/>
    <w:rsid w:val="4DC52D87"/>
    <w:rsid w:val="4DC617B7"/>
    <w:rsid w:val="4DC62DB4"/>
    <w:rsid w:val="4DC64B62"/>
    <w:rsid w:val="4DC65200"/>
    <w:rsid w:val="4DC66910"/>
    <w:rsid w:val="4DC70076"/>
    <w:rsid w:val="4DC7187F"/>
    <w:rsid w:val="4DC755CE"/>
    <w:rsid w:val="4DC757F7"/>
    <w:rsid w:val="4DC8168A"/>
    <w:rsid w:val="4DC8396C"/>
    <w:rsid w:val="4DC85818"/>
    <w:rsid w:val="4DC86B2C"/>
    <w:rsid w:val="4DC94652"/>
    <w:rsid w:val="4DC95567"/>
    <w:rsid w:val="4DC97B82"/>
    <w:rsid w:val="4DCA0B22"/>
    <w:rsid w:val="4DCA0FA6"/>
    <w:rsid w:val="4DCA28A4"/>
    <w:rsid w:val="4DCA32CE"/>
    <w:rsid w:val="4DCB03CA"/>
    <w:rsid w:val="4DCB2178"/>
    <w:rsid w:val="4DCB2A58"/>
    <w:rsid w:val="4DCB3E1E"/>
    <w:rsid w:val="4DCB4199"/>
    <w:rsid w:val="4DCB44B3"/>
    <w:rsid w:val="4DCB56CC"/>
    <w:rsid w:val="4DCC2C28"/>
    <w:rsid w:val="4DCC2D77"/>
    <w:rsid w:val="4DCC4AAA"/>
    <w:rsid w:val="4DCC4D0C"/>
    <w:rsid w:val="4DCC5629"/>
    <w:rsid w:val="4DCD2506"/>
    <w:rsid w:val="4DCD321F"/>
    <w:rsid w:val="4DCD4142"/>
    <w:rsid w:val="4DCD4433"/>
    <w:rsid w:val="4DCD4B02"/>
    <w:rsid w:val="4DCD751B"/>
    <w:rsid w:val="4DCD7C9F"/>
    <w:rsid w:val="4DCE1C69"/>
    <w:rsid w:val="4DCE25D9"/>
    <w:rsid w:val="4DCE39F7"/>
    <w:rsid w:val="4DCE3A17"/>
    <w:rsid w:val="4DCF07E5"/>
    <w:rsid w:val="4DCF5C0E"/>
    <w:rsid w:val="4DCF7EBB"/>
    <w:rsid w:val="4DD00CF6"/>
    <w:rsid w:val="4DD01E87"/>
    <w:rsid w:val="4DD036B6"/>
    <w:rsid w:val="4DD10ED8"/>
    <w:rsid w:val="4DD13F67"/>
    <w:rsid w:val="4DD164C4"/>
    <w:rsid w:val="4DD20A64"/>
    <w:rsid w:val="4DD21759"/>
    <w:rsid w:val="4DD22BE0"/>
    <w:rsid w:val="4DD23507"/>
    <w:rsid w:val="4DD277F6"/>
    <w:rsid w:val="4DD27D5A"/>
    <w:rsid w:val="4DD3102D"/>
    <w:rsid w:val="4DD311EA"/>
    <w:rsid w:val="4DD35783"/>
    <w:rsid w:val="4DD37534"/>
    <w:rsid w:val="4DD41008"/>
    <w:rsid w:val="4DD423EE"/>
    <w:rsid w:val="4DD4267A"/>
    <w:rsid w:val="4DD42ADC"/>
    <w:rsid w:val="4DD42B6D"/>
    <w:rsid w:val="4DD454D1"/>
    <w:rsid w:val="4DD51249"/>
    <w:rsid w:val="4DD52FF7"/>
    <w:rsid w:val="4DD5524B"/>
    <w:rsid w:val="4DD57C24"/>
    <w:rsid w:val="4DD612AC"/>
    <w:rsid w:val="4DD65E9C"/>
    <w:rsid w:val="4DD70B1D"/>
    <w:rsid w:val="4DD70FFB"/>
    <w:rsid w:val="4DD728CB"/>
    <w:rsid w:val="4DD74934"/>
    <w:rsid w:val="4DD74FC1"/>
    <w:rsid w:val="4DD75353"/>
    <w:rsid w:val="4DD76D6F"/>
    <w:rsid w:val="4DD80483"/>
    <w:rsid w:val="4DD82044"/>
    <w:rsid w:val="4DD820A8"/>
    <w:rsid w:val="4DD83BCC"/>
    <w:rsid w:val="4DD86643"/>
    <w:rsid w:val="4DD86F98"/>
    <w:rsid w:val="4DD909BC"/>
    <w:rsid w:val="4DD90BD6"/>
    <w:rsid w:val="4DD92AE7"/>
    <w:rsid w:val="4DD9799A"/>
    <w:rsid w:val="4DDA23BB"/>
    <w:rsid w:val="4DDA4FE1"/>
    <w:rsid w:val="4DDB0306"/>
    <w:rsid w:val="4DDC25D7"/>
    <w:rsid w:val="4DDC4386"/>
    <w:rsid w:val="4DDC4391"/>
    <w:rsid w:val="4DDC45EB"/>
    <w:rsid w:val="4DDC507E"/>
    <w:rsid w:val="4DDD3C5A"/>
    <w:rsid w:val="4DDD4E6D"/>
    <w:rsid w:val="4DDE493C"/>
    <w:rsid w:val="4DDE4A89"/>
    <w:rsid w:val="4DDE6EB9"/>
    <w:rsid w:val="4DDE7A3E"/>
    <w:rsid w:val="4DDF1AE9"/>
    <w:rsid w:val="4DDF2416"/>
    <w:rsid w:val="4DDF3E76"/>
    <w:rsid w:val="4DDF48B4"/>
    <w:rsid w:val="4DE11820"/>
    <w:rsid w:val="4DE13545"/>
    <w:rsid w:val="4DE1374A"/>
    <w:rsid w:val="4DE13DC5"/>
    <w:rsid w:val="4DE14C7E"/>
    <w:rsid w:val="4DE17BEE"/>
    <w:rsid w:val="4DE26F7D"/>
    <w:rsid w:val="4DE2784F"/>
    <w:rsid w:val="4DE30C07"/>
    <w:rsid w:val="4DE374C2"/>
    <w:rsid w:val="4DE4148C"/>
    <w:rsid w:val="4DE4323A"/>
    <w:rsid w:val="4DE438B0"/>
    <w:rsid w:val="4DE43E50"/>
    <w:rsid w:val="4DE44058"/>
    <w:rsid w:val="4DE44FE8"/>
    <w:rsid w:val="4DE45D18"/>
    <w:rsid w:val="4DE50EDB"/>
    <w:rsid w:val="4DE52DC1"/>
    <w:rsid w:val="4DE561D0"/>
    <w:rsid w:val="4DE57304"/>
    <w:rsid w:val="4DE60D60"/>
    <w:rsid w:val="4DE62DA3"/>
    <w:rsid w:val="4DE65204"/>
    <w:rsid w:val="4DE66FB2"/>
    <w:rsid w:val="4DE67660"/>
    <w:rsid w:val="4DE80F7C"/>
    <w:rsid w:val="4DE84AD8"/>
    <w:rsid w:val="4DE90850"/>
    <w:rsid w:val="4DE94698"/>
    <w:rsid w:val="4DEA50C8"/>
    <w:rsid w:val="4DEA7907"/>
    <w:rsid w:val="4DEB281B"/>
    <w:rsid w:val="4DEB45C9"/>
    <w:rsid w:val="4DEC4FB0"/>
    <w:rsid w:val="4DED50AF"/>
    <w:rsid w:val="4DED5C5C"/>
    <w:rsid w:val="4DED62A8"/>
    <w:rsid w:val="4DED6593"/>
    <w:rsid w:val="4DEE47A1"/>
    <w:rsid w:val="4DEE4A39"/>
    <w:rsid w:val="4DEF09C3"/>
    <w:rsid w:val="4DEF230B"/>
    <w:rsid w:val="4DEF40B9"/>
    <w:rsid w:val="4DEF5D69"/>
    <w:rsid w:val="4DEF7282"/>
    <w:rsid w:val="4DEF7C05"/>
    <w:rsid w:val="4DF01BDF"/>
    <w:rsid w:val="4DF01E53"/>
    <w:rsid w:val="4DF05D30"/>
    <w:rsid w:val="4DF05F69"/>
    <w:rsid w:val="4DF06083"/>
    <w:rsid w:val="4DF07DEB"/>
    <w:rsid w:val="4DF07E31"/>
    <w:rsid w:val="4DF146FE"/>
    <w:rsid w:val="4DF14773"/>
    <w:rsid w:val="4DF15EB4"/>
    <w:rsid w:val="4DF203D5"/>
    <w:rsid w:val="4DF23BA9"/>
    <w:rsid w:val="4DF25AA6"/>
    <w:rsid w:val="4DF26445"/>
    <w:rsid w:val="4DF26BF1"/>
    <w:rsid w:val="4DF27705"/>
    <w:rsid w:val="4DF307D4"/>
    <w:rsid w:val="4DF3347D"/>
    <w:rsid w:val="4DF37080"/>
    <w:rsid w:val="4DF416CF"/>
    <w:rsid w:val="4DF427AC"/>
    <w:rsid w:val="4DF47921"/>
    <w:rsid w:val="4DF52DA3"/>
    <w:rsid w:val="4DF53699"/>
    <w:rsid w:val="4DF571F5"/>
    <w:rsid w:val="4DF5761F"/>
    <w:rsid w:val="4DF60E55"/>
    <w:rsid w:val="4DF6339A"/>
    <w:rsid w:val="4DF711BF"/>
    <w:rsid w:val="4DF7188A"/>
    <w:rsid w:val="4DF72106"/>
    <w:rsid w:val="4DF72F6D"/>
    <w:rsid w:val="4DF739FA"/>
    <w:rsid w:val="4DF73D65"/>
    <w:rsid w:val="4DF80A94"/>
    <w:rsid w:val="4DF83972"/>
    <w:rsid w:val="4DF869F8"/>
    <w:rsid w:val="4DF9095E"/>
    <w:rsid w:val="4DF9338C"/>
    <w:rsid w:val="4DF943B3"/>
    <w:rsid w:val="4DF95936"/>
    <w:rsid w:val="4DF96CE5"/>
    <w:rsid w:val="4DFA0CB0"/>
    <w:rsid w:val="4DFA18B2"/>
    <w:rsid w:val="4DFA2A5E"/>
    <w:rsid w:val="4DFA30E6"/>
    <w:rsid w:val="4DFA480C"/>
    <w:rsid w:val="4DFA5D5B"/>
    <w:rsid w:val="4DFB1B37"/>
    <w:rsid w:val="4DFB3ED8"/>
    <w:rsid w:val="4DFB4A57"/>
    <w:rsid w:val="4DFB53BA"/>
    <w:rsid w:val="4DFB54C3"/>
    <w:rsid w:val="4DFB6352"/>
    <w:rsid w:val="4DFC0584"/>
    <w:rsid w:val="4DFC1886"/>
    <w:rsid w:val="4DFC2C44"/>
    <w:rsid w:val="4DFC4A28"/>
    <w:rsid w:val="4DFC67D6"/>
    <w:rsid w:val="4DFC746B"/>
    <w:rsid w:val="4DFC7B4E"/>
    <w:rsid w:val="4DFE254E"/>
    <w:rsid w:val="4DFE42FC"/>
    <w:rsid w:val="4DFE57D9"/>
    <w:rsid w:val="4DFE60AA"/>
    <w:rsid w:val="4DFF0074"/>
    <w:rsid w:val="4DFF1948"/>
    <w:rsid w:val="4DFF1E22"/>
    <w:rsid w:val="4DFF53BE"/>
    <w:rsid w:val="4DFF6D77"/>
    <w:rsid w:val="4E001C00"/>
    <w:rsid w:val="4E002E1A"/>
    <w:rsid w:val="4E01203E"/>
    <w:rsid w:val="4E014268"/>
    <w:rsid w:val="4E015B9A"/>
    <w:rsid w:val="4E0256F8"/>
    <w:rsid w:val="4E025B51"/>
    <w:rsid w:val="4E031912"/>
    <w:rsid w:val="4E0320EB"/>
    <w:rsid w:val="4E035DB6"/>
    <w:rsid w:val="4E037B64"/>
    <w:rsid w:val="4E044EA3"/>
    <w:rsid w:val="4E045185"/>
    <w:rsid w:val="4E04568A"/>
    <w:rsid w:val="4E047438"/>
    <w:rsid w:val="4E05189A"/>
    <w:rsid w:val="4E0538DC"/>
    <w:rsid w:val="4E057BC2"/>
    <w:rsid w:val="4E061402"/>
    <w:rsid w:val="4E0631B0"/>
    <w:rsid w:val="4E064079"/>
    <w:rsid w:val="4E067654"/>
    <w:rsid w:val="4E073727"/>
    <w:rsid w:val="4E07594E"/>
    <w:rsid w:val="4E075D8A"/>
    <w:rsid w:val="4E076473"/>
    <w:rsid w:val="4E0833CC"/>
    <w:rsid w:val="4E087B9B"/>
    <w:rsid w:val="4E092CA1"/>
    <w:rsid w:val="4E09441A"/>
    <w:rsid w:val="4E094A4F"/>
    <w:rsid w:val="4E0A24EF"/>
    <w:rsid w:val="4E0A69E7"/>
    <w:rsid w:val="4E0B03E6"/>
    <w:rsid w:val="4E0B4B13"/>
    <w:rsid w:val="4E0C137B"/>
    <w:rsid w:val="4E0C5FEE"/>
    <w:rsid w:val="4E0D09E3"/>
    <w:rsid w:val="4E0D2791"/>
    <w:rsid w:val="4E0D419C"/>
    <w:rsid w:val="4E0D453F"/>
    <w:rsid w:val="4E0F02B7"/>
    <w:rsid w:val="4E0F1F90"/>
    <w:rsid w:val="4E0F2740"/>
    <w:rsid w:val="4E0F475B"/>
    <w:rsid w:val="4E0F6509"/>
    <w:rsid w:val="4E101E26"/>
    <w:rsid w:val="4E102281"/>
    <w:rsid w:val="4E1025ED"/>
    <w:rsid w:val="4E103920"/>
    <w:rsid w:val="4E10402F"/>
    <w:rsid w:val="4E105DDD"/>
    <w:rsid w:val="4E113D5D"/>
    <w:rsid w:val="4E116CCD"/>
    <w:rsid w:val="4E127DA7"/>
    <w:rsid w:val="4E136780"/>
    <w:rsid w:val="4E140128"/>
    <w:rsid w:val="4E14124E"/>
    <w:rsid w:val="4E1434BE"/>
    <w:rsid w:val="4E143B1F"/>
    <w:rsid w:val="4E143C53"/>
    <w:rsid w:val="4E143CB5"/>
    <w:rsid w:val="4E145A05"/>
    <w:rsid w:val="4E150B5A"/>
    <w:rsid w:val="4E151645"/>
    <w:rsid w:val="4E1526DE"/>
    <w:rsid w:val="4E157897"/>
    <w:rsid w:val="4E164D91"/>
    <w:rsid w:val="4E17299D"/>
    <w:rsid w:val="4E173610"/>
    <w:rsid w:val="4E17716C"/>
    <w:rsid w:val="4E177BCF"/>
    <w:rsid w:val="4E181D79"/>
    <w:rsid w:val="4E18432A"/>
    <w:rsid w:val="4E191136"/>
    <w:rsid w:val="4E1924EF"/>
    <w:rsid w:val="4E197388"/>
    <w:rsid w:val="4E1A5501"/>
    <w:rsid w:val="4E1A6550"/>
    <w:rsid w:val="4E1A6C5C"/>
    <w:rsid w:val="4E1B3333"/>
    <w:rsid w:val="4E1C0C26"/>
    <w:rsid w:val="4E1C6E78"/>
    <w:rsid w:val="4E1D04AD"/>
    <w:rsid w:val="4E1D21B1"/>
    <w:rsid w:val="4E1D662B"/>
    <w:rsid w:val="4E1D7913"/>
    <w:rsid w:val="4E1E04FA"/>
    <w:rsid w:val="4E1E3790"/>
    <w:rsid w:val="4E1E499E"/>
    <w:rsid w:val="4E1E674C"/>
    <w:rsid w:val="4E1E6D2A"/>
    <w:rsid w:val="4E1E77F5"/>
    <w:rsid w:val="4E1E7E6B"/>
    <w:rsid w:val="4E1F40E7"/>
    <w:rsid w:val="4E1F51EB"/>
    <w:rsid w:val="4E1F5313"/>
    <w:rsid w:val="4E1F6361"/>
    <w:rsid w:val="4E1F7810"/>
    <w:rsid w:val="4E200564"/>
    <w:rsid w:val="4E200716"/>
    <w:rsid w:val="4E205844"/>
    <w:rsid w:val="4E213852"/>
    <w:rsid w:val="4E21448E"/>
    <w:rsid w:val="4E21623C"/>
    <w:rsid w:val="4E22354A"/>
    <w:rsid w:val="4E23147B"/>
    <w:rsid w:val="4E232079"/>
    <w:rsid w:val="4E2331E6"/>
    <w:rsid w:val="4E235B10"/>
    <w:rsid w:val="4E235FB3"/>
    <w:rsid w:val="4E24035E"/>
    <w:rsid w:val="4E240D43"/>
    <w:rsid w:val="4E2411F9"/>
    <w:rsid w:val="4E241889"/>
    <w:rsid w:val="4E247043"/>
    <w:rsid w:val="4E250A92"/>
    <w:rsid w:val="4E2521D3"/>
    <w:rsid w:val="4E2528C4"/>
    <w:rsid w:val="4E2536FB"/>
    <w:rsid w:val="4E255D2C"/>
    <w:rsid w:val="4E2628EC"/>
    <w:rsid w:val="4E2633B6"/>
    <w:rsid w:val="4E263853"/>
    <w:rsid w:val="4E281530"/>
    <w:rsid w:val="4E2816F8"/>
    <w:rsid w:val="4E281CA7"/>
    <w:rsid w:val="4E2842B6"/>
    <w:rsid w:val="4E28581D"/>
    <w:rsid w:val="4E296E9F"/>
    <w:rsid w:val="4E2A3343"/>
    <w:rsid w:val="4E2A48E5"/>
    <w:rsid w:val="4E2B0945"/>
    <w:rsid w:val="4E2B0E69"/>
    <w:rsid w:val="4E2B70BB"/>
    <w:rsid w:val="4E2B74D5"/>
    <w:rsid w:val="4E2C0965"/>
    <w:rsid w:val="4E2C2350"/>
    <w:rsid w:val="4E2C5D94"/>
    <w:rsid w:val="4E2D2DD8"/>
    <w:rsid w:val="4E2D2E33"/>
    <w:rsid w:val="4E2D3F0F"/>
    <w:rsid w:val="4E2D4761"/>
    <w:rsid w:val="4E2D4BE1"/>
    <w:rsid w:val="4E2D698F"/>
    <w:rsid w:val="4E2E1F86"/>
    <w:rsid w:val="4E2E3285"/>
    <w:rsid w:val="4E2E44B5"/>
    <w:rsid w:val="4E2E6D87"/>
    <w:rsid w:val="4E2F2707"/>
    <w:rsid w:val="4E2F6F28"/>
    <w:rsid w:val="4E30022D"/>
    <w:rsid w:val="4E30189F"/>
    <w:rsid w:val="4E310709"/>
    <w:rsid w:val="4E311C06"/>
    <w:rsid w:val="4E312556"/>
    <w:rsid w:val="4E313347"/>
    <w:rsid w:val="4E313B5E"/>
    <w:rsid w:val="4E3221F7"/>
    <w:rsid w:val="4E322848"/>
    <w:rsid w:val="4E322F9B"/>
    <w:rsid w:val="4E323FA5"/>
    <w:rsid w:val="4E327823"/>
    <w:rsid w:val="4E327A58"/>
    <w:rsid w:val="4E335282"/>
    <w:rsid w:val="4E335C67"/>
    <w:rsid w:val="4E3441C2"/>
    <w:rsid w:val="4E345F70"/>
    <w:rsid w:val="4E3470F7"/>
    <w:rsid w:val="4E347D1E"/>
    <w:rsid w:val="4E350587"/>
    <w:rsid w:val="4E353A96"/>
    <w:rsid w:val="4E361A17"/>
    <w:rsid w:val="4E361CE8"/>
    <w:rsid w:val="4E3640E0"/>
    <w:rsid w:val="4E364E46"/>
    <w:rsid w:val="4E36713D"/>
    <w:rsid w:val="4E371344"/>
    <w:rsid w:val="4E38143A"/>
    <w:rsid w:val="4E381B90"/>
    <w:rsid w:val="4E382911"/>
    <w:rsid w:val="4E3917D8"/>
    <w:rsid w:val="4E393586"/>
    <w:rsid w:val="4E393AB8"/>
    <w:rsid w:val="4E3973ED"/>
    <w:rsid w:val="4E3A10AC"/>
    <w:rsid w:val="4E3A18AF"/>
    <w:rsid w:val="4E3A2F69"/>
    <w:rsid w:val="4E3A6DAE"/>
    <w:rsid w:val="4E3B076D"/>
    <w:rsid w:val="4E3B4FC5"/>
    <w:rsid w:val="4E3B623E"/>
    <w:rsid w:val="4E3B72FE"/>
    <w:rsid w:val="4E3C2238"/>
    <w:rsid w:val="4E3C2D91"/>
    <w:rsid w:val="4E3C3076"/>
    <w:rsid w:val="4E3C7DE2"/>
    <w:rsid w:val="4E3D1085"/>
    <w:rsid w:val="4E3E0BA7"/>
    <w:rsid w:val="4E3E1419"/>
    <w:rsid w:val="4E3E4261"/>
    <w:rsid w:val="4E3E6DEE"/>
    <w:rsid w:val="4E3F4407"/>
    <w:rsid w:val="4E3F7A75"/>
    <w:rsid w:val="4E400B59"/>
    <w:rsid w:val="4E402B66"/>
    <w:rsid w:val="4E406DDB"/>
    <w:rsid w:val="4E4102D6"/>
    <w:rsid w:val="4E41068C"/>
    <w:rsid w:val="4E416712"/>
    <w:rsid w:val="4E4168DE"/>
    <w:rsid w:val="4E422B8B"/>
    <w:rsid w:val="4E4306F0"/>
    <w:rsid w:val="4E43401B"/>
    <w:rsid w:val="4E434405"/>
    <w:rsid w:val="4E4354A1"/>
    <w:rsid w:val="4E435760"/>
    <w:rsid w:val="4E437F61"/>
    <w:rsid w:val="4E4400D3"/>
    <w:rsid w:val="4E451F2B"/>
    <w:rsid w:val="4E460FDA"/>
    <w:rsid w:val="4E473EF5"/>
    <w:rsid w:val="4E474289"/>
    <w:rsid w:val="4E47556D"/>
    <w:rsid w:val="4E477394"/>
    <w:rsid w:val="4E4806F1"/>
    <w:rsid w:val="4E48180D"/>
    <w:rsid w:val="4E484D59"/>
    <w:rsid w:val="4E485577"/>
    <w:rsid w:val="4E486C6C"/>
    <w:rsid w:val="4E48707E"/>
    <w:rsid w:val="4E487C6D"/>
    <w:rsid w:val="4E487F82"/>
    <w:rsid w:val="4E494A76"/>
    <w:rsid w:val="4E496790"/>
    <w:rsid w:val="4E497E8D"/>
    <w:rsid w:val="4E4A12EF"/>
    <w:rsid w:val="4E4A5E3B"/>
    <w:rsid w:val="4E4A6CEE"/>
    <w:rsid w:val="4E4A7541"/>
    <w:rsid w:val="4E4B0865"/>
    <w:rsid w:val="4E4B1494"/>
    <w:rsid w:val="4E4B2311"/>
    <w:rsid w:val="4E4B32B9"/>
    <w:rsid w:val="4E4B5462"/>
    <w:rsid w:val="4E4B6DFA"/>
    <w:rsid w:val="4E4B78DC"/>
    <w:rsid w:val="4E4C13DF"/>
    <w:rsid w:val="4E4C150B"/>
    <w:rsid w:val="4E4C41CE"/>
    <w:rsid w:val="4E4C6238"/>
    <w:rsid w:val="4E4C680E"/>
    <w:rsid w:val="4E4C7D17"/>
    <w:rsid w:val="4E4D0DDF"/>
    <w:rsid w:val="4E4D2943"/>
    <w:rsid w:val="4E4D2E49"/>
    <w:rsid w:val="4E4D5283"/>
    <w:rsid w:val="4E4D7031"/>
    <w:rsid w:val="4E4E286F"/>
    <w:rsid w:val="4E4E4D49"/>
    <w:rsid w:val="4E4E4DBC"/>
    <w:rsid w:val="4E4E7235"/>
    <w:rsid w:val="4E4F0501"/>
    <w:rsid w:val="4E4F37E5"/>
    <w:rsid w:val="4E4F4B57"/>
    <w:rsid w:val="4E4F6905"/>
    <w:rsid w:val="4E500575"/>
    <w:rsid w:val="4E5008D0"/>
    <w:rsid w:val="4E50229D"/>
    <w:rsid w:val="4E513BA5"/>
    <w:rsid w:val="4E52289A"/>
    <w:rsid w:val="4E523481"/>
    <w:rsid w:val="4E523A78"/>
    <w:rsid w:val="4E5263F6"/>
    <w:rsid w:val="4E527F45"/>
    <w:rsid w:val="4E531EBA"/>
    <w:rsid w:val="4E533B10"/>
    <w:rsid w:val="4E5361A9"/>
    <w:rsid w:val="4E537616"/>
    <w:rsid w:val="4E5403C0"/>
    <w:rsid w:val="4E54216E"/>
    <w:rsid w:val="4E545991"/>
    <w:rsid w:val="4E546612"/>
    <w:rsid w:val="4E55422B"/>
    <w:rsid w:val="4E556430"/>
    <w:rsid w:val="4E557C94"/>
    <w:rsid w:val="4E564138"/>
    <w:rsid w:val="4E56477F"/>
    <w:rsid w:val="4E571C5E"/>
    <w:rsid w:val="4E573921"/>
    <w:rsid w:val="4E573A0C"/>
    <w:rsid w:val="4E574A3A"/>
    <w:rsid w:val="4E577EB0"/>
    <w:rsid w:val="4E581E19"/>
    <w:rsid w:val="4E593A09"/>
    <w:rsid w:val="4E593C28"/>
    <w:rsid w:val="4E5959D6"/>
    <w:rsid w:val="4E597784"/>
    <w:rsid w:val="4E5A39E3"/>
    <w:rsid w:val="4E5A45A8"/>
    <w:rsid w:val="4E5A610A"/>
    <w:rsid w:val="4E5B6EC8"/>
    <w:rsid w:val="4E5B79A0"/>
    <w:rsid w:val="4E5C054F"/>
    <w:rsid w:val="4E5C1022"/>
    <w:rsid w:val="4E5C7274"/>
    <w:rsid w:val="4E5D20A8"/>
    <w:rsid w:val="4E5E123E"/>
    <w:rsid w:val="4E5E2364"/>
    <w:rsid w:val="4E5F20B3"/>
    <w:rsid w:val="4E5F4D70"/>
    <w:rsid w:val="4E5F6EB8"/>
    <w:rsid w:val="4E5F72F8"/>
    <w:rsid w:val="4E600B13"/>
    <w:rsid w:val="4E604C84"/>
    <w:rsid w:val="4E612ADD"/>
    <w:rsid w:val="4E61488B"/>
    <w:rsid w:val="4E6265FA"/>
    <w:rsid w:val="4E630603"/>
    <w:rsid w:val="4E630A34"/>
    <w:rsid w:val="4E631412"/>
    <w:rsid w:val="4E635146"/>
    <w:rsid w:val="4E636855"/>
    <w:rsid w:val="4E641163"/>
    <w:rsid w:val="4E651A7E"/>
    <w:rsid w:val="4E65410A"/>
    <w:rsid w:val="4E65437B"/>
    <w:rsid w:val="4E654BE9"/>
    <w:rsid w:val="4E656129"/>
    <w:rsid w:val="4E6612E6"/>
    <w:rsid w:val="4E661A51"/>
    <w:rsid w:val="4E661EA1"/>
    <w:rsid w:val="4E6673B5"/>
    <w:rsid w:val="4E676E44"/>
    <w:rsid w:val="4E677D04"/>
    <w:rsid w:val="4E6848A6"/>
    <w:rsid w:val="4E693CC8"/>
    <w:rsid w:val="4E695D36"/>
    <w:rsid w:val="4E697477"/>
    <w:rsid w:val="4E6A373F"/>
    <w:rsid w:val="4E6B144B"/>
    <w:rsid w:val="4E6B1D97"/>
    <w:rsid w:val="4E6B470D"/>
    <w:rsid w:val="4E6B4C95"/>
    <w:rsid w:val="4E6B6615"/>
    <w:rsid w:val="4E6B69ED"/>
    <w:rsid w:val="4E6C096F"/>
    <w:rsid w:val="4E6C3432"/>
    <w:rsid w:val="4E6C55E4"/>
    <w:rsid w:val="4E6C5709"/>
    <w:rsid w:val="4E6C5DF8"/>
    <w:rsid w:val="4E6D1482"/>
    <w:rsid w:val="4E6D3230"/>
    <w:rsid w:val="4E6D3F12"/>
    <w:rsid w:val="4E6D76D3"/>
    <w:rsid w:val="4E6E7E0A"/>
    <w:rsid w:val="4E6F22F6"/>
    <w:rsid w:val="4E6F32E9"/>
    <w:rsid w:val="4E6F43D7"/>
    <w:rsid w:val="4E6F51FA"/>
    <w:rsid w:val="4E6F5EFF"/>
    <w:rsid w:val="4E6F6833"/>
    <w:rsid w:val="4E702607"/>
    <w:rsid w:val="4E7038FF"/>
    <w:rsid w:val="4E710F72"/>
    <w:rsid w:val="4E7116BE"/>
    <w:rsid w:val="4E712D20"/>
    <w:rsid w:val="4E7145EE"/>
    <w:rsid w:val="4E715C09"/>
    <w:rsid w:val="4E720529"/>
    <w:rsid w:val="4E726A98"/>
    <w:rsid w:val="4E734FE6"/>
    <w:rsid w:val="4E736BF3"/>
    <w:rsid w:val="4E736E68"/>
    <w:rsid w:val="4E740A3B"/>
    <w:rsid w:val="4E742810"/>
    <w:rsid w:val="4E74327E"/>
    <w:rsid w:val="4E74458A"/>
    <w:rsid w:val="4E7445BE"/>
    <w:rsid w:val="4E74636C"/>
    <w:rsid w:val="4E7505EB"/>
    <w:rsid w:val="4E7520E4"/>
    <w:rsid w:val="4E754096"/>
    <w:rsid w:val="4E755EBB"/>
    <w:rsid w:val="4E7561CB"/>
    <w:rsid w:val="4E766588"/>
    <w:rsid w:val="4E77033A"/>
    <w:rsid w:val="4E772300"/>
    <w:rsid w:val="4E775E5C"/>
    <w:rsid w:val="4E78071F"/>
    <w:rsid w:val="4E782283"/>
    <w:rsid w:val="4E782804"/>
    <w:rsid w:val="4E785865"/>
    <w:rsid w:val="4E78611C"/>
    <w:rsid w:val="4E787CAC"/>
    <w:rsid w:val="4E791834"/>
    <w:rsid w:val="4E791BD4"/>
    <w:rsid w:val="4E792951"/>
    <w:rsid w:val="4E796078"/>
    <w:rsid w:val="4E796713"/>
    <w:rsid w:val="4E797E26"/>
    <w:rsid w:val="4E7B3B9E"/>
    <w:rsid w:val="4E7B65B4"/>
    <w:rsid w:val="4E7B76FB"/>
    <w:rsid w:val="4E7C16C5"/>
    <w:rsid w:val="4E7C2368"/>
    <w:rsid w:val="4E7C2D1C"/>
    <w:rsid w:val="4E7C3473"/>
    <w:rsid w:val="4E7C58ED"/>
    <w:rsid w:val="4E7D2168"/>
    <w:rsid w:val="4E7D64C6"/>
    <w:rsid w:val="4E7D656C"/>
    <w:rsid w:val="4E7D7917"/>
    <w:rsid w:val="4E7E16CB"/>
    <w:rsid w:val="4E7E368F"/>
    <w:rsid w:val="4E7E543D"/>
    <w:rsid w:val="4E7E71EB"/>
    <w:rsid w:val="4E7F3B44"/>
    <w:rsid w:val="4E7F59C6"/>
    <w:rsid w:val="4E800E78"/>
    <w:rsid w:val="4E8056FE"/>
    <w:rsid w:val="4E805D23"/>
    <w:rsid w:val="4E807407"/>
    <w:rsid w:val="4E810075"/>
    <w:rsid w:val="4E810A89"/>
    <w:rsid w:val="4E816B8E"/>
    <w:rsid w:val="4E816CDB"/>
    <w:rsid w:val="4E82001E"/>
    <w:rsid w:val="4E824F2D"/>
    <w:rsid w:val="4E8314AE"/>
    <w:rsid w:val="4E832A53"/>
    <w:rsid w:val="4E832BEF"/>
    <w:rsid w:val="4E834801"/>
    <w:rsid w:val="4E8373FE"/>
    <w:rsid w:val="4E843280"/>
    <w:rsid w:val="4E847452"/>
    <w:rsid w:val="4E850579"/>
    <w:rsid w:val="4E853C65"/>
    <w:rsid w:val="4E854A1D"/>
    <w:rsid w:val="4E8559DE"/>
    <w:rsid w:val="4E8567CB"/>
    <w:rsid w:val="4E862011"/>
    <w:rsid w:val="4E8642F1"/>
    <w:rsid w:val="4E864C08"/>
    <w:rsid w:val="4E86609F"/>
    <w:rsid w:val="4E86699F"/>
    <w:rsid w:val="4E8672DF"/>
    <w:rsid w:val="4E870795"/>
    <w:rsid w:val="4E872543"/>
    <w:rsid w:val="4E880069"/>
    <w:rsid w:val="4E8812BF"/>
    <w:rsid w:val="4E881E17"/>
    <w:rsid w:val="4E8862BB"/>
    <w:rsid w:val="4E89376C"/>
    <w:rsid w:val="4E894541"/>
    <w:rsid w:val="4E8974AF"/>
    <w:rsid w:val="4E8A3DE2"/>
    <w:rsid w:val="4E8A67B0"/>
    <w:rsid w:val="4E8A7EF1"/>
    <w:rsid w:val="4E8B1381"/>
    <w:rsid w:val="4E8B1796"/>
    <w:rsid w:val="4E8B1908"/>
    <w:rsid w:val="4E8B5F1A"/>
    <w:rsid w:val="4E8C720B"/>
    <w:rsid w:val="4E8D051F"/>
    <w:rsid w:val="4E8D4714"/>
    <w:rsid w:val="4E8D4C9B"/>
    <w:rsid w:val="4E8D4E62"/>
    <w:rsid w:val="4E8D742E"/>
    <w:rsid w:val="4E8F13F8"/>
    <w:rsid w:val="4E8F70B3"/>
    <w:rsid w:val="4E9133C2"/>
    <w:rsid w:val="4E915170"/>
    <w:rsid w:val="4E916F1E"/>
    <w:rsid w:val="4E920EE8"/>
    <w:rsid w:val="4E9213FF"/>
    <w:rsid w:val="4E922C96"/>
    <w:rsid w:val="4E931886"/>
    <w:rsid w:val="4E932E39"/>
    <w:rsid w:val="4E93713A"/>
    <w:rsid w:val="4E944C60"/>
    <w:rsid w:val="4E946A0E"/>
    <w:rsid w:val="4E94773B"/>
    <w:rsid w:val="4E9538C3"/>
    <w:rsid w:val="4E9566BC"/>
    <w:rsid w:val="4E9609D8"/>
    <w:rsid w:val="4E962786"/>
    <w:rsid w:val="4E964E3C"/>
    <w:rsid w:val="4E9702AC"/>
    <w:rsid w:val="4E97098D"/>
    <w:rsid w:val="4E977E6E"/>
    <w:rsid w:val="4E980DB4"/>
    <w:rsid w:val="4E980FF5"/>
    <w:rsid w:val="4E984750"/>
    <w:rsid w:val="4E985137"/>
    <w:rsid w:val="4E992277"/>
    <w:rsid w:val="4E994025"/>
    <w:rsid w:val="4E994E15"/>
    <w:rsid w:val="4E9B0304"/>
    <w:rsid w:val="4E9B478D"/>
    <w:rsid w:val="4E9B5FEF"/>
    <w:rsid w:val="4E9B7D9D"/>
    <w:rsid w:val="4E9C30C6"/>
    <w:rsid w:val="4E9C3796"/>
    <w:rsid w:val="4E9C3C1A"/>
    <w:rsid w:val="4E9C454B"/>
    <w:rsid w:val="4E9C58C3"/>
    <w:rsid w:val="4E9D0327"/>
    <w:rsid w:val="4E9D0B33"/>
    <w:rsid w:val="4E9D1D67"/>
    <w:rsid w:val="4E9D4C26"/>
    <w:rsid w:val="4E9D5819"/>
    <w:rsid w:val="4E9E0DB4"/>
    <w:rsid w:val="4E9E163B"/>
    <w:rsid w:val="4E9E5A9C"/>
    <w:rsid w:val="4E9E5ADF"/>
    <w:rsid w:val="4E9F5515"/>
    <w:rsid w:val="4EA01857"/>
    <w:rsid w:val="4EA03605"/>
    <w:rsid w:val="4EA053B3"/>
    <w:rsid w:val="4EA07161"/>
    <w:rsid w:val="4EA11B79"/>
    <w:rsid w:val="4EA13E1D"/>
    <w:rsid w:val="4EA16333"/>
    <w:rsid w:val="4EA24952"/>
    <w:rsid w:val="4EA25828"/>
    <w:rsid w:val="4EA2737D"/>
    <w:rsid w:val="4EA330F5"/>
    <w:rsid w:val="4EA33DF2"/>
    <w:rsid w:val="4EA36C51"/>
    <w:rsid w:val="4EA418F5"/>
    <w:rsid w:val="4EA41F28"/>
    <w:rsid w:val="4EA45BF0"/>
    <w:rsid w:val="4EA50C1B"/>
    <w:rsid w:val="4EA529C9"/>
    <w:rsid w:val="4EA533B8"/>
    <w:rsid w:val="4EA554AE"/>
    <w:rsid w:val="4EA561A8"/>
    <w:rsid w:val="4EA561E7"/>
    <w:rsid w:val="4EA604F0"/>
    <w:rsid w:val="4EA64F53"/>
    <w:rsid w:val="4EA66E96"/>
    <w:rsid w:val="4EA67550"/>
    <w:rsid w:val="4EA74993"/>
    <w:rsid w:val="4EA7554A"/>
    <w:rsid w:val="4EA75FDE"/>
    <w:rsid w:val="4EA76741"/>
    <w:rsid w:val="4EA8070C"/>
    <w:rsid w:val="4EA81D39"/>
    <w:rsid w:val="4EA824BA"/>
    <w:rsid w:val="4EA84268"/>
    <w:rsid w:val="4EA85D29"/>
    <w:rsid w:val="4EA94225"/>
    <w:rsid w:val="4EA95380"/>
    <w:rsid w:val="4EAA0377"/>
    <w:rsid w:val="4EAA7FE0"/>
    <w:rsid w:val="4EAB31D2"/>
    <w:rsid w:val="4EAB7E41"/>
    <w:rsid w:val="4EAC01FC"/>
    <w:rsid w:val="4EAC328B"/>
    <w:rsid w:val="4EAC552A"/>
    <w:rsid w:val="4EAD08EE"/>
    <w:rsid w:val="4EAD187E"/>
    <w:rsid w:val="4EAD18A3"/>
    <w:rsid w:val="4EAD37AE"/>
    <w:rsid w:val="4EAD5C30"/>
    <w:rsid w:val="4EAD5D22"/>
    <w:rsid w:val="4EAE5BAB"/>
    <w:rsid w:val="4EAF03E0"/>
    <w:rsid w:val="4EAF2B00"/>
    <w:rsid w:val="4EAF55F6"/>
    <w:rsid w:val="4EB017D6"/>
    <w:rsid w:val="4EB01A24"/>
    <w:rsid w:val="4EB01C0C"/>
    <w:rsid w:val="4EB15812"/>
    <w:rsid w:val="4EB219A5"/>
    <w:rsid w:val="4EB250E6"/>
    <w:rsid w:val="4EB26E94"/>
    <w:rsid w:val="4EB3158A"/>
    <w:rsid w:val="4EB32846"/>
    <w:rsid w:val="4EB33338"/>
    <w:rsid w:val="4EB33E79"/>
    <w:rsid w:val="4EB37AB8"/>
    <w:rsid w:val="4EB4593E"/>
    <w:rsid w:val="4EB45F1A"/>
    <w:rsid w:val="4EB470B0"/>
    <w:rsid w:val="4EB55A7E"/>
    <w:rsid w:val="4EB6433D"/>
    <w:rsid w:val="4EB64BD7"/>
    <w:rsid w:val="4EB66985"/>
    <w:rsid w:val="4EB7039E"/>
    <w:rsid w:val="4EB71044"/>
    <w:rsid w:val="4EB71907"/>
    <w:rsid w:val="4EB726FD"/>
    <w:rsid w:val="4EB757CD"/>
    <w:rsid w:val="4EB8094F"/>
    <w:rsid w:val="4EB81A43"/>
    <w:rsid w:val="4EB86BA1"/>
    <w:rsid w:val="4EB90223"/>
    <w:rsid w:val="4EB91AB7"/>
    <w:rsid w:val="4EB93137"/>
    <w:rsid w:val="4EB93BC5"/>
    <w:rsid w:val="4EB93C5E"/>
    <w:rsid w:val="4EB946C7"/>
    <w:rsid w:val="4EB96E2A"/>
    <w:rsid w:val="4EB97735"/>
    <w:rsid w:val="4EBA07C6"/>
    <w:rsid w:val="4EBB043F"/>
    <w:rsid w:val="4EBB0742"/>
    <w:rsid w:val="4EBC2D80"/>
    <w:rsid w:val="4EBC5614"/>
    <w:rsid w:val="4EBD41B7"/>
    <w:rsid w:val="4EBD731A"/>
    <w:rsid w:val="4EBE4C0B"/>
    <w:rsid w:val="4EBE7F2F"/>
    <w:rsid w:val="4EBF3BF5"/>
    <w:rsid w:val="4EBF460D"/>
    <w:rsid w:val="4EBF50FA"/>
    <w:rsid w:val="4EC00FAD"/>
    <w:rsid w:val="4EC01567"/>
    <w:rsid w:val="4EC04278"/>
    <w:rsid w:val="4EC05A55"/>
    <w:rsid w:val="4EC067E0"/>
    <w:rsid w:val="4EC07803"/>
    <w:rsid w:val="4EC114AA"/>
    <w:rsid w:val="4EC15329"/>
    <w:rsid w:val="4EC16D2E"/>
    <w:rsid w:val="4EC217CD"/>
    <w:rsid w:val="4EC27A6A"/>
    <w:rsid w:val="4EC27F94"/>
    <w:rsid w:val="4EC341A4"/>
    <w:rsid w:val="4EC3530D"/>
    <w:rsid w:val="4EC372F3"/>
    <w:rsid w:val="4EC41512"/>
    <w:rsid w:val="4EC4525F"/>
    <w:rsid w:val="4EC512BE"/>
    <w:rsid w:val="4EC51BB6"/>
    <w:rsid w:val="4EC529A2"/>
    <w:rsid w:val="4EC5306C"/>
    <w:rsid w:val="4EC54E15"/>
    <w:rsid w:val="4EC56BC8"/>
    <w:rsid w:val="4EC60748"/>
    <w:rsid w:val="4EC65458"/>
    <w:rsid w:val="4EC66A03"/>
    <w:rsid w:val="4EC66BCA"/>
    <w:rsid w:val="4EC70B92"/>
    <w:rsid w:val="4EC72940"/>
    <w:rsid w:val="4EC76DE4"/>
    <w:rsid w:val="4EC80360"/>
    <w:rsid w:val="4EC81323"/>
    <w:rsid w:val="4EC84BE2"/>
    <w:rsid w:val="4EC861FB"/>
    <w:rsid w:val="4EC866B8"/>
    <w:rsid w:val="4EC86752"/>
    <w:rsid w:val="4EC874CA"/>
    <w:rsid w:val="4EC87A49"/>
    <w:rsid w:val="4EC93EF7"/>
    <w:rsid w:val="4EC94B84"/>
    <w:rsid w:val="4EC95EDF"/>
    <w:rsid w:val="4ECA0682"/>
    <w:rsid w:val="4ECA2430"/>
    <w:rsid w:val="4ECA2839"/>
    <w:rsid w:val="4ECA7440"/>
    <w:rsid w:val="4ECB50D3"/>
    <w:rsid w:val="4ECB6814"/>
    <w:rsid w:val="4ECC43FA"/>
    <w:rsid w:val="4ECC5337"/>
    <w:rsid w:val="4ECC53FA"/>
    <w:rsid w:val="4ECC6DC1"/>
    <w:rsid w:val="4ECC75F6"/>
    <w:rsid w:val="4ECC7CA4"/>
    <w:rsid w:val="4ECD1134"/>
    <w:rsid w:val="4ECD1F20"/>
    <w:rsid w:val="4ECD340C"/>
    <w:rsid w:val="4ECD3D05"/>
    <w:rsid w:val="4ECD6362"/>
    <w:rsid w:val="4ECE00BD"/>
    <w:rsid w:val="4ECE42F8"/>
    <w:rsid w:val="4ECE502E"/>
    <w:rsid w:val="4ECE5EF4"/>
    <w:rsid w:val="4ECF1335"/>
    <w:rsid w:val="4ECF3EEA"/>
    <w:rsid w:val="4ECF4EE4"/>
    <w:rsid w:val="4ECF4EFE"/>
    <w:rsid w:val="4ECF5951"/>
    <w:rsid w:val="4ECF5C98"/>
    <w:rsid w:val="4ECF7A46"/>
    <w:rsid w:val="4ED078CB"/>
    <w:rsid w:val="4ED07AB5"/>
    <w:rsid w:val="4ED108D9"/>
    <w:rsid w:val="4ED11A10"/>
    <w:rsid w:val="4ED134A2"/>
    <w:rsid w:val="4ED14431"/>
    <w:rsid w:val="4ED151E6"/>
    <w:rsid w:val="4ED15304"/>
    <w:rsid w:val="4ED17560"/>
    <w:rsid w:val="4ED17C62"/>
    <w:rsid w:val="4ED2319C"/>
    <w:rsid w:val="4ED240DA"/>
    <w:rsid w:val="4ED24FA6"/>
    <w:rsid w:val="4ED33865"/>
    <w:rsid w:val="4ED34441"/>
    <w:rsid w:val="4ED35788"/>
    <w:rsid w:val="4ED41007"/>
    <w:rsid w:val="4ED432AF"/>
    <w:rsid w:val="4ED4505D"/>
    <w:rsid w:val="4ED455B5"/>
    <w:rsid w:val="4ED46DD5"/>
    <w:rsid w:val="4ED52254"/>
    <w:rsid w:val="4ED55103"/>
    <w:rsid w:val="4ED60DD5"/>
    <w:rsid w:val="4ED65279"/>
    <w:rsid w:val="4ED67027"/>
    <w:rsid w:val="4ED710D0"/>
    <w:rsid w:val="4ED714F0"/>
    <w:rsid w:val="4ED7732F"/>
    <w:rsid w:val="4ED77CFA"/>
    <w:rsid w:val="4ED80DF5"/>
    <w:rsid w:val="4ED80FF1"/>
    <w:rsid w:val="4ED82D9F"/>
    <w:rsid w:val="4ED908C5"/>
    <w:rsid w:val="4ED90B67"/>
    <w:rsid w:val="4ED92673"/>
    <w:rsid w:val="4ED96B17"/>
    <w:rsid w:val="4ED97564"/>
    <w:rsid w:val="4EDA4031"/>
    <w:rsid w:val="4EDA4726"/>
    <w:rsid w:val="4EDA77B7"/>
    <w:rsid w:val="4EDB22D7"/>
    <w:rsid w:val="4EDB288F"/>
    <w:rsid w:val="4EDB4350"/>
    <w:rsid w:val="4EDB463D"/>
    <w:rsid w:val="4EDB4BC8"/>
    <w:rsid w:val="4EDB5D5F"/>
    <w:rsid w:val="4EDB63EB"/>
    <w:rsid w:val="4EDB76C2"/>
    <w:rsid w:val="4EDB7799"/>
    <w:rsid w:val="4EDC531E"/>
    <w:rsid w:val="4EDC7EE6"/>
    <w:rsid w:val="4EDD03B5"/>
    <w:rsid w:val="4EDD1A32"/>
    <w:rsid w:val="4EDD2163"/>
    <w:rsid w:val="4EDD6607"/>
    <w:rsid w:val="4EDE1B6A"/>
    <w:rsid w:val="4EDF14B8"/>
    <w:rsid w:val="4EDF237F"/>
    <w:rsid w:val="4EDF64CF"/>
    <w:rsid w:val="4EE03A01"/>
    <w:rsid w:val="4EE03AFE"/>
    <w:rsid w:val="4EE113CF"/>
    <w:rsid w:val="4EE22FF9"/>
    <w:rsid w:val="4EE23C1E"/>
    <w:rsid w:val="4EE259CC"/>
    <w:rsid w:val="4EE26AD2"/>
    <w:rsid w:val="4EE3335A"/>
    <w:rsid w:val="4EE334F2"/>
    <w:rsid w:val="4EE36C55"/>
    <w:rsid w:val="4EE37297"/>
    <w:rsid w:val="4EE41C2E"/>
    <w:rsid w:val="4EE42453"/>
    <w:rsid w:val="4EE42C72"/>
    <w:rsid w:val="4EE447E9"/>
    <w:rsid w:val="4EE473BA"/>
    <w:rsid w:val="4EE47996"/>
    <w:rsid w:val="4EE51018"/>
    <w:rsid w:val="4EE554BC"/>
    <w:rsid w:val="4EE5726A"/>
    <w:rsid w:val="4EE60237"/>
    <w:rsid w:val="4EE62E74"/>
    <w:rsid w:val="4EE66ACD"/>
    <w:rsid w:val="4EE71E64"/>
    <w:rsid w:val="4EE72FE2"/>
    <w:rsid w:val="4EE74CA3"/>
    <w:rsid w:val="4EE74D90"/>
    <w:rsid w:val="4EE75D3B"/>
    <w:rsid w:val="4EE75DD9"/>
    <w:rsid w:val="4EE76478"/>
    <w:rsid w:val="4EE76741"/>
    <w:rsid w:val="4EE8062D"/>
    <w:rsid w:val="4EE80B08"/>
    <w:rsid w:val="4EE82E9A"/>
    <w:rsid w:val="4EE871CB"/>
    <w:rsid w:val="4EE93695"/>
    <w:rsid w:val="4EE9460F"/>
    <w:rsid w:val="4EEA0D24"/>
    <w:rsid w:val="4EEA1426"/>
    <w:rsid w:val="4EEA1AEB"/>
    <w:rsid w:val="4EEA4FE0"/>
    <w:rsid w:val="4EEA5DFE"/>
    <w:rsid w:val="4EEA654A"/>
    <w:rsid w:val="4EEA6837"/>
    <w:rsid w:val="4EEA6F88"/>
    <w:rsid w:val="4EEB597E"/>
    <w:rsid w:val="4EEC05F8"/>
    <w:rsid w:val="4EEC0DD2"/>
    <w:rsid w:val="4EEC23A6"/>
    <w:rsid w:val="4EEC4E90"/>
    <w:rsid w:val="4EEC684A"/>
    <w:rsid w:val="4EED12A0"/>
    <w:rsid w:val="4EED1BAD"/>
    <w:rsid w:val="4EED611E"/>
    <w:rsid w:val="4EED6729"/>
    <w:rsid w:val="4EEE25C2"/>
    <w:rsid w:val="4EEE303D"/>
    <w:rsid w:val="4EEE3D1E"/>
    <w:rsid w:val="4EEE4370"/>
    <w:rsid w:val="4EEE4F76"/>
    <w:rsid w:val="4EEF00E8"/>
    <w:rsid w:val="4EEF5810"/>
    <w:rsid w:val="4EEF584E"/>
    <w:rsid w:val="4EEF633A"/>
    <w:rsid w:val="4EF01D1C"/>
    <w:rsid w:val="4EF02FE2"/>
    <w:rsid w:val="4EF0622D"/>
    <w:rsid w:val="4EF1019F"/>
    <w:rsid w:val="4EF12017"/>
    <w:rsid w:val="4EF120B3"/>
    <w:rsid w:val="4EF2267F"/>
    <w:rsid w:val="4EF23735"/>
    <w:rsid w:val="4EF249D7"/>
    <w:rsid w:val="4EF31987"/>
    <w:rsid w:val="4EF332BF"/>
    <w:rsid w:val="4EF342DE"/>
    <w:rsid w:val="4EF37BD9"/>
    <w:rsid w:val="4EF401BD"/>
    <w:rsid w:val="4EF456FF"/>
    <w:rsid w:val="4EF46EAF"/>
    <w:rsid w:val="4EF4706F"/>
    <w:rsid w:val="4EF474AD"/>
    <w:rsid w:val="4EF54F8F"/>
    <w:rsid w:val="4EF57460"/>
    <w:rsid w:val="4EF61477"/>
    <w:rsid w:val="4EF63225"/>
    <w:rsid w:val="4EF67531"/>
    <w:rsid w:val="4EF676C9"/>
    <w:rsid w:val="4EF7020E"/>
    <w:rsid w:val="4EF70D4B"/>
    <w:rsid w:val="4EF70F4D"/>
    <w:rsid w:val="4EF75830"/>
    <w:rsid w:val="4EF76AD4"/>
    <w:rsid w:val="4EF770CB"/>
    <w:rsid w:val="4EF81544"/>
    <w:rsid w:val="4EF835AE"/>
    <w:rsid w:val="4EF851EF"/>
    <w:rsid w:val="4EF85840"/>
    <w:rsid w:val="4EF86CC0"/>
    <w:rsid w:val="4EF86F9D"/>
    <w:rsid w:val="4EF906EC"/>
    <w:rsid w:val="4EF91D54"/>
    <w:rsid w:val="4EF94AC3"/>
    <w:rsid w:val="4EFA2D21"/>
    <w:rsid w:val="4EFA4BA2"/>
    <w:rsid w:val="4EFB083B"/>
    <w:rsid w:val="4EFB1504"/>
    <w:rsid w:val="4EFB2A70"/>
    <w:rsid w:val="4EFB41B1"/>
    <w:rsid w:val="4EFB6A8D"/>
    <w:rsid w:val="4EFC3EDC"/>
    <w:rsid w:val="4EFC5641"/>
    <w:rsid w:val="4EFC6556"/>
    <w:rsid w:val="4EFD44FC"/>
    <w:rsid w:val="4EFD45B3"/>
    <w:rsid w:val="4EFD6AD1"/>
    <w:rsid w:val="4EFE032C"/>
    <w:rsid w:val="4EFE1B36"/>
    <w:rsid w:val="4EFE20DA"/>
    <w:rsid w:val="4EFE2AC3"/>
    <w:rsid w:val="4EFE6F6C"/>
    <w:rsid w:val="4EFF3268"/>
    <w:rsid w:val="4EFF4CBA"/>
    <w:rsid w:val="4EFF657E"/>
    <w:rsid w:val="4F000FA0"/>
    <w:rsid w:val="4F001156"/>
    <w:rsid w:val="4F0022F6"/>
    <w:rsid w:val="4F014A44"/>
    <w:rsid w:val="4F0153F6"/>
    <w:rsid w:val="4F023DC9"/>
    <w:rsid w:val="4F02606E"/>
    <w:rsid w:val="4F027D72"/>
    <w:rsid w:val="4F03299E"/>
    <w:rsid w:val="4F033DD3"/>
    <w:rsid w:val="4F043895"/>
    <w:rsid w:val="4F043B94"/>
    <w:rsid w:val="4F045263"/>
    <w:rsid w:val="4F0452A7"/>
    <w:rsid w:val="4F0516BA"/>
    <w:rsid w:val="4F052628"/>
    <w:rsid w:val="4F053468"/>
    <w:rsid w:val="4F0612C4"/>
    <w:rsid w:val="4F063628"/>
    <w:rsid w:val="4F065C92"/>
    <w:rsid w:val="4F06780C"/>
    <w:rsid w:val="4F0716E9"/>
    <w:rsid w:val="4F072754"/>
    <w:rsid w:val="4F073684"/>
    <w:rsid w:val="4F075325"/>
    <w:rsid w:val="4F075432"/>
    <w:rsid w:val="4F075F67"/>
    <w:rsid w:val="4F0771E0"/>
    <w:rsid w:val="4F082F58"/>
    <w:rsid w:val="4F083447"/>
    <w:rsid w:val="4F08487E"/>
    <w:rsid w:val="4F0867B5"/>
    <w:rsid w:val="4F08769F"/>
    <w:rsid w:val="4F0911AA"/>
    <w:rsid w:val="4F097C45"/>
    <w:rsid w:val="4F0A556F"/>
    <w:rsid w:val="4F0A6CD0"/>
    <w:rsid w:val="4F0B0854"/>
    <w:rsid w:val="4F0B3174"/>
    <w:rsid w:val="4F0B542A"/>
    <w:rsid w:val="4F0B5486"/>
    <w:rsid w:val="4F0B6BB4"/>
    <w:rsid w:val="4F0C0C9A"/>
    <w:rsid w:val="4F0C47F7"/>
    <w:rsid w:val="4F0C5136"/>
    <w:rsid w:val="4F0C611A"/>
    <w:rsid w:val="4F0C78AF"/>
    <w:rsid w:val="4F0C7900"/>
    <w:rsid w:val="4F0C7E74"/>
    <w:rsid w:val="4F0D04E9"/>
    <w:rsid w:val="4F0D4C66"/>
    <w:rsid w:val="4F0E056F"/>
    <w:rsid w:val="4F0E0EE6"/>
    <w:rsid w:val="4F0E2841"/>
    <w:rsid w:val="4F0E4A13"/>
    <w:rsid w:val="4F0E67C1"/>
    <w:rsid w:val="4F0E7ECB"/>
    <w:rsid w:val="4F0F42E7"/>
    <w:rsid w:val="4F10078B"/>
    <w:rsid w:val="4F104F47"/>
    <w:rsid w:val="4F11005F"/>
    <w:rsid w:val="4F112E45"/>
    <w:rsid w:val="4F115A09"/>
    <w:rsid w:val="4F1162B1"/>
    <w:rsid w:val="4F117740"/>
    <w:rsid w:val="4F123AE9"/>
    <w:rsid w:val="4F1276E6"/>
    <w:rsid w:val="4F130CF7"/>
    <w:rsid w:val="4F131C5D"/>
    <w:rsid w:val="4F132029"/>
    <w:rsid w:val="4F133DD7"/>
    <w:rsid w:val="4F135B85"/>
    <w:rsid w:val="4F1418FD"/>
    <w:rsid w:val="4F144D58"/>
    <w:rsid w:val="4F147704"/>
    <w:rsid w:val="4F147B4F"/>
    <w:rsid w:val="4F153094"/>
    <w:rsid w:val="4F155DA1"/>
    <w:rsid w:val="4F161B19"/>
    <w:rsid w:val="4F1624D8"/>
    <w:rsid w:val="4F1638C7"/>
    <w:rsid w:val="4F165675"/>
    <w:rsid w:val="4F167594"/>
    <w:rsid w:val="4F17405E"/>
    <w:rsid w:val="4F176FBA"/>
    <w:rsid w:val="4F180C11"/>
    <w:rsid w:val="4F18600C"/>
    <w:rsid w:val="4F193BC2"/>
    <w:rsid w:val="4F195165"/>
    <w:rsid w:val="4F196F13"/>
    <w:rsid w:val="4F1A0BCA"/>
    <w:rsid w:val="4F1B07C8"/>
    <w:rsid w:val="4F1B1CEC"/>
    <w:rsid w:val="4F1B2C8C"/>
    <w:rsid w:val="4F1B2FA8"/>
    <w:rsid w:val="4F1B712F"/>
    <w:rsid w:val="4F1C399F"/>
    <w:rsid w:val="4F1C60BB"/>
    <w:rsid w:val="4F1D2EA8"/>
    <w:rsid w:val="4F1D4592"/>
    <w:rsid w:val="4F1D497A"/>
    <w:rsid w:val="4F1D4C56"/>
    <w:rsid w:val="4F1D6A04"/>
    <w:rsid w:val="4F1E1A22"/>
    <w:rsid w:val="4F1E3C36"/>
    <w:rsid w:val="4F1E54D0"/>
    <w:rsid w:val="4F1E6113"/>
    <w:rsid w:val="4F1E6789"/>
    <w:rsid w:val="4F1F20D3"/>
    <w:rsid w:val="4F1F277C"/>
    <w:rsid w:val="4F1F3041"/>
    <w:rsid w:val="4F2002A2"/>
    <w:rsid w:val="4F204746"/>
    <w:rsid w:val="4F2064F4"/>
    <w:rsid w:val="4F211CB6"/>
    <w:rsid w:val="4F2204BE"/>
    <w:rsid w:val="4F22226C"/>
    <w:rsid w:val="4F22401A"/>
    <w:rsid w:val="4F22412F"/>
    <w:rsid w:val="4F22735C"/>
    <w:rsid w:val="4F2333BD"/>
    <w:rsid w:val="4F245FE4"/>
    <w:rsid w:val="4F2466B0"/>
    <w:rsid w:val="4F247327"/>
    <w:rsid w:val="4F247CF0"/>
    <w:rsid w:val="4F247D92"/>
    <w:rsid w:val="4F251090"/>
    <w:rsid w:val="4F251D5C"/>
    <w:rsid w:val="4F253B0A"/>
    <w:rsid w:val="4F2558B8"/>
    <w:rsid w:val="4F255F02"/>
    <w:rsid w:val="4F2603B2"/>
    <w:rsid w:val="4F26066A"/>
    <w:rsid w:val="4F2608AE"/>
    <w:rsid w:val="4F263988"/>
    <w:rsid w:val="4F26716D"/>
    <w:rsid w:val="4F271630"/>
    <w:rsid w:val="4F272DEC"/>
    <w:rsid w:val="4F27536F"/>
    <w:rsid w:val="4F275AD4"/>
    <w:rsid w:val="4F27623E"/>
    <w:rsid w:val="4F281560"/>
    <w:rsid w:val="4F2831CE"/>
    <w:rsid w:val="4F2839DA"/>
    <w:rsid w:val="4F29184C"/>
    <w:rsid w:val="4F294525"/>
    <w:rsid w:val="4F297C33"/>
    <w:rsid w:val="4F2A015D"/>
    <w:rsid w:val="4F2A2745"/>
    <w:rsid w:val="4F2A2ECF"/>
    <w:rsid w:val="4F2A6A41"/>
    <w:rsid w:val="4F2A7373"/>
    <w:rsid w:val="4F2B1B4F"/>
    <w:rsid w:val="4F2C4E99"/>
    <w:rsid w:val="4F2C5BB0"/>
    <w:rsid w:val="4F2D209F"/>
    <w:rsid w:val="4F2D35DE"/>
    <w:rsid w:val="4F2D446F"/>
    <w:rsid w:val="4F2D7040"/>
    <w:rsid w:val="4F2E00DF"/>
    <w:rsid w:val="4F2E0C11"/>
    <w:rsid w:val="4F2E2C8D"/>
    <w:rsid w:val="4F2E6E63"/>
    <w:rsid w:val="4F2F543A"/>
    <w:rsid w:val="4F302BDB"/>
    <w:rsid w:val="4F304989"/>
    <w:rsid w:val="4F310701"/>
    <w:rsid w:val="4F3124AF"/>
    <w:rsid w:val="4F31425D"/>
    <w:rsid w:val="4F3245D9"/>
    <w:rsid w:val="4F326E51"/>
    <w:rsid w:val="4F3322A9"/>
    <w:rsid w:val="4F3328D0"/>
    <w:rsid w:val="4F336CF6"/>
    <w:rsid w:val="4F337FD5"/>
    <w:rsid w:val="4F342C01"/>
    <w:rsid w:val="4F343D4D"/>
    <w:rsid w:val="4F344342"/>
    <w:rsid w:val="4F344554"/>
    <w:rsid w:val="4F346E01"/>
    <w:rsid w:val="4F3501F1"/>
    <w:rsid w:val="4F351F9F"/>
    <w:rsid w:val="4F3557D2"/>
    <w:rsid w:val="4F363F69"/>
    <w:rsid w:val="4F36475A"/>
    <w:rsid w:val="4F365D17"/>
    <w:rsid w:val="4F367449"/>
    <w:rsid w:val="4F367AC5"/>
    <w:rsid w:val="4F375D0B"/>
    <w:rsid w:val="4F377438"/>
    <w:rsid w:val="4F377D4C"/>
    <w:rsid w:val="4F381582"/>
    <w:rsid w:val="4F381A8F"/>
    <w:rsid w:val="4F38383D"/>
    <w:rsid w:val="4F384153"/>
    <w:rsid w:val="4F3855EC"/>
    <w:rsid w:val="4F3A01B4"/>
    <w:rsid w:val="4F3A2ACE"/>
    <w:rsid w:val="4F3A75B6"/>
    <w:rsid w:val="4F3B1580"/>
    <w:rsid w:val="4F3B332E"/>
    <w:rsid w:val="4F3B50DC"/>
    <w:rsid w:val="4F3C13E6"/>
    <w:rsid w:val="4F3C384A"/>
    <w:rsid w:val="4F3C3EF2"/>
    <w:rsid w:val="4F3C647C"/>
    <w:rsid w:val="4F3C74A9"/>
    <w:rsid w:val="4F3D3F64"/>
    <w:rsid w:val="4F3D6B35"/>
    <w:rsid w:val="4F3E53F4"/>
    <w:rsid w:val="4F3E697A"/>
    <w:rsid w:val="4F3F1455"/>
    <w:rsid w:val="4F3F3010"/>
    <w:rsid w:val="4F400944"/>
    <w:rsid w:val="4F401206"/>
    <w:rsid w:val="4F402440"/>
    <w:rsid w:val="4F410059"/>
    <w:rsid w:val="4F416B96"/>
    <w:rsid w:val="4F420D88"/>
    <w:rsid w:val="4F42290E"/>
    <w:rsid w:val="4F4241F6"/>
    <w:rsid w:val="4F42440D"/>
    <w:rsid w:val="4F4246BC"/>
    <w:rsid w:val="4F42646A"/>
    <w:rsid w:val="4F4326D4"/>
    <w:rsid w:val="4F440434"/>
    <w:rsid w:val="4F443F90"/>
    <w:rsid w:val="4F453B86"/>
    <w:rsid w:val="4F455F5A"/>
    <w:rsid w:val="4F457CC7"/>
    <w:rsid w:val="4F457D08"/>
    <w:rsid w:val="4F460556"/>
    <w:rsid w:val="4F47707E"/>
    <w:rsid w:val="4F4779E1"/>
    <w:rsid w:val="4F477B6E"/>
    <w:rsid w:val="4F477BE7"/>
    <w:rsid w:val="4F491588"/>
    <w:rsid w:val="4F492507"/>
    <w:rsid w:val="4F495A4B"/>
    <w:rsid w:val="4F495A7F"/>
    <w:rsid w:val="4F4A2BA6"/>
    <w:rsid w:val="4F4A531F"/>
    <w:rsid w:val="4F4A5EA4"/>
    <w:rsid w:val="4F4B02A6"/>
    <w:rsid w:val="4F4B17C3"/>
    <w:rsid w:val="4F4B34C3"/>
    <w:rsid w:val="4F4C1097"/>
    <w:rsid w:val="4F4C1232"/>
    <w:rsid w:val="4F4C553B"/>
    <w:rsid w:val="4F4C72E9"/>
    <w:rsid w:val="4F4D3A59"/>
    <w:rsid w:val="4F4D5A86"/>
    <w:rsid w:val="4F4D67A1"/>
    <w:rsid w:val="4F4D684F"/>
    <w:rsid w:val="4F4E3061"/>
    <w:rsid w:val="4F4E4A64"/>
    <w:rsid w:val="4F4E4E0F"/>
    <w:rsid w:val="4F4E4EE9"/>
    <w:rsid w:val="4F4E6379"/>
    <w:rsid w:val="4F4F0B87"/>
    <w:rsid w:val="4F4F0E67"/>
    <w:rsid w:val="4F4F1C96"/>
    <w:rsid w:val="4F4F4334"/>
    <w:rsid w:val="4F5023DA"/>
    <w:rsid w:val="4F504AF8"/>
    <w:rsid w:val="4F506DD9"/>
    <w:rsid w:val="4F510CC7"/>
    <w:rsid w:val="4F512B51"/>
    <w:rsid w:val="4F5148FF"/>
    <w:rsid w:val="4F5166AD"/>
    <w:rsid w:val="4F522B7B"/>
    <w:rsid w:val="4F523BE8"/>
    <w:rsid w:val="4F525FCE"/>
    <w:rsid w:val="4F5265F3"/>
    <w:rsid w:val="4F527EC4"/>
    <w:rsid w:val="4F530677"/>
    <w:rsid w:val="4F5323A5"/>
    <w:rsid w:val="4F532425"/>
    <w:rsid w:val="4F53305F"/>
    <w:rsid w:val="4F533199"/>
    <w:rsid w:val="4F5368C9"/>
    <w:rsid w:val="4F537114"/>
    <w:rsid w:val="4F541381"/>
    <w:rsid w:val="4F5421BB"/>
    <w:rsid w:val="4F5421EB"/>
    <w:rsid w:val="4F5433E8"/>
    <w:rsid w:val="4F5435EB"/>
    <w:rsid w:val="4F545534"/>
    <w:rsid w:val="4F547761"/>
    <w:rsid w:val="4F5539B1"/>
    <w:rsid w:val="4F5543EF"/>
    <w:rsid w:val="4F55619D"/>
    <w:rsid w:val="4F557603"/>
    <w:rsid w:val="4F560168"/>
    <w:rsid w:val="4F561F16"/>
    <w:rsid w:val="4F56339E"/>
    <w:rsid w:val="4F563CC4"/>
    <w:rsid w:val="4F564023"/>
    <w:rsid w:val="4F5733FF"/>
    <w:rsid w:val="4F5735C9"/>
    <w:rsid w:val="4F580B6C"/>
    <w:rsid w:val="4F585191"/>
    <w:rsid w:val="4F586469"/>
    <w:rsid w:val="4F587A3C"/>
    <w:rsid w:val="4F5902F9"/>
    <w:rsid w:val="4F5A37B4"/>
    <w:rsid w:val="4F5A7C58"/>
    <w:rsid w:val="4F5B577E"/>
    <w:rsid w:val="4F5B6CE5"/>
    <w:rsid w:val="4F5B752C"/>
    <w:rsid w:val="4F5C52B6"/>
    <w:rsid w:val="4F5D32A4"/>
    <w:rsid w:val="4F5D5052"/>
    <w:rsid w:val="4F5D75C7"/>
    <w:rsid w:val="4F5F0DCA"/>
    <w:rsid w:val="4F5F12B1"/>
    <w:rsid w:val="4F5F526E"/>
    <w:rsid w:val="4F5F701C"/>
    <w:rsid w:val="4F5F72FE"/>
    <w:rsid w:val="4F60672A"/>
    <w:rsid w:val="4F610FE6"/>
    <w:rsid w:val="4F611C1E"/>
    <w:rsid w:val="4F61335F"/>
    <w:rsid w:val="4F61648F"/>
    <w:rsid w:val="4F616B49"/>
    <w:rsid w:val="4F621D1C"/>
    <w:rsid w:val="4F622668"/>
    <w:rsid w:val="4F626B0C"/>
    <w:rsid w:val="4F6271DE"/>
    <w:rsid w:val="4F6273C0"/>
    <w:rsid w:val="4F630850"/>
    <w:rsid w:val="4F6362AD"/>
    <w:rsid w:val="4F642884"/>
    <w:rsid w:val="4F6435A6"/>
    <w:rsid w:val="4F644633"/>
    <w:rsid w:val="4F6463E1"/>
    <w:rsid w:val="4F64710F"/>
    <w:rsid w:val="4F652159"/>
    <w:rsid w:val="4F6541BD"/>
    <w:rsid w:val="4F6552C0"/>
    <w:rsid w:val="4F6603AB"/>
    <w:rsid w:val="4F675ED1"/>
    <w:rsid w:val="4F681AF1"/>
    <w:rsid w:val="4F686D10"/>
    <w:rsid w:val="4F686F20"/>
    <w:rsid w:val="4F6875C9"/>
    <w:rsid w:val="4F691C49"/>
    <w:rsid w:val="4F697E9B"/>
    <w:rsid w:val="4F6A776F"/>
    <w:rsid w:val="4F6B3C13"/>
    <w:rsid w:val="4F6B58A1"/>
    <w:rsid w:val="4F6B59C1"/>
    <w:rsid w:val="4F6C10C4"/>
    <w:rsid w:val="4F6C1739"/>
    <w:rsid w:val="4F6C2660"/>
    <w:rsid w:val="4F6C34E7"/>
    <w:rsid w:val="4F6C798B"/>
    <w:rsid w:val="4F6D1555"/>
    <w:rsid w:val="4F6D1902"/>
    <w:rsid w:val="4F6D374B"/>
    <w:rsid w:val="4F6E54B1"/>
    <w:rsid w:val="4F6F2C5D"/>
    <w:rsid w:val="4F6F4B49"/>
    <w:rsid w:val="4F6F572A"/>
    <w:rsid w:val="4F6F63AC"/>
    <w:rsid w:val="4F6F6DF3"/>
    <w:rsid w:val="4F700FBB"/>
    <w:rsid w:val="4F701229"/>
    <w:rsid w:val="4F702FD7"/>
    <w:rsid w:val="4F710AFD"/>
    <w:rsid w:val="4F71139B"/>
    <w:rsid w:val="4F711713"/>
    <w:rsid w:val="4F7147B9"/>
    <w:rsid w:val="4F714FA1"/>
    <w:rsid w:val="4F716D4F"/>
    <w:rsid w:val="4F7242E4"/>
    <w:rsid w:val="4F725907"/>
    <w:rsid w:val="4F726BA6"/>
    <w:rsid w:val="4F730D1A"/>
    <w:rsid w:val="4F732AC8"/>
    <w:rsid w:val="4F735774"/>
    <w:rsid w:val="4F741E69"/>
    <w:rsid w:val="4F74239C"/>
    <w:rsid w:val="4F743105"/>
    <w:rsid w:val="4F743B1D"/>
    <w:rsid w:val="4F744D32"/>
    <w:rsid w:val="4F7556CD"/>
    <w:rsid w:val="4F756840"/>
    <w:rsid w:val="4F756871"/>
    <w:rsid w:val="4F7573AA"/>
    <w:rsid w:val="4F7626B4"/>
    <w:rsid w:val="4F7632C5"/>
    <w:rsid w:val="4F7639C3"/>
    <w:rsid w:val="4F763D8A"/>
    <w:rsid w:val="4F764366"/>
    <w:rsid w:val="4F764860"/>
    <w:rsid w:val="4F767364"/>
    <w:rsid w:val="4F7679CC"/>
    <w:rsid w:val="4F7702AB"/>
    <w:rsid w:val="4F7725B8"/>
    <w:rsid w:val="4F7800DE"/>
    <w:rsid w:val="4F782B8C"/>
    <w:rsid w:val="4F78365A"/>
    <w:rsid w:val="4F786330"/>
    <w:rsid w:val="4F790026"/>
    <w:rsid w:val="4F792A76"/>
    <w:rsid w:val="4F7948B9"/>
    <w:rsid w:val="4F7A20A8"/>
    <w:rsid w:val="4F7A3E56"/>
    <w:rsid w:val="4F7A5C7B"/>
    <w:rsid w:val="4F7B0E4F"/>
    <w:rsid w:val="4F7B372A"/>
    <w:rsid w:val="4F7B48BD"/>
    <w:rsid w:val="4F7B6AD7"/>
    <w:rsid w:val="4F7C5E20"/>
    <w:rsid w:val="4F7C6076"/>
    <w:rsid w:val="4F7C6D36"/>
    <w:rsid w:val="4F7D3946"/>
    <w:rsid w:val="4F7D3A22"/>
    <w:rsid w:val="4F7D3C20"/>
    <w:rsid w:val="4F7D56F4"/>
    <w:rsid w:val="4F7D5A21"/>
    <w:rsid w:val="4F7D71C2"/>
    <w:rsid w:val="4F7D74A2"/>
    <w:rsid w:val="4F7E2AB0"/>
    <w:rsid w:val="4F7E40B8"/>
    <w:rsid w:val="4F7E42C4"/>
    <w:rsid w:val="4F7E5458"/>
    <w:rsid w:val="4F7F146C"/>
    <w:rsid w:val="4F7F25C4"/>
    <w:rsid w:val="4F7F42D2"/>
    <w:rsid w:val="4F7F4733"/>
    <w:rsid w:val="4F7F628D"/>
    <w:rsid w:val="4F801C09"/>
    <w:rsid w:val="4F805B37"/>
    <w:rsid w:val="4F811C88"/>
    <w:rsid w:val="4F8162A9"/>
    <w:rsid w:val="4F817C52"/>
    <w:rsid w:val="4F820463"/>
    <w:rsid w:val="4F820F5D"/>
    <w:rsid w:val="4F821874"/>
    <w:rsid w:val="4F822D0B"/>
    <w:rsid w:val="4F827F90"/>
    <w:rsid w:val="4F83129E"/>
    <w:rsid w:val="4F833B28"/>
    <w:rsid w:val="4F844CD5"/>
    <w:rsid w:val="4F845FFF"/>
    <w:rsid w:val="4F8538E2"/>
    <w:rsid w:val="4F857DBD"/>
    <w:rsid w:val="4F8624A9"/>
    <w:rsid w:val="4F8627FB"/>
    <w:rsid w:val="4F8648DA"/>
    <w:rsid w:val="4F870321"/>
    <w:rsid w:val="4F870FEC"/>
    <w:rsid w:val="4F876573"/>
    <w:rsid w:val="4F877CA2"/>
    <w:rsid w:val="4F8847C5"/>
    <w:rsid w:val="4F89131B"/>
    <w:rsid w:val="4F8922EB"/>
    <w:rsid w:val="4F893E05"/>
    <w:rsid w:val="4F893F63"/>
    <w:rsid w:val="4F894099"/>
    <w:rsid w:val="4F896A11"/>
    <w:rsid w:val="4F8A0E2A"/>
    <w:rsid w:val="4F8A278A"/>
    <w:rsid w:val="4F8A4324"/>
    <w:rsid w:val="4F8A6231"/>
    <w:rsid w:val="4F8A7CF8"/>
    <w:rsid w:val="4F8B1BBF"/>
    <w:rsid w:val="4F8C0284"/>
    <w:rsid w:val="4F8C2AEA"/>
    <w:rsid w:val="4F8C5937"/>
    <w:rsid w:val="4F8C637A"/>
    <w:rsid w:val="4F8C7126"/>
    <w:rsid w:val="4F8C7A5C"/>
    <w:rsid w:val="4F8D008A"/>
    <w:rsid w:val="4F8D0A11"/>
    <w:rsid w:val="4F8D1DDB"/>
    <w:rsid w:val="4F8D30FB"/>
    <w:rsid w:val="4F8D64B3"/>
    <w:rsid w:val="4F8E16AF"/>
    <w:rsid w:val="4F8E1F1D"/>
    <w:rsid w:val="4F8E345D"/>
    <w:rsid w:val="4F8E3FE0"/>
    <w:rsid w:val="4F8E5B53"/>
    <w:rsid w:val="4F8E6612"/>
    <w:rsid w:val="4F8F441C"/>
    <w:rsid w:val="4F8F63DD"/>
    <w:rsid w:val="4F90283F"/>
    <w:rsid w:val="4F90367A"/>
    <w:rsid w:val="4F905428"/>
    <w:rsid w:val="4F9071D6"/>
    <w:rsid w:val="4F912F4E"/>
    <w:rsid w:val="4F9143A0"/>
    <w:rsid w:val="4F916733"/>
    <w:rsid w:val="4F921896"/>
    <w:rsid w:val="4F9273F2"/>
    <w:rsid w:val="4F93316A"/>
    <w:rsid w:val="4F934F18"/>
    <w:rsid w:val="4F9361EE"/>
    <w:rsid w:val="4F94767E"/>
    <w:rsid w:val="4F950C90"/>
    <w:rsid w:val="4F952A3E"/>
    <w:rsid w:val="4F9667B6"/>
    <w:rsid w:val="4F9669DA"/>
    <w:rsid w:val="4F9754F7"/>
    <w:rsid w:val="4F98252E"/>
    <w:rsid w:val="4F9839AD"/>
    <w:rsid w:val="4F9842DC"/>
    <w:rsid w:val="4F9843DC"/>
    <w:rsid w:val="4F990F87"/>
    <w:rsid w:val="4F992060"/>
    <w:rsid w:val="4F993CDD"/>
    <w:rsid w:val="4F997613"/>
    <w:rsid w:val="4F9A1AE0"/>
    <w:rsid w:val="4F9A34F0"/>
    <w:rsid w:val="4F9A44F8"/>
    <w:rsid w:val="4F9C201E"/>
    <w:rsid w:val="4F9C3DCC"/>
    <w:rsid w:val="4F9C4392"/>
    <w:rsid w:val="4F9D18F3"/>
    <w:rsid w:val="4F9D203F"/>
    <w:rsid w:val="4F9D3A90"/>
    <w:rsid w:val="4F9D5D96"/>
    <w:rsid w:val="4F9D6C22"/>
    <w:rsid w:val="4F9D72A0"/>
    <w:rsid w:val="4F9D7B44"/>
    <w:rsid w:val="4F9D7D73"/>
    <w:rsid w:val="4F9E0730"/>
    <w:rsid w:val="4F9E3301"/>
    <w:rsid w:val="4F9E5E12"/>
    <w:rsid w:val="4F9F02EF"/>
    <w:rsid w:val="4F9F566B"/>
    <w:rsid w:val="4F9F5943"/>
    <w:rsid w:val="4FA03191"/>
    <w:rsid w:val="4FA03B8B"/>
    <w:rsid w:val="4FA05C21"/>
    <w:rsid w:val="4FA07362"/>
    <w:rsid w:val="4FA113E3"/>
    <w:rsid w:val="4FA233AD"/>
    <w:rsid w:val="4FA2515B"/>
    <w:rsid w:val="4FA26F09"/>
    <w:rsid w:val="4FA314B5"/>
    <w:rsid w:val="4FA329A4"/>
    <w:rsid w:val="4FA36019"/>
    <w:rsid w:val="4FA407B6"/>
    <w:rsid w:val="4FA40ED3"/>
    <w:rsid w:val="4FA41E87"/>
    <w:rsid w:val="4FA42819"/>
    <w:rsid w:val="4FA42C81"/>
    <w:rsid w:val="4FA47125"/>
    <w:rsid w:val="4FA47173"/>
    <w:rsid w:val="4FA50077"/>
    <w:rsid w:val="4FA5228A"/>
    <w:rsid w:val="4FA62737"/>
    <w:rsid w:val="4FA64C4B"/>
    <w:rsid w:val="4FA65A18"/>
    <w:rsid w:val="4FA66CFD"/>
    <w:rsid w:val="4FA72F23"/>
    <w:rsid w:val="4FA7436E"/>
    <w:rsid w:val="4FA74853"/>
    <w:rsid w:val="4FA8127B"/>
    <w:rsid w:val="4FA82B06"/>
    <w:rsid w:val="4FA82D1D"/>
    <w:rsid w:val="4FA901DB"/>
    <w:rsid w:val="4FA90414"/>
    <w:rsid w:val="4FA9473B"/>
    <w:rsid w:val="4FA964E9"/>
    <w:rsid w:val="4FA97833"/>
    <w:rsid w:val="4FAA2F37"/>
    <w:rsid w:val="4FAA2FE5"/>
    <w:rsid w:val="4FAA3CEB"/>
    <w:rsid w:val="4FAA7FE7"/>
    <w:rsid w:val="4FAB04B3"/>
    <w:rsid w:val="4FAB0A79"/>
    <w:rsid w:val="4FAB400F"/>
    <w:rsid w:val="4FAB5709"/>
    <w:rsid w:val="4FAB6D53"/>
    <w:rsid w:val="4FAC1DFB"/>
    <w:rsid w:val="4FAC1EB3"/>
    <w:rsid w:val="4FAC26B0"/>
    <w:rsid w:val="4FAC7D88"/>
    <w:rsid w:val="4FAD1966"/>
    <w:rsid w:val="4FAD422B"/>
    <w:rsid w:val="4FAD5FDA"/>
    <w:rsid w:val="4FAD67E7"/>
    <w:rsid w:val="4FAE1A74"/>
    <w:rsid w:val="4FAE1D52"/>
    <w:rsid w:val="4FAE2DF6"/>
    <w:rsid w:val="4FAE3B00"/>
    <w:rsid w:val="4FAE4A08"/>
    <w:rsid w:val="4FAF4286"/>
    <w:rsid w:val="4FB01626"/>
    <w:rsid w:val="4FB05ACA"/>
    <w:rsid w:val="4FB07878"/>
    <w:rsid w:val="4FB10788"/>
    <w:rsid w:val="4FB122BD"/>
    <w:rsid w:val="4FB124B6"/>
    <w:rsid w:val="4FB1539E"/>
    <w:rsid w:val="4FB17B8B"/>
    <w:rsid w:val="4FB20036"/>
    <w:rsid w:val="4FB200C6"/>
    <w:rsid w:val="4FB203B9"/>
    <w:rsid w:val="4FB21554"/>
    <w:rsid w:val="4FB21842"/>
    <w:rsid w:val="4FB263B9"/>
    <w:rsid w:val="4FB26781"/>
    <w:rsid w:val="4FB27BB7"/>
    <w:rsid w:val="4FB31116"/>
    <w:rsid w:val="4FB346A4"/>
    <w:rsid w:val="4FB34C94"/>
    <w:rsid w:val="4FB355BA"/>
    <w:rsid w:val="4FB37368"/>
    <w:rsid w:val="4FB40783"/>
    <w:rsid w:val="4FB45527"/>
    <w:rsid w:val="4FB530E0"/>
    <w:rsid w:val="4FB540E7"/>
    <w:rsid w:val="4FB54E8E"/>
    <w:rsid w:val="4FB629B4"/>
    <w:rsid w:val="4FB67197"/>
    <w:rsid w:val="4FB67737"/>
    <w:rsid w:val="4FB734FD"/>
    <w:rsid w:val="4FB742D1"/>
    <w:rsid w:val="4FB74A06"/>
    <w:rsid w:val="4FB76E58"/>
    <w:rsid w:val="4FB777D7"/>
    <w:rsid w:val="4FB808D2"/>
    <w:rsid w:val="4FB82BD0"/>
    <w:rsid w:val="4FB8497E"/>
    <w:rsid w:val="4FB86A79"/>
    <w:rsid w:val="4FB875D6"/>
    <w:rsid w:val="4FB9022A"/>
    <w:rsid w:val="4FB90B64"/>
    <w:rsid w:val="4FB90FAB"/>
    <w:rsid w:val="4FB925DA"/>
    <w:rsid w:val="4FB95338"/>
    <w:rsid w:val="4FB95833"/>
    <w:rsid w:val="4FB966B4"/>
    <w:rsid w:val="4FB9753E"/>
    <w:rsid w:val="4FBA06F6"/>
    <w:rsid w:val="4FBA24A4"/>
    <w:rsid w:val="4FBA295A"/>
    <w:rsid w:val="4FBA3692"/>
    <w:rsid w:val="4FBA39C5"/>
    <w:rsid w:val="4FBA4052"/>
    <w:rsid w:val="4FBA4253"/>
    <w:rsid w:val="4FBA658A"/>
    <w:rsid w:val="4FBB0F18"/>
    <w:rsid w:val="4FBB3F6A"/>
    <w:rsid w:val="4FBB7FCB"/>
    <w:rsid w:val="4FBC1425"/>
    <w:rsid w:val="4FBC1484"/>
    <w:rsid w:val="4FBC15F9"/>
    <w:rsid w:val="4FBC446F"/>
    <w:rsid w:val="4FBC5E5D"/>
    <w:rsid w:val="4FBC621D"/>
    <w:rsid w:val="4FBD11EC"/>
    <w:rsid w:val="4FBD1F95"/>
    <w:rsid w:val="4FBD3D43"/>
    <w:rsid w:val="4FBD44E4"/>
    <w:rsid w:val="4FBD50D3"/>
    <w:rsid w:val="4FBD51E1"/>
    <w:rsid w:val="4FBD688A"/>
    <w:rsid w:val="4FBD7292"/>
    <w:rsid w:val="4FBE01E7"/>
    <w:rsid w:val="4FBE0D27"/>
    <w:rsid w:val="4FBE1161"/>
    <w:rsid w:val="4FBE1A37"/>
    <w:rsid w:val="4FBE7D1A"/>
    <w:rsid w:val="4FBF4584"/>
    <w:rsid w:val="4FBF7ABB"/>
    <w:rsid w:val="4FC06EDF"/>
    <w:rsid w:val="4FC12F4D"/>
    <w:rsid w:val="4FC155E1"/>
    <w:rsid w:val="4FC1669B"/>
    <w:rsid w:val="4FC21359"/>
    <w:rsid w:val="4FC275AB"/>
    <w:rsid w:val="4FC30FBB"/>
    <w:rsid w:val="4FC33198"/>
    <w:rsid w:val="4FC33B8C"/>
    <w:rsid w:val="4FC346CE"/>
    <w:rsid w:val="4FC357FD"/>
    <w:rsid w:val="4FC36648"/>
    <w:rsid w:val="4FC43323"/>
    <w:rsid w:val="4FC43E30"/>
    <w:rsid w:val="4FC450D1"/>
    <w:rsid w:val="4FC60E49"/>
    <w:rsid w:val="4FC623A7"/>
    <w:rsid w:val="4FC62A8C"/>
    <w:rsid w:val="4FC652ED"/>
    <w:rsid w:val="4FC7696F"/>
    <w:rsid w:val="4FC76CBB"/>
    <w:rsid w:val="4FC82E13"/>
    <w:rsid w:val="4FC83BFD"/>
    <w:rsid w:val="4FC86B92"/>
    <w:rsid w:val="4FC9093A"/>
    <w:rsid w:val="4FC91BCF"/>
    <w:rsid w:val="4FC926E8"/>
    <w:rsid w:val="4FC94E2D"/>
    <w:rsid w:val="4FC96B8B"/>
    <w:rsid w:val="4FC97201"/>
    <w:rsid w:val="4FCA0E8E"/>
    <w:rsid w:val="4FCA1BA6"/>
    <w:rsid w:val="4FCA5D6F"/>
    <w:rsid w:val="4FCA61E4"/>
    <w:rsid w:val="4FCB231E"/>
    <w:rsid w:val="4FCB2904"/>
    <w:rsid w:val="4FCB38F5"/>
    <w:rsid w:val="4FCB6460"/>
    <w:rsid w:val="4FCC21D8"/>
    <w:rsid w:val="4FCC3F86"/>
    <w:rsid w:val="4FCC4556"/>
    <w:rsid w:val="4FCD6802"/>
    <w:rsid w:val="4FCD70C9"/>
    <w:rsid w:val="4FCE1A58"/>
    <w:rsid w:val="4FCE41A2"/>
    <w:rsid w:val="4FCE5E25"/>
    <w:rsid w:val="4FCE7424"/>
    <w:rsid w:val="4FCE7CFE"/>
    <w:rsid w:val="4FCF0C9F"/>
    <w:rsid w:val="4FCF151E"/>
    <w:rsid w:val="4FCF3502"/>
    <w:rsid w:val="4FCF3BAC"/>
    <w:rsid w:val="4FCF7E2D"/>
    <w:rsid w:val="4FD01CC8"/>
    <w:rsid w:val="4FD035BF"/>
    <w:rsid w:val="4FD03A76"/>
    <w:rsid w:val="4FD0780F"/>
    <w:rsid w:val="4FD07F1A"/>
    <w:rsid w:val="4FD16190"/>
    <w:rsid w:val="4FD2386F"/>
    <w:rsid w:val="4FD23C92"/>
    <w:rsid w:val="4FD25A40"/>
    <w:rsid w:val="4FD27620"/>
    <w:rsid w:val="4FD277EE"/>
    <w:rsid w:val="4FD33566"/>
    <w:rsid w:val="4FD33ECE"/>
    <w:rsid w:val="4FD345F5"/>
    <w:rsid w:val="4FD34E87"/>
    <w:rsid w:val="4FD3745D"/>
    <w:rsid w:val="4FD478D1"/>
    <w:rsid w:val="4FD5108C"/>
    <w:rsid w:val="4FD51347"/>
    <w:rsid w:val="4FD53C69"/>
    <w:rsid w:val="4FD55FA1"/>
    <w:rsid w:val="4FD56669"/>
    <w:rsid w:val="4FD60B72"/>
    <w:rsid w:val="4FD631D9"/>
    <w:rsid w:val="4FD63DB7"/>
    <w:rsid w:val="4FD71CDC"/>
    <w:rsid w:val="4FD7252C"/>
    <w:rsid w:val="4FD728D5"/>
    <w:rsid w:val="4FD73056"/>
    <w:rsid w:val="4FD738A3"/>
    <w:rsid w:val="4FD74E04"/>
    <w:rsid w:val="4FD75006"/>
    <w:rsid w:val="4FD80B7D"/>
    <w:rsid w:val="4FD81CAD"/>
    <w:rsid w:val="4FD8407F"/>
    <w:rsid w:val="4FD9188E"/>
    <w:rsid w:val="4FD93D53"/>
    <w:rsid w:val="4FD94922"/>
    <w:rsid w:val="4FD95020"/>
    <w:rsid w:val="4FD95B8A"/>
    <w:rsid w:val="4FD9651E"/>
    <w:rsid w:val="4FDA0983"/>
    <w:rsid w:val="4FDA2B47"/>
    <w:rsid w:val="4FDA5DB2"/>
    <w:rsid w:val="4FDA66A3"/>
    <w:rsid w:val="4FDA7242"/>
    <w:rsid w:val="4FDA7714"/>
    <w:rsid w:val="4FDB06D2"/>
    <w:rsid w:val="4FDC066D"/>
    <w:rsid w:val="4FDC241B"/>
    <w:rsid w:val="4FDD43E5"/>
    <w:rsid w:val="4FDD4BB4"/>
    <w:rsid w:val="4FDE0794"/>
    <w:rsid w:val="4FDE2637"/>
    <w:rsid w:val="4FDE275E"/>
    <w:rsid w:val="4FDE4ABC"/>
    <w:rsid w:val="4FDE5BC3"/>
    <w:rsid w:val="4FDE6FBC"/>
    <w:rsid w:val="4FDE7304"/>
    <w:rsid w:val="4FDF59D4"/>
    <w:rsid w:val="4FDF63AF"/>
    <w:rsid w:val="4FDF7053"/>
    <w:rsid w:val="4FE047F5"/>
    <w:rsid w:val="4FE11016"/>
    <w:rsid w:val="4FE12B17"/>
    <w:rsid w:val="4FE13ED5"/>
    <w:rsid w:val="4FE14544"/>
    <w:rsid w:val="4FE15C83"/>
    <w:rsid w:val="4FE15C85"/>
    <w:rsid w:val="4FE17A31"/>
    <w:rsid w:val="4FE20F0D"/>
    <w:rsid w:val="4FE21DBD"/>
    <w:rsid w:val="4FE224C4"/>
    <w:rsid w:val="4FE259D4"/>
    <w:rsid w:val="4FE33141"/>
    <w:rsid w:val="4FE44462"/>
    <w:rsid w:val="4FE47521"/>
    <w:rsid w:val="4FE501EA"/>
    <w:rsid w:val="4FE51552"/>
    <w:rsid w:val="4FE603BC"/>
    <w:rsid w:val="4FE614EB"/>
    <w:rsid w:val="4FE63299"/>
    <w:rsid w:val="4FE63592"/>
    <w:rsid w:val="4FE64355"/>
    <w:rsid w:val="4FE65048"/>
    <w:rsid w:val="4FE66F26"/>
    <w:rsid w:val="4FE6773D"/>
    <w:rsid w:val="4FE70DC0"/>
    <w:rsid w:val="4FE71AF7"/>
    <w:rsid w:val="4FE8185E"/>
    <w:rsid w:val="4FE8205F"/>
    <w:rsid w:val="4FE82F87"/>
    <w:rsid w:val="4FE87012"/>
    <w:rsid w:val="4FE91AB3"/>
    <w:rsid w:val="4FE94B38"/>
    <w:rsid w:val="4FE94F5F"/>
    <w:rsid w:val="4FEA6D2C"/>
    <w:rsid w:val="4FEA6D37"/>
    <w:rsid w:val="4FEA752D"/>
    <w:rsid w:val="4FEB08B0"/>
    <w:rsid w:val="4FEB34BE"/>
    <w:rsid w:val="4FEB3A2C"/>
    <w:rsid w:val="4FEB6B02"/>
    <w:rsid w:val="4FEC0C0F"/>
    <w:rsid w:val="4FEC63D6"/>
    <w:rsid w:val="4FED287A"/>
    <w:rsid w:val="4FED2BC9"/>
    <w:rsid w:val="4FED4628"/>
    <w:rsid w:val="4FED6DF9"/>
    <w:rsid w:val="4FEE214E"/>
    <w:rsid w:val="4FEE2EE2"/>
    <w:rsid w:val="4FEE56B8"/>
    <w:rsid w:val="4FEE65F2"/>
    <w:rsid w:val="4FEF1293"/>
    <w:rsid w:val="4FEF28E2"/>
    <w:rsid w:val="4FEF4E4F"/>
    <w:rsid w:val="4FEF520F"/>
    <w:rsid w:val="4FEF6581"/>
    <w:rsid w:val="4FEF6B48"/>
    <w:rsid w:val="4FF00539"/>
    <w:rsid w:val="4FF01AB5"/>
    <w:rsid w:val="4FF0287D"/>
    <w:rsid w:val="4FF0492B"/>
    <w:rsid w:val="4FF05EC6"/>
    <w:rsid w:val="4FF0626B"/>
    <w:rsid w:val="4FF069ED"/>
    <w:rsid w:val="4FF12D75"/>
    <w:rsid w:val="4FF14039"/>
    <w:rsid w:val="4FF21C3E"/>
    <w:rsid w:val="4FF234A2"/>
    <w:rsid w:val="4FF2477D"/>
    <w:rsid w:val="4FF260E2"/>
    <w:rsid w:val="4FF2635A"/>
    <w:rsid w:val="4FF26C0A"/>
    <w:rsid w:val="4FF27E90"/>
    <w:rsid w:val="4FF359B6"/>
    <w:rsid w:val="4FF4152A"/>
    <w:rsid w:val="4FF425EE"/>
    <w:rsid w:val="4FF43C08"/>
    <w:rsid w:val="4FF445DA"/>
    <w:rsid w:val="4FF476D2"/>
    <w:rsid w:val="4FF51E6C"/>
    <w:rsid w:val="4FF534DD"/>
    <w:rsid w:val="4FF5626C"/>
    <w:rsid w:val="4FF65D82"/>
    <w:rsid w:val="4FF70539"/>
    <w:rsid w:val="4FF736F9"/>
    <w:rsid w:val="4FF73FD4"/>
    <w:rsid w:val="4FF74EA9"/>
    <w:rsid w:val="4FF754A7"/>
    <w:rsid w:val="4FF77EAB"/>
    <w:rsid w:val="4FF80694"/>
    <w:rsid w:val="4FF8112F"/>
    <w:rsid w:val="4FF8133B"/>
    <w:rsid w:val="4FF817B7"/>
    <w:rsid w:val="4FF82FCD"/>
    <w:rsid w:val="4FF834A6"/>
    <w:rsid w:val="4FF84D7B"/>
    <w:rsid w:val="4FF9121F"/>
    <w:rsid w:val="4FF9528C"/>
    <w:rsid w:val="4FF97471"/>
    <w:rsid w:val="4FFA0AF3"/>
    <w:rsid w:val="4FFA6D45"/>
    <w:rsid w:val="4FFB1253"/>
    <w:rsid w:val="4FFB6DF7"/>
    <w:rsid w:val="4FFC0D0F"/>
    <w:rsid w:val="4FFC114C"/>
    <w:rsid w:val="4FFC1A01"/>
    <w:rsid w:val="4FFC288D"/>
    <w:rsid w:val="4FFC486B"/>
    <w:rsid w:val="4FFD05E3"/>
    <w:rsid w:val="4FFD1E81"/>
    <w:rsid w:val="4FFD3063"/>
    <w:rsid w:val="4FFD595B"/>
    <w:rsid w:val="4FFD5D59"/>
    <w:rsid w:val="4FFE6835"/>
    <w:rsid w:val="4FFF663D"/>
    <w:rsid w:val="50006A3F"/>
    <w:rsid w:val="5000763F"/>
    <w:rsid w:val="500100D3"/>
    <w:rsid w:val="50011412"/>
    <w:rsid w:val="50011A12"/>
    <w:rsid w:val="50011E81"/>
    <w:rsid w:val="50015864"/>
    <w:rsid w:val="500159CA"/>
    <w:rsid w:val="50016325"/>
    <w:rsid w:val="5002017E"/>
    <w:rsid w:val="50020B50"/>
    <w:rsid w:val="50021A1C"/>
    <w:rsid w:val="50023AF7"/>
    <w:rsid w:val="500241D6"/>
    <w:rsid w:val="50024E1A"/>
    <w:rsid w:val="50024FBE"/>
    <w:rsid w:val="50025BF9"/>
    <w:rsid w:val="50027980"/>
    <w:rsid w:val="5003209D"/>
    <w:rsid w:val="500323AF"/>
    <w:rsid w:val="5003327D"/>
    <w:rsid w:val="50033E4B"/>
    <w:rsid w:val="50034479"/>
    <w:rsid w:val="500362FC"/>
    <w:rsid w:val="50037BD8"/>
    <w:rsid w:val="50040AC5"/>
    <w:rsid w:val="500424AF"/>
    <w:rsid w:val="50042BEE"/>
    <w:rsid w:val="5005393F"/>
    <w:rsid w:val="50061AF7"/>
    <w:rsid w:val="5006393C"/>
    <w:rsid w:val="500656EA"/>
    <w:rsid w:val="50067498"/>
    <w:rsid w:val="500742A8"/>
    <w:rsid w:val="50077CB2"/>
    <w:rsid w:val="500806A1"/>
    <w:rsid w:val="50083210"/>
    <w:rsid w:val="5008372D"/>
    <w:rsid w:val="50084C22"/>
    <w:rsid w:val="500876B4"/>
    <w:rsid w:val="50090CDA"/>
    <w:rsid w:val="50092C3B"/>
    <w:rsid w:val="500951DA"/>
    <w:rsid w:val="500976AA"/>
    <w:rsid w:val="500A1AFB"/>
    <w:rsid w:val="500A6321"/>
    <w:rsid w:val="500B0C4A"/>
    <w:rsid w:val="500B2D00"/>
    <w:rsid w:val="500B71A4"/>
    <w:rsid w:val="500B77B1"/>
    <w:rsid w:val="500C303F"/>
    <w:rsid w:val="500C3162"/>
    <w:rsid w:val="500D3812"/>
    <w:rsid w:val="500D4CCA"/>
    <w:rsid w:val="500D64D4"/>
    <w:rsid w:val="500D6683"/>
    <w:rsid w:val="500D7747"/>
    <w:rsid w:val="500E20C0"/>
    <w:rsid w:val="500E27F0"/>
    <w:rsid w:val="500E5886"/>
    <w:rsid w:val="500F0A42"/>
    <w:rsid w:val="500F6132"/>
    <w:rsid w:val="50100118"/>
    <w:rsid w:val="50100316"/>
    <w:rsid w:val="50100A52"/>
    <w:rsid w:val="50102193"/>
    <w:rsid w:val="50102FC6"/>
    <w:rsid w:val="5010439C"/>
    <w:rsid w:val="50106568"/>
    <w:rsid w:val="501164F0"/>
    <w:rsid w:val="50120532"/>
    <w:rsid w:val="501222E0"/>
    <w:rsid w:val="50122FA0"/>
    <w:rsid w:val="5012408F"/>
    <w:rsid w:val="50126A04"/>
    <w:rsid w:val="50131BB5"/>
    <w:rsid w:val="50137E07"/>
    <w:rsid w:val="50141F79"/>
    <w:rsid w:val="50141FA4"/>
    <w:rsid w:val="50146059"/>
    <w:rsid w:val="501473D3"/>
    <w:rsid w:val="50151DD1"/>
    <w:rsid w:val="50153B7F"/>
    <w:rsid w:val="5015592D"/>
    <w:rsid w:val="5016652C"/>
    <w:rsid w:val="50170AF5"/>
    <w:rsid w:val="501716A5"/>
    <w:rsid w:val="50175B49"/>
    <w:rsid w:val="5018133A"/>
    <w:rsid w:val="501839CB"/>
    <w:rsid w:val="501871E4"/>
    <w:rsid w:val="50191C9C"/>
    <w:rsid w:val="50191DB5"/>
    <w:rsid w:val="5019366F"/>
    <w:rsid w:val="5019541D"/>
    <w:rsid w:val="501954C7"/>
    <w:rsid w:val="501A1195"/>
    <w:rsid w:val="501A2F43"/>
    <w:rsid w:val="501A474E"/>
    <w:rsid w:val="501A73E7"/>
    <w:rsid w:val="501B2F32"/>
    <w:rsid w:val="501B46D5"/>
    <w:rsid w:val="501B5B65"/>
    <w:rsid w:val="501C0736"/>
    <w:rsid w:val="501C2892"/>
    <w:rsid w:val="501C315F"/>
    <w:rsid w:val="501C6CBB"/>
    <w:rsid w:val="501D1BC6"/>
    <w:rsid w:val="501D5EB6"/>
    <w:rsid w:val="501D7BA1"/>
    <w:rsid w:val="501E2A33"/>
    <w:rsid w:val="501E4BFD"/>
    <w:rsid w:val="501E605A"/>
    <w:rsid w:val="501E6ED7"/>
    <w:rsid w:val="501F019B"/>
    <w:rsid w:val="501F0559"/>
    <w:rsid w:val="501F44E6"/>
    <w:rsid w:val="501F49FD"/>
    <w:rsid w:val="501F4FB5"/>
    <w:rsid w:val="50200100"/>
    <w:rsid w:val="50200642"/>
    <w:rsid w:val="502019D2"/>
    <w:rsid w:val="5020391B"/>
    <w:rsid w:val="50210776"/>
    <w:rsid w:val="50211405"/>
    <w:rsid w:val="50212A6B"/>
    <w:rsid w:val="502142D2"/>
    <w:rsid w:val="50222E67"/>
    <w:rsid w:val="502245A8"/>
    <w:rsid w:val="50234160"/>
    <w:rsid w:val="502344EE"/>
    <w:rsid w:val="5023629C"/>
    <w:rsid w:val="5023680D"/>
    <w:rsid w:val="50236A74"/>
    <w:rsid w:val="5024348B"/>
    <w:rsid w:val="50243DC2"/>
    <w:rsid w:val="50245B70"/>
    <w:rsid w:val="50250043"/>
    <w:rsid w:val="50250266"/>
    <w:rsid w:val="50250358"/>
    <w:rsid w:val="50252E00"/>
    <w:rsid w:val="5026167C"/>
    <w:rsid w:val="502617E8"/>
    <w:rsid w:val="502618E8"/>
    <w:rsid w:val="50265D8C"/>
    <w:rsid w:val="50267B3A"/>
    <w:rsid w:val="50272E51"/>
    <w:rsid w:val="50276254"/>
    <w:rsid w:val="50280C66"/>
    <w:rsid w:val="50280D8F"/>
    <w:rsid w:val="50281B04"/>
    <w:rsid w:val="502838A0"/>
    <w:rsid w:val="502838B2"/>
    <w:rsid w:val="50286CD9"/>
    <w:rsid w:val="502913D8"/>
    <w:rsid w:val="502A2ED0"/>
    <w:rsid w:val="502A5888"/>
    <w:rsid w:val="502A6852"/>
    <w:rsid w:val="502A6997"/>
    <w:rsid w:val="502A762A"/>
    <w:rsid w:val="502B0F13"/>
    <w:rsid w:val="502B33A2"/>
    <w:rsid w:val="502B5150"/>
    <w:rsid w:val="502B6D9B"/>
    <w:rsid w:val="502C0E35"/>
    <w:rsid w:val="502C2772"/>
    <w:rsid w:val="502C6AEA"/>
    <w:rsid w:val="502D0EC8"/>
    <w:rsid w:val="502D711A"/>
    <w:rsid w:val="502E0C0B"/>
    <w:rsid w:val="502E0E28"/>
    <w:rsid w:val="502E5D8D"/>
    <w:rsid w:val="502E69EF"/>
    <w:rsid w:val="502F2E92"/>
    <w:rsid w:val="502F4545"/>
    <w:rsid w:val="502F6569"/>
    <w:rsid w:val="502F6BAC"/>
    <w:rsid w:val="5030003C"/>
    <w:rsid w:val="503009B9"/>
    <w:rsid w:val="503070FF"/>
    <w:rsid w:val="50321D62"/>
    <w:rsid w:val="50323589"/>
    <w:rsid w:val="503249EB"/>
    <w:rsid w:val="503264DF"/>
    <w:rsid w:val="50326515"/>
    <w:rsid w:val="50334005"/>
    <w:rsid w:val="503372DE"/>
    <w:rsid w:val="50337B98"/>
    <w:rsid w:val="503404A9"/>
    <w:rsid w:val="50340D88"/>
    <w:rsid w:val="5034137F"/>
    <w:rsid w:val="50342257"/>
    <w:rsid w:val="50342F2D"/>
    <w:rsid w:val="50344005"/>
    <w:rsid w:val="503520B4"/>
    <w:rsid w:val="50352A1E"/>
    <w:rsid w:val="50354221"/>
    <w:rsid w:val="5035449D"/>
    <w:rsid w:val="50355FCF"/>
    <w:rsid w:val="50357C81"/>
    <w:rsid w:val="50357D7D"/>
    <w:rsid w:val="50357E4D"/>
    <w:rsid w:val="503612DD"/>
    <w:rsid w:val="50371D47"/>
    <w:rsid w:val="50373F95"/>
    <w:rsid w:val="5037533E"/>
    <w:rsid w:val="50377A90"/>
    <w:rsid w:val="50377F99"/>
    <w:rsid w:val="50380C7E"/>
    <w:rsid w:val="503811CE"/>
    <w:rsid w:val="50387F1A"/>
    <w:rsid w:val="5039139F"/>
    <w:rsid w:val="5039282F"/>
    <w:rsid w:val="50395ABF"/>
    <w:rsid w:val="5039786D"/>
    <w:rsid w:val="50397C5E"/>
    <w:rsid w:val="503A00AC"/>
    <w:rsid w:val="503A35E5"/>
    <w:rsid w:val="503A4183"/>
    <w:rsid w:val="503A52C6"/>
    <w:rsid w:val="503A5393"/>
    <w:rsid w:val="503B1837"/>
    <w:rsid w:val="503B1D58"/>
    <w:rsid w:val="503C0241"/>
    <w:rsid w:val="503C096C"/>
    <w:rsid w:val="503C110B"/>
    <w:rsid w:val="503C55AF"/>
    <w:rsid w:val="503C735D"/>
    <w:rsid w:val="503C7D43"/>
    <w:rsid w:val="503D00F2"/>
    <w:rsid w:val="503D0A8A"/>
    <w:rsid w:val="503D28AE"/>
    <w:rsid w:val="503E1327"/>
    <w:rsid w:val="503E1ED3"/>
    <w:rsid w:val="503E30D6"/>
    <w:rsid w:val="503E6C32"/>
    <w:rsid w:val="503F0BFC"/>
    <w:rsid w:val="503F29AA"/>
    <w:rsid w:val="503F39BD"/>
    <w:rsid w:val="50404ED7"/>
    <w:rsid w:val="50405F0E"/>
    <w:rsid w:val="50411B51"/>
    <w:rsid w:val="50412BC6"/>
    <w:rsid w:val="50414974"/>
    <w:rsid w:val="504176E3"/>
    <w:rsid w:val="504178CB"/>
    <w:rsid w:val="50421D33"/>
    <w:rsid w:val="504306EC"/>
    <w:rsid w:val="5043249A"/>
    <w:rsid w:val="504360B8"/>
    <w:rsid w:val="5043693E"/>
    <w:rsid w:val="50443BED"/>
    <w:rsid w:val="50444D71"/>
    <w:rsid w:val="50444DEF"/>
    <w:rsid w:val="50447FC0"/>
    <w:rsid w:val="50450DD2"/>
    <w:rsid w:val="50454464"/>
    <w:rsid w:val="50454CBC"/>
    <w:rsid w:val="504601DC"/>
    <w:rsid w:val="50462262"/>
    <w:rsid w:val="504636D8"/>
    <w:rsid w:val="50463F34"/>
    <w:rsid w:val="50465BA4"/>
    <w:rsid w:val="504723DC"/>
    <w:rsid w:val="50482D28"/>
    <w:rsid w:val="50484285"/>
    <w:rsid w:val="50485D02"/>
    <w:rsid w:val="50487AB0"/>
    <w:rsid w:val="50491CCF"/>
    <w:rsid w:val="50491EE6"/>
    <w:rsid w:val="50493828"/>
    <w:rsid w:val="50494988"/>
    <w:rsid w:val="504A0BE3"/>
    <w:rsid w:val="504A1A7A"/>
    <w:rsid w:val="504A49BF"/>
    <w:rsid w:val="504B134F"/>
    <w:rsid w:val="504B2073"/>
    <w:rsid w:val="504B60F8"/>
    <w:rsid w:val="504B6D9E"/>
    <w:rsid w:val="504C22CB"/>
    <w:rsid w:val="504C76F3"/>
    <w:rsid w:val="504D156B"/>
    <w:rsid w:val="504D3D84"/>
    <w:rsid w:val="504E09F4"/>
    <w:rsid w:val="504E42D9"/>
    <w:rsid w:val="504E6A51"/>
    <w:rsid w:val="504F17AD"/>
    <w:rsid w:val="504F685F"/>
    <w:rsid w:val="504F7091"/>
    <w:rsid w:val="5050002F"/>
    <w:rsid w:val="50502E09"/>
    <w:rsid w:val="50502E87"/>
    <w:rsid w:val="50504BB7"/>
    <w:rsid w:val="50504C4B"/>
    <w:rsid w:val="50506965"/>
    <w:rsid w:val="5051105B"/>
    <w:rsid w:val="50517375"/>
    <w:rsid w:val="505209F3"/>
    <w:rsid w:val="50520AB0"/>
    <w:rsid w:val="50521F46"/>
    <w:rsid w:val="505226DD"/>
    <w:rsid w:val="50526B81"/>
    <w:rsid w:val="505369BD"/>
    <w:rsid w:val="505422F6"/>
    <w:rsid w:val="505428F9"/>
    <w:rsid w:val="50543BB4"/>
    <w:rsid w:val="505446A7"/>
    <w:rsid w:val="5054476F"/>
    <w:rsid w:val="50546455"/>
    <w:rsid w:val="50547437"/>
    <w:rsid w:val="5055041F"/>
    <w:rsid w:val="505521CD"/>
    <w:rsid w:val="50561435"/>
    <w:rsid w:val="50562B48"/>
    <w:rsid w:val="505634DB"/>
    <w:rsid w:val="50563F14"/>
    <w:rsid w:val="50566671"/>
    <w:rsid w:val="50570F57"/>
    <w:rsid w:val="50574197"/>
    <w:rsid w:val="50574928"/>
    <w:rsid w:val="5057674A"/>
    <w:rsid w:val="505803C4"/>
    <w:rsid w:val="505853B2"/>
    <w:rsid w:val="50586946"/>
    <w:rsid w:val="50591CBD"/>
    <w:rsid w:val="5059342B"/>
    <w:rsid w:val="50593A6B"/>
    <w:rsid w:val="50595004"/>
    <w:rsid w:val="505952AE"/>
    <w:rsid w:val="50597F0F"/>
    <w:rsid w:val="505A5A36"/>
    <w:rsid w:val="505B41FA"/>
    <w:rsid w:val="505B6492"/>
    <w:rsid w:val="505B7A42"/>
    <w:rsid w:val="505C17AE"/>
    <w:rsid w:val="505C355C"/>
    <w:rsid w:val="505D14FA"/>
    <w:rsid w:val="505D37E8"/>
    <w:rsid w:val="505D4996"/>
    <w:rsid w:val="505E0383"/>
    <w:rsid w:val="505E0C01"/>
    <w:rsid w:val="505E1082"/>
    <w:rsid w:val="505E5390"/>
    <w:rsid w:val="505E5526"/>
    <w:rsid w:val="505F26DF"/>
    <w:rsid w:val="505F4561"/>
    <w:rsid w:val="50600E53"/>
    <w:rsid w:val="5060129E"/>
    <w:rsid w:val="50606FD1"/>
    <w:rsid w:val="50610B72"/>
    <w:rsid w:val="50615016"/>
    <w:rsid w:val="50615526"/>
    <w:rsid w:val="50616F4B"/>
    <w:rsid w:val="50617C70"/>
    <w:rsid w:val="506202F9"/>
    <w:rsid w:val="50621A3A"/>
    <w:rsid w:val="50622E19"/>
    <w:rsid w:val="50623676"/>
    <w:rsid w:val="50625E80"/>
    <w:rsid w:val="5062775E"/>
    <w:rsid w:val="50627F73"/>
    <w:rsid w:val="50630D8E"/>
    <w:rsid w:val="50631789"/>
    <w:rsid w:val="5063220D"/>
    <w:rsid w:val="50632B3C"/>
    <w:rsid w:val="50633F1C"/>
    <w:rsid w:val="506348EA"/>
    <w:rsid w:val="506367D6"/>
    <w:rsid w:val="50642410"/>
    <w:rsid w:val="50644982"/>
    <w:rsid w:val="506568B4"/>
    <w:rsid w:val="5066262C"/>
    <w:rsid w:val="506640F7"/>
    <w:rsid w:val="50666C7A"/>
    <w:rsid w:val="50672CDB"/>
    <w:rsid w:val="50676DBD"/>
    <w:rsid w:val="50680152"/>
    <w:rsid w:val="506809F8"/>
    <w:rsid w:val="506863A4"/>
    <w:rsid w:val="50690D05"/>
    <w:rsid w:val="50692B61"/>
    <w:rsid w:val="506955FB"/>
    <w:rsid w:val="50697A27"/>
    <w:rsid w:val="506A32CF"/>
    <w:rsid w:val="506A3ECB"/>
    <w:rsid w:val="506B165C"/>
    <w:rsid w:val="506B2AEC"/>
    <w:rsid w:val="506B379F"/>
    <w:rsid w:val="506B7C43"/>
    <w:rsid w:val="506C56BD"/>
    <w:rsid w:val="506D1BA0"/>
    <w:rsid w:val="506D39BB"/>
    <w:rsid w:val="506D540C"/>
    <w:rsid w:val="506D5769"/>
    <w:rsid w:val="506D7517"/>
    <w:rsid w:val="506E2BAE"/>
    <w:rsid w:val="506E7735"/>
    <w:rsid w:val="506F0A87"/>
    <w:rsid w:val="506F14E1"/>
    <w:rsid w:val="506F5990"/>
    <w:rsid w:val="506F7733"/>
    <w:rsid w:val="50700DB5"/>
    <w:rsid w:val="5070485E"/>
    <w:rsid w:val="50707007"/>
    <w:rsid w:val="507073E4"/>
    <w:rsid w:val="50713D8D"/>
    <w:rsid w:val="507170A0"/>
    <w:rsid w:val="5072152F"/>
    <w:rsid w:val="50722D7F"/>
    <w:rsid w:val="50726F87"/>
    <w:rsid w:val="50734E8D"/>
    <w:rsid w:val="507408A5"/>
    <w:rsid w:val="50744D49"/>
    <w:rsid w:val="50746AF7"/>
    <w:rsid w:val="50751155"/>
    <w:rsid w:val="507533CC"/>
    <w:rsid w:val="507537AB"/>
    <w:rsid w:val="5076098E"/>
    <w:rsid w:val="50761340"/>
    <w:rsid w:val="5076676F"/>
    <w:rsid w:val="50770396"/>
    <w:rsid w:val="507704A7"/>
    <w:rsid w:val="5077149B"/>
    <w:rsid w:val="50772144"/>
    <w:rsid w:val="507765E7"/>
    <w:rsid w:val="50785EEB"/>
    <w:rsid w:val="50792360"/>
    <w:rsid w:val="5079410E"/>
    <w:rsid w:val="507950F0"/>
    <w:rsid w:val="50795EBC"/>
    <w:rsid w:val="507A1C34"/>
    <w:rsid w:val="507A6580"/>
    <w:rsid w:val="507B49F2"/>
    <w:rsid w:val="507B60AB"/>
    <w:rsid w:val="507B7E86"/>
    <w:rsid w:val="507C1E50"/>
    <w:rsid w:val="507C3BFE"/>
    <w:rsid w:val="507C59AC"/>
    <w:rsid w:val="507C775A"/>
    <w:rsid w:val="507D4F01"/>
    <w:rsid w:val="507D6642"/>
    <w:rsid w:val="507E7AD2"/>
    <w:rsid w:val="507F0620"/>
    <w:rsid w:val="507F31AE"/>
    <w:rsid w:val="507F567B"/>
    <w:rsid w:val="507F5F32"/>
    <w:rsid w:val="50801DCA"/>
    <w:rsid w:val="508036EE"/>
    <w:rsid w:val="50804243"/>
    <w:rsid w:val="50811214"/>
    <w:rsid w:val="50812FC2"/>
    <w:rsid w:val="50816136"/>
    <w:rsid w:val="50816846"/>
    <w:rsid w:val="5082112D"/>
    <w:rsid w:val="50823763"/>
    <w:rsid w:val="50824D12"/>
    <w:rsid w:val="50827466"/>
    <w:rsid w:val="50830AE8"/>
    <w:rsid w:val="50830D73"/>
    <w:rsid w:val="50834F8C"/>
    <w:rsid w:val="50836D3A"/>
    <w:rsid w:val="50837736"/>
    <w:rsid w:val="50840383"/>
    <w:rsid w:val="50842203"/>
    <w:rsid w:val="50842628"/>
    <w:rsid w:val="5084660D"/>
    <w:rsid w:val="508472B4"/>
    <w:rsid w:val="50847E24"/>
    <w:rsid w:val="5085081D"/>
    <w:rsid w:val="50850B05"/>
    <w:rsid w:val="50850D04"/>
    <w:rsid w:val="50852AB2"/>
    <w:rsid w:val="50854817"/>
    <w:rsid w:val="508550E2"/>
    <w:rsid w:val="508605D9"/>
    <w:rsid w:val="508623A0"/>
    <w:rsid w:val="50865970"/>
    <w:rsid w:val="5086682B"/>
    <w:rsid w:val="508676F4"/>
    <w:rsid w:val="508677F2"/>
    <w:rsid w:val="50870B84"/>
    <w:rsid w:val="508722C5"/>
    <w:rsid w:val="5087462C"/>
    <w:rsid w:val="50874A7C"/>
    <w:rsid w:val="50882BE1"/>
    <w:rsid w:val="50883DF4"/>
    <w:rsid w:val="50884351"/>
    <w:rsid w:val="508915C5"/>
    <w:rsid w:val="508A0C46"/>
    <w:rsid w:val="508A1108"/>
    <w:rsid w:val="508A1318"/>
    <w:rsid w:val="508A3A3E"/>
    <w:rsid w:val="508A5EB8"/>
    <w:rsid w:val="508A631B"/>
    <w:rsid w:val="508A78D6"/>
    <w:rsid w:val="508B20D6"/>
    <w:rsid w:val="508B56C8"/>
    <w:rsid w:val="508B69A7"/>
    <w:rsid w:val="508B6D2F"/>
    <w:rsid w:val="508D0734"/>
    <w:rsid w:val="508D1967"/>
    <w:rsid w:val="508D39BA"/>
    <w:rsid w:val="508D70E5"/>
    <w:rsid w:val="508D7BB9"/>
    <w:rsid w:val="508E3819"/>
    <w:rsid w:val="508E7846"/>
    <w:rsid w:val="508F03CF"/>
    <w:rsid w:val="508F0A57"/>
    <w:rsid w:val="508F39B6"/>
    <w:rsid w:val="508F4A37"/>
    <w:rsid w:val="508F56DF"/>
    <w:rsid w:val="50903205"/>
    <w:rsid w:val="509064FF"/>
    <w:rsid w:val="50912610"/>
    <w:rsid w:val="50915F48"/>
    <w:rsid w:val="509244E5"/>
    <w:rsid w:val="50925C97"/>
    <w:rsid w:val="50925F1B"/>
    <w:rsid w:val="509273D8"/>
    <w:rsid w:val="5093448B"/>
    <w:rsid w:val="50934EE3"/>
    <w:rsid w:val="50935F88"/>
    <w:rsid w:val="50936184"/>
    <w:rsid w:val="5093674F"/>
    <w:rsid w:val="50936E44"/>
    <w:rsid w:val="50940F47"/>
    <w:rsid w:val="50942CF5"/>
    <w:rsid w:val="50943ED2"/>
    <w:rsid w:val="509448C9"/>
    <w:rsid w:val="5095081C"/>
    <w:rsid w:val="50964618"/>
    <w:rsid w:val="50966A6E"/>
    <w:rsid w:val="50970A38"/>
    <w:rsid w:val="50976479"/>
    <w:rsid w:val="509777DA"/>
    <w:rsid w:val="5098229E"/>
    <w:rsid w:val="5099030C"/>
    <w:rsid w:val="509947B0"/>
    <w:rsid w:val="50994912"/>
    <w:rsid w:val="5099655E"/>
    <w:rsid w:val="509A58F9"/>
    <w:rsid w:val="509A64F7"/>
    <w:rsid w:val="509B4084"/>
    <w:rsid w:val="509B53DD"/>
    <w:rsid w:val="509C1BAA"/>
    <w:rsid w:val="509C604E"/>
    <w:rsid w:val="509C6E7C"/>
    <w:rsid w:val="509E1DC6"/>
    <w:rsid w:val="509E2600"/>
    <w:rsid w:val="509E5922"/>
    <w:rsid w:val="509F0864"/>
    <w:rsid w:val="509F0BBE"/>
    <w:rsid w:val="509F5358"/>
    <w:rsid w:val="50A0169A"/>
    <w:rsid w:val="50A019DC"/>
    <w:rsid w:val="50A01E88"/>
    <w:rsid w:val="50A02441"/>
    <w:rsid w:val="50A078EC"/>
    <w:rsid w:val="50A12591"/>
    <w:rsid w:val="50A20D78"/>
    <w:rsid w:val="50A20EC8"/>
    <w:rsid w:val="50A218B6"/>
    <w:rsid w:val="50A31F56"/>
    <w:rsid w:val="50A32F39"/>
    <w:rsid w:val="50A337A9"/>
    <w:rsid w:val="50A34980"/>
    <w:rsid w:val="50A373DC"/>
    <w:rsid w:val="50A470A2"/>
    <w:rsid w:val="50A50592"/>
    <w:rsid w:val="50A53155"/>
    <w:rsid w:val="50A5479F"/>
    <w:rsid w:val="50A559BC"/>
    <w:rsid w:val="50A55BC5"/>
    <w:rsid w:val="50A56CB1"/>
    <w:rsid w:val="50A62576"/>
    <w:rsid w:val="50A62A29"/>
    <w:rsid w:val="50A8054F"/>
    <w:rsid w:val="50A82C45"/>
    <w:rsid w:val="50A849F3"/>
    <w:rsid w:val="50A867A1"/>
    <w:rsid w:val="50A9081D"/>
    <w:rsid w:val="50A91656"/>
    <w:rsid w:val="50A93F97"/>
    <w:rsid w:val="50A941CF"/>
    <w:rsid w:val="50A97A80"/>
    <w:rsid w:val="50AA076B"/>
    <w:rsid w:val="50AA3F1E"/>
    <w:rsid w:val="50AA42C7"/>
    <w:rsid w:val="50AA4F11"/>
    <w:rsid w:val="50AB003F"/>
    <w:rsid w:val="50AB12C3"/>
    <w:rsid w:val="50AC0EAB"/>
    <w:rsid w:val="50AC2B50"/>
    <w:rsid w:val="50AC6191"/>
    <w:rsid w:val="50AD2009"/>
    <w:rsid w:val="50AD3DB7"/>
    <w:rsid w:val="50AD3FE0"/>
    <w:rsid w:val="50AD4906"/>
    <w:rsid w:val="50AE4337"/>
    <w:rsid w:val="50AF18DD"/>
    <w:rsid w:val="50AF3F0B"/>
    <w:rsid w:val="50AF5D81"/>
    <w:rsid w:val="50AF6900"/>
    <w:rsid w:val="50B0138F"/>
    <w:rsid w:val="50B05655"/>
    <w:rsid w:val="50B05986"/>
    <w:rsid w:val="50B11AF9"/>
    <w:rsid w:val="50B12173"/>
    <w:rsid w:val="50B129D4"/>
    <w:rsid w:val="50B1552B"/>
    <w:rsid w:val="50B16527"/>
    <w:rsid w:val="50B172E2"/>
    <w:rsid w:val="50B25872"/>
    <w:rsid w:val="50B25A3B"/>
    <w:rsid w:val="50B27620"/>
    <w:rsid w:val="50B276A6"/>
    <w:rsid w:val="50B34216"/>
    <w:rsid w:val="50B406CA"/>
    <w:rsid w:val="50B40AA3"/>
    <w:rsid w:val="50B415EA"/>
    <w:rsid w:val="50B43398"/>
    <w:rsid w:val="50B45146"/>
    <w:rsid w:val="50B52C6C"/>
    <w:rsid w:val="50B52F1C"/>
    <w:rsid w:val="50B5407E"/>
    <w:rsid w:val="50B56BCB"/>
    <w:rsid w:val="50B600DD"/>
    <w:rsid w:val="50B60EBE"/>
    <w:rsid w:val="50B618F8"/>
    <w:rsid w:val="50B61C88"/>
    <w:rsid w:val="50B667D3"/>
    <w:rsid w:val="50B67110"/>
    <w:rsid w:val="50B73B1C"/>
    <w:rsid w:val="50B746F8"/>
    <w:rsid w:val="50B74C36"/>
    <w:rsid w:val="50B762D9"/>
    <w:rsid w:val="50B769E4"/>
    <w:rsid w:val="50B77C63"/>
    <w:rsid w:val="50B810F3"/>
    <w:rsid w:val="50B8303F"/>
    <w:rsid w:val="50B84DFB"/>
    <w:rsid w:val="50B909AE"/>
    <w:rsid w:val="50B94F68"/>
    <w:rsid w:val="50B9508D"/>
    <w:rsid w:val="50B96C00"/>
    <w:rsid w:val="50BA5154"/>
    <w:rsid w:val="50BB0282"/>
    <w:rsid w:val="50BB2978"/>
    <w:rsid w:val="50BB4726"/>
    <w:rsid w:val="50BB4CF5"/>
    <w:rsid w:val="50BB64D4"/>
    <w:rsid w:val="50BB7EA0"/>
    <w:rsid w:val="50BC4DDA"/>
    <w:rsid w:val="50BC518E"/>
    <w:rsid w:val="50BD0599"/>
    <w:rsid w:val="50BD0E2B"/>
    <w:rsid w:val="50BD3AD5"/>
    <w:rsid w:val="50BD6164"/>
    <w:rsid w:val="50BE1A68"/>
    <w:rsid w:val="50BE7D72"/>
    <w:rsid w:val="50BF2BCE"/>
    <w:rsid w:val="50BF7C0A"/>
    <w:rsid w:val="50C01865"/>
    <w:rsid w:val="50C024C8"/>
    <w:rsid w:val="50C03AEB"/>
    <w:rsid w:val="50C04140"/>
    <w:rsid w:val="50C049D2"/>
    <w:rsid w:val="50C07F8E"/>
    <w:rsid w:val="50C10D15"/>
    <w:rsid w:val="50C17089"/>
    <w:rsid w:val="50C17838"/>
    <w:rsid w:val="50C23D07"/>
    <w:rsid w:val="50C3065C"/>
    <w:rsid w:val="50C30992"/>
    <w:rsid w:val="50C3182D"/>
    <w:rsid w:val="50C335DB"/>
    <w:rsid w:val="50C35411"/>
    <w:rsid w:val="50C36206"/>
    <w:rsid w:val="50C47696"/>
    <w:rsid w:val="50C555A5"/>
    <w:rsid w:val="50C57353"/>
    <w:rsid w:val="50C604DD"/>
    <w:rsid w:val="50C61B92"/>
    <w:rsid w:val="50C636F7"/>
    <w:rsid w:val="50C64B87"/>
    <w:rsid w:val="50C64C5B"/>
    <w:rsid w:val="50C65A57"/>
    <w:rsid w:val="50C7083B"/>
    <w:rsid w:val="50C7083D"/>
    <w:rsid w:val="50C730CB"/>
    <w:rsid w:val="50C77758"/>
    <w:rsid w:val="50C80BE8"/>
    <w:rsid w:val="50C80BF1"/>
    <w:rsid w:val="50C86270"/>
    <w:rsid w:val="50C86E43"/>
    <w:rsid w:val="50C874A7"/>
    <w:rsid w:val="50C87C29"/>
    <w:rsid w:val="50C9180D"/>
    <w:rsid w:val="50C92078"/>
    <w:rsid w:val="50CA2BBB"/>
    <w:rsid w:val="50CA588C"/>
    <w:rsid w:val="50CA5CAE"/>
    <w:rsid w:val="50CA6717"/>
    <w:rsid w:val="50CB494A"/>
    <w:rsid w:val="50CB7056"/>
    <w:rsid w:val="50CC06E1"/>
    <w:rsid w:val="50CC2BB8"/>
    <w:rsid w:val="50CC45A5"/>
    <w:rsid w:val="50CC6933"/>
    <w:rsid w:val="50CC6EA1"/>
    <w:rsid w:val="50CD3F13"/>
    <w:rsid w:val="50CD6207"/>
    <w:rsid w:val="50CE0E86"/>
    <w:rsid w:val="50CE1C4F"/>
    <w:rsid w:val="50CE26AB"/>
    <w:rsid w:val="50CE2822"/>
    <w:rsid w:val="50CE3319"/>
    <w:rsid w:val="50CE6931"/>
    <w:rsid w:val="50CF01D2"/>
    <w:rsid w:val="50CF3B20"/>
    <w:rsid w:val="50CF3D2E"/>
    <w:rsid w:val="50CF59BD"/>
    <w:rsid w:val="50CF5B6E"/>
    <w:rsid w:val="50CF5CB2"/>
    <w:rsid w:val="50D0161F"/>
    <w:rsid w:val="50D050C3"/>
    <w:rsid w:val="50D0659E"/>
    <w:rsid w:val="50D1080A"/>
    <w:rsid w:val="50D13F4A"/>
    <w:rsid w:val="50D15CF8"/>
    <w:rsid w:val="50D17AA6"/>
    <w:rsid w:val="50D2149F"/>
    <w:rsid w:val="50D22164"/>
    <w:rsid w:val="50D27593"/>
    <w:rsid w:val="50D37CC2"/>
    <w:rsid w:val="50D4274A"/>
    <w:rsid w:val="50D457E8"/>
    <w:rsid w:val="50D46A96"/>
    <w:rsid w:val="50D47596"/>
    <w:rsid w:val="50D47836"/>
    <w:rsid w:val="50D6330E"/>
    <w:rsid w:val="50D650BC"/>
    <w:rsid w:val="50D70DDD"/>
    <w:rsid w:val="50D756B0"/>
    <w:rsid w:val="50D83DE3"/>
    <w:rsid w:val="50D8436A"/>
    <w:rsid w:val="50D9042C"/>
    <w:rsid w:val="50D92DFE"/>
    <w:rsid w:val="50D94BAC"/>
    <w:rsid w:val="50DA390C"/>
    <w:rsid w:val="50DB0924"/>
    <w:rsid w:val="50DB6B76"/>
    <w:rsid w:val="50DC04EE"/>
    <w:rsid w:val="50DC1BFB"/>
    <w:rsid w:val="50DC591D"/>
    <w:rsid w:val="50DC610E"/>
    <w:rsid w:val="50DC644B"/>
    <w:rsid w:val="50DC6A77"/>
    <w:rsid w:val="50DD1265"/>
    <w:rsid w:val="50DD197E"/>
    <w:rsid w:val="50DD469C"/>
    <w:rsid w:val="50DE0415"/>
    <w:rsid w:val="50DE2E0E"/>
    <w:rsid w:val="50DE6047"/>
    <w:rsid w:val="50DE6609"/>
    <w:rsid w:val="50DE6667"/>
    <w:rsid w:val="50DE69A2"/>
    <w:rsid w:val="50DF1E02"/>
    <w:rsid w:val="50DF38ED"/>
    <w:rsid w:val="50DF3C85"/>
    <w:rsid w:val="50E002FF"/>
    <w:rsid w:val="50E0053E"/>
    <w:rsid w:val="50E01FD8"/>
    <w:rsid w:val="50E04C73"/>
    <w:rsid w:val="50E05F3B"/>
    <w:rsid w:val="50E104DF"/>
    <w:rsid w:val="50E10C7A"/>
    <w:rsid w:val="50E1178F"/>
    <w:rsid w:val="50E15247"/>
    <w:rsid w:val="50E15FBF"/>
    <w:rsid w:val="50E172E3"/>
    <w:rsid w:val="50E21769"/>
    <w:rsid w:val="50E22C1F"/>
    <w:rsid w:val="50E2344A"/>
    <w:rsid w:val="50E24360"/>
    <w:rsid w:val="50E27F05"/>
    <w:rsid w:val="50E33C7D"/>
    <w:rsid w:val="50E35A2B"/>
    <w:rsid w:val="50E377D9"/>
    <w:rsid w:val="50E53551"/>
    <w:rsid w:val="50E579F5"/>
    <w:rsid w:val="50E608C3"/>
    <w:rsid w:val="50E61077"/>
    <w:rsid w:val="50E64171"/>
    <w:rsid w:val="50E653B9"/>
    <w:rsid w:val="50E73672"/>
    <w:rsid w:val="50E7376D"/>
    <w:rsid w:val="50E7551B"/>
    <w:rsid w:val="50E75AA3"/>
    <w:rsid w:val="50E76F40"/>
    <w:rsid w:val="50E81293"/>
    <w:rsid w:val="50E827FF"/>
    <w:rsid w:val="50E83041"/>
    <w:rsid w:val="50E84DEF"/>
    <w:rsid w:val="50E8514B"/>
    <w:rsid w:val="50E8791B"/>
    <w:rsid w:val="50E9467F"/>
    <w:rsid w:val="50EA0B67"/>
    <w:rsid w:val="50EA500B"/>
    <w:rsid w:val="50EA54A3"/>
    <w:rsid w:val="50EA6DB9"/>
    <w:rsid w:val="50EB2747"/>
    <w:rsid w:val="50EB3F82"/>
    <w:rsid w:val="50EB4717"/>
    <w:rsid w:val="50EB7D9F"/>
    <w:rsid w:val="50EC1D3D"/>
    <w:rsid w:val="50EC2B32"/>
    <w:rsid w:val="50EC42FD"/>
    <w:rsid w:val="50EC48E0"/>
    <w:rsid w:val="50EC5412"/>
    <w:rsid w:val="50EC6405"/>
    <w:rsid w:val="50EC68A2"/>
    <w:rsid w:val="50EC7FE3"/>
    <w:rsid w:val="50ED0658"/>
    <w:rsid w:val="50EE11C2"/>
    <w:rsid w:val="50EE1CF2"/>
    <w:rsid w:val="50EE4049"/>
    <w:rsid w:val="50EF10F8"/>
    <w:rsid w:val="50EF1D4C"/>
    <w:rsid w:val="50EF3D93"/>
    <w:rsid w:val="50EF43D0"/>
    <w:rsid w:val="50EF617E"/>
    <w:rsid w:val="50EF668F"/>
    <w:rsid w:val="50EF6964"/>
    <w:rsid w:val="50F007D8"/>
    <w:rsid w:val="50F11EF6"/>
    <w:rsid w:val="50F12186"/>
    <w:rsid w:val="50F12A1F"/>
    <w:rsid w:val="50F1386B"/>
    <w:rsid w:val="50F14A66"/>
    <w:rsid w:val="50F160FA"/>
    <w:rsid w:val="50F1639A"/>
    <w:rsid w:val="50F17C83"/>
    <w:rsid w:val="50F23CDB"/>
    <w:rsid w:val="50F25A6F"/>
    <w:rsid w:val="50F31F00"/>
    <w:rsid w:val="50F33EC0"/>
    <w:rsid w:val="50F352E5"/>
    <w:rsid w:val="50F419E6"/>
    <w:rsid w:val="50F45034"/>
    <w:rsid w:val="50F4571B"/>
    <w:rsid w:val="50F45B34"/>
    <w:rsid w:val="50F46789"/>
    <w:rsid w:val="50F47C38"/>
    <w:rsid w:val="50F5027B"/>
    <w:rsid w:val="50F50A37"/>
    <w:rsid w:val="50F52099"/>
    <w:rsid w:val="50F639B0"/>
    <w:rsid w:val="50F6575E"/>
    <w:rsid w:val="50F65D23"/>
    <w:rsid w:val="50F67CD7"/>
    <w:rsid w:val="50F67DF5"/>
    <w:rsid w:val="50F739B5"/>
    <w:rsid w:val="50F750F6"/>
    <w:rsid w:val="50F774B1"/>
    <w:rsid w:val="50F829C8"/>
    <w:rsid w:val="50F83676"/>
    <w:rsid w:val="50F84E45"/>
    <w:rsid w:val="50F934A0"/>
    <w:rsid w:val="50F9524E"/>
    <w:rsid w:val="50F96FFC"/>
    <w:rsid w:val="50F97A16"/>
    <w:rsid w:val="50F97EFC"/>
    <w:rsid w:val="50FA4529"/>
    <w:rsid w:val="50FA7739"/>
    <w:rsid w:val="50FB0FC7"/>
    <w:rsid w:val="50FB2336"/>
    <w:rsid w:val="50FB2D75"/>
    <w:rsid w:val="50FB4B23"/>
    <w:rsid w:val="50FB4F07"/>
    <w:rsid w:val="50FB6D62"/>
    <w:rsid w:val="50FC089B"/>
    <w:rsid w:val="50FC3764"/>
    <w:rsid w:val="50FC37C6"/>
    <w:rsid w:val="50FD4D3F"/>
    <w:rsid w:val="50FE0AB7"/>
    <w:rsid w:val="50FE2865"/>
    <w:rsid w:val="50FE47F3"/>
    <w:rsid w:val="50FE4AF9"/>
    <w:rsid w:val="50FE5E29"/>
    <w:rsid w:val="50FF3888"/>
    <w:rsid w:val="5100482F"/>
    <w:rsid w:val="5101457B"/>
    <w:rsid w:val="510161A8"/>
    <w:rsid w:val="51022209"/>
    <w:rsid w:val="51022355"/>
    <w:rsid w:val="51022CCA"/>
    <w:rsid w:val="51023184"/>
    <w:rsid w:val="51031C29"/>
    <w:rsid w:val="510332C1"/>
    <w:rsid w:val="510333B7"/>
    <w:rsid w:val="51034D02"/>
    <w:rsid w:val="51035130"/>
    <w:rsid w:val="51036DC7"/>
    <w:rsid w:val="51043E1D"/>
    <w:rsid w:val="51044B29"/>
    <w:rsid w:val="51045953"/>
    <w:rsid w:val="510460CD"/>
    <w:rsid w:val="51051131"/>
    <w:rsid w:val="510514F3"/>
    <w:rsid w:val="51051E45"/>
    <w:rsid w:val="51052624"/>
    <w:rsid w:val="51053BF3"/>
    <w:rsid w:val="510559A1"/>
    <w:rsid w:val="51055FB9"/>
    <w:rsid w:val="51060B8A"/>
    <w:rsid w:val="51061278"/>
    <w:rsid w:val="51062C1B"/>
    <w:rsid w:val="51066381"/>
    <w:rsid w:val="51075C82"/>
    <w:rsid w:val="5107796B"/>
    <w:rsid w:val="51085492"/>
    <w:rsid w:val="5108607B"/>
    <w:rsid w:val="51087240"/>
    <w:rsid w:val="510874DD"/>
    <w:rsid w:val="5109239E"/>
    <w:rsid w:val="510936E3"/>
    <w:rsid w:val="51093F81"/>
    <w:rsid w:val="510949ED"/>
    <w:rsid w:val="51094E52"/>
    <w:rsid w:val="5109578A"/>
    <w:rsid w:val="51095C3F"/>
    <w:rsid w:val="51095DCA"/>
    <w:rsid w:val="51097FF1"/>
    <w:rsid w:val="510A0EA1"/>
    <w:rsid w:val="510A2FB8"/>
    <w:rsid w:val="510A5883"/>
    <w:rsid w:val="510A745C"/>
    <w:rsid w:val="510B1E2B"/>
    <w:rsid w:val="510B2C54"/>
    <w:rsid w:val="510B49FC"/>
    <w:rsid w:val="510B6E04"/>
    <w:rsid w:val="510C31D4"/>
    <w:rsid w:val="510C33D4"/>
    <w:rsid w:val="510C4347"/>
    <w:rsid w:val="510C4F82"/>
    <w:rsid w:val="510C5E8C"/>
    <w:rsid w:val="510D4856"/>
    <w:rsid w:val="510E0CFA"/>
    <w:rsid w:val="510E73D9"/>
    <w:rsid w:val="510F05CE"/>
    <w:rsid w:val="510F0C5F"/>
    <w:rsid w:val="510F1C3C"/>
    <w:rsid w:val="510F43AE"/>
    <w:rsid w:val="51102586"/>
    <w:rsid w:val="51106900"/>
    <w:rsid w:val="511107EA"/>
    <w:rsid w:val="51112598"/>
    <w:rsid w:val="51114346"/>
    <w:rsid w:val="51121E6C"/>
    <w:rsid w:val="5112712D"/>
    <w:rsid w:val="5113318E"/>
    <w:rsid w:val="51134562"/>
    <w:rsid w:val="51136310"/>
    <w:rsid w:val="51140C8C"/>
    <w:rsid w:val="51141FCD"/>
    <w:rsid w:val="51142BE9"/>
    <w:rsid w:val="51143E36"/>
    <w:rsid w:val="51145BE4"/>
    <w:rsid w:val="5115113C"/>
    <w:rsid w:val="511557F8"/>
    <w:rsid w:val="51156A77"/>
    <w:rsid w:val="5116195C"/>
    <w:rsid w:val="511633C3"/>
    <w:rsid w:val="51165E00"/>
    <w:rsid w:val="51167BAE"/>
    <w:rsid w:val="51167F46"/>
    <w:rsid w:val="511703CE"/>
    <w:rsid w:val="51170758"/>
    <w:rsid w:val="51172F9F"/>
    <w:rsid w:val="51175B71"/>
    <w:rsid w:val="51183927"/>
    <w:rsid w:val="511856D5"/>
    <w:rsid w:val="51187CB1"/>
    <w:rsid w:val="5119144D"/>
    <w:rsid w:val="511915CF"/>
    <w:rsid w:val="511922CC"/>
    <w:rsid w:val="511936B0"/>
    <w:rsid w:val="511A2590"/>
    <w:rsid w:val="511A4304"/>
    <w:rsid w:val="511A58F1"/>
    <w:rsid w:val="511A6D4F"/>
    <w:rsid w:val="511A7325"/>
    <w:rsid w:val="511B1CC5"/>
    <w:rsid w:val="511B2A31"/>
    <w:rsid w:val="511B2E9A"/>
    <w:rsid w:val="511B3417"/>
    <w:rsid w:val="511B65A8"/>
    <w:rsid w:val="511B6F73"/>
    <w:rsid w:val="511D0A58"/>
    <w:rsid w:val="511D0F3D"/>
    <w:rsid w:val="511D2CEB"/>
    <w:rsid w:val="511D451C"/>
    <w:rsid w:val="511D718F"/>
    <w:rsid w:val="511E4CB5"/>
    <w:rsid w:val="511E7D8A"/>
    <w:rsid w:val="511F1E3A"/>
    <w:rsid w:val="511F2FC3"/>
    <w:rsid w:val="511F3418"/>
    <w:rsid w:val="511F38AB"/>
    <w:rsid w:val="511F502D"/>
    <w:rsid w:val="511F63C5"/>
    <w:rsid w:val="511F63EB"/>
    <w:rsid w:val="512027DB"/>
    <w:rsid w:val="51204589"/>
    <w:rsid w:val="51216983"/>
    <w:rsid w:val="51216C22"/>
    <w:rsid w:val="51217AF5"/>
    <w:rsid w:val="51220301"/>
    <w:rsid w:val="512247A5"/>
    <w:rsid w:val="512322CB"/>
    <w:rsid w:val="512325CF"/>
    <w:rsid w:val="51232C83"/>
    <w:rsid w:val="5123361C"/>
    <w:rsid w:val="51234079"/>
    <w:rsid w:val="51237DD2"/>
    <w:rsid w:val="512410D5"/>
    <w:rsid w:val="51244113"/>
    <w:rsid w:val="51246B4D"/>
    <w:rsid w:val="51253E0F"/>
    <w:rsid w:val="51257DF2"/>
    <w:rsid w:val="51266A33"/>
    <w:rsid w:val="51271DBC"/>
    <w:rsid w:val="51272A94"/>
    <w:rsid w:val="51273ADE"/>
    <w:rsid w:val="51273B6A"/>
    <w:rsid w:val="51275918"/>
    <w:rsid w:val="51281690"/>
    <w:rsid w:val="51283F24"/>
    <w:rsid w:val="51287195"/>
    <w:rsid w:val="51287F04"/>
    <w:rsid w:val="51295B34"/>
    <w:rsid w:val="512963B4"/>
    <w:rsid w:val="51297106"/>
    <w:rsid w:val="512978E2"/>
    <w:rsid w:val="512A1D0B"/>
    <w:rsid w:val="512A3AEA"/>
    <w:rsid w:val="512A5408"/>
    <w:rsid w:val="512A69D1"/>
    <w:rsid w:val="512A6F91"/>
    <w:rsid w:val="512B1206"/>
    <w:rsid w:val="512B1415"/>
    <w:rsid w:val="512C1180"/>
    <w:rsid w:val="512C2F2E"/>
    <w:rsid w:val="512C5166"/>
    <w:rsid w:val="512C5624"/>
    <w:rsid w:val="512C73D2"/>
    <w:rsid w:val="512D51C5"/>
    <w:rsid w:val="512D6667"/>
    <w:rsid w:val="512D6CA6"/>
    <w:rsid w:val="512E2D95"/>
    <w:rsid w:val="512E314A"/>
    <w:rsid w:val="512E4C18"/>
    <w:rsid w:val="512E4EF8"/>
    <w:rsid w:val="512E76E9"/>
    <w:rsid w:val="512E7D96"/>
    <w:rsid w:val="512F0C70"/>
    <w:rsid w:val="512F2A1E"/>
    <w:rsid w:val="512F6EC2"/>
    <w:rsid w:val="512F7688"/>
    <w:rsid w:val="51305287"/>
    <w:rsid w:val="5130697F"/>
    <w:rsid w:val="51312C3A"/>
    <w:rsid w:val="5131391E"/>
    <w:rsid w:val="513149E8"/>
    <w:rsid w:val="51314B0E"/>
    <w:rsid w:val="51316717"/>
    <w:rsid w:val="51322CE6"/>
    <w:rsid w:val="513242BC"/>
    <w:rsid w:val="5132451E"/>
    <w:rsid w:val="51325367"/>
    <w:rsid w:val="51326FE2"/>
    <w:rsid w:val="51327BA7"/>
    <w:rsid w:val="51330760"/>
    <w:rsid w:val="5133250E"/>
    <w:rsid w:val="51332751"/>
    <w:rsid w:val="51334D72"/>
    <w:rsid w:val="51335756"/>
    <w:rsid w:val="51340C5C"/>
    <w:rsid w:val="51346287"/>
    <w:rsid w:val="51347BD0"/>
    <w:rsid w:val="51353957"/>
    <w:rsid w:val="51355098"/>
    <w:rsid w:val="513604D0"/>
    <w:rsid w:val="5136225D"/>
    <w:rsid w:val="51364D28"/>
    <w:rsid w:val="513656C9"/>
    <w:rsid w:val="513719A2"/>
    <w:rsid w:val="51375F82"/>
    <w:rsid w:val="51377B20"/>
    <w:rsid w:val="513822D8"/>
    <w:rsid w:val="51383FC9"/>
    <w:rsid w:val="51385D77"/>
    <w:rsid w:val="51387B25"/>
    <w:rsid w:val="51392B87"/>
    <w:rsid w:val="5139389D"/>
    <w:rsid w:val="5139546E"/>
    <w:rsid w:val="5139564B"/>
    <w:rsid w:val="51395C8B"/>
    <w:rsid w:val="513962A2"/>
    <w:rsid w:val="513A2307"/>
    <w:rsid w:val="513A3AC8"/>
    <w:rsid w:val="513A6A24"/>
    <w:rsid w:val="513B0D30"/>
    <w:rsid w:val="513B239A"/>
    <w:rsid w:val="513B5867"/>
    <w:rsid w:val="513B620E"/>
    <w:rsid w:val="513B7615"/>
    <w:rsid w:val="513C4833"/>
    <w:rsid w:val="513D08D8"/>
    <w:rsid w:val="513D15DF"/>
    <w:rsid w:val="513D338D"/>
    <w:rsid w:val="513D4FCE"/>
    <w:rsid w:val="513E2C61"/>
    <w:rsid w:val="513E77D2"/>
    <w:rsid w:val="513E788B"/>
    <w:rsid w:val="513F0D1B"/>
    <w:rsid w:val="513F7105"/>
    <w:rsid w:val="51402E7D"/>
    <w:rsid w:val="514040A4"/>
    <w:rsid w:val="51404C2B"/>
    <w:rsid w:val="514069D9"/>
    <w:rsid w:val="51410C1C"/>
    <w:rsid w:val="514126C7"/>
    <w:rsid w:val="51422751"/>
    <w:rsid w:val="5142314A"/>
    <w:rsid w:val="51424ACB"/>
    <w:rsid w:val="51426B01"/>
    <w:rsid w:val="51426BF5"/>
    <w:rsid w:val="5142769C"/>
    <w:rsid w:val="514307FA"/>
    <w:rsid w:val="51431A8C"/>
    <w:rsid w:val="51432497"/>
    <w:rsid w:val="514364CA"/>
    <w:rsid w:val="51440262"/>
    <w:rsid w:val="5144296E"/>
    <w:rsid w:val="5144471C"/>
    <w:rsid w:val="51452242"/>
    <w:rsid w:val="514576A8"/>
    <w:rsid w:val="514630BC"/>
    <w:rsid w:val="514637AF"/>
    <w:rsid w:val="5147420C"/>
    <w:rsid w:val="51475FBA"/>
    <w:rsid w:val="514774AD"/>
    <w:rsid w:val="51477879"/>
    <w:rsid w:val="51481E7E"/>
    <w:rsid w:val="5148330E"/>
    <w:rsid w:val="5148350E"/>
    <w:rsid w:val="514946EA"/>
    <w:rsid w:val="514951D3"/>
    <w:rsid w:val="51496D42"/>
    <w:rsid w:val="514A1C84"/>
    <w:rsid w:val="514A3694"/>
    <w:rsid w:val="514A3A74"/>
    <w:rsid w:val="514A5AAA"/>
    <w:rsid w:val="514A5E2E"/>
    <w:rsid w:val="514A7858"/>
    <w:rsid w:val="514A7B26"/>
    <w:rsid w:val="514C1822"/>
    <w:rsid w:val="514C1D44"/>
    <w:rsid w:val="514C331F"/>
    <w:rsid w:val="514C462D"/>
    <w:rsid w:val="514C537E"/>
    <w:rsid w:val="514C56F5"/>
    <w:rsid w:val="514E10F6"/>
    <w:rsid w:val="514F30C0"/>
    <w:rsid w:val="514F70CF"/>
    <w:rsid w:val="51501312"/>
    <w:rsid w:val="51501385"/>
    <w:rsid w:val="51504E72"/>
    <w:rsid w:val="515057DB"/>
    <w:rsid w:val="51510BE7"/>
    <w:rsid w:val="515147E3"/>
    <w:rsid w:val="51514AF5"/>
    <w:rsid w:val="5151508A"/>
    <w:rsid w:val="51525A50"/>
    <w:rsid w:val="5152733B"/>
    <w:rsid w:val="5152780E"/>
    <w:rsid w:val="5153495F"/>
    <w:rsid w:val="515371F8"/>
    <w:rsid w:val="515406D7"/>
    <w:rsid w:val="51542485"/>
    <w:rsid w:val="51546100"/>
    <w:rsid w:val="51552C51"/>
    <w:rsid w:val="5156444F"/>
    <w:rsid w:val="51565449"/>
    <w:rsid w:val="515661FD"/>
    <w:rsid w:val="51566FA2"/>
    <w:rsid w:val="51567012"/>
    <w:rsid w:val="51570432"/>
    <w:rsid w:val="51572125"/>
    <w:rsid w:val="51575861"/>
    <w:rsid w:val="5158008D"/>
    <w:rsid w:val="515801C7"/>
    <w:rsid w:val="51581829"/>
    <w:rsid w:val="51581F75"/>
    <w:rsid w:val="51583680"/>
    <w:rsid w:val="51586419"/>
    <w:rsid w:val="515879F7"/>
    <w:rsid w:val="51594984"/>
    <w:rsid w:val="51597A9B"/>
    <w:rsid w:val="51597C87"/>
    <w:rsid w:val="515A03F1"/>
    <w:rsid w:val="515A41E2"/>
    <w:rsid w:val="515A5923"/>
    <w:rsid w:val="515B1A65"/>
    <w:rsid w:val="515B3813"/>
    <w:rsid w:val="515B6DB3"/>
    <w:rsid w:val="515B715C"/>
    <w:rsid w:val="515B7CB7"/>
    <w:rsid w:val="515C15D6"/>
    <w:rsid w:val="515C1BCD"/>
    <w:rsid w:val="515C2E14"/>
    <w:rsid w:val="515C48D2"/>
    <w:rsid w:val="515C58D1"/>
    <w:rsid w:val="515C61C8"/>
    <w:rsid w:val="515C6E2F"/>
    <w:rsid w:val="515D0EEA"/>
    <w:rsid w:val="515E50B1"/>
    <w:rsid w:val="515F092C"/>
    <w:rsid w:val="515F3303"/>
    <w:rsid w:val="515F33A9"/>
    <w:rsid w:val="515F35B2"/>
    <w:rsid w:val="515F6418"/>
    <w:rsid w:val="51600E2A"/>
    <w:rsid w:val="516052CE"/>
    <w:rsid w:val="51605783"/>
    <w:rsid w:val="5160733F"/>
    <w:rsid w:val="51610F5D"/>
    <w:rsid w:val="516114E4"/>
    <w:rsid w:val="516140B5"/>
    <w:rsid w:val="51621046"/>
    <w:rsid w:val="5162104E"/>
    <w:rsid w:val="51622DF4"/>
    <w:rsid w:val="51624BA2"/>
    <w:rsid w:val="51626305"/>
    <w:rsid w:val="516401E3"/>
    <w:rsid w:val="516415A6"/>
    <w:rsid w:val="51642065"/>
    <w:rsid w:val="516448B1"/>
    <w:rsid w:val="51644DBE"/>
    <w:rsid w:val="51651C9A"/>
    <w:rsid w:val="516528E4"/>
    <w:rsid w:val="51652C53"/>
    <w:rsid w:val="51654692"/>
    <w:rsid w:val="51656440"/>
    <w:rsid w:val="516579ED"/>
    <w:rsid w:val="51662699"/>
    <w:rsid w:val="51662F8F"/>
    <w:rsid w:val="51663EC6"/>
    <w:rsid w:val="5167040A"/>
    <w:rsid w:val="516721B8"/>
    <w:rsid w:val="516722E5"/>
    <w:rsid w:val="516728DB"/>
    <w:rsid w:val="51675575"/>
    <w:rsid w:val="5167665C"/>
    <w:rsid w:val="51676F9F"/>
    <w:rsid w:val="51680294"/>
    <w:rsid w:val="51681689"/>
    <w:rsid w:val="516923D4"/>
    <w:rsid w:val="51694182"/>
    <w:rsid w:val="51694C1F"/>
    <w:rsid w:val="516A1079"/>
    <w:rsid w:val="516A14FF"/>
    <w:rsid w:val="516A1996"/>
    <w:rsid w:val="516A30F8"/>
    <w:rsid w:val="516A3A56"/>
    <w:rsid w:val="516A3CD7"/>
    <w:rsid w:val="516A5353"/>
    <w:rsid w:val="516A66F6"/>
    <w:rsid w:val="516A7314"/>
    <w:rsid w:val="516A7EFA"/>
    <w:rsid w:val="516B45B9"/>
    <w:rsid w:val="516B4F47"/>
    <w:rsid w:val="516B614C"/>
    <w:rsid w:val="516C3C72"/>
    <w:rsid w:val="516C5A20"/>
    <w:rsid w:val="516C5BA3"/>
    <w:rsid w:val="516C77CE"/>
    <w:rsid w:val="516C7B3B"/>
    <w:rsid w:val="516D11C8"/>
    <w:rsid w:val="516D2658"/>
    <w:rsid w:val="516D5B93"/>
    <w:rsid w:val="516E0B42"/>
    <w:rsid w:val="516E0CD0"/>
    <w:rsid w:val="516E1DA6"/>
    <w:rsid w:val="516E2A1C"/>
    <w:rsid w:val="516E2E74"/>
    <w:rsid w:val="516E79EA"/>
    <w:rsid w:val="516F2F4B"/>
    <w:rsid w:val="516F66B9"/>
    <w:rsid w:val="516F7A24"/>
    <w:rsid w:val="5170361D"/>
    <w:rsid w:val="51703763"/>
    <w:rsid w:val="51705511"/>
    <w:rsid w:val="51705B67"/>
    <w:rsid w:val="51707B49"/>
    <w:rsid w:val="51710FD9"/>
    <w:rsid w:val="51711289"/>
    <w:rsid w:val="51713037"/>
    <w:rsid w:val="5171637C"/>
    <w:rsid w:val="51720883"/>
    <w:rsid w:val="51722469"/>
    <w:rsid w:val="51723A03"/>
    <w:rsid w:val="51730B5D"/>
    <w:rsid w:val="51735001"/>
    <w:rsid w:val="517364CA"/>
    <w:rsid w:val="517378D5"/>
    <w:rsid w:val="517432D0"/>
    <w:rsid w:val="5174795A"/>
    <w:rsid w:val="51750D79"/>
    <w:rsid w:val="5175252B"/>
    <w:rsid w:val="51752B27"/>
    <w:rsid w:val="51754B1E"/>
    <w:rsid w:val="51762FB6"/>
    <w:rsid w:val="51763C03"/>
    <w:rsid w:val="51764AF1"/>
    <w:rsid w:val="5176689F"/>
    <w:rsid w:val="51771A2A"/>
    <w:rsid w:val="51772672"/>
    <w:rsid w:val="5177276F"/>
    <w:rsid w:val="51776AFA"/>
    <w:rsid w:val="51786B5C"/>
    <w:rsid w:val="51786EAE"/>
    <w:rsid w:val="51791222"/>
    <w:rsid w:val="51791EEB"/>
    <w:rsid w:val="51795F86"/>
    <w:rsid w:val="51797438"/>
    <w:rsid w:val="517A1C4C"/>
    <w:rsid w:val="517A37CC"/>
    <w:rsid w:val="517A638F"/>
    <w:rsid w:val="517A784B"/>
    <w:rsid w:val="517B2107"/>
    <w:rsid w:val="517B3EB5"/>
    <w:rsid w:val="517B4BB8"/>
    <w:rsid w:val="517B4C5C"/>
    <w:rsid w:val="517B5C63"/>
    <w:rsid w:val="517B7AAD"/>
    <w:rsid w:val="517C40C9"/>
    <w:rsid w:val="517C595B"/>
    <w:rsid w:val="517C60EC"/>
    <w:rsid w:val="517D16C1"/>
    <w:rsid w:val="517D19DC"/>
    <w:rsid w:val="517D2B58"/>
    <w:rsid w:val="517D3DF4"/>
    <w:rsid w:val="517D5E7F"/>
    <w:rsid w:val="517E1341"/>
    <w:rsid w:val="517E187C"/>
    <w:rsid w:val="517E20C2"/>
    <w:rsid w:val="517E35DD"/>
    <w:rsid w:val="517E4D1E"/>
    <w:rsid w:val="517F38CC"/>
    <w:rsid w:val="517F39A6"/>
    <w:rsid w:val="517F4A6D"/>
    <w:rsid w:val="517F5754"/>
    <w:rsid w:val="517F5C86"/>
    <w:rsid w:val="517F61AE"/>
    <w:rsid w:val="517F7502"/>
    <w:rsid w:val="517F7751"/>
    <w:rsid w:val="518014CC"/>
    <w:rsid w:val="5180357E"/>
    <w:rsid w:val="51803ABE"/>
    <w:rsid w:val="51804A07"/>
    <w:rsid w:val="518100C7"/>
    <w:rsid w:val="5181771E"/>
    <w:rsid w:val="51821F5E"/>
    <w:rsid w:val="51823496"/>
    <w:rsid w:val="51824B2F"/>
    <w:rsid w:val="51824F3B"/>
    <w:rsid w:val="51825244"/>
    <w:rsid w:val="5182543B"/>
    <w:rsid w:val="5182675F"/>
    <w:rsid w:val="518333EE"/>
    <w:rsid w:val="51834A12"/>
    <w:rsid w:val="51835FBF"/>
    <w:rsid w:val="51842D6A"/>
    <w:rsid w:val="51844B18"/>
    <w:rsid w:val="5184720E"/>
    <w:rsid w:val="51851D47"/>
    <w:rsid w:val="51852FA3"/>
    <w:rsid w:val="518571EC"/>
    <w:rsid w:val="518606C9"/>
    <w:rsid w:val="51864D34"/>
    <w:rsid w:val="51870AB3"/>
    <w:rsid w:val="5187285A"/>
    <w:rsid w:val="518731FF"/>
    <w:rsid w:val="51874099"/>
    <w:rsid w:val="5187446D"/>
    <w:rsid w:val="51877443"/>
    <w:rsid w:val="51883BC9"/>
    <w:rsid w:val="5188781F"/>
    <w:rsid w:val="51890380"/>
    <w:rsid w:val="5189040D"/>
    <w:rsid w:val="51892913"/>
    <w:rsid w:val="51893E80"/>
    <w:rsid w:val="51894068"/>
    <w:rsid w:val="518965D2"/>
    <w:rsid w:val="5189685A"/>
    <w:rsid w:val="51897E16"/>
    <w:rsid w:val="518A0A04"/>
    <w:rsid w:val="518A1B80"/>
    <w:rsid w:val="518A7682"/>
    <w:rsid w:val="518B1EA1"/>
    <w:rsid w:val="518B1F55"/>
    <w:rsid w:val="518B234A"/>
    <w:rsid w:val="518B4751"/>
    <w:rsid w:val="518B52F6"/>
    <w:rsid w:val="518B6A1C"/>
    <w:rsid w:val="518C1C1F"/>
    <w:rsid w:val="518C4DAA"/>
    <w:rsid w:val="518C5157"/>
    <w:rsid w:val="518C60C3"/>
    <w:rsid w:val="518C66C3"/>
    <w:rsid w:val="518C7E71"/>
    <w:rsid w:val="518D4BB3"/>
    <w:rsid w:val="518D5397"/>
    <w:rsid w:val="518E1E3B"/>
    <w:rsid w:val="518E282D"/>
    <w:rsid w:val="518E3BE9"/>
    <w:rsid w:val="518E4841"/>
    <w:rsid w:val="518F05BC"/>
    <w:rsid w:val="518F0BBA"/>
    <w:rsid w:val="518F170F"/>
    <w:rsid w:val="519047C4"/>
    <w:rsid w:val="51904AB6"/>
    <w:rsid w:val="51907961"/>
    <w:rsid w:val="519105C3"/>
    <w:rsid w:val="51915487"/>
    <w:rsid w:val="51917713"/>
    <w:rsid w:val="519257B9"/>
    <w:rsid w:val="51930982"/>
    <w:rsid w:val="519311FF"/>
    <w:rsid w:val="51932FAD"/>
    <w:rsid w:val="51933230"/>
    <w:rsid w:val="519503D4"/>
    <w:rsid w:val="519509B1"/>
    <w:rsid w:val="51952C83"/>
    <w:rsid w:val="51954F77"/>
    <w:rsid w:val="51956D25"/>
    <w:rsid w:val="519600D3"/>
    <w:rsid w:val="51960CEF"/>
    <w:rsid w:val="51964435"/>
    <w:rsid w:val="5196484B"/>
    <w:rsid w:val="51965319"/>
    <w:rsid w:val="51967AFD"/>
    <w:rsid w:val="51976F41"/>
    <w:rsid w:val="519805C3"/>
    <w:rsid w:val="51981E3E"/>
    <w:rsid w:val="51984A67"/>
    <w:rsid w:val="51990B14"/>
    <w:rsid w:val="51994939"/>
    <w:rsid w:val="5199746A"/>
    <w:rsid w:val="519A07DF"/>
    <w:rsid w:val="519A258E"/>
    <w:rsid w:val="519A433C"/>
    <w:rsid w:val="519A5843"/>
    <w:rsid w:val="519B00B4"/>
    <w:rsid w:val="519B37D2"/>
    <w:rsid w:val="519B4246"/>
    <w:rsid w:val="519B6306"/>
    <w:rsid w:val="519C1A24"/>
    <w:rsid w:val="519C60FA"/>
    <w:rsid w:val="519D1737"/>
    <w:rsid w:val="519D207E"/>
    <w:rsid w:val="519D3E2C"/>
    <w:rsid w:val="519D5FDF"/>
    <w:rsid w:val="519D74DD"/>
    <w:rsid w:val="519E577C"/>
    <w:rsid w:val="519F1952"/>
    <w:rsid w:val="519F7BA4"/>
    <w:rsid w:val="51A00CDD"/>
    <w:rsid w:val="51A03636"/>
    <w:rsid w:val="51A0391C"/>
    <w:rsid w:val="51A056CA"/>
    <w:rsid w:val="51A05920"/>
    <w:rsid w:val="51A100B8"/>
    <w:rsid w:val="51A151AA"/>
    <w:rsid w:val="51A16977"/>
    <w:rsid w:val="51A21442"/>
    <w:rsid w:val="51A258E6"/>
    <w:rsid w:val="51A33930"/>
    <w:rsid w:val="51A37EE0"/>
    <w:rsid w:val="51A42425"/>
    <w:rsid w:val="51A4340C"/>
    <w:rsid w:val="51A451BA"/>
    <w:rsid w:val="51A46F68"/>
    <w:rsid w:val="51A50D41"/>
    <w:rsid w:val="51A51E0B"/>
    <w:rsid w:val="51A52C52"/>
    <w:rsid w:val="51A5377F"/>
    <w:rsid w:val="51A56788"/>
    <w:rsid w:val="51A57EC9"/>
    <w:rsid w:val="51A60F32"/>
    <w:rsid w:val="51A7033C"/>
    <w:rsid w:val="51A74CAA"/>
    <w:rsid w:val="51A74E45"/>
    <w:rsid w:val="51A76A58"/>
    <w:rsid w:val="51A90068"/>
    <w:rsid w:val="51A90A15"/>
    <w:rsid w:val="51A90A23"/>
    <w:rsid w:val="51A9116D"/>
    <w:rsid w:val="51A927D1"/>
    <w:rsid w:val="51A94BDB"/>
    <w:rsid w:val="51A9575D"/>
    <w:rsid w:val="51A96C75"/>
    <w:rsid w:val="51AA02F7"/>
    <w:rsid w:val="51AA116A"/>
    <w:rsid w:val="51AA35E8"/>
    <w:rsid w:val="51AA4D36"/>
    <w:rsid w:val="51AA7671"/>
    <w:rsid w:val="51AB25FA"/>
    <w:rsid w:val="51AB479B"/>
    <w:rsid w:val="51AB5688"/>
    <w:rsid w:val="51AB6549"/>
    <w:rsid w:val="51AC0513"/>
    <w:rsid w:val="51AC22C1"/>
    <w:rsid w:val="51AC3379"/>
    <w:rsid w:val="51AC5E5D"/>
    <w:rsid w:val="51AD3527"/>
    <w:rsid w:val="51AD3F0B"/>
    <w:rsid w:val="51AE0F7B"/>
    <w:rsid w:val="51AE428B"/>
    <w:rsid w:val="51AE6039"/>
    <w:rsid w:val="51AF0886"/>
    <w:rsid w:val="51B01DB1"/>
    <w:rsid w:val="51B03B5F"/>
    <w:rsid w:val="51B03FA7"/>
    <w:rsid w:val="51B1088E"/>
    <w:rsid w:val="51B1103D"/>
    <w:rsid w:val="51B13C95"/>
    <w:rsid w:val="51B15B29"/>
    <w:rsid w:val="51B20286"/>
    <w:rsid w:val="51B2240A"/>
    <w:rsid w:val="51B2428C"/>
    <w:rsid w:val="51B27044"/>
    <w:rsid w:val="51B318A1"/>
    <w:rsid w:val="51B3364F"/>
    <w:rsid w:val="51B34E7A"/>
    <w:rsid w:val="51B400CB"/>
    <w:rsid w:val="51B40F0D"/>
    <w:rsid w:val="51B472F3"/>
    <w:rsid w:val="51B51175"/>
    <w:rsid w:val="51B515C0"/>
    <w:rsid w:val="51B5235B"/>
    <w:rsid w:val="51B52A95"/>
    <w:rsid w:val="51B54B6B"/>
    <w:rsid w:val="51B55152"/>
    <w:rsid w:val="51B555A4"/>
    <w:rsid w:val="51B56442"/>
    <w:rsid w:val="51B573C7"/>
    <w:rsid w:val="51B57CA3"/>
    <w:rsid w:val="51B64DE5"/>
    <w:rsid w:val="51B65558"/>
    <w:rsid w:val="51B70AE3"/>
    <w:rsid w:val="51B7313F"/>
    <w:rsid w:val="51B74DCB"/>
    <w:rsid w:val="51B8156B"/>
    <w:rsid w:val="51B82A14"/>
    <w:rsid w:val="51B90BB8"/>
    <w:rsid w:val="51B92B3B"/>
    <w:rsid w:val="51BA0A20"/>
    <w:rsid w:val="51BA2C30"/>
    <w:rsid w:val="51BA49DE"/>
    <w:rsid w:val="51BB2504"/>
    <w:rsid w:val="51BC0756"/>
    <w:rsid w:val="51BC357F"/>
    <w:rsid w:val="51BC4EC0"/>
    <w:rsid w:val="51BC6150"/>
    <w:rsid w:val="51BC69A8"/>
    <w:rsid w:val="51BC6CAE"/>
    <w:rsid w:val="51BD4675"/>
    <w:rsid w:val="51BD5467"/>
    <w:rsid w:val="51BD7215"/>
    <w:rsid w:val="51BD75E0"/>
    <w:rsid w:val="51BD7DF7"/>
    <w:rsid w:val="51BE3C46"/>
    <w:rsid w:val="51BE666A"/>
    <w:rsid w:val="51BF0246"/>
    <w:rsid w:val="51BF1FF4"/>
    <w:rsid w:val="51BF3DA2"/>
    <w:rsid w:val="51BF3F5A"/>
    <w:rsid w:val="51C00E6C"/>
    <w:rsid w:val="51C07B1A"/>
    <w:rsid w:val="51C1065C"/>
    <w:rsid w:val="51C13FBE"/>
    <w:rsid w:val="51C1416C"/>
    <w:rsid w:val="51C15D6C"/>
    <w:rsid w:val="51C15F61"/>
    <w:rsid w:val="51C17485"/>
    <w:rsid w:val="51C219AB"/>
    <w:rsid w:val="51C23AC2"/>
    <w:rsid w:val="51C23FCC"/>
    <w:rsid w:val="51C25640"/>
    <w:rsid w:val="51C2690A"/>
    <w:rsid w:val="51C27D36"/>
    <w:rsid w:val="51C40647"/>
    <w:rsid w:val="51C413B8"/>
    <w:rsid w:val="51C4585C"/>
    <w:rsid w:val="51C47283"/>
    <w:rsid w:val="51C4760A"/>
    <w:rsid w:val="51C55131"/>
    <w:rsid w:val="51C57916"/>
    <w:rsid w:val="51C63383"/>
    <w:rsid w:val="51C634A9"/>
    <w:rsid w:val="51C63E1E"/>
    <w:rsid w:val="51C70EA9"/>
    <w:rsid w:val="51C71DD3"/>
    <w:rsid w:val="51C7295E"/>
    <w:rsid w:val="51C72C23"/>
    <w:rsid w:val="51C770FB"/>
    <w:rsid w:val="51C83263"/>
    <w:rsid w:val="51C84F35"/>
    <w:rsid w:val="51C8534D"/>
    <w:rsid w:val="51C92E73"/>
    <w:rsid w:val="51C969CF"/>
    <w:rsid w:val="51C972C4"/>
    <w:rsid w:val="51CA0754"/>
    <w:rsid w:val="51CA243A"/>
    <w:rsid w:val="51CA3664"/>
    <w:rsid w:val="51CB0999"/>
    <w:rsid w:val="51CB1571"/>
    <w:rsid w:val="51CB7346"/>
    <w:rsid w:val="51CC3074"/>
    <w:rsid w:val="51CC4711"/>
    <w:rsid w:val="51CC6196"/>
    <w:rsid w:val="51CC6EC2"/>
    <w:rsid w:val="51CC6F1C"/>
    <w:rsid w:val="51CC7E25"/>
    <w:rsid w:val="51CD2250"/>
    <w:rsid w:val="51CD70D5"/>
    <w:rsid w:val="51CE0489"/>
    <w:rsid w:val="51CE0565"/>
    <w:rsid w:val="51CE0DD3"/>
    <w:rsid w:val="51CE66DB"/>
    <w:rsid w:val="51CE7FD5"/>
    <w:rsid w:val="51CF030E"/>
    <w:rsid w:val="51CF7950"/>
    <w:rsid w:val="51CF7FEC"/>
    <w:rsid w:val="51D00906"/>
    <w:rsid w:val="51D02E85"/>
    <w:rsid w:val="51D04201"/>
    <w:rsid w:val="51D045C6"/>
    <w:rsid w:val="51D07D5D"/>
    <w:rsid w:val="51D13AD5"/>
    <w:rsid w:val="51D15A56"/>
    <w:rsid w:val="51D17981"/>
    <w:rsid w:val="51D23892"/>
    <w:rsid w:val="51D26210"/>
    <w:rsid w:val="51D26EE6"/>
    <w:rsid w:val="51D31385"/>
    <w:rsid w:val="51D31DC6"/>
    <w:rsid w:val="51D325C4"/>
    <w:rsid w:val="51D3277A"/>
    <w:rsid w:val="51D3636A"/>
    <w:rsid w:val="51D373D1"/>
    <w:rsid w:val="51D3784E"/>
    <w:rsid w:val="51D41806"/>
    <w:rsid w:val="51D443D7"/>
    <w:rsid w:val="51D54601"/>
    <w:rsid w:val="51D55866"/>
    <w:rsid w:val="51D575BD"/>
    <w:rsid w:val="51D623B8"/>
    <w:rsid w:val="51D62D0D"/>
    <w:rsid w:val="51D6733E"/>
    <w:rsid w:val="51D704FA"/>
    <w:rsid w:val="51D72D57"/>
    <w:rsid w:val="51D774E7"/>
    <w:rsid w:val="51D81308"/>
    <w:rsid w:val="51D830B6"/>
    <w:rsid w:val="51D83FD4"/>
    <w:rsid w:val="51D848F0"/>
    <w:rsid w:val="51D84E64"/>
    <w:rsid w:val="51D93031"/>
    <w:rsid w:val="51D9429B"/>
    <w:rsid w:val="51DA0248"/>
    <w:rsid w:val="51DA072C"/>
    <w:rsid w:val="51DA0BDC"/>
    <w:rsid w:val="51DA1F6A"/>
    <w:rsid w:val="51DA3285"/>
    <w:rsid w:val="51DA5080"/>
    <w:rsid w:val="51DA6B07"/>
    <w:rsid w:val="51DA7F46"/>
    <w:rsid w:val="51DB0862"/>
    <w:rsid w:val="51DB16D8"/>
    <w:rsid w:val="51DB6702"/>
    <w:rsid w:val="51DC0629"/>
    <w:rsid w:val="51DC12F0"/>
    <w:rsid w:val="51DC2BA6"/>
    <w:rsid w:val="51DC2FD9"/>
    <w:rsid w:val="51DC4954"/>
    <w:rsid w:val="51DD247A"/>
    <w:rsid w:val="51DD2EAE"/>
    <w:rsid w:val="51DD2FA8"/>
    <w:rsid w:val="51DE0059"/>
    <w:rsid w:val="51DE61DA"/>
    <w:rsid w:val="51DF1A13"/>
    <w:rsid w:val="51DF2696"/>
    <w:rsid w:val="51DF4F46"/>
    <w:rsid w:val="51DF61F2"/>
    <w:rsid w:val="51DF6DC8"/>
    <w:rsid w:val="51E05BAE"/>
    <w:rsid w:val="51E07DD7"/>
    <w:rsid w:val="51E11F6A"/>
    <w:rsid w:val="51E1515F"/>
    <w:rsid w:val="51E1640E"/>
    <w:rsid w:val="51E205A4"/>
    <w:rsid w:val="51E23F34"/>
    <w:rsid w:val="51E242A8"/>
    <w:rsid w:val="51E269DA"/>
    <w:rsid w:val="51E312FA"/>
    <w:rsid w:val="51E41A5B"/>
    <w:rsid w:val="51E43809"/>
    <w:rsid w:val="51E44B4F"/>
    <w:rsid w:val="51E46FBA"/>
    <w:rsid w:val="51E47CAD"/>
    <w:rsid w:val="51E5607B"/>
    <w:rsid w:val="51E56BFC"/>
    <w:rsid w:val="51E63A25"/>
    <w:rsid w:val="51E64545"/>
    <w:rsid w:val="51E64E08"/>
    <w:rsid w:val="51E657D3"/>
    <w:rsid w:val="51E66672"/>
    <w:rsid w:val="51E67581"/>
    <w:rsid w:val="51E80B22"/>
    <w:rsid w:val="51E837D3"/>
    <w:rsid w:val="51E859D5"/>
    <w:rsid w:val="51E8639F"/>
    <w:rsid w:val="51E90E1F"/>
    <w:rsid w:val="51E91230"/>
    <w:rsid w:val="51E952C3"/>
    <w:rsid w:val="51EA28FF"/>
    <w:rsid w:val="51EB103B"/>
    <w:rsid w:val="51EB2DE9"/>
    <w:rsid w:val="51EC290B"/>
    <w:rsid w:val="51EC52DA"/>
    <w:rsid w:val="51ED1A91"/>
    <w:rsid w:val="51ED2825"/>
    <w:rsid w:val="51ED2F1C"/>
    <w:rsid w:val="51ED3749"/>
    <w:rsid w:val="51ED4DB3"/>
    <w:rsid w:val="51ED6B61"/>
    <w:rsid w:val="51ED7960"/>
    <w:rsid w:val="51EE0B2B"/>
    <w:rsid w:val="51EE28D9"/>
    <w:rsid w:val="51EE39B0"/>
    <w:rsid w:val="51EE4687"/>
    <w:rsid w:val="51EE4F7D"/>
    <w:rsid w:val="51EE53FD"/>
    <w:rsid w:val="51EF4D44"/>
    <w:rsid w:val="51EF68F9"/>
    <w:rsid w:val="51F00784"/>
    <w:rsid w:val="51F0246E"/>
    <w:rsid w:val="51F04709"/>
    <w:rsid w:val="51F06651"/>
    <w:rsid w:val="51F138FE"/>
    <w:rsid w:val="51F15F26"/>
    <w:rsid w:val="51F21D52"/>
    <w:rsid w:val="51F223CA"/>
    <w:rsid w:val="51F231A6"/>
    <w:rsid w:val="51F24178"/>
    <w:rsid w:val="51F25F01"/>
    <w:rsid w:val="51F3044B"/>
    <w:rsid w:val="51F31E36"/>
    <w:rsid w:val="51F36142"/>
    <w:rsid w:val="51F37EF0"/>
    <w:rsid w:val="51F42604"/>
    <w:rsid w:val="51F53C68"/>
    <w:rsid w:val="51F554B9"/>
    <w:rsid w:val="51F577C4"/>
    <w:rsid w:val="51F57F66"/>
    <w:rsid w:val="51F6229C"/>
    <w:rsid w:val="51F6353C"/>
    <w:rsid w:val="51F64FB2"/>
    <w:rsid w:val="51F6696B"/>
    <w:rsid w:val="51F7178E"/>
    <w:rsid w:val="51F7602F"/>
    <w:rsid w:val="51F76066"/>
    <w:rsid w:val="51F77770"/>
    <w:rsid w:val="51F8045C"/>
    <w:rsid w:val="51F83758"/>
    <w:rsid w:val="51F85506"/>
    <w:rsid w:val="51FA127E"/>
    <w:rsid w:val="51FA302C"/>
    <w:rsid w:val="51FB670C"/>
    <w:rsid w:val="51FC1166"/>
    <w:rsid w:val="51FC2306"/>
    <w:rsid w:val="51FC5FD7"/>
    <w:rsid w:val="51FC6DA4"/>
    <w:rsid w:val="51FD0675"/>
    <w:rsid w:val="51FD28D1"/>
    <w:rsid w:val="51FD2B1C"/>
    <w:rsid w:val="51FD48CA"/>
    <w:rsid w:val="51FD59C8"/>
    <w:rsid w:val="51FD7B5D"/>
    <w:rsid w:val="51FE3B55"/>
    <w:rsid w:val="51FE5F02"/>
    <w:rsid w:val="51FE7691"/>
    <w:rsid w:val="51FF6894"/>
    <w:rsid w:val="51FF737B"/>
    <w:rsid w:val="51FF7611"/>
    <w:rsid w:val="5200478D"/>
    <w:rsid w:val="520067D9"/>
    <w:rsid w:val="52013405"/>
    <w:rsid w:val="520143BB"/>
    <w:rsid w:val="52020133"/>
    <w:rsid w:val="520211A2"/>
    <w:rsid w:val="52021EE1"/>
    <w:rsid w:val="5202225D"/>
    <w:rsid w:val="520248B8"/>
    <w:rsid w:val="520420FD"/>
    <w:rsid w:val="52045C59"/>
    <w:rsid w:val="52056DC1"/>
    <w:rsid w:val="52061478"/>
    <w:rsid w:val="52064694"/>
    <w:rsid w:val="52065E75"/>
    <w:rsid w:val="52067C23"/>
    <w:rsid w:val="52071583"/>
    <w:rsid w:val="52075749"/>
    <w:rsid w:val="52077265"/>
    <w:rsid w:val="520774F7"/>
    <w:rsid w:val="52081BED"/>
    <w:rsid w:val="5208691B"/>
    <w:rsid w:val="520914C1"/>
    <w:rsid w:val="520919B3"/>
    <w:rsid w:val="52091B85"/>
    <w:rsid w:val="5209326F"/>
    <w:rsid w:val="52097713"/>
    <w:rsid w:val="520B0404"/>
    <w:rsid w:val="520B14C8"/>
    <w:rsid w:val="520B5239"/>
    <w:rsid w:val="520B7076"/>
    <w:rsid w:val="520C0728"/>
    <w:rsid w:val="520C0C67"/>
    <w:rsid w:val="520C0CAF"/>
    <w:rsid w:val="520C2A65"/>
    <w:rsid w:val="520C2D5F"/>
    <w:rsid w:val="520D0FB1"/>
    <w:rsid w:val="520D3AF7"/>
    <w:rsid w:val="520D7C2C"/>
    <w:rsid w:val="520E066F"/>
    <w:rsid w:val="520E0886"/>
    <w:rsid w:val="520E3CF1"/>
    <w:rsid w:val="520E4D2A"/>
    <w:rsid w:val="520E4EBA"/>
    <w:rsid w:val="520E59F7"/>
    <w:rsid w:val="520E6AD8"/>
    <w:rsid w:val="520E7C07"/>
    <w:rsid w:val="520F53AD"/>
    <w:rsid w:val="52100AA2"/>
    <w:rsid w:val="52101854"/>
    <w:rsid w:val="52102850"/>
    <w:rsid w:val="521045FE"/>
    <w:rsid w:val="521060F1"/>
    <w:rsid w:val="521072FC"/>
    <w:rsid w:val="52110978"/>
    <w:rsid w:val="52111E4B"/>
    <w:rsid w:val="521126CE"/>
    <w:rsid w:val="5211427C"/>
    <w:rsid w:val="52120FE5"/>
    <w:rsid w:val="52122C37"/>
    <w:rsid w:val="52127220"/>
    <w:rsid w:val="52127F01"/>
    <w:rsid w:val="5213242D"/>
    <w:rsid w:val="521329AA"/>
    <w:rsid w:val="521354A9"/>
    <w:rsid w:val="52143074"/>
    <w:rsid w:val="5214356A"/>
    <w:rsid w:val="52146C98"/>
    <w:rsid w:val="52151C14"/>
    <w:rsid w:val="52151EB7"/>
    <w:rsid w:val="52152CF9"/>
    <w:rsid w:val="52157E66"/>
    <w:rsid w:val="52160AC6"/>
    <w:rsid w:val="52163F8C"/>
    <w:rsid w:val="521701EA"/>
    <w:rsid w:val="52173BDE"/>
    <w:rsid w:val="521746A4"/>
    <w:rsid w:val="521773DA"/>
    <w:rsid w:val="52180C03"/>
    <w:rsid w:val="52181704"/>
    <w:rsid w:val="5218264C"/>
    <w:rsid w:val="52186A99"/>
    <w:rsid w:val="52186CFB"/>
    <w:rsid w:val="52187821"/>
    <w:rsid w:val="5219113B"/>
    <w:rsid w:val="521917EA"/>
    <w:rsid w:val="52195BA8"/>
    <w:rsid w:val="52196589"/>
    <w:rsid w:val="5219698F"/>
    <w:rsid w:val="521A251D"/>
    <w:rsid w:val="521A36CE"/>
    <w:rsid w:val="521A654C"/>
    <w:rsid w:val="521A65FA"/>
    <w:rsid w:val="521A722A"/>
    <w:rsid w:val="521B6B6B"/>
    <w:rsid w:val="521C0FA5"/>
    <w:rsid w:val="521C11F4"/>
    <w:rsid w:val="521C2FA3"/>
    <w:rsid w:val="521C3071"/>
    <w:rsid w:val="521C4BC8"/>
    <w:rsid w:val="521C51A2"/>
    <w:rsid w:val="521C5A63"/>
    <w:rsid w:val="521C5DB3"/>
    <w:rsid w:val="521D2C35"/>
    <w:rsid w:val="521D4930"/>
    <w:rsid w:val="521E291B"/>
    <w:rsid w:val="521F0CE5"/>
    <w:rsid w:val="521F28F3"/>
    <w:rsid w:val="521F697C"/>
    <w:rsid w:val="521F6C8A"/>
    <w:rsid w:val="521F6F37"/>
    <w:rsid w:val="5221680B"/>
    <w:rsid w:val="5222272C"/>
    <w:rsid w:val="52223C47"/>
    <w:rsid w:val="52224331"/>
    <w:rsid w:val="52225714"/>
    <w:rsid w:val="52231EC8"/>
    <w:rsid w:val="52232583"/>
    <w:rsid w:val="522330CE"/>
    <w:rsid w:val="52233BBC"/>
    <w:rsid w:val="522352FD"/>
    <w:rsid w:val="5223678D"/>
    <w:rsid w:val="522400F0"/>
    <w:rsid w:val="522435D1"/>
    <w:rsid w:val="52245660"/>
    <w:rsid w:val="5224710F"/>
    <w:rsid w:val="52247E3B"/>
    <w:rsid w:val="52263E21"/>
    <w:rsid w:val="52270784"/>
    <w:rsid w:val="52271947"/>
    <w:rsid w:val="5227510E"/>
    <w:rsid w:val="52275EEE"/>
    <w:rsid w:val="522762D7"/>
    <w:rsid w:val="5228176B"/>
    <w:rsid w:val="522859DF"/>
    <w:rsid w:val="52285DC3"/>
    <w:rsid w:val="52285DEB"/>
    <w:rsid w:val="52287B99"/>
    <w:rsid w:val="52287E8E"/>
    <w:rsid w:val="52291C30"/>
    <w:rsid w:val="52293911"/>
    <w:rsid w:val="522956BF"/>
    <w:rsid w:val="5229634E"/>
    <w:rsid w:val="52297A2E"/>
    <w:rsid w:val="522A0590"/>
    <w:rsid w:val="522A0EBE"/>
    <w:rsid w:val="522A27A6"/>
    <w:rsid w:val="522B1438"/>
    <w:rsid w:val="522B3DE7"/>
    <w:rsid w:val="522B58DB"/>
    <w:rsid w:val="522C59B0"/>
    <w:rsid w:val="522C61C6"/>
    <w:rsid w:val="522C6C26"/>
    <w:rsid w:val="522C7AF0"/>
    <w:rsid w:val="522D0C45"/>
    <w:rsid w:val="522D5379"/>
    <w:rsid w:val="522D6160"/>
    <w:rsid w:val="522E07FA"/>
    <w:rsid w:val="522E1853"/>
    <w:rsid w:val="522E2CD6"/>
    <w:rsid w:val="522F234E"/>
    <w:rsid w:val="522F34EF"/>
    <w:rsid w:val="522F4D30"/>
    <w:rsid w:val="52304646"/>
    <w:rsid w:val="52306A4E"/>
    <w:rsid w:val="523147F6"/>
    <w:rsid w:val="523172BF"/>
    <w:rsid w:val="52320A18"/>
    <w:rsid w:val="52320C9F"/>
    <w:rsid w:val="523227C6"/>
    <w:rsid w:val="52324640"/>
    <w:rsid w:val="52326F79"/>
    <w:rsid w:val="5233019D"/>
    <w:rsid w:val="523302EC"/>
    <w:rsid w:val="5233653E"/>
    <w:rsid w:val="52340E87"/>
    <w:rsid w:val="52344B41"/>
    <w:rsid w:val="52347712"/>
    <w:rsid w:val="52350508"/>
    <w:rsid w:val="52350998"/>
    <w:rsid w:val="523522B6"/>
    <w:rsid w:val="52354064"/>
    <w:rsid w:val="52362032"/>
    <w:rsid w:val="52362075"/>
    <w:rsid w:val="523634E2"/>
    <w:rsid w:val="52364FDC"/>
    <w:rsid w:val="52365BD9"/>
    <w:rsid w:val="523678C6"/>
    <w:rsid w:val="523734C2"/>
    <w:rsid w:val="52375DF3"/>
    <w:rsid w:val="5237602E"/>
    <w:rsid w:val="52377DDC"/>
    <w:rsid w:val="52377F7F"/>
    <w:rsid w:val="52383B54"/>
    <w:rsid w:val="52384CA0"/>
    <w:rsid w:val="52391DA6"/>
    <w:rsid w:val="523920F4"/>
    <w:rsid w:val="52392BB8"/>
    <w:rsid w:val="52393F2D"/>
    <w:rsid w:val="52397523"/>
    <w:rsid w:val="52397FF8"/>
    <w:rsid w:val="523A44E6"/>
    <w:rsid w:val="523A5B1F"/>
    <w:rsid w:val="523A67F7"/>
    <w:rsid w:val="523A7580"/>
    <w:rsid w:val="523B025C"/>
    <w:rsid w:val="523B2BB4"/>
    <w:rsid w:val="523B6EAF"/>
    <w:rsid w:val="523C0133"/>
    <w:rsid w:val="523C0C24"/>
    <w:rsid w:val="523C53F3"/>
    <w:rsid w:val="523C5E06"/>
    <w:rsid w:val="523D0A75"/>
    <w:rsid w:val="523D116B"/>
    <w:rsid w:val="523E3BCA"/>
    <w:rsid w:val="523E4390"/>
    <w:rsid w:val="523E4E45"/>
    <w:rsid w:val="523E560F"/>
    <w:rsid w:val="523E73BD"/>
    <w:rsid w:val="523F1387"/>
    <w:rsid w:val="523F26F9"/>
    <w:rsid w:val="523F30FC"/>
    <w:rsid w:val="523F3135"/>
    <w:rsid w:val="523F4825"/>
    <w:rsid w:val="523F6CC2"/>
    <w:rsid w:val="523F6E00"/>
    <w:rsid w:val="524022AC"/>
    <w:rsid w:val="52402E8F"/>
    <w:rsid w:val="52405526"/>
    <w:rsid w:val="52405575"/>
    <w:rsid w:val="52410C5B"/>
    <w:rsid w:val="52412A09"/>
    <w:rsid w:val="52412F28"/>
    <w:rsid w:val="52416EAD"/>
    <w:rsid w:val="52417145"/>
    <w:rsid w:val="52417690"/>
    <w:rsid w:val="52426460"/>
    <w:rsid w:val="52426781"/>
    <w:rsid w:val="52432C25"/>
    <w:rsid w:val="52435D77"/>
    <w:rsid w:val="524424F9"/>
    <w:rsid w:val="524437F6"/>
    <w:rsid w:val="52443A9E"/>
    <w:rsid w:val="524440E9"/>
    <w:rsid w:val="52444636"/>
    <w:rsid w:val="52450697"/>
    <w:rsid w:val="52451CB6"/>
    <w:rsid w:val="52453AE1"/>
    <w:rsid w:val="5245699D"/>
    <w:rsid w:val="524569C0"/>
    <w:rsid w:val="52456C59"/>
    <w:rsid w:val="5246001F"/>
    <w:rsid w:val="52460BB4"/>
    <w:rsid w:val="52462962"/>
    <w:rsid w:val="52462FF1"/>
    <w:rsid w:val="52464B59"/>
    <w:rsid w:val="52466271"/>
    <w:rsid w:val="52467451"/>
    <w:rsid w:val="52470CD5"/>
    <w:rsid w:val="52472DB7"/>
    <w:rsid w:val="524746F8"/>
    <w:rsid w:val="52475CC5"/>
    <w:rsid w:val="5248023B"/>
    <w:rsid w:val="5248052C"/>
    <w:rsid w:val="524808BE"/>
    <w:rsid w:val="52481762"/>
    <w:rsid w:val="52483D98"/>
    <w:rsid w:val="52484447"/>
    <w:rsid w:val="524904A8"/>
    <w:rsid w:val="52491B07"/>
    <w:rsid w:val="52495D62"/>
    <w:rsid w:val="52497B10"/>
    <w:rsid w:val="524A01D5"/>
    <w:rsid w:val="524A1B17"/>
    <w:rsid w:val="524A3FB4"/>
    <w:rsid w:val="524B1ADA"/>
    <w:rsid w:val="524B4509"/>
    <w:rsid w:val="524B7D2C"/>
    <w:rsid w:val="524D13AE"/>
    <w:rsid w:val="524D5852"/>
    <w:rsid w:val="524E02B9"/>
    <w:rsid w:val="524E1462"/>
    <w:rsid w:val="524E286F"/>
    <w:rsid w:val="524E5126"/>
    <w:rsid w:val="524E5172"/>
    <w:rsid w:val="524F036A"/>
    <w:rsid w:val="524F2D1F"/>
    <w:rsid w:val="524F431A"/>
    <w:rsid w:val="524F4B96"/>
    <w:rsid w:val="524F5551"/>
    <w:rsid w:val="52500E9E"/>
    <w:rsid w:val="52505342"/>
    <w:rsid w:val="525070F0"/>
    <w:rsid w:val="52520A7B"/>
    <w:rsid w:val="52520E35"/>
    <w:rsid w:val="525210BA"/>
    <w:rsid w:val="5252180B"/>
    <w:rsid w:val="52522E68"/>
    <w:rsid w:val="5253098E"/>
    <w:rsid w:val="5253273C"/>
    <w:rsid w:val="525343BA"/>
    <w:rsid w:val="52543277"/>
    <w:rsid w:val="52546BE0"/>
    <w:rsid w:val="5255018C"/>
    <w:rsid w:val="52551E4E"/>
    <w:rsid w:val="52552958"/>
    <w:rsid w:val="52554233"/>
    <w:rsid w:val="52554706"/>
    <w:rsid w:val="52555D0A"/>
    <w:rsid w:val="525564B4"/>
    <w:rsid w:val="5257047F"/>
    <w:rsid w:val="525705B5"/>
    <w:rsid w:val="52570E95"/>
    <w:rsid w:val="5257222D"/>
    <w:rsid w:val="525766D1"/>
    <w:rsid w:val="52583F3C"/>
    <w:rsid w:val="5258567D"/>
    <w:rsid w:val="52585A5A"/>
    <w:rsid w:val="525874BA"/>
    <w:rsid w:val="525941F7"/>
    <w:rsid w:val="52597F9D"/>
    <w:rsid w:val="525A10D9"/>
    <w:rsid w:val="525A142D"/>
    <w:rsid w:val="525A3ACB"/>
    <w:rsid w:val="525A5EC6"/>
    <w:rsid w:val="525A5FBE"/>
    <w:rsid w:val="525A7C82"/>
    <w:rsid w:val="525A7F6F"/>
    <w:rsid w:val="525B3B29"/>
    <w:rsid w:val="525B3CE2"/>
    <w:rsid w:val="525B6CCF"/>
    <w:rsid w:val="525C2B86"/>
    <w:rsid w:val="525C3CE7"/>
    <w:rsid w:val="525C48DB"/>
    <w:rsid w:val="525C637C"/>
    <w:rsid w:val="525C6C27"/>
    <w:rsid w:val="525C7843"/>
    <w:rsid w:val="525D497E"/>
    <w:rsid w:val="525D7430"/>
    <w:rsid w:val="525E180D"/>
    <w:rsid w:val="525E297F"/>
    <w:rsid w:val="525E7A5F"/>
    <w:rsid w:val="525F27E1"/>
    <w:rsid w:val="525F7333"/>
    <w:rsid w:val="526008F6"/>
    <w:rsid w:val="526010C2"/>
    <w:rsid w:val="526026CE"/>
    <w:rsid w:val="52602B13"/>
    <w:rsid w:val="526037D7"/>
    <w:rsid w:val="5260653B"/>
    <w:rsid w:val="52616C26"/>
    <w:rsid w:val="52623FC3"/>
    <w:rsid w:val="52625A37"/>
    <w:rsid w:val="52630BD1"/>
    <w:rsid w:val="5263104F"/>
    <w:rsid w:val="52635075"/>
    <w:rsid w:val="52636E23"/>
    <w:rsid w:val="52642B9B"/>
    <w:rsid w:val="5264494A"/>
    <w:rsid w:val="52644BB1"/>
    <w:rsid w:val="526451A8"/>
    <w:rsid w:val="52650DED"/>
    <w:rsid w:val="526513ED"/>
    <w:rsid w:val="5265579F"/>
    <w:rsid w:val="526606C2"/>
    <w:rsid w:val="52661111"/>
    <w:rsid w:val="52666F88"/>
    <w:rsid w:val="5267283A"/>
    <w:rsid w:val="52674B02"/>
    <w:rsid w:val="526806C6"/>
    <w:rsid w:val="52682409"/>
    <w:rsid w:val="5268443A"/>
    <w:rsid w:val="526861E8"/>
    <w:rsid w:val="5268643E"/>
    <w:rsid w:val="52687572"/>
    <w:rsid w:val="5269065C"/>
    <w:rsid w:val="52691FE2"/>
    <w:rsid w:val="52697A92"/>
    <w:rsid w:val="526A01B2"/>
    <w:rsid w:val="526A03D3"/>
    <w:rsid w:val="526A0F22"/>
    <w:rsid w:val="526A1F83"/>
    <w:rsid w:val="526A3005"/>
    <w:rsid w:val="526A3DEA"/>
    <w:rsid w:val="526A3F41"/>
    <w:rsid w:val="526A6404"/>
    <w:rsid w:val="526B0D4E"/>
    <w:rsid w:val="526B217C"/>
    <w:rsid w:val="526B27DD"/>
    <w:rsid w:val="526B3F2A"/>
    <w:rsid w:val="526B5CD8"/>
    <w:rsid w:val="526C36B4"/>
    <w:rsid w:val="526D1A50"/>
    <w:rsid w:val="526D37BF"/>
    <w:rsid w:val="526D37FE"/>
    <w:rsid w:val="526D6A4B"/>
    <w:rsid w:val="526E2C9E"/>
    <w:rsid w:val="526E57C6"/>
    <w:rsid w:val="526E5EA4"/>
    <w:rsid w:val="526E7576"/>
    <w:rsid w:val="526F21C3"/>
    <w:rsid w:val="526F3A1A"/>
    <w:rsid w:val="526F5D79"/>
    <w:rsid w:val="526F73C5"/>
    <w:rsid w:val="52700D89"/>
    <w:rsid w:val="52701540"/>
    <w:rsid w:val="527032EE"/>
    <w:rsid w:val="52707792"/>
    <w:rsid w:val="52721545"/>
    <w:rsid w:val="527226B3"/>
    <w:rsid w:val="5272350A"/>
    <w:rsid w:val="5272388D"/>
    <w:rsid w:val="52723BA8"/>
    <w:rsid w:val="527259A4"/>
    <w:rsid w:val="52726493"/>
    <w:rsid w:val="52727066"/>
    <w:rsid w:val="52732519"/>
    <w:rsid w:val="52733715"/>
    <w:rsid w:val="52734B8D"/>
    <w:rsid w:val="52737DEB"/>
    <w:rsid w:val="52742968"/>
    <w:rsid w:val="52742DDF"/>
    <w:rsid w:val="52745FD3"/>
    <w:rsid w:val="52750905"/>
    <w:rsid w:val="52756B57"/>
    <w:rsid w:val="52760C06"/>
    <w:rsid w:val="52765CB8"/>
    <w:rsid w:val="52770B21"/>
    <w:rsid w:val="527728CF"/>
    <w:rsid w:val="5277467D"/>
    <w:rsid w:val="52774DB3"/>
    <w:rsid w:val="52775988"/>
    <w:rsid w:val="52780B05"/>
    <w:rsid w:val="527821A3"/>
    <w:rsid w:val="52796647"/>
    <w:rsid w:val="527A0A17"/>
    <w:rsid w:val="527A1452"/>
    <w:rsid w:val="527A2EE8"/>
    <w:rsid w:val="527A416D"/>
    <w:rsid w:val="527A587C"/>
    <w:rsid w:val="527A79B4"/>
    <w:rsid w:val="527B0BBB"/>
    <w:rsid w:val="527B30F9"/>
    <w:rsid w:val="527B3527"/>
    <w:rsid w:val="527B72D6"/>
    <w:rsid w:val="527C647C"/>
    <w:rsid w:val="527C7702"/>
    <w:rsid w:val="527C7EE5"/>
    <w:rsid w:val="527D1264"/>
    <w:rsid w:val="527D39F0"/>
    <w:rsid w:val="527D5F08"/>
    <w:rsid w:val="527E0709"/>
    <w:rsid w:val="527E0828"/>
    <w:rsid w:val="527E1EAF"/>
    <w:rsid w:val="527E5A0B"/>
    <w:rsid w:val="527E6640"/>
    <w:rsid w:val="527E7795"/>
    <w:rsid w:val="527F1762"/>
    <w:rsid w:val="52800918"/>
    <w:rsid w:val="52801B17"/>
    <w:rsid w:val="52802625"/>
    <w:rsid w:val="528026A1"/>
    <w:rsid w:val="52803C92"/>
    <w:rsid w:val="528060BA"/>
    <w:rsid w:val="52810377"/>
    <w:rsid w:val="52811A88"/>
    <w:rsid w:val="52811C3B"/>
    <w:rsid w:val="5281374D"/>
    <w:rsid w:val="52815244"/>
    <w:rsid w:val="528154FB"/>
    <w:rsid w:val="52815D19"/>
    <w:rsid w:val="52824171"/>
    <w:rsid w:val="52830639"/>
    <w:rsid w:val="52830A87"/>
    <w:rsid w:val="52831C08"/>
    <w:rsid w:val="52833022"/>
    <w:rsid w:val="5283320A"/>
    <w:rsid w:val="52833B14"/>
    <w:rsid w:val="528377D0"/>
    <w:rsid w:val="52840D63"/>
    <w:rsid w:val="52840E75"/>
    <w:rsid w:val="52841AC9"/>
    <w:rsid w:val="5284224E"/>
    <w:rsid w:val="52844E28"/>
    <w:rsid w:val="5284744B"/>
    <w:rsid w:val="52852F59"/>
    <w:rsid w:val="5285323E"/>
    <w:rsid w:val="52854478"/>
    <w:rsid w:val="52856E05"/>
    <w:rsid w:val="528648C0"/>
    <w:rsid w:val="52865B57"/>
    <w:rsid w:val="528662F0"/>
    <w:rsid w:val="528713EA"/>
    <w:rsid w:val="52876867"/>
    <w:rsid w:val="52876B8A"/>
    <w:rsid w:val="52880638"/>
    <w:rsid w:val="52885BD8"/>
    <w:rsid w:val="5288688A"/>
    <w:rsid w:val="52891B7E"/>
    <w:rsid w:val="528943B0"/>
    <w:rsid w:val="528944AB"/>
    <w:rsid w:val="528A0854"/>
    <w:rsid w:val="528B0128"/>
    <w:rsid w:val="528B025B"/>
    <w:rsid w:val="528B14D5"/>
    <w:rsid w:val="528B1ED6"/>
    <w:rsid w:val="528B413E"/>
    <w:rsid w:val="528C45CC"/>
    <w:rsid w:val="528D20F2"/>
    <w:rsid w:val="528D22F5"/>
    <w:rsid w:val="528D2CBF"/>
    <w:rsid w:val="528D2EAA"/>
    <w:rsid w:val="528D34A1"/>
    <w:rsid w:val="528D42BC"/>
    <w:rsid w:val="528D4716"/>
    <w:rsid w:val="528D5C4E"/>
    <w:rsid w:val="528D6A25"/>
    <w:rsid w:val="528D6D3F"/>
    <w:rsid w:val="528E18A9"/>
    <w:rsid w:val="528E1C15"/>
    <w:rsid w:val="528E4F5E"/>
    <w:rsid w:val="528E591A"/>
    <w:rsid w:val="528E6905"/>
    <w:rsid w:val="528F19C6"/>
    <w:rsid w:val="528F2803"/>
    <w:rsid w:val="528F54BB"/>
    <w:rsid w:val="528F5E6A"/>
    <w:rsid w:val="528F67D2"/>
    <w:rsid w:val="528F7C18"/>
    <w:rsid w:val="52902C3D"/>
    <w:rsid w:val="52904836"/>
    <w:rsid w:val="5290573F"/>
    <w:rsid w:val="529067FC"/>
    <w:rsid w:val="52911BE2"/>
    <w:rsid w:val="52912004"/>
    <w:rsid w:val="5291586A"/>
    <w:rsid w:val="52916A84"/>
    <w:rsid w:val="52920A7B"/>
    <w:rsid w:val="52923265"/>
    <w:rsid w:val="5292391B"/>
    <w:rsid w:val="52925E61"/>
    <w:rsid w:val="52926B35"/>
    <w:rsid w:val="52927709"/>
    <w:rsid w:val="52927CE4"/>
    <w:rsid w:val="52931BC7"/>
    <w:rsid w:val="52934BCD"/>
    <w:rsid w:val="5294003D"/>
    <w:rsid w:val="52946FDD"/>
    <w:rsid w:val="52950FA7"/>
    <w:rsid w:val="52952A4E"/>
    <w:rsid w:val="52952D55"/>
    <w:rsid w:val="529532F4"/>
    <w:rsid w:val="5295454A"/>
    <w:rsid w:val="5295561F"/>
    <w:rsid w:val="5295562D"/>
    <w:rsid w:val="52955DB2"/>
    <w:rsid w:val="5296264C"/>
    <w:rsid w:val="52962F38"/>
    <w:rsid w:val="5296536E"/>
    <w:rsid w:val="52966AAF"/>
    <w:rsid w:val="52974D1F"/>
    <w:rsid w:val="52975C05"/>
    <w:rsid w:val="529813CF"/>
    <w:rsid w:val="52983293"/>
    <w:rsid w:val="52990A97"/>
    <w:rsid w:val="52992845"/>
    <w:rsid w:val="529A036B"/>
    <w:rsid w:val="529A3FDC"/>
    <w:rsid w:val="529A5F79"/>
    <w:rsid w:val="529A65BD"/>
    <w:rsid w:val="529B480F"/>
    <w:rsid w:val="529B60BF"/>
    <w:rsid w:val="529C0B89"/>
    <w:rsid w:val="529C2335"/>
    <w:rsid w:val="529C35F0"/>
    <w:rsid w:val="529C40E3"/>
    <w:rsid w:val="529E1C09"/>
    <w:rsid w:val="529E228A"/>
    <w:rsid w:val="529E3592"/>
    <w:rsid w:val="529E42FF"/>
    <w:rsid w:val="529E7E5B"/>
    <w:rsid w:val="529F2723"/>
    <w:rsid w:val="529F4A52"/>
    <w:rsid w:val="529F5982"/>
    <w:rsid w:val="529F66D1"/>
    <w:rsid w:val="52A02732"/>
    <w:rsid w:val="52A03BD4"/>
    <w:rsid w:val="52A106B6"/>
    <w:rsid w:val="52A13A48"/>
    <w:rsid w:val="52A13BC2"/>
    <w:rsid w:val="52A166D0"/>
    <w:rsid w:val="52A1794C"/>
    <w:rsid w:val="52A17CE9"/>
    <w:rsid w:val="52A337BC"/>
    <w:rsid w:val="52A35472"/>
    <w:rsid w:val="52A35B9D"/>
    <w:rsid w:val="52A410B3"/>
    <w:rsid w:val="52A41FE7"/>
    <w:rsid w:val="52A42F98"/>
    <w:rsid w:val="52A44A9E"/>
    <w:rsid w:val="52A523FC"/>
    <w:rsid w:val="52A5743C"/>
    <w:rsid w:val="52A576FA"/>
    <w:rsid w:val="52A62D55"/>
    <w:rsid w:val="52A631B4"/>
    <w:rsid w:val="52A66D10"/>
    <w:rsid w:val="52A66FD1"/>
    <w:rsid w:val="52A762F3"/>
    <w:rsid w:val="52A77B7B"/>
    <w:rsid w:val="52A80CDA"/>
    <w:rsid w:val="52A82A88"/>
    <w:rsid w:val="52A87801"/>
    <w:rsid w:val="52A87B2A"/>
    <w:rsid w:val="52A91260"/>
    <w:rsid w:val="52A93107"/>
    <w:rsid w:val="52A948EB"/>
    <w:rsid w:val="52A94F25"/>
    <w:rsid w:val="52A973E8"/>
    <w:rsid w:val="52AA100F"/>
    <w:rsid w:val="52AA31EC"/>
    <w:rsid w:val="52AA4082"/>
    <w:rsid w:val="52AA4A52"/>
    <w:rsid w:val="52AA6800"/>
    <w:rsid w:val="52AB0E1C"/>
    <w:rsid w:val="52AB2578"/>
    <w:rsid w:val="52AB4326"/>
    <w:rsid w:val="52AD2165"/>
    <w:rsid w:val="52AD4542"/>
    <w:rsid w:val="52AD62F0"/>
    <w:rsid w:val="52AE1D99"/>
    <w:rsid w:val="52AE4D36"/>
    <w:rsid w:val="52AF3E17"/>
    <w:rsid w:val="52AF3FE4"/>
    <w:rsid w:val="52B00DBD"/>
    <w:rsid w:val="52B0193D"/>
    <w:rsid w:val="52B07656"/>
    <w:rsid w:val="52B136B7"/>
    <w:rsid w:val="52B14033"/>
    <w:rsid w:val="52B209CE"/>
    <w:rsid w:val="52B21B59"/>
    <w:rsid w:val="52B23907"/>
    <w:rsid w:val="52B24B47"/>
    <w:rsid w:val="52B256B5"/>
    <w:rsid w:val="52B30BA8"/>
    <w:rsid w:val="52B3267A"/>
    <w:rsid w:val="52B33B12"/>
    <w:rsid w:val="52B34E04"/>
    <w:rsid w:val="52B35EBB"/>
    <w:rsid w:val="52B41E73"/>
    <w:rsid w:val="52B42038"/>
    <w:rsid w:val="52B458D1"/>
    <w:rsid w:val="52B508F7"/>
    <w:rsid w:val="52B51139"/>
    <w:rsid w:val="52B53B80"/>
    <w:rsid w:val="52B5433D"/>
    <w:rsid w:val="52B551A5"/>
    <w:rsid w:val="52B61649"/>
    <w:rsid w:val="52B63A70"/>
    <w:rsid w:val="52B64958"/>
    <w:rsid w:val="52B70F1D"/>
    <w:rsid w:val="52B718B6"/>
    <w:rsid w:val="52B728C4"/>
    <w:rsid w:val="52B753C1"/>
    <w:rsid w:val="52B76009"/>
    <w:rsid w:val="52B7716F"/>
    <w:rsid w:val="52B77529"/>
    <w:rsid w:val="52B81E12"/>
    <w:rsid w:val="52B8420C"/>
    <w:rsid w:val="52B87278"/>
    <w:rsid w:val="52B910F3"/>
    <w:rsid w:val="52B92EE7"/>
    <w:rsid w:val="52B93F70"/>
    <w:rsid w:val="52B94C95"/>
    <w:rsid w:val="52B953A8"/>
    <w:rsid w:val="52B96A43"/>
    <w:rsid w:val="52BA27BB"/>
    <w:rsid w:val="52BB0A0D"/>
    <w:rsid w:val="52BB1697"/>
    <w:rsid w:val="52BB1AD9"/>
    <w:rsid w:val="52BB222A"/>
    <w:rsid w:val="52BB2AA6"/>
    <w:rsid w:val="52BB330E"/>
    <w:rsid w:val="52BB415A"/>
    <w:rsid w:val="52BB5A9B"/>
    <w:rsid w:val="52BB6C1C"/>
    <w:rsid w:val="52BB733A"/>
    <w:rsid w:val="52BB7DFA"/>
    <w:rsid w:val="52BC0A4C"/>
    <w:rsid w:val="52BC1043"/>
    <w:rsid w:val="52BC3D06"/>
    <w:rsid w:val="52BC6534"/>
    <w:rsid w:val="52BC704D"/>
    <w:rsid w:val="52BD163A"/>
    <w:rsid w:val="52BD1C5A"/>
    <w:rsid w:val="52BD6CE2"/>
    <w:rsid w:val="52BE0C1A"/>
    <w:rsid w:val="52BE405A"/>
    <w:rsid w:val="52BE482B"/>
    <w:rsid w:val="52BF46A2"/>
    <w:rsid w:val="52BF5CBB"/>
    <w:rsid w:val="52BF714B"/>
    <w:rsid w:val="52C019F6"/>
    <w:rsid w:val="52C04276"/>
    <w:rsid w:val="52C06024"/>
    <w:rsid w:val="52C11A6B"/>
    <w:rsid w:val="52C11D9C"/>
    <w:rsid w:val="52C15674"/>
    <w:rsid w:val="52C16435"/>
    <w:rsid w:val="52C16A1D"/>
    <w:rsid w:val="52C2081E"/>
    <w:rsid w:val="52C2463C"/>
    <w:rsid w:val="52C25111"/>
    <w:rsid w:val="52C27FEE"/>
    <w:rsid w:val="52C308EE"/>
    <w:rsid w:val="52C32D67"/>
    <w:rsid w:val="52C32E44"/>
    <w:rsid w:val="52C35C4B"/>
    <w:rsid w:val="52C378C2"/>
    <w:rsid w:val="52C451E0"/>
    <w:rsid w:val="52C47EB0"/>
    <w:rsid w:val="52C5188C"/>
    <w:rsid w:val="52C5363A"/>
    <w:rsid w:val="52C553E8"/>
    <w:rsid w:val="52C56D38"/>
    <w:rsid w:val="52C61160"/>
    <w:rsid w:val="52C614B3"/>
    <w:rsid w:val="52C673B2"/>
    <w:rsid w:val="52C703DE"/>
    <w:rsid w:val="52C7263E"/>
    <w:rsid w:val="52C75604"/>
    <w:rsid w:val="52C75F9C"/>
    <w:rsid w:val="52C8137C"/>
    <w:rsid w:val="52C83225"/>
    <w:rsid w:val="52C8474A"/>
    <w:rsid w:val="52C90AF5"/>
    <w:rsid w:val="52C9316F"/>
    <w:rsid w:val="52C943C1"/>
    <w:rsid w:val="52C97248"/>
    <w:rsid w:val="52CA0C50"/>
    <w:rsid w:val="52CA29FF"/>
    <w:rsid w:val="52CA2DCE"/>
    <w:rsid w:val="52CA50F4"/>
    <w:rsid w:val="52CA6EA2"/>
    <w:rsid w:val="52CA73B4"/>
    <w:rsid w:val="52CA76D1"/>
    <w:rsid w:val="52CB4EE4"/>
    <w:rsid w:val="52CB6777"/>
    <w:rsid w:val="52CC2C1B"/>
    <w:rsid w:val="52CC30A1"/>
    <w:rsid w:val="52CC3E18"/>
    <w:rsid w:val="52CC6B7E"/>
    <w:rsid w:val="52CD1A94"/>
    <w:rsid w:val="52CE189B"/>
    <w:rsid w:val="52CE1F68"/>
    <w:rsid w:val="52CE4D1E"/>
    <w:rsid w:val="52CF1868"/>
    <w:rsid w:val="52CF270B"/>
    <w:rsid w:val="52CF44B9"/>
    <w:rsid w:val="52D00C3F"/>
    <w:rsid w:val="52D01119"/>
    <w:rsid w:val="52D16FDC"/>
    <w:rsid w:val="52D20737"/>
    <w:rsid w:val="52D20739"/>
    <w:rsid w:val="52D220B3"/>
    <w:rsid w:val="52D229F0"/>
    <w:rsid w:val="52D22B66"/>
    <w:rsid w:val="52D23FA9"/>
    <w:rsid w:val="52D272B2"/>
    <w:rsid w:val="52D31E34"/>
    <w:rsid w:val="52D355C1"/>
    <w:rsid w:val="52D37D2F"/>
    <w:rsid w:val="52D4387D"/>
    <w:rsid w:val="52D44E6D"/>
    <w:rsid w:val="52D47D21"/>
    <w:rsid w:val="52D52AB2"/>
    <w:rsid w:val="52D55B8C"/>
    <w:rsid w:val="52D61371"/>
    <w:rsid w:val="52D63A99"/>
    <w:rsid w:val="52D675F5"/>
    <w:rsid w:val="52D71E08"/>
    <w:rsid w:val="52D7511B"/>
    <w:rsid w:val="52D753D2"/>
    <w:rsid w:val="52D8155C"/>
    <w:rsid w:val="52D87ECE"/>
    <w:rsid w:val="52D90E94"/>
    <w:rsid w:val="52D95337"/>
    <w:rsid w:val="52D970E6"/>
    <w:rsid w:val="52DA4652"/>
    <w:rsid w:val="52DB0CD1"/>
    <w:rsid w:val="52DB10B0"/>
    <w:rsid w:val="52DB19CE"/>
    <w:rsid w:val="52DB29CF"/>
    <w:rsid w:val="52DB4C0C"/>
    <w:rsid w:val="52DC04F6"/>
    <w:rsid w:val="52DC0984"/>
    <w:rsid w:val="52DC1FEA"/>
    <w:rsid w:val="52DC23ED"/>
    <w:rsid w:val="52DC6BD6"/>
    <w:rsid w:val="52DC7DB4"/>
    <w:rsid w:val="52DD1A14"/>
    <w:rsid w:val="52DD4E28"/>
    <w:rsid w:val="52DE46FC"/>
    <w:rsid w:val="52DE64AA"/>
    <w:rsid w:val="52DF0BA9"/>
    <w:rsid w:val="52DF3B64"/>
    <w:rsid w:val="52DF571B"/>
    <w:rsid w:val="52E0027D"/>
    <w:rsid w:val="52E00474"/>
    <w:rsid w:val="52E02222"/>
    <w:rsid w:val="52E05339"/>
    <w:rsid w:val="52E12617"/>
    <w:rsid w:val="52E15F9A"/>
    <w:rsid w:val="52E16484"/>
    <w:rsid w:val="52E24A6B"/>
    <w:rsid w:val="52E256FE"/>
    <w:rsid w:val="52E33AC0"/>
    <w:rsid w:val="52E35B60"/>
    <w:rsid w:val="52E405D0"/>
    <w:rsid w:val="52E4581B"/>
    <w:rsid w:val="52E46094"/>
    <w:rsid w:val="52E53CDC"/>
    <w:rsid w:val="52E54EC3"/>
    <w:rsid w:val="52E576F3"/>
    <w:rsid w:val="52E62A6A"/>
    <w:rsid w:val="52E654BA"/>
    <w:rsid w:val="52E71025"/>
    <w:rsid w:val="52E71802"/>
    <w:rsid w:val="52E74A3B"/>
    <w:rsid w:val="52E7544B"/>
    <w:rsid w:val="52E77A54"/>
    <w:rsid w:val="52E80F7C"/>
    <w:rsid w:val="52E837CD"/>
    <w:rsid w:val="52E8557B"/>
    <w:rsid w:val="52E9577A"/>
    <w:rsid w:val="52EA0C77"/>
    <w:rsid w:val="52EA12F3"/>
    <w:rsid w:val="52EA1CFD"/>
    <w:rsid w:val="52EA30A1"/>
    <w:rsid w:val="52EA4E4F"/>
    <w:rsid w:val="52EB0BC7"/>
    <w:rsid w:val="52EB22F4"/>
    <w:rsid w:val="52EB4FBB"/>
    <w:rsid w:val="52EB5081"/>
    <w:rsid w:val="52EC21C2"/>
    <w:rsid w:val="52EC3401"/>
    <w:rsid w:val="52EC36E0"/>
    <w:rsid w:val="52EC4D12"/>
    <w:rsid w:val="52EC506B"/>
    <w:rsid w:val="52EC5663"/>
    <w:rsid w:val="52ED0A0D"/>
    <w:rsid w:val="52ED0DE3"/>
    <w:rsid w:val="52ED143F"/>
    <w:rsid w:val="52ED493F"/>
    <w:rsid w:val="52ED4D9B"/>
    <w:rsid w:val="52ED6E7D"/>
    <w:rsid w:val="52EE0D58"/>
    <w:rsid w:val="52EE0E81"/>
    <w:rsid w:val="52EE2245"/>
    <w:rsid w:val="52EE4F2D"/>
    <w:rsid w:val="52EE745D"/>
    <w:rsid w:val="52EE7DCB"/>
    <w:rsid w:val="52EF06B7"/>
    <w:rsid w:val="52EF456A"/>
    <w:rsid w:val="52EF4B5B"/>
    <w:rsid w:val="52EF60D7"/>
    <w:rsid w:val="52F00DCD"/>
    <w:rsid w:val="52F061DD"/>
    <w:rsid w:val="52F0698F"/>
    <w:rsid w:val="52F0758B"/>
    <w:rsid w:val="52F076BA"/>
    <w:rsid w:val="52F1075A"/>
    <w:rsid w:val="52F12681"/>
    <w:rsid w:val="52F1442F"/>
    <w:rsid w:val="52F201A7"/>
    <w:rsid w:val="52F256D0"/>
    <w:rsid w:val="52F25D4B"/>
    <w:rsid w:val="52F263F9"/>
    <w:rsid w:val="52F2661B"/>
    <w:rsid w:val="52F42171"/>
    <w:rsid w:val="52F43F1F"/>
    <w:rsid w:val="52F447A8"/>
    <w:rsid w:val="52F45CCD"/>
    <w:rsid w:val="52F520DA"/>
    <w:rsid w:val="52F53207"/>
    <w:rsid w:val="52F55100"/>
    <w:rsid w:val="52F61A46"/>
    <w:rsid w:val="52F61DEB"/>
    <w:rsid w:val="52F6390A"/>
    <w:rsid w:val="52F6582A"/>
    <w:rsid w:val="52F66C8A"/>
    <w:rsid w:val="52F7054E"/>
    <w:rsid w:val="52F812A9"/>
    <w:rsid w:val="52F83A10"/>
    <w:rsid w:val="52F8470B"/>
    <w:rsid w:val="52F8516F"/>
    <w:rsid w:val="52F902CC"/>
    <w:rsid w:val="52F91536"/>
    <w:rsid w:val="52F932E4"/>
    <w:rsid w:val="52F97788"/>
    <w:rsid w:val="52FA076C"/>
    <w:rsid w:val="52FA333D"/>
    <w:rsid w:val="52FA64AF"/>
    <w:rsid w:val="52FB1BFC"/>
    <w:rsid w:val="52FB3500"/>
    <w:rsid w:val="52FC2DD4"/>
    <w:rsid w:val="52FC308C"/>
    <w:rsid w:val="52FC7D5A"/>
    <w:rsid w:val="52FD0A91"/>
    <w:rsid w:val="52FD1026"/>
    <w:rsid w:val="52FD7010"/>
    <w:rsid w:val="52FE4D9E"/>
    <w:rsid w:val="52FE6B4C"/>
    <w:rsid w:val="52FF314E"/>
    <w:rsid w:val="53004672"/>
    <w:rsid w:val="53007249"/>
    <w:rsid w:val="53007EB6"/>
    <w:rsid w:val="530103EA"/>
    <w:rsid w:val="53011A03"/>
    <w:rsid w:val="53014C6E"/>
    <w:rsid w:val="5302038E"/>
    <w:rsid w:val="53021ACF"/>
    <w:rsid w:val="530262D5"/>
    <w:rsid w:val="530323B4"/>
    <w:rsid w:val="53034162"/>
    <w:rsid w:val="53035F10"/>
    <w:rsid w:val="5304393F"/>
    <w:rsid w:val="530461A9"/>
    <w:rsid w:val="530509CB"/>
    <w:rsid w:val="53051C89"/>
    <w:rsid w:val="53054E8D"/>
    <w:rsid w:val="5305587F"/>
    <w:rsid w:val="5305612D"/>
    <w:rsid w:val="53057EDB"/>
    <w:rsid w:val="530608AC"/>
    <w:rsid w:val="53061A90"/>
    <w:rsid w:val="53065BEF"/>
    <w:rsid w:val="53066D0F"/>
    <w:rsid w:val="5306768C"/>
    <w:rsid w:val="5307072C"/>
    <w:rsid w:val="53071EA5"/>
    <w:rsid w:val="53072D70"/>
    <w:rsid w:val="530733DE"/>
    <w:rsid w:val="53073C53"/>
    <w:rsid w:val="53074C46"/>
    <w:rsid w:val="5307545F"/>
    <w:rsid w:val="53081779"/>
    <w:rsid w:val="53083527"/>
    <w:rsid w:val="53085941"/>
    <w:rsid w:val="53093984"/>
    <w:rsid w:val="530A3743"/>
    <w:rsid w:val="530A589B"/>
    <w:rsid w:val="530A729F"/>
    <w:rsid w:val="530B5FDC"/>
    <w:rsid w:val="530B714E"/>
    <w:rsid w:val="530C1269"/>
    <w:rsid w:val="530C3017"/>
    <w:rsid w:val="530C4011"/>
    <w:rsid w:val="530C65DC"/>
    <w:rsid w:val="530D4FE1"/>
    <w:rsid w:val="530D54A1"/>
    <w:rsid w:val="530D6D8F"/>
    <w:rsid w:val="530E129B"/>
    <w:rsid w:val="530F127F"/>
    <w:rsid w:val="530F1963"/>
    <w:rsid w:val="530F2B07"/>
    <w:rsid w:val="530F302D"/>
    <w:rsid w:val="530F3211"/>
    <w:rsid w:val="530F40D3"/>
    <w:rsid w:val="530F6A42"/>
    <w:rsid w:val="530F6FAB"/>
    <w:rsid w:val="530F7C6E"/>
    <w:rsid w:val="531041A7"/>
    <w:rsid w:val="53105563"/>
    <w:rsid w:val="53105FEE"/>
    <w:rsid w:val="53106223"/>
    <w:rsid w:val="53113E22"/>
    <w:rsid w:val="53114AD1"/>
    <w:rsid w:val="531169F3"/>
    <w:rsid w:val="53121F07"/>
    <w:rsid w:val="531225F7"/>
    <w:rsid w:val="531243A6"/>
    <w:rsid w:val="53124FDB"/>
    <w:rsid w:val="5312669B"/>
    <w:rsid w:val="53127E83"/>
    <w:rsid w:val="53130849"/>
    <w:rsid w:val="53131E78"/>
    <w:rsid w:val="53133071"/>
    <w:rsid w:val="5313352D"/>
    <w:rsid w:val="53133901"/>
    <w:rsid w:val="531350DD"/>
    <w:rsid w:val="53135B7C"/>
    <w:rsid w:val="5314011E"/>
    <w:rsid w:val="531445C2"/>
    <w:rsid w:val="5314593E"/>
    <w:rsid w:val="53147955"/>
    <w:rsid w:val="531511DA"/>
    <w:rsid w:val="53154EDF"/>
    <w:rsid w:val="5316015D"/>
    <w:rsid w:val="53160BA2"/>
    <w:rsid w:val="531620E8"/>
    <w:rsid w:val="53162CCF"/>
    <w:rsid w:val="531632F5"/>
    <w:rsid w:val="53163E96"/>
    <w:rsid w:val="53165C44"/>
    <w:rsid w:val="531713ED"/>
    <w:rsid w:val="531719BC"/>
    <w:rsid w:val="53173AD9"/>
    <w:rsid w:val="531766BB"/>
    <w:rsid w:val="53177C0E"/>
    <w:rsid w:val="5318287F"/>
    <w:rsid w:val="53185E60"/>
    <w:rsid w:val="53191BD8"/>
    <w:rsid w:val="53193986"/>
    <w:rsid w:val="53195427"/>
    <w:rsid w:val="53195734"/>
    <w:rsid w:val="531972A9"/>
    <w:rsid w:val="53197D00"/>
    <w:rsid w:val="531A0872"/>
    <w:rsid w:val="531A11E6"/>
    <w:rsid w:val="531A2310"/>
    <w:rsid w:val="531A3F91"/>
    <w:rsid w:val="531A7D56"/>
    <w:rsid w:val="531B048E"/>
    <w:rsid w:val="531B14AC"/>
    <w:rsid w:val="531B1B5A"/>
    <w:rsid w:val="531B2907"/>
    <w:rsid w:val="531B5950"/>
    <w:rsid w:val="531B76FE"/>
    <w:rsid w:val="531C37CD"/>
    <w:rsid w:val="531C3B06"/>
    <w:rsid w:val="531C6FD2"/>
    <w:rsid w:val="531D3F07"/>
    <w:rsid w:val="531D5224"/>
    <w:rsid w:val="531D5787"/>
    <w:rsid w:val="531D6664"/>
    <w:rsid w:val="531D66D7"/>
    <w:rsid w:val="531D7BA8"/>
    <w:rsid w:val="531E0AB3"/>
    <w:rsid w:val="531E1233"/>
    <w:rsid w:val="531E1B88"/>
    <w:rsid w:val="531E2D4A"/>
    <w:rsid w:val="531E7B67"/>
    <w:rsid w:val="531F12F8"/>
    <w:rsid w:val="531F3A56"/>
    <w:rsid w:val="531F6ADC"/>
    <w:rsid w:val="53201E76"/>
    <w:rsid w:val="53202F66"/>
    <w:rsid w:val="53204D14"/>
    <w:rsid w:val="53205B80"/>
    <w:rsid w:val="53206AC2"/>
    <w:rsid w:val="53213917"/>
    <w:rsid w:val="532145E9"/>
    <w:rsid w:val="5322283B"/>
    <w:rsid w:val="532239D6"/>
    <w:rsid w:val="53224DA7"/>
    <w:rsid w:val="53226CDE"/>
    <w:rsid w:val="53227096"/>
    <w:rsid w:val="53230361"/>
    <w:rsid w:val="53232546"/>
    <w:rsid w:val="53234805"/>
    <w:rsid w:val="53236894"/>
    <w:rsid w:val="532372D5"/>
    <w:rsid w:val="5324029F"/>
    <w:rsid w:val="5324694F"/>
    <w:rsid w:val="5325057D"/>
    <w:rsid w:val="5325232B"/>
    <w:rsid w:val="53256D3A"/>
    <w:rsid w:val="53260185"/>
    <w:rsid w:val="532608A9"/>
    <w:rsid w:val="5326139F"/>
    <w:rsid w:val="532658B7"/>
    <w:rsid w:val="532665FD"/>
    <w:rsid w:val="53267789"/>
    <w:rsid w:val="53270C19"/>
    <w:rsid w:val="5327118D"/>
    <w:rsid w:val="5327235A"/>
    <w:rsid w:val="532757AA"/>
    <w:rsid w:val="532760A3"/>
    <w:rsid w:val="532778A3"/>
    <w:rsid w:val="53277E51"/>
    <w:rsid w:val="532819F3"/>
    <w:rsid w:val="53281A25"/>
    <w:rsid w:val="53281E1B"/>
    <w:rsid w:val="5328202D"/>
    <w:rsid w:val="5329174D"/>
    <w:rsid w:val="53295E18"/>
    <w:rsid w:val="53297D5E"/>
    <w:rsid w:val="532A16EF"/>
    <w:rsid w:val="532A2722"/>
    <w:rsid w:val="532A5B93"/>
    <w:rsid w:val="532A610A"/>
    <w:rsid w:val="532A7941"/>
    <w:rsid w:val="532B216B"/>
    <w:rsid w:val="532B2800"/>
    <w:rsid w:val="532B4372"/>
    <w:rsid w:val="532C35FB"/>
    <w:rsid w:val="532C36B9"/>
    <w:rsid w:val="532C460B"/>
    <w:rsid w:val="532C5467"/>
    <w:rsid w:val="532E5683"/>
    <w:rsid w:val="532E7431"/>
    <w:rsid w:val="532F0AEC"/>
    <w:rsid w:val="532F0B46"/>
    <w:rsid w:val="532F1E1E"/>
    <w:rsid w:val="532F4F57"/>
    <w:rsid w:val="532F5FEC"/>
    <w:rsid w:val="532F6D06"/>
    <w:rsid w:val="532F73AB"/>
    <w:rsid w:val="53300796"/>
    <w:rsid w:val="53300CCB"/>
    <w:rsid w:val="53300D07"/>
    <w:rsid w:val="53301F7C"/>
    <w:rsid w:val="533050C8"/>
    <w:rsid w:val="53312A7E"/>
    <w:rsid w:val="53313160"/>
    <w:rsid w:val="5331340C"/>
    <w:rsid w:val="53313B8A"/>
    <w:rsid w:val="53314871"/>
    <w:rsid w:val="53314CEC"/>
    <w:rsid w:val="533174DC"/>
    <w:rsid w:val="533267F6"/>
    <w:rsid w:val="53332781"/>
    <w:rsid w:val="53332C9A"/>
    <w:rsid w:val="53334A48"/>
    <w:rsid w:val="5334256E"/>
    <w:rsid w:val="5334431C"/>
    <w:rsid w:val="53346A12"/>
    <w:rsid w:val="53352323"/>
    <w:rsid w:val="53355DEE"/>
    <w:rsid w:val="533635B1"/>
    <w:rsid w:val="53364538"/>
    <w:rsid w:val="533662E6"/>
    <w:rsid w:val="53367743"/>
    <w:rsid w:val="5337070E"/>
    <w:rsid w:val="53370970"/>
    <w:rsid w:val="53370B35"/>
    <w:rsid w:val="53371AB2"/>
    <w:rsid w:val="53373E0C"/>
    <w:rsid w:val="53381012"/>
    <w:rsid w:val="5338205E"/>
    <w:rsid w:val="53386BD9"/>
    <w:rsid w:val="53394028"/>
    <w:rsid w:val="53395AA8"/>
    <w:rsid w:val="53395DD6"/>
    <w:rsid w:val="53397A15"/>
    <w:rsid w:val="53397B84"/>
    <w:rsid w:val="533A4525"/>
    <w:rsid w:val="533A4A30"/>
    <w:rsid w:val="533A78E6"/>
    <w:rsid w:val="533B1C60"/>
    <w:rsid w:val="533B387E"/>
    <w:rsid w:val="533B389F"/>
    <w:rsid w:val="533B6238"/>
    <w:rsid w:val="533C1422"/>
    <w:rsid w:val="533C70E4"/>
    <w:rsid w:val="533D19AF"/>
    <w:rsid w:val="533D2BE1"/>
    <w:rsid w:val="533D35D6"/>
    <w:rsid w:val="533E519B"/>
    <w:rsid w:val="533E555E"/>
    <w:rsid w:val="533E5E8A"/>
    <w:rsid w:val="533F163E"/>
    <w:rsid w:val="533F38C2"/>
    <w:rsid w:val="533F5C48"/>
    <w:rsid w:val="53400F13"/>
    <w:rsid w:val="534024E8"/>
    <w:rsid w:val="5340253A"/>
    <w:rsid w:val="53403A04"/>
    <w:rsid w:val="53404402"/>
    <w:rsid w:val="534053B7"/>
    <w:rsid w:val="53407165"/>
    <w:rsid w:val="53407856"/>
    <w:rsid w:val="53422EDD"/>
    <w:rsid w:val="53424C8B"/>
    <w:rsid w:val="53424CE4"/>
    <w:rsid w:val="53426A39"/>
    <w:rsid w:val="53426F62"/>
    <w:rsid w:val="53430A03"/>
    <w:rsid w:val="53431E94"/>
    <w:rsid w:val="534327B1"/>
    <w:rsid w:val="5343618F"/>
    <w:rsid w:val="534401AB"/>
    <w:rsid w:val="53441673"/>
    <w:rsid w:val="53441882"/>
    <w:rsid w:val="5344413A"/>
    <w:rsid w:val="534450B3"/>
    <w:rsid w:val="53447441"/>
    <w:rsid w:val="53447ADD"/>
    <w:rsid w:val="5345477B"/>
    <w:rsid w:val="53454AAF"/>
    <w:rsid w:val="53456529"/>
    <w:rsid w:val="53460DAD"/>
    <w:rsid w:val="5346195D"/>
    <w:rsid w:val="53463166"/>
    <w:rsid w:val="53466918"/>
    <w:rsid w:val="53466D73"/>
    <w:rsid w:val="534704F3"/>
    <w:rsid w:val="534722A1"/>
    <w:rsid w:val="53473EE3"/>
    <w:rsid w:val="534741B0"/>
    <w:rsid w:val="534753D8"/>
    <w:rsid w:val="534762E7"/>
    <w:rsid w:val="53476745"/>
    <w:rsid w:val="53482781"/>
    <w:rsid w:val="5348381A"/>
    <w:rsid w:val="53486019"/>
    <w:rsid w:val="534867B5"/>
    <w:rsid w:val="53487DC7"/>
    <w:rsid w:val="534901CC"/>
    <w:rsid w:val="5349426B"/>
    <w:rsid w:val="534A1D91"/>
    <w:rsid w:val="534A3B3F"/>
    <w:rsid w:val="534B1313"/>
    <w:rsid w:val="534B1F5A"/>
    <w:rsid w:val="534C5B09"/>
    <w:rsid w:val="534D3630"/>
    <w:rsid w:val="534E35BC"/>
    <w:rsid w:val="534E5E76"/>
    <w:rsid w:val="534E602C"/>
    <w:rsid w:val="534F1156"/>
    <w:rsid w:val="534F55FA"/>
    <w:rsid w:val="534F73A8"/>
    <w:rsid w:val="535029F5"/>
    <w:rsid w:val="53504128"/>
    <w:rsid w:val="53511372"/>
    <w:rsid w:val="53513120"/>
    <w:rsid w:val="53513D1E"/>
    <w:rsid w:val="53514ECE"/>
    <w:rsid w:val="535200F2"/>
    <w:rsid w:val="53530C46"/>
    <w:rsid w:val="53532097"/>
    <w:rsid w:val="535369B8"/>
    <w:rsid w:val="535449BE"/>
    <w:rsid w:val="5354676C"/>
    <w:rsid w:val="53547587"/>
    <w:rsid w:val="53547C35"/>
    <w:rsid w:val="535509A7"/>
    <w:rsid w:val="53552806"/>
    <w:rsid w:val="535640EB"/>
    <w:rsid w:val="53564B87"/>
    <w:rsid w:val="53566867"/>
    <w:rsid w:val="53566988"/>
    <w:rsid w:val="535671E8"/>
    <w:rsid w:val="53570C57"/>
    <w:rsid w:val="53572529"/>
    <w:rsid w:val="53577CF7"/>
    <w:rsid w:val="53582700"/>
    <w:rsid w:val="535844AE"/>
    <w:rsid w:val="53584847"/>
    <w:rsid w:val="535848AC"/>
    <w:rsid w:val="53584D4B"/>
    <w:rsid w:val="5358625C"/>
    <w:rsid w:val="53590226"/>
    <w:rsid w:val="535A2119"/>
    <w:rsid w:val="535A3AB4"/>
    <w:rsid w:val="535B3F9E"/>
    <w:rsid w:val="535B4F37"/>
    <w:rsid w:val="535B51EF"/>
    <w:rsid w:val="535B7777"/>
    <w:rsid w:val="535B7B08"/>
    <w:rsid w:val="535C256F"/>
    <w:rsid w:val="535D1AC5"/>
    <w:rsid w:val="535D2428"/>
    <w:rsid w:val="535D3873"/>
    <w:rsid w:val="535D521A"/>
    <w:rsid w:val="535D661D"/>
    <w:rsid w:val="535D6D40"/>
    <w:rsid w:val="535E4FF9"/>
    <w:rsid w:val="535E56F6"/>
    <w:rsid w:val="535E583D"/>
    <w:rsid w:val="535E75EB"/>
    <w:rsid w:val="535F0F2F"/>
    <w:rsid w:val="535F4969"/>
    <w:rsid w:val="536015B5"/>
    <w:rsid w:val="53603363"/>
    <w:rsid w:val="53610DA9"/>
    <w:rsid w:val="5361682C"/>
    <w:rsid w:val="536200A8"/>
    <w:rsid w:val="53624E0A"/>
    <w:rsid w:val="5362532D"/>
    <w:rsid w:val="536270DB"/>
    <w:rsid w:val="536321AB"/>
    <w:rsid w:val="53632AEA"/>
    <w:rsid w:val="53634C01"/>
    <w:rsid w:val="536410A5"/>
    <w:rsid w:val="53641365"/>
    <w:rsid w:val="5364772A"/>
    <w:rsid w:val="536522FB"/>
    <w:rsid w:val="53656BCB"/>
    <w:rsid w:val="5366378B"/>
    <w:rsid w:val="536651D5"/>
    <w:rsid w:val="53670B95"/>
    <w:rsid w:val="536714D0"/>
    <w:rsid w:val="53672943"/>
    <w:rsid w:val="536746F1"/>
    <w:rsid w:val="5367649F"/>
    <w:rsid w:val="536777EC"/>
    <w:rsid w:val="5368002E"/>
    <w:rsid w:val="53680BF8"/>
    <w:rsid w:val="53680C7C"/>
    <w:rsid w:val="53682217"/>
    <w:rsid w:val="536841C1"/>
    <w:rsid w:val="536863BA"/>
    <w:rsid w:val="5368753B"/>
    <w:rsid w:val="53690469"/>
    <w:rsid w:val="53690833"/>
    <w:rsid w:val="536965A8"/>
    <w:rsid w:val="536966BB"/>
    <w:rsid w:val="536A1421"/>
    <w:rsid w:val="536A2433"/>
    <w:rsid w:val="536A359C"/>
    <w:rsid w:val="536A3C09"/>
    <w:rsid w:val="536A571C"/>
    <w:rsid w:val="536A759E"/>
    <w:rsid w:val="536C61AC"/>
    <w:rsid w:val="536C630A"/>
    <w:rsid w:val="536C6954"/>
    <w:rsid w:val="536C7F5A"/>
    <w:rsid w:val="536D31F4"/>
    <w:rsid w:val="536D39B3"/>
    <w:rsid w:val="536D512B"/>
    <w:rsid w:val="536D65D4"/>
    <w:rsid w:val="536E0AE0"/>
    <w:rsid w:val="536E275A"/>
    <w:rsid w:val="536E3CD2"/>
    <w:rsid w:val="536E5600"/>
    <w:rsid w:val="536E5A80"/>
    <w:rsid w:val="536F0BFE"/>
    <w:rsid w:val="536F1009"/>
    <w:rsid w:val="536F17F8"/>
    <w:rsid w:val="536F35A6"/>
    <w:rsid w:val="536F4DA8"/>
    <w:rsid w:val="536F7A4A"/>
    <w:rsid w:val="53710C1F"/>
    <w:rsid w:val="53715570"/>
    <w:rsid w:val="5371731E"/>
    <w:rsid w:val="53721216"/>
    <w:rsid w:val="53721D2E"/>
    <w:rsid w:val="537248FF"/>
    <w:rsid w:val="537263D9"/>
    <w:rsid w:val="537312E8"/>
    <w:rsid w:val="53733096"/>
    <w:rsid w:val="53736C6A"/>
    <w:rsid w:val="537371F9"/>
    <w:rsid w:val="53740BBC"/>
    <w:rsid w:val="53741097"/>
    <w:rsid w:val="53742AA8"/>
    <w:rsid w:val="53744FA3"/>
    <w:rsid w:val="53753280"/>
    <w:rsid w:val="53755060"/>
    <w:rsid w:val="53756D57"/>
    <w:rsid w:val="53760DD8"/>
    <w:rsid w:val="53762F21"/>
    <w:rsid w:val="53764C7F"/>
    <w:rsid w:val="53772AD1"/>
    <w:rsid w:val="537763F2"/>
    <w:rsid w:val="53776741"/>
    <w:rsid w:val="53780771"/>
    <w:rsid w:val="53784B50"/>
    <w:rsid w:val="53786817"/>
    <w:rsid w:val="537868FE"/>
    <w:rsid w:val="53786A90"/>
    <w:rsid w:val="537904C0"/>
    <w:rsid w:val="53790827"/>
    <w:rsid w:val="53791C01"/>
    <w:rsid w:val="53794425"/>
    <w:rsid w:val="537961D3"/>
    <w:rsid w:val="537A08C9"/>
    <w:rsid w:val="537A14CF"/>
    <w:rsid w:val="537A2677"/>
    <w:rsid w:val="537A4716"/>
    <w:rsid w:val="537A6C7C"/>
    <w:rsid w:val="537B019D"/>
    <w:rsid w:val="537B1F4B"/>
    <w:rsid w:val="537B22D7"/>
    <w:rsid w:val="537B4521"/>
    <w:rsid w:val="537B72D2"/>
    <w:rsid w:val="537C08FA"/>
    <w:rsid w:val="537D3F15"/>
    <w:rsid w:val="537D5CC3"/>
    <w:rsid w:val="537D6CEF"/>
    <w:rsid w:val="537D74EE"/>
    <w:rsid w:val="537E257C"/>
    <w:rsid w:val="537F7156"/>
    <w:rsid w:val="53801187"/>
    <w:rsid w:val="538021FD"/>
    <w:rsid w:val="53803A05"/>
    <w:rsid w:val="538057B3"/>
    <w:rsid w:val="53807561"/>
    <w:rsid w:val="5381031B"/>
    <w:rsid w:val="538110C6"/>
    <w:rsid w:val="53811484"/>
    <w:rsid w:val="5382152B"/>
    <w:rsid w:val="538232D9"/>
    <w:rsid w:val="538243F4"/>
    <w:rsid w:val="53832D04"/>
    <w:rsid w:val="53835884"/>
    <w:rsid w:val="53837051"/>
    <w:rsid w:val="53843C12"/>
    <w:rsid w:val="538452A3"/>
    <w:rsid w:val="53846D14"/>
    <w:rsid w:val="538501A4"/>
    <w:rsid w:val="53850315"/>
    <w:rsid w:val="538518D3"/>
    <w:rsid w:val="53852DC9"/>
    <w:rsid w:val="53856834"/>
    <w:rsid w:val="53857342"/>
    <w:rsid w:val="53865BE9"/>
    <w:rsid w:val="5386612E"/>
    <w:rsid w:val="538708F0"/>
    <w:rsid w:val="53872AC4"/>
    <w:rsid w:val="538748BD"/>
    <w:rsid w:val="53874D93"/>
    <w:rsid w:val="53876B42"/>
    <w:rsid w:val="53890B0C"/>
    <w:rsid w:val="538928BA"/>
    <w:rsid w:val="538944C3"/>
    <w:rsid w:val="53894668"/>
    <w:rsid w:val="5389607C"/>
    <w:rsid w:val="538A2662"/>
    <w:rsid w:val="538A6632"/>
    <w:rsid w:val="538B4884"/>
    <w:rsid w:val="538B6B95"/>
    <w:rsid w:val="538C0077"/>
    <w:rsid w:val="538C05FC"/>
    <w:rsid w:val="538C23AA"/>
    <w:rsid w:val="538C4158"/>
    <w:rsid w:val="538C54A6"/>
    <w:rsid w:val="538C5F06"/>
    <w:rsid w:val="538C618B"/>
    <w:rsid w:val="538C6936"/>
    <w:rsid w:val="538E10A8"/>
    <w:rsid w:val="538E1C7E"/>
    <w:rsid w:val="538E2A2E"/>
    <w:rsid w:val="538E3B6D"/>
    <w:rsid w:val="538E7ED0"/>
    <w:rsid w:val="538F3C48"/>
    <w:rsid w:val="538F3E27"/>
    <w:rsid w:val="538F59F6"/>
    <w:rsid w:val="538F5D77"/>
    <w:rsid w:val="538F6B60"/>
    <w:rsid w:val="53902EF3"/>
    <w:rsid w:val="53904CB7"/>
    <w:rsid w:val="539066F6"/>
    <w:rsid w:val="539100AE"/>
    <w:rsid w:val="5391176E"/>
    <w:rsid w:val="53915C12"/>
    <w:rsid w:val="53916534"/>
    <w:rsid w:val="53917AA7"/>
    <w:rsid w:val="53924DBE"/>
    <w:rsid w:val="5393341E"/>
    <w:rsid w:val="53935379"/>
    <w:rsid w:val="539354E6"/>
    <w:rsid w:val="53935897"/>
    <w:rsid w:val="53937294"/>
    <w:rsid w:val="5394042B"/>
    <w:rsid w:val="5394125E"/>
    <w:rsid w:val="53941EC9"/>
    <w:rsid w:val="5394300C"/>
    <w:rsid w:val="539574B0"/>
    <w:rsid w:val="539604C3"/>
    <w:rsid w:val="53961129"/>
    <w:rsid w:val="53961650"/>
    <w:rsid w:val="53961FAA"/>
    <w:rsid w:val="53962C9E"/>
    <w:rsid w:val="53964FD7"/>
    <w:rsid w:val="53965622"/>
    <w:rsid w:val="53966D85"/>
    <w:rsid w:val="53972FDA"/>
    <w:rsid w:val="53980D4F"/>
    <w:rsid w:val="53983A49"/>
    <w:rsid w:val="53985783"/>
    <w:rsid w:val="53986FA1"/>
    <w:rsid w:val="53987BA2"/>
    <w:rsid w:val="53990623"/>
    <w:rsid w:val="53990E85"/>
    <w:rsid w:val="53996235"/>
    <w:rsid w:val="539969CD"/>
    <w:rsid w:val="539A2215"/>
    <w:rsid w:val="539B083F"/>
    <w:rsid w:val="539B1A34"/>
    <w:rsid w:val="539B23CA"/>
    <w:rsid w:val="539B3B0B"/>
    <w:rsid w:val="539B4955"/>
    <w:rsid w:val="539B4F02"/>
    <w:rsid w:val="539B5D2F"/>
    <w:rsid w:val="539B7BB2"/>
    <w:rsid w:val="539C096A"/>
    <w:rsid w:val="539D0113"/>
    <w:rsid w:val="539D0F31"/>
    <w:rsid w:val="539D2161"/>
    <w:rsid w:val="539D45B7"/>
    <w:rsid w:val="539D5092"/>
    <w:rsid w:val="539D60E2"/>
    <w:rsid w:val="539E00AE"/>
    <w:rsid w:val="539E0D31"/>
    <w:rsid w:val="539F032F"/>
    <w:rsid w:val="539F20DD"/>
    <w:rsid w:val="539F35FD"/>
    <w:rsid w:val="539F391C"/>
    <w:rsid w:val="539F3E8B"/>
    <w:rsid w:val="53A0269D"/>
    <w:rsid w:val="53A039CC"/>
    <w:rsid w:val="53A07C03"/>
    <w:rsid w:val="53A1013D"/>
    <w:rsid w:val="53A1505A"/>
    <w:rsid w:val="53A16DA2"/>
    <w:rsid w:val="53A17E44"/>
    <w:rsid w:val="53A22A51"/>
    <w:rsid w:val="53A269A7"/>
    <w:rsid w:val="53A409F2"/>
    <w:rsid w:val="53A44BBD"/>
    <w:rsid w:val="53A45945"/>
    <w:rsid w:val="53A476F3"/>
    <w:rsid w:val="53A5346C"/>
    <w:rsid w:val="53A5521A"/>
    <w:rsid w:val="53A56FC8"/>
    <w:rsid w:val="53A5778E"/>
    <w:rsid w:val="53A616BE"/>
    <w:rsid w:val="53A632B1"/>
    <w:rsid w:val="53A641C9"/>
    <w:rsid w:val="53A64CC8"/>
    <w:rsid w:val="53A6666D"/>
    <w:rsid w:val="53A70621"/>
    <w:rsid w:val="53A72D40"/>
    <w:rsid w:val="53A76E27"/>
    <w:rsid w:val="53A771E4"/>
    <w:rsid w:val="53A77611"/>
    <w:rsid w:val="53A80893"/>
    <w:rsid w:val="53A81339"/>
    <w:rsid w:val="53A92F5C"/>
    <w:rsid w:val="53A948D4"/>
    <w:rsid w:val="53A94D0A"/>
    <w:rsid w:val="53AA09E3"/>
    <w:rsid w:val="53AA0A2F"/>
    <w:rsid w:val="53AA2830"/>
    <w:rsid w:val="53AA4F24"/>
    <w:rsid w:val="53AB0A82"/>
    <w:rsid w:val="53AB2F32"/>
    <w:rsid w:val="53AC0BFD"/>
    <w:rsid w:val="53AC47FA"/>
    <w:rsid w:val="53AD2462"/>
    <w:rsid w:val="53AD47DF"/>
    <w:rsid w:val="53AE0572"/>
    <w:rsid w:val="53AE0840"/>
    <w:rsid w:val="53AE31BA"/>
    <w:rsid w:val="53AE6558"/>
    <w:rsid w:val="53AF1CD0"/>
    <w:rsid w:val="53AF7E46"/>
    <w:rsid w:val="53B00A70"/>
    <w:rsid w:val="53B02BCD"/>
    <w:rsid w:val="53B042EA"/>
    <w:rsid w:val="53B06152"/>
    <w:rsid w:val="53B10062"/>
    <w:rsid w:val="53B11E10"/>
    <w:rsid w:val="53B13BBE"/>
    <w:rsid w:val="53B20651"/>
    <w:rsid w:val="53B225E0"/>
    <w:rsid w:val="53B27FC3"/>
    <w:rsid w:val="53B316E5"/>
    <w:rsid w:val="53B373CC"/>
    <w:rsid w:val="53B37937"/>
    <w:rsid w:val="53B4150C"/>
    <w:rsid w:val="53B446B2"/>
    <w:rsid w:val="53B4545D"/>
    <w:rsid w:val="53B45D18"/>
    <w:rsid w:val="53B518FF"/>
    <w:rsid w:val="53B51901"/>
    <w:rsid w:val="53B61BA2"/>
    <w:rsid w:val="53B65679"/>
    <w:rsid w:val="53B6696C"/>
    <w:rsid w:val="53B67427"/>
    <w:rsid w:val="53B713DF"/>
    <w:rsid w:val="53B733E6"/>
    <w:rsid w:val="53B759FD"/>
    <w:rsid w:val="53B7609F"/>
    <w:rsid w:val="53B760C0"/>
    <w:rsid w:val="53B76F60"/>
    <w:rsid w:val="53B8319F"/>
    <w:rsid w:val="53B86CFB"/>
    <w:rsid w:val="53B97025"/>
    <w:rsid w:val="53BA17E2"/>
    <w:rsid w:val="53BA1C5C"/>
    <w:rsid w:val="53BA6F17"/>
    <w:rsid w:val="53BB481D"/>
    <w:rsid w:val="53BB4A3D"/>
    <w:rsid w:val="53BB66ED"/>
    <w:rsid w:val="53BB67EB"/>
    <w:rsid w:val="53BC0B3C"/>
    <w:rsid w:val="53BC2C8F"/>
    <w:rsid w:val="53BC2E44"/>
    <w:rsid w:val="53BC5A15"/>
    <w:rsid w:val="53BD07B5"/>
    <w:rsid w:val="53BD2304"/>
    <w:rsid w:val="53BD2563"/>
    <w:rsid w:val="53BD6A07"/>
    <w:rsid w:val="53BE5488"/>
    <w:rsid w:val="53BE5764"/>
    <w:rsid w:val="53BF0089"/>
    <w:rsid w:val="53BF452D"/>
    <w:rsid w:val="53BF62DB"/>
    <w:rsid w:val="53BF6ACB"/>
    <w:rsid w:val="53C00539"/>
    <w:rsid w:val="53C00D3C"/>
    <w:rsid w:val="53C02053"/>
    <w:rsid w:val="53C03AE0"/>
    <w:rsid w:val="53C04396"/>
    <w:rsid w:val="53C05F5A"/>
    <w:rsid w:val="53C15826"/>
    <w:rsid w:val="53C16120"/>
    <w:rsid w:val="53C22465"/>
    <w:rsid w:val="53C23FF5"/>
    <w:rsid w:val="53C2530B"/>
    <w:rsid w:val="53C27B7A"/>
    <w:rsid w:val="53C3315B"/>
    <w:rsid w:val="53C41B44"/>
    <w:rsid w:val="53C441A7"/>
    <w:rsid w:val="53C44E06"/>
    <w:rsid w:val="53C47D96"/>
    <w:rsid w:val="53C5119D"/>
    <w:rsid w:val="53C51418"/>
    <w:rsid w:val="53C52166"/>
    <w:rsid w:val="53C5670A"/>
    <w:rsid w:val="53C5766A"/>
    <w:rsid w:val="53C61C42"/>
    <w:rsid w:val="53C644EF"/>
    <w:rsid w:val="53C6520D"/>
    <w:rsid w:val="53C658BC"/>
    <w:rsid w:val="53C66ABF"/>
    <w:rsid w:val="53C71634"/>
    <w:rsid w:val="53C72B28"/>
    <w:rsid w:val="53C733E2"/>
    <w:rsid w:val="53C75190"/>
    <w:rsid w:val="53C813E7"/>
    <w:rsid w:val="53C90F08"/>
    <w:rsid w:val="53C91322"/>
    <w:rsid w:val="53C917D0"/>
    <w:rsid w:val="53C94B67"/>
    <w:rsid w:val="53C953AC"/>
    <w:rsid w:val="53C968C6"/>
    <w:rsid w:val="53C9715A"/>
    <w:rsid w:val="53CA4C80"/>
    <w:rsid w:val="53CB1124"/>
    <w:rsid w:val="53CB6D98"/>
    <w:rsid w:val="53CC09F8"/>
    <w:rsid w:val="53CC27A6"/>
    <w:rsid w:val="53CC2C3D"/>
    <w:rsid w:val="53CC6C4A"/>
    <w:rsid w:val="53CD61C2"/>
    <w:rsid w:val="53CD6C6B"/>
    <w:rsid w:val="53CE29C2"/>
    <w:rsid w:val="53CE651E"/>
    <w:rsid w:val="53CE7DCD"/>
    <w:rsid w:val="53CF08F5"/>
    <w:rsid w:val="53CF12BA"/>
    <w:rsid w:val="53CF5651"/>
    <w:rsid w:val="53D004E8"/>
    <w:rsid w:val="53D0104E"/>
    <w:rsid w:val="53D02297"/>
    <w:rsid w:val="53D0531B"/>
    <w:rsid w:val="53D10BEC"/>
    <w:rsid w:val="53D14E85"/>
    <w:rsid w:val="53D15683"/>
    <w:rsid w:val="53D1688B"/>
    <w:rsid w:val="53D17DBD"/>
    <w:rsid w:val="53D20AF3"/>
    <w:rsid w:val="53D224C1"/>
    <w:rsid w:val="53D24EAB"/>
    <w:rsid w:val="53D25B41"/>
    <w:rsid w:val="53D31D87"/>
    <w:rsid w:val="53D33D94"/>
    <w:rsid w:val="53D359A3"/>
    <w:rsid w:val="53D419E6"/>
    <w:rsid w:val="53D42DDE"/>
    <w:rsid w:val="53D43C9C"/>
    <w:rsid w:val="53D43CA6"/>
    <w:rsid w:val="53D46549"/>
    <w:rsid w:val="53D516FD"/>
    <w:rsid w:val="53D51735"/>
    <w:rsid w:val="53D53D51"/>
    <w:rsid w:val="53D55AFF"/>
    <w:rsid w:val="53D57701"/>
    <w:rsid w:val="53D63625"/>
    <w:rsid w:val="53D70D89"/>
    <w:rsid w:val="53D71491"/>
    <w:rsid w:val="53D77AC9"/>
    <w:rsid w:val="53D81069"/>
    <w:rsid w:val="53D82D55"/>
    <w:rsid w:val="53D8382B"/>
    <w:rsid w:val="53D83AAD"/>
    <w:rsid w:val="53D855EF"/>
    <w:rsid w:val="53D9759C"/>
    <w:rsid w:val="53DA0401"/>
    <w:rsid w:val="53DA267E"/>
    <w:rsid w:val="53DA32FF"/>
    <w:rsid w:val="53DA4EC3"/>
    <w:rsid w:val="53DA5003"/>
    <w:rsid w:val="53DA6993"/>
    <w:rsid w:val="53DA7E36"/>
    <w:rsid w:val="53DB0C3B"/>
    <w:rsid w:val="53DB3A72"/>
    <w:rsid w:val="53DB600C"/>
    <w:rsid w:val="53DB785D"/>
    <w:rsid w:val="53DB7DFA"/>
    <w:rsid w:val="53DC0CED"/>
    <w:rsid w:val="53DC50DF"/>
    <w:rsid w:val="53DD2C05"/>
    <w:rsid w:val="53DD3CD7"/>
    <w:rsid w:val="53DE0039"/>
    <w:rsid w:val="53DE2EBC"/>
    <w:rsid w:val="53DE67F8"/>
    <w:rsid w:val="53DF072C"/>
    <w:rsid w:val="53DF1BBD"/>
    <w:rsid w:val="53DF24DA"/>
    <w:rsid w:val="53DF697E"/>
    <w:rsid w:val="53DF766E"/>
    <w:rsid w:val="53E06252"/>
    <w:rsid w:val="53E2021C"/>
    <w:rsid w:val="53E21D0E"/>
    <w:rsid w:val="53E21FCA"/>
    <w:rsid w:val="53E26421"/>
    <w:rsid w:val="53E2646E"/>
    <w:rsid w:val="53E30BC0"/>
    <w:rsid w:val="53E42050"/>
    <w:rsid w:val="53E43BE9"/>
    <w:rsid w:val="53E4465E"/>
    <w:rsid w:val="53E45D42"/>
    <w:rsid w:val="53E534E0"/>
    <w:rsid w:val="53E53868"/>
    <w:rsid w:val="53E54C21"/>
    <w:rsid w:val="53E5776E"/>
    <w:rsid w:val="53E57E7C"/>
    <w:rsid w:val="53E61ABA"/>
    <w:rsid w:val="53E6260A"/>
    <w:rsid w:val="53E63719"/>
    <w:rsid w:val="53E660B1"/>
    <w:rsid w:val="53E66C1A"/>
    <w:rsid w:val="53E74940"/>
    <w:rsid w:val="53E75832"/>
    <w:rsid w:val="53E779DA"/>
    <w:rsid w:val="53E80CB0"/>
    <w:rsid w:val="53E835A2"/>
    <w:rsid w:val="53E85C39"/>
    <w:rsid w:val="53E86AF5"/>
    <w:rsid w:val="53E904E2"/>
    <w:rsid w:val="53E915AA"/>
    <w:rsid w:val="53E918B8"/>
    <w:rsid w:val="53E93358"/>
    <w:rsid w:val="53E94A32"/>
    <w:rsid w:val="53E977FC"/>
    <w:rsid w:val="53EA0E7E"/>
    <w:rsid w:val="53EA3662"/>
    <w:rsid w:val="53EB234C"/>
    <w:rsid w:val="53EB335F"/>
    <w:rsid w:val="53EB47E6"/>
    <w:rsid w:val="53EB52CD"/>
    <w:rsid w:val="53EB70D0"/>
    <w:rsid w:val="53EB7352"/>
    <w:rsid w:val="53EC07F7"/>
    <w:rsid w:val="53EC109A"/>
    <w:rsid w:val="53EC193E"/>
    <w:rsid w:val="53EC1ECF"/>
    <w:rsid w:val="53EC2E48"/>
    <w:rsid w:val="53EC4030"/>
    <w:rsid w:val="53EC6025"/>
    <w:rsid w:val="53ED036E"/>
    <w:rsid w:val="53ED07AB"/>
    <w:rsid w:val="53ED1C72"/>
    <w:rsid w:val="53ED41A3"/>
    <w:rsid w:val="53ED4F93"/>
    <w:rsid w:val="53ED77A6"/>
    <w:rsid w:val="53EE096F"/>
    <w:rsid w:val="53EE1575"/>
    <w:rsid w:val="53EE2320"/>
    <w:rsid w:val="53EE4A37"/>
    <w:rsid w:val="53EE4E13"/>
    <w:rsid w:val="53EE5CD3"/>
    <w:rsid w:val="53EF08A4"/>
    <w:rsid w:val="53EF1683"/>
    <w:rsid w:val="53EF642B"/>
    <w:rsid w:val="53EF66C3"/>
    <w:rsid w:val="53F00B8B"/>
    <w:rsid w:val="53F02939"/>
    <w:rsid w:val="53F046E7"/>
    <w:rsid w:val="53F109E6"/>
    <w:rsid w:val="53F11DDB"/>
    <w:rsid w:val="53F12868"/>
    <w:rsid w:val="53F15823"/>
    <w:rsid w:val="53F1678A"/>
    <w:rsid w:val="53F229C4"/>
    <w:rsid w:val="53F23456"/>
    <w:rsid w:val="53F266B1"/>
    <w:rsid w:val="53F2715B"/>
    <w:rsid w:val="53F31090"/>
    <w:rsid w:val="53F32429"/>
    <w:rsid w:val="53F32EE8"/>
    <w:rsid w:val="53F341D7"/>
    <w:rsid w:val="53F35F85"/>
    <w:rsid w:val="53F36F74"/>
    <w:rsid w:val="53F40C0E"/>
    <w:rsid w:val="53F41B45"/>
    <w:rsid w:val="53F47028"/>
    <w:rsid w:val="53F503FB"/>
    <w:rsid w:val="53F50937"/>
    <w:rsid w:val="53F51CFD"/>
    <w:rsid w:val="53F52DB0"/>
    <w:rsid w:val="53F561A1"/>
    <w:rsid w:val="53F64465"/>
    <w:rsid w:val="53F65B66"/>
    <w:rsid w:val="53F67036"/>
    <w:rsid w:val="53F67D52"/>
    <w:rsid w:val="53F704C6"/>
    <w:rsid w:val="53F70ADE"/>
    <w:rsid w:val="53F71F19"/>
    <w:rsid w:val="53F73641"/>
    <w:rsid w:val="53F73CC7"/>
    <w:rsid w:val="53F758F5"/>
    <w:rsid w:val="53F817ED"/>
    <w:rsid w:val="53F8359B"/>
    <w:rsid w:val="53F92DE6"/>
    <w:rsid w:val="53F94527"/>
    <w:rsid w:val="53F947A1"/>
    <w:rsid w:val="53F94BD2"/>
    <w:rsid w:val="53FA37B7"/>
    <w:rsid w:val="53FA3924"/>
    <w:rsid w:val="53FA3B07"/>
    <w:rsid w:val="53FA5565"/>
    <w:rsid w:val="53FA7313"/>
    <w:rsid w:val="53FA7459"/>
    <w:rsid w:val="53FB0B46"/>
    <w:rsid w:val="53FB308C"/>
    <w:rsid w:val="53FB6E47"/>
    <w:rsid w:val="53FC02D7"/>
    <w:rsid w:val="53FC12DE"/>
    <w:rsid w:val="53FC752F"/>
    <w:rsid w:val="53FD0BB2"/>
    <w:rsid w:val="53FE3D2B"/>
    <w:rsid w:val="53FE57C8"/>
    <w:rsid w:val="53FE6710"/>
    <w:rsid w:val="53FF1B7A"/>
    <w:rsid w:val="53FF2B7C"/>
    <w:rsid w:val="53FF314C"/>
    <w:rsid w:val="53FF439B"/>
    <w:rsid w:val="53FF4F44"/>
    <w:rsid w:val="53FF6C58"/>
    <w:rsid w:val="54001829"/>
    <w:rsid w:val="54007B39"/>
    <w:rsid w:val="54011578"/>
    <w:rsid w:val="54015456"/>
    <w:rsid w:val="540168F4"/>
    <w:rsid w:val="5401741B"/>
    <w:rsid w:val="540208BE"/>
    <w:rsid w:val="54021F1F"/>
    <w:rsid w:val="54025021"/>
    <w:rsid w:val="54027CA6"/>
    <w:rsid w:val="540315C7"/>
    <w:rsid w:val="54034428"/>
    <w:rsid w:val="54041F40"/>
    <w:rsid w:val="54047EF9"/>
    <w:rsid w:val="54051F9A"/>
    <w:rsid w:val="5405315E"/>
    <w:rsid w:val="54056EBB"/>
    <w:rsid w:val="5406215C"/>
    <w:rsid w:val="5406312E"/>
    <w:rsid w:val="54063E08"/>
    <w:rsid w:val="54063EEF"/>
    <w:rsid w:val="54066B2B"/>
    <w:rsid w:val="54066C17"/>
    <w:rsid w:val="54072112"/>
    <w:rsid w:val="540733D5"/>
    <w:rsid w:val="54073F49"/>
    <w:rsid w:val="54081C31"/>
    <w:rsid w:val="54086E0D"/>
    <w:rsid w:val="540928DB"/>
    <w:rsid w:val="54092AF9"/>
    <w:rsid w:val="540939FA"/>
    <w:rsid w:val="5409426E"/>
    <w:rsid w:val="540A30AF"/>
    <w:rsid w:val="540A3D6B"/>
    <w:rsid w:val="540B1521"/>
    <w:rsid w:val="540B32CF"/>
    <w:rsid w:val="540B3F15"/>
    <w:rsid w:val="540B51FB"/>
    <w:rsid w:val="540C1BB2"/>
    <w:rsid w:val="540C5299"/>
    <w:rsid w:val="540C7047"/>
    <w:rsid w:val="540D3E2D"/>
    <w:rsid w:val="540D599F"/>
    <w:rsid w:val="540E1011"/>
    <w:rsid w:val="540E28BB"/>
    <w:rsid w:val="540E2DBF"/>
    <w:rsid w:val="540E3B7C"/>
    <w:rsid w:val="540E7263"/>
    <w:rsid w:val="540F674D"/>
    <w:rsid w:val="541008E5"/>
    <w:rsid w:val="541014F5"/>
    <w:rsid w:val="541025FE"/>
    <w:rsid w:val="54102FDB"/>
    <w:rsid w:val="541035C1"/>
    <w:rsid w:val="54104D89"/>
    <w:rsid w:val="54106B37"/>
    <w:rsid w:val="541127AE"/>
    <w:rsid w:val="54113D67"/>
    <w:rsid w:val="54113F0F"/>
    <w:rsid w:val="54122313"/>
    <w:rsid w:val="541224FD"/>
    <w:rsid w:val="541250CE"/>
    <w:rsid w:val="541303D5"/>
    <w:rsid w:val="54136627"/>
    <w:rsid w:val="54137013"/>
    <w:rsid w:val="54147239"/>
    <w:rsid w:val="541509AE"/>
    <w:rsid w:val="54151EA4"/>
    <w:rsid w:val="541525BF"/>
    <w:rsid w:val="54152F34"/>
    <w:rsid w:val="54153D27"/>
    <w:rsid w:val="5415414D"/>
    <w:rsid w:val="54161C73"/>
    <w:rsid w:val="5416249B"/>
    <w:rsid w:val="54164A3E"/>
    <w:rsid w:val="54170730"/>
    <w:rsid w:val="54176117"/>
    <w:rsid w:val="541805AF"/>
    <w:rsid w:val="54180F40"/>
    <w:rsid w:val="5418636F"/>
    <w:rsid w:val="5419379A"/>
    <w:rsid w:val="54194A99"/>
    <w:rsid w:val="541A2579"/>
    <w:rsid w:val="541A3860"/>
    <w:rsid w:val="541A5C08"/>
    <w:rsid w:val="541A5F48"/>
    <w:rsid w:val="541A6600"/>
    <w:rsid w:val="541A79B6"/>
    <w:rsid w:val="541C016B"/>
    <w:rsid w:val="541C1980"/>
    <w:rsid w:val="541C372E"/>
    <w:rsid w:val="541C6BFC"/>
    <w:rsid w:val="541C77D0"/>
    <w:rsid w:val="541C78C1"/>
    <w:rsid w:val="541D0CBE"/>
    <w:rsid w:val="541D21E1"/>
    <w:rsid w:val="541E0414"/>
    <w:rsid w:val="541E4338"/>
    <w:rsid w:val="541E5716"/>
    <w:rsid w:val="541E6261"/>
    <w:rsid w:val="541F36CE"/>
    <w:rsid w:val="541F4FCC"/>
    <w:rsid w:val="541F6D7A"/>
    <w:rsid w:val="54200610"/>
    <w:rsid w:val="54204C8E"/>
    <w:rsid w:val="54205307"/>
    <w:rsid w:val="54205743"/>
    <w:rsid w:val="54205F91"/>
    <w:rsid w:val="54205F92"/>
    <w:rsid w:val="54210D44"/>
    <w:rsid w:val="54212AF2"/>
    <w:rsid w:val="542138DE"/>
    <w:rsid w:val="54224ABC"/>
    <w:rsid w:val="54224BC3"/>
    <w:rsid w:val="5422503E"/>
    <w:rsid w:val="54226667"/>
    <w:rsid w:val="5422686A"/>
    <w:rsid w:val="54232D0E"/>
    <w:rsid w:val="54240834"/>
    <w:rsid w:val="54240E39"/>
    <w:rsid w:val="542425E2"/>
    <w:rsid w:val="54244390"/>
    <w:rsid w:val="542520B4"/>
    <w:rsid w:val="542556B3"/>
    <w:rsid w:val="54256BD0"/>
    <w:rsid w:val="54260108"/>
    <w:rsid w:val="54261E03"/>
    <w:rsid w:val="542645AC"/>
    <w:rsid w:val="5427381E"/>
    <w:rsid w:val="542749D4"/>
    <w:rsid w:val="54275BEC"/>
    <w:rsid w:val="54280210"/>
    <w:rsid w:val="54280B64"/>
    <w:rsid w:val="54284F4C"/>
    <w:rsid w:val="54286D1A"/>
    <w:rsid w:val="542919A7"/>
    <w:rsid w:val="54291EC5"/>
    <w:rsid w:val="5429409D"/>
    <w:rsid w:val="54295E4B"/>
    <w:rsid w:val="54297BF9"/>
    <w:rsid w:val="542A007C"/>
    <w:rsid w:val="542A496E"/>
    <w:rsid w:val="542B0A8A"/>
    <w:rsid w:val="542B0CA0"/>
    <w:rsid w:val="542B1BC3"/>
    <w:rsid w:val="542B3255"/>
    <w:rsid w:val="542B3971"/>
    <w:rsid w:val="542B571F"/>
    <w:rsid w:val="542B6279"/>
    <w:rsid w:val="542B7B6C"/>
    <w:rsid w:val="542C164A"/>
    <w:rsid w:val="542C5C75"/>
    <w:rsid w:val="542C713E"/>
    <w:rsid w:val="542D10CA"/>
    <w:rsid w:val="542D45F4"/>
    <w:rsid w:val="542D4F25"/>
    <w:rsid w:val="542D5399"/>
    <w:rsid w:val="542D593B"/>
    <w:rsid w:val="542D7105"/>
    <w:rsid w:val="542E16B3"/>
    <w:rsid w:val="542E1865"/>
    <w:rsid w:val="542E3461"/>
    <w:rsid w:val="542E520F"/>
    <w:rsid w:val="542E6547"/>
    <w:rsid w:val="54300F87"/>
    <w:rsid w:val="543071D9"/>
    <w:rsid w:val="54310657"/>
    <w:rsid w:val="54314400"/>
    <w:rsid w:val="54316AAD"/>
    <w:rsid w:val="54322F51"/>
    <w:rsid w:val="54334407"/>
    <w:rsid w:val="5433462E"/>
    <w:rsid w:val="54336CC9"/>
    <w:rsid w:val="543437E8"/>
    <w:rsid w:val="54352A41"/>
    <w:rsid w:val="5435330D"/>
    <w:rsid w:val="543539D1"/>
    <w:rsid w:val="5435659E"/>
    <w:rsid w:val="543618F8"/>
    <w:rsid w:val="543640C4"/>
    <w:rsid w:val="54364B1A"/>
    <w:rsid w:val="54364B2F"/>
    <w:rsid w:val="5436653D"/>
    <w:rsid w:val="54370568"/>
    <w:rsid w:val="543717DE"/>
    <w:rsid w:val="54372D88"/>
    <w:rsid w:val="54374886"/>
    <w:rsid w:val="543807EB"/>
    <w:rsid w:val="54382673"/>
    <w:rsid w:val="54383648"/>
    <w:rsid w:val="54384218"/>
    <w:rsid w:val="543842E0"/>
    <w:rsid w:val="5438608E"/>
    <w:rsid w:val="54387F99"/>
    <w:rsid w:val="54394C6C"/>
    <w:rsid w:val="54396F6E"/>
    <w:rsid w:val="543A0058"/>
    <w:rsid w:val="543A1E06"/>
    <w:rsid w:val="543A46A6"/>
    <w:rsid w:val="543A6DC3"/>
    <w:rsid w:val="543B1AE2"/>
    <w:rsid w:val="543B2094"/>
    <w:rsid w:val="543B290B"/>
    <w:rsid w:val="543B2B99"/>
    <w:rsid w:val="543C0F32"/>
    <w:rsid w:val="543C16DA"/>
    <w:rsid w:val="543C2198"/>
    <w:rsid w:val="543C25D5"/>
    <w:rsid w:val="543C3DD0"/>
    <w:rsid w:val="543C4D6F"/>
    <w:rsid w:val="543C5B7E"/>
    <w:rsid w:val="543C792C"/>
    <w:rsid w:val="543D36A4"/>
    <w:rsid w:val="543D5452"/>
    <w:rsid w:val="543F11CA"/>
    <w:rsid w:val="543F40EB"/>
    <w:rsid w:val="543F4ACA"/>
    <w:rsid w:val="543F566E"/>
    <w:rsid w:val="543F741C"/>
    <w:rsid w:val="544016B9"/>
    <w:rsid w:val="54403894"/>
    <w:rsid w:val="5440557B"/>
    <w:rsid w:val="54413194"/>
    <w:rsid w:val="54414F42"/>
    <w:rsid w:val="54420CBA"/>
    <w:rsid w:val="54422A68"/>
    <w:rsid w:val="54427613"/>
    <w:rsid w:val="54427E9B"/>
    <w:rsid w:val="54433F0F"/>
    <w:rsid w:val="54436F0C"/>
    <w:rsid w:val="54440F8A"/>
    <w:rsid w:val="544413FE"/>
    <w:rsid w:val="544467E1"/>
    <w:rsid w:val="5445084F"/>
    <w:rsid w:val="54451333"/>
    <w:rsid w:val="544607AB"/>
    <w:rsid w:val="54462559"/>
    <w:rsid w:val="54462620"/>
    <w:rsid w:val="544669FD"/>
    <w:rsid w:val="54471EB6"/>
    <w:rsid w:val="54472C5E"/>
    <w:rsid w:val="5447369C"/>
    <w:rsid w:val="544762D1"/>
    <w:rsid w:val="54477609"/>
    <w:rsid w:val="54481AB1"/>
    <w:rsid w:val="54482775"/>
    <w:rsid w:val="54482857"/>
    <w:rsid w:val="54484523"/>
    <w:rsid w:val="5448686B"/>
    <w:rsid w:val="544868DE"/>
    <w:rsid w:val="54490586"/>
    <w:rsid w:val="544913E4"/>
    <w:rsid w:val="54493026"/>
    <w:rsid w:val="54493DF7"/>
    <w:rsid w:val="5449519D"/>
    <w:rsid w:val="54495535"/>
    <w:rsid w:val="54496014"/>
    <w:rsid w:val="544A11FE"/>
    <w:rsid w:val="544A16F4"/>
    <w:rsid w:val="544B0005"/>
    <w:rsid w:val="544B4013"/>
    <w:rsid w:val="544B5DC1"/>
    <w:rsid w:val="544B5E3B"/>
    <w:rsid w:val="544B7B6F"/>
    <w:rsid w:val="544C01DA"/>
    <w:rsid w:val="544C04D7"/>
    <w:rsid w:val="544C3B1E"/>
    <w:rsid w:val="544C7812"/>
    <w:rsid w:val="544D1B39"/>
    <w:rsid w:val="544D3472"/>
    <w:rsid w:val="544D38E7"/>
    <w:rsid w:val="544D7AA7"/>
    <w:rsid w:val="544E100F"/>
    <w:rsid w:val="544E2750"/>
    <w:rsid w:val="544E36DD"/>
    <w:rsid w:val="544E4861"/>
    <w:rsid w:val="544E4C48"/>
    <w:rsid w:val="544E58B1"/>
    <w:rsid w:val="544E765F"/>
    <w:rsid w:val="544F1893"/>
    <w:rsid w:val="544F3B03"/>
    <w:rsid w:val="544F3BE0"/>
    <w:rsid w:val="54501629"/>
    <w:rsid w:val="545033D7"/>
    <w:rsid w:val="54505185"/>
    <w:rsid w:val="54511586"/>
    <w:rsid w:val="54514662"/>
    <w:rsid w:val="54520271"/>
    <w:rsid w:val="54520EFE"/>
    <w:rsid w:val="5452714F"/>
    <w:rsid w:val="54527990"/>
    <w:rsid w:val="5453019B"/>
    <w:rsid w:val="54532EC8"/>
    <w:rsid w:val="54535504"/>
    <w:rsid w:val="5454111A"/>
    <w:rsid w:val="54546507"/>
    <w:rsid w:val="54546D09"/>
    <w:rsid w:val="54554E92"/>
    <w:rsid w:val="54555BD2"/>
    <w:rsid w:val="54556311"/>
    <w:rsid w:val="54562E88"/>
    <w:rsid w:val="54564F61"/>
    <w:rsid w:val="545662D5"/>
    <w:rsid w:val="54572372"/>
    <w:rsid w:val="54574766"/>
    <w:rsid w:val="54576146"/>
    <w:rsid w:val="54576514"/>
    <w:rsid w:val="5457734A"/>
    <w:rsid w:val="545804DE"/>
    <w:rsid w:val="54581E59"/>
    <w:rsid w:val="5458228C"/>
    <w:rsid w:val="54583304"/>
    <w:rsid w:val="54586B20"/>
    <w:rsid w:val="54596730"/>
    <w:rsid w:val="54597863"/>
    <w:rsid w:val="545B2B1D"/>
    <w:rsid w:val="545B5DEF"/>
    <w:rsid w:val="545C13E4"/>
    <w:rsid w:val="545C1CB4"/>
    <w:rsid w:val="545C1D7C"/>
    <w:rsid w:val="545C3B2A"/>
    <w:rsid w:val="545C4D54"/>
    <w:rsid w:val="545C775F"/>
    <w:rsid w:val="545D00E4"/>
    <w:rsid w:val="545D087D"/>
    <w:rsid w:val="545D08A3"/>
    <w:rsid w:val="545D4AA3"/>
    <w:rsid w:val="545D5EF6"/>
    <w:rsid w:val="545E3EE5"/>
    <w:rsid w:val="545F186C"/>
    <w:rsid w:val="545F361A"/>
    <w:rsid w:val="545F4C69"/>
    <w:rsid w:val="545F7ABE"/>
    <w:rsid w:val="5460481C"/>
    <w:rsid w:val="546121BB"/>
    <w:rsid w:val="54613836"/>
    <w:rsid w:val="54614CD4"/>
    <w:rsid w:val="546155E5"/>
    <w:rsid w:val="54615FF5"/>
    <w:rsid w:val="546217EC"/>
    <w:rsid w:val="54624EB9"/>
    <w:rsid w:val="54625BA7"/>
    <w:rsid w:val="5463135D"/>
    <w:rsid w:val="5463310B"/>
    <w:rsid w:val="546334E6"/>
    <w:rsid w:val="54633517"/>
    <w:rsid w:val="54633683"/>
    <w:rsid w:val="546420B5"/>
    <w:rsid w:val="54643C58"/>
    <w:rsid w:val="54644976"/>
    <w:rsid w:val="546450D5"/>
    <w:rsid w:val="54646081"/>
    <w:rsid w:val="54646AB9"/>
    <w:rsid w:val="54646E83"/>
    <w:rsid w:val="54647B90"/>
    <w:rsid w:val="54652A21"/>
    <w:rsid w:val="5465689A"/>
    <w:rsid w:val="54657234"/>
    <w:rsid w:val="54660563"/>
    <w:rsid w:val="546609D7"/>
    <w:rsid w:val="54660E4D"/>
    <w:rsid w:val="54662BFB"/>
    <w:rsid w:val="5466366B"/>
    <w:rsid w:val="546649A9"/>
    <w:rsid w:val="54666214"/>
    <w:rsid w:val="54666CBD"/>
    <w:rsid w:val="5467271A"/>
    <w:rsid w:val="54672B21"/>
    <w:rsid w:val="54680721"/>
    <w:rsid w:val="5468091A"/>
    <w:rsid w:val="54684BC5"/>
    <w:rsid w:val="54686973"/>
    <w:rsid w:val="546926EB"/>
    <w:rsid w:val="54694499"/>
    <w:rsid w:val="54696256"/>
    <w:rsid w:val="546A41AC"/>
    <w:rsid w:val="546A4302"/>
    <w:rsid w:val="546A7DCE"/>
    <w:rsid w:val="546B0211"/>
    <w:rsid w:val="546B1FBF"/>
    <w:rsid w:val="546B6463"/>
    <w:rsid w:val="546C2D5F"/>
    <w:rsid w:val="546C6D7C"/>
    <w:rsid w:val="546D203B"/>
    <w:rsid w:val="546D21DB"/>
    <w:rsid w:val="546D3F89"/>
    <w:rsid w:val="546D6916"/>
    <w:rsid w:val="546D7BC2"/>
    <w:rsid w:val="546E28BC"/>
    <w:rsid w:val="546E2F9B"/>
    <w:rsid w:val="546E385E"/>
    <w:rsid w:val="546E421C"/>
    <w:rsid w:val="546E7804"/>
    <w:rsid w:val="546E7CE9"/>
    <w:rsid w:val="546E7D01"/>
    <w:rsid w:val="546F05D6"/>
    <w:rsid w:val="546F0BF7"/>
    <w:rsid w:val="546F4642"/>
    <w:rsid w:val="546F71DC"/>
    <w:rsid w:val="54702A8C"/>
    <w:rsid w:val="54705828"/>
    <w:rsid w:val="547075D6"/>
    <w:rsid w:val="547122D0"/>
    <w:rsid w:val="5471419D"/>
    <w:rsid w:val="54717010"/>
    <w:rsid w:val="54721596"/>
    <w:rsid w:val="5472334E"/>
    <w:rsid w:val="5472380F"/>
    <w:rsid w:val="54725BB9"/>
    <w:rsid w:val="547277F2"/>
    <w:rsid w:val="54732B1A"/>
    <w:rsid w:val="54734B4B"/>
    <w:rsid w:val="54740753"/>
    <w:rsid w:val="5474294A"/>
    <w:rsid w:val="54743353"/>
    <w:rsid w:val="54745318"/>
    <w:rsid w:val="54751EC7"/>
    <w:rsid w:val="54752E3E"/>
    <w:rsid w:val="54754BEC"/>
    <w:rsid w:val="547558FB"/>
    <w:rsid w:val="547561D8"/>
    <w:rsid w:val="54762A11"/>
    <w:rsid w:val="5476494D"/>
    <w:rsid w:val="54764980"/>
    <w:rsid w:val="54764F44"/>
    <w:rsid w:val="54766DC6"/>
    <w:rsid w:val="54774E08"/>
    <w:rsid w:val="54775F0E"/>
    <w:rsid w:val="54776BB6"/>
    <w:rsid w:val="54776C1D"/>
    <w:rsid w:val="547816AB"/>
    <w:rsid w:val="54782FBD"/>
    <w:rsid w:val="547905A2"/>
    <w:rsid w:val="54794EEA"/>
    <w:rsid w:val="54795E85"/>
    <w:rsid w:val="547A02DD"/>
    <w:rsid w:val="547A0454"/>
    <w:rsid w:val="547A48F8"/>
    <w:rsid w:val="547A5773"/>
    <w:rsid w:val="547A66A6"/>
    <w:rsid w:val="547B002C"/>
    <w:rsid w:val="547B1E90"/>
    <w:rsid w:val="547B2146"/>
    <w:rsid w:val="547B2E80"/>
    <w:rsid w:val="547B4526"/>
    <w:rsid w:val="547B6B92"/>
    <w:rsid w:val="547C241E"/>
    <w:rsid w:val="547C354C"/>
    <w:rsid w:val="547C41CC"/>
    <w:rsid w:val="547C5C78"/>
    <w:rsid w:val="547C5F7A"/>
    <w:rsid w:val="547D2123"/>
    <w:rsid w:val="547D30D0"/>
    <w:rsid w:val="547D6C5E"/>
    <w:rsid w:val="547E59B2"/>
    <w:rsid w:val="547E6196"/>
    <w:rsid w:val="547E729C"/>
    <w:rsid w:val="547E7F44"/>
    <w:rsid w:val="547F3CBD"/>
    <w:rsid w:val="547F5A6B"/>
    <w:rsid w:val="547F793E"/>
    <w:rsid w:val="54802663"/>
    <w:rsid w:val="54802A0E"/>
    <w:rsid w:val="5480645A"/>
    <w:rsid w:val="54807C7E"/>
    <w:rsid w:val="54815C87"/>
    <w:rsid w:val="54816D63"/>
    <w:rsid w:val="54817A35"/>
    <w:rsid w:val="548313A0"/>
    <w:rsid w:val="548337AD"/>
    <w:rsid w:val="5483555B"/>
    <w:rsid w:val="548412D3"/>
    <w:rsid w:val="54843E53"/>
    <w:rsid w:val="54844C6F"/>
    <w:rsid w:val="54851639"/>
    <w:rsid w:val="54854E7E"/>
    <w:rsid w:val="54856696"/>
    <w:rsid w:val="5486329D"/>
    <w:rsid w:val="5486504B"/>
    <w:rsid w:val="54866880"/>
    <w:rsid w:val="54866DF9"/>
    <w:rsid w:val="5487606E"/>
    <w:rsid w:val="548765B5"/>
    <w:rsid w:val="54877D10"/>
    <w:rsid w:val="54880DC3"/>
    <w:rsid w:val="548811A0"/>
    <w:rsid w:val="54881A60"/>
    <w:rsid w:val="54882B71"/>
    <w:rsid w:val="5488366D"/>
    <w:rsid w:val="5488491F"/>
    <w:rsid w:val="548866AD"/>
    <w:rsid w:val="54890697"/>
    <w:rsid w:val="54894B13"/>
    <w:rsid w:val="54895201"/>
    <w:rsid w:val="548968E9"/>
    <w:rsid w:val="548A2B09"/>
    <w:rsid w:val="548A3202"/>
    <w:rsid w:val="548A5AC1"/>
    <w:rsid w:val="548A6691"/>
    <w:rsid w:val="548A6D58"/>
    <w:rsid w:val="548B0DF1"/>
    <w:rsid w:val="548B7B21"/>
    <w:rsid w:val="548C1B1D"/>
    <w:rsid w:val="548C2009"/>
    <w:rsid w:val="548D1F04"/>
    <w:rsid w:val="548D226F"/>
    <w:rsid w:val="548D2388"/>
    <w:rsid w:val="548D4494"/>
    <w:rsid w:val="548D63DA"/>
    <w:rsid w:val="548E1336"/>
    <w:rsid w:val="548E5CAE"/>
    <w:rsid w:val="548E65FB"/>
    <w:rsid w:val="548E7BE3"/>
    <w:rsid w:val="548F2152"/>
    <w:rsid w:val="548F2AA2"/>
    <w:rsid w:val="549009D2"/>
    <w:rsid w:val="549029D8"/>
    <w:rsid w:val="5490540A"/>
    <w:rsid w:val="54905ECA"/>
    <w:rsid w:val="5491494D"/>
    <w:rsid w:val="5491544C"/>
    <w:rsid w:val="54921C42"/>
    <w:rsid w:val="549239F0"/>
    <w:rsid w:val="5492579E"/>
    <w:rsid w:val="54926564"/>
    <w:rsid w:val="549279F4"/>
    <w:rsid w:val="54930E84"/>
    <w:rsid w:val="54931516"/>
    <w:rsid w:val="549332C4"/>
    <w:rsid w:val="549362BC"/>
    <w:rsid w:val="54940DCF"/>
    <w:rsid w:val="5494116A"/>
    <w:rsid w:val="54942314"/>
    <w:rsid w:val="5494389B"/>
    <w:rsid w:val="549459BA"/>
    <w:rsid w:val="54947768"/>
    <w:rsid w:val="54951696"/>
    <w:rsid w:val="54951E2F"/>
    <w:rsid w:val="549534E0"/>
    <w:rsid w:val="549538E7"/>
    <w:rsid w:val="5495703C"/>
    <w:rsid w:val="54962ACC"/>
    <w:rsid w:val="5496418B"/>
    <w:rsid w:val="54964C34"/>
    <w:rsid w:val="549675C0"/>
    <w:rsid w:val="549709B0"/>
    <w:rsid w:val="54971006"/>
    <w:rsid w:val="54975655"/>
    <w:rsid w:val="54976AA9"/>
    <w:rsid w:val="54977258"/>
    <w:rsid w:val="54977805"/>
    <w:rsid w:val="5498081B"/>
    <w:rsid w:val="54981CEB"/>
    <w:rsid w:val="54983866"/>
    <w:rsid w:val="54994D7E"/>
    <w:rsid w:val="54996882"/>
    <w:rsid w:val="54996B2C"/>
    <w:rsid w:val="549A0AF6"/>
    <w:rsid w:val="549A237A"/>
    <w:rsid w:val="549A26FE"/>
    <w:rsid w:val="549A27D7"/>
    <w:rsid w:val="549A28A4"/>
    <w:rsid w:val="549A35B5"/>
    <w:rsid w:val="549A4653"/>
    <w:rsid w:val="549A6402"/>
    <w:rsid w:val="549A7C30"/>
    <w:rsid w:val="549B2CF5"/>
    <w:rsid w:val="549B4B77"/>
    <w:rsid w:val="549C0831"/>
    <w:rsid w:val="549C661D"/>
    <w:rsid w:val="549D35C9"/>
    <w:rsid w:val="549D39D1"/>
    <w:rsid w:val="549D533B"/>
    <w:rsid w:val="549D7BDE"/>
    <w:rsid w:val="549E05E7"/>
    <w:rsid w:val="549E09C6"/>
    <w:rsid w:val="549E2395"/>
    <w:rsid w:val="549E36F6"/>
    <w:rsid w:val="549F0B68"/>
    <w:rsid w:val="549F2868"/>
    <w:rsid w:val="549F3674"/>
    <w:rsid w:val="549F5212"/>
    <w:rsid w:val="549F610D"/>
    <w:rsid w:val="549F7EBB"/>
    <w:rsid w:val="54A019B1"/>
    <w:rsid w:val="54A01AA9"/>
    <w:rsid w:val="54A05231"/>
    <w:rsid w:val="54A11E85"/>
    <w:rsid w:val="54A14A42"/>
    <w:rsid w:val="54A159E1"/>
    <w:rsid w:val="54A16E86"/>
    <w:rsid w:val="54A24918"/>
    <w:rsid w:val="54A26BAF"/>
    <w:rsid w:val="54A30BE9"/>
    <w:rsid w:val="54A33784"/>
    <w:rsid w:val="54A35DA8"/>
    <w:rsid w:val="54A379AB"/>
    <w:rsid w:val="54A454D1"/>
    <w:rsid w:val="54A51975"/>
    <w:rsid w:val="54A52362"/>
    <w:rsid w:val="54A5345E"/>
    <w:rsid w:val="54A55CD5"/>
    <w:rsid w:val="54A61249"/>
    <w:rsid w:val="54A62134"/>
    <w:rsid w:val="54A656ED"/>
    <w:rsid w:val="54A6749B"/>
    <w:rsid w:val="54A731B4"/>
    <w:rsid w:val="54A73BE5"/>
    <w:rsid w:val="54A772FA"/>
    <w:rsid w:val="54A77D22"/>
    <w:rsid w:val="54A823BF"/>
    <w:rsid w:val="54A83213"/>
    <w:rsid w:val="54A84FC1"/>
    <w:rsid w:val="54A87049"/>
    <w:rsid w:val="54A934C4"/>
    <w:rsid w:val="54A947EB"/>
    <w:rsid w:val="54AA0D3A"/>
    <w:rsid w:val="54AA1651"/>
    <w:rsid w:val="54AA453A"/>
    <w:rsid w:val="54AA6037"/>
    <w:rsid w:val="54AA67E8"/>
    <w:rsid w:val="54AA6F8B"/>
    <w:rsid w:val="54AB1518"/>
    <w:rsid w:val="54AB3641"/>
    <w:rsid w:val="54AB4BBE"/>
    <w:rsid w:val="54AB59CA"/>
    <w:rsid w:val="54AB6860"/>
    <w:rsid w:val="54AB710B"/>
    <w:rsid w:val="54AB73DC"/>
    <w:rsid w:val="54AC7026"/>
    <w:rsid w:val="54AD082A"/>
    <w:rsid w:val="54AD3AEF"/>
    <w:rsid w:val="54AD4386"/>
    <w:rsid w:val="54AD532E"/>
    <w:rsid w:val="54AE00FE"/>
    <w:rsid w:val="54AE3A56"/>
    <w:rsid w:val="54AF3E9E"/>
    <w:rsid w:val="54AF434B"/>
    <w:rsid w:val="54AF45A2"/>
    <w:rsid w:val="54AF700B"/>
    <w:rsid w:val="54B03E76"/>
    <w:rsid w:val="54B06BC3"/>
    <w:rsid w:val="54B1183C"/>
    <w:rsid w:val="54B12F3C"/>
    <w:rsid w:val="54B221E4"/>
    <w:rsid w:val="54B22CCC"/>
    <w:rsid w:val="54B24FA6"/>
    <w:rsid w:val="54B251FD"/>
    <w:rsid w:val="54B26D18"/>
    <w:rsid w:val="54B27BEE"/>
    <w:rsid w:val="54B30B34"/>
    <w:rsid w:val="54B31952"/>
    <w:rsid w:val="54B33B88"/>
    <w:rsid w:val="54B37182"/>
    <w:rsid w:val="54B41BB8"/>
    <w:rsid w:val="54B43DCB"/>
    <w:rsid w:val="54B43EE2"/>
    <w:rsid w:val="54B46D2D"/>
    <w:rsid w:val="54B5093F"/>
    <w:rsid w:val="54B52D8E"/>
    <w:rsid w:val="54B62F54"/>
    <w:rsid w:val="54B63168"/>
    <w:rsid w:val="54B677C0"/>
    <w:rsid w:val="54B716A8"/>
    <w:rsid w:val="54B73456"/>
    <w:rsid w:val="54B770B3"/>
    <w:rsid w:val="54B86B3E"/>
    <w:rsid w:val="54B90F7D"/>
    <w:rsid w:val="54B92B9F"/>
    <w:rsid w:val="54B9614F"/>
    <w:rsid w:val="54B96C73"/>
    <w:rsid w:val="54BA4CF5"/>
    <w:rsid w:val="54BA6AA3"/>
    <w:rsid w:val="54BB1F57"/>
    <w:rsid w:val="54BB4B37"/>
    <w:rsid w:val="54BB7A1B"/>
    <w:rsid w:val="54BC0090"/>
    <w:rsid w:val="54BC0A6D"/>
    <w:rsid w:val="54BC0D31"/>
    <w:rsid w:val="54BC6CBF"/>
    <w:rsid w:val="54BD1520"/>
    <w:rsid w:val="54BE21EE"/>
    <w:rsid w:val="54BE2573"/>
    <w:rsid w:val="54BE2A37"/>
    <w:rsid w:val="54BE31E7"/>
    <w:rsid w:val="54BE5E30"/>
    <w:rsid w:val="54BE6593"/>
    <w:rsid w:val="54BE7214"/>
    <w:rsid w:val="54BF1E86"/>
    <w:rsid w:val="54BF230B"/>
    <w:rsid w:val="54BF234A"/>
    <w:rsid w:val="54BF3E40"/>
    <w:rsid w:val="54BF40B9"/>
    <w:rsid w:val="54C0055D"/>
    <w:rsid w:val="54C02E7F"/>
    <w:rsid w:val="54C052D0"/>
    <w:rsid w:val="54C067AF"/>
    <w:rsid w:val="54C07B17"/>
    <w:rsid w:val="54C07EA1"/>
    <w:rsid w:val="54C12889"/>
    <w:rsid w:val="54C12EAA"/>
    <w:rsid w:val="54C1333C"/>
    <w:rsid w:val="54C13CA3"/>
    <w:rsid w:val="54C140C3"/>
    <w:rsid w:val="54C142D5"/>
    <w:rsid w:val="54C146ED"/>
    <w:rsid w:val="54C14E84"/>
    <w:rsid w:val="54C16083"/>
    <w:rsid w:val="54C1695D"/>
    <w:rsid w:val="54C17E31"/>
    <w:rsid w:val="54C278E4"/>
    <w:rsid w:val="54C3004D"/>
    <w:rsid w:val="54C30B58"/>
    <w:rsid w:val="54C31DFB"/>
    <w:rsid w:val="54C33BA9"/>
    <w:rsid w:val="54C343AC"/>
    <w:rsid w:val="54C3746B"/>
    <w:rsid w:val="54C374D8"/>
    <w:rsid w:val="54C37F86"/>
    <w:rsid w:val="54C40A1E"/>
    <w:rsid w:val="54C40FED"/>
    <w:rsid w:val="54C438C4"/>
    <w:rsid w:val="54C47921"/>
    <w:rsid w:val="54C53DC5"/>
    <w:rsid w:val="54C616CE"/>
    <w:rsid w:val="54C618EB"/>
    <w:rsid w:val="54C6369A"/>
    <w:rsid w:val="54C63734"/>
    <w:rsid w:val="54C63D12"/>
    <w:rsid w:val="54C80AC8"/>
    <w:rsid w:val="54C811C0"/>
    <w:rsid w:val="54C82821"/>
    <w:rsid w:val="54C833B7"/>
    <w:rsid w:val="54C86632"/>
    <w:rsid w:val="54C87412"/>
    <w:rsid w:val="54C93B7E"/>
    <w:rsid w:val="54C9771A"/>
    <w:rsid w:val="54CA0F52"/>
    <w:rsid w:val="54CA318A"/>
    <w:rsid w:val="54CB0CB0"/>
    <w:rsid w:val="54CB3308"/>
    <w:rsid w:val="54CB48B1"/>
    <w:rsid w:val="54CB6F02"/>
    <w:rsid w:val="54CC1434"/>
    <w:rsid w:val="54CC5110"/>
    <w:rsid w:val="54CC5154"/>
    <w:rsid w:val="54CC6443"/>
    <w:rsid w:val="54CD2C7A"/>
    <w:rsid w:val="54CD4325"/>
    <w:rsid w:val="54CD44ED"/>
    <w:rsid w:val="54CD4A28"/>
    <w:rsid w:val="54CE0DDF"/>
    <w:rsid w:val="54CE554E"/>
    <w:rsid w:val="54CF07A0"/>
    <w:rsid w:val="54CF69F2"/>
    <w:rsid w:val="54CF7C02"/>
    <w:rsid w:val="54D02B4A"/>
    <w:rsid w:val="54D053DA"/>
    <w:rsid w:val="54D05CC9"/>
    <w:rsid w:val="54D07995"/>
    <w:rsid w:val="54D114E0"/>
    <w:rsid w:val="54D1276A"/>
    <w:rsid w:val="54D14F7C"/>
    <w:rsid w:val="54D15BFA"/>
    <w:rsid w:val="54D2090E"/>
    <w:rsid w:val="54D222B5"/>
    <w:rsid w:val="54D23DEC"/>
    <w:rsid w:val="54D252A8"/>
    <w:rsid w:val="54D264E2"/>
    <w:rsid w:val="54D36316"/>
    <w:rsid w:val="54D36C38"/>
    <w:rsid w:val="54D42D95"/>
    <w:rsid w:val="54D43036"/>
    <w:rsid w:val="54D43313"/>
    <w:rsid w:val="54D44BD5"/>
    <w:rsid w:val="54D45DB6"/>
    <w:rsid w:val="54D462AE"/>
    <w:rsid w:val="54D47790"/>
    <w:rsid w:val="54D51B2F"/>
    <w:rsid w:val="54D52B25"/>
    <w:rsid w:val="54D538DD"/>
    <w:rsid w:val="54D548CB"/>
    <w:rsid w:val="54D564A0"/>
    <w:rsid w:val="54D63807"/>
    <w:rsid w:val="54D70171"/>
    <w:rsid w:val="54D73AF9"/>
    <w:rsid w:val="54D74C97"/>
    <w:rsid w:val="54D83166"/>
    <w:rsid w:val="54D83641"/>
    <w:rsid w:val="54D868E4"/>
    <w:rsid w:val="54D918C2"/>
    <w:rsid w:val="54D933CD"/>
    <w:rsid w:val="54D9517B"/>
    <w:rsid w:val="54DA05FA"/>
    <w:rsid w:val="54DA0EF3"/>
    <w:rsid w:val="54DA4971"/>
    <w:rsid w:val="54DA5945"/>
    <w:rsid w:val="54DA7145"/>
    <w:rsid w:val="54DB5397"/>
    <w:rsid w:val="54DB7992"/>
    <w:rsid w:val="54DC110F"/>
    <w:rsid w:val="54DC18AC"/>
    <w:rsid w:val="54DC1C5B"/>
    <w:rsid w:val="54DC2C38"/>
    <w:rsid w:val="54DC2EBD"/>
    <w:rsid w:val="54DC3DA5"/>
    <w:rsid w:val="54DC5F38"/>
    <w:rsid w:val="54DD0B09"/>
    <w:rsid w:val="54DD2EC7"/>
    <w:rsid w:val="54DE6C35"/>
    <w:rsid w:val="54DF4009"/>
    <w:rsid w:val="54DF6509"/>
    <w:rsid w:val="54E01DBB"/>
    <w:rsid w:val="54E029AD"/>
    <w:rsid w:val="54E05D49"/>
    <w:rsid w:val="54E0734C"/>
    <w:rsid w:val="54E12281"/>
    <w:rsid w:val="54E16529"/>
    <w:rsid w:val="54E16725"/>
    <w:rsid w:val="54E20CF0"/>
    <w:rsid w:val="54E23A02"/>
    <w:rsid w:val="54E258C7"/>
    <w:rsid w:val="54E25A5F"/>
    <w:rsid w:val="54E3249D"/>
    <w:rsid w:val="54E3323A"/>
    <w:rsid w:val="54E3424B"/>
    <w:rsid w:val="54E35FFA"/>
    <w:rsid w:val="54E43D6A"/>
    <w:rsid w:val="54E446CA"/>
    <w:rsid w:val="54E4729B"/>
    <w:rsid w:val="54E55B5A"/>
    <w:rsid w:val="54E57FC4"/>
    <w:rsid w:val="54E61BBB"/>
    <w:rsid w:val="54E62581"/>
    <w:rsid w:val="54E63D3C"/>
    <w:rsid w:val="54E6429A"/>
    <w:rsid w:val="54E6445F"/>
    <w:rsid w:val="54E67898"/>
    <w:rsid w:val="54E77E71"/>
    <w:rsid w:val="54E83610"/>
    <w:rsid w:val="54E844DB"/>
    <w:rsid w:val="54E87AB4"/>
    <w:rsid w:val="54E9053C"/>
    <w:rsid w:val="54E93041"/>
    <w:rsid w:val="54E961EC"/>
    <w:rsid w:val="54EA382C"/>
    <w:rsid w:val="54EA3898"/>
    <w:rsid w:val="54EA46C7"/>
    <w:rsid w:val="54EA4856"/>
    <w:rsid w:val="54EA7388"/>
    <w:rsid w:val="54EB1352"/>
    <w:rsid w:val="54EB3100"/>
    <w:rsid w:val="54EB4781"/>
    <w:rsid w:val="54EB638E"/>
    <w:rsid w:val="54EC3843"/>
    <w:rsid w:val="54EC3C1B"/>
    <w:rsid w:val="54EC5A2D"/>
    <w:rsid w:val="54EC75A4"/>
    <w:rsid w:val="54EC7C52"/>
    <w:rsid w:val="54ED0C26"/>
    <w:rsid w:val="54ED1FEE"/>
    <w:rsid w:val="54ED50CA"/>
    <w:rsid w:val="54ED5B16"/>
    <w:rsid w:val="54ED6E78"/>
    <w:rsid w:val="54EF0E42"/>
    <w:rsid w:val="54EF499E"/>
    <w:rsid w:val="54EF6649"/>
    <w:rsid w:val="54F00014"/>
    <w:rsid w:val="54F00716"/>
    <w:rsid w:val="54F010B9"/>
    <w:rsid w:val="54F02C0A"/>
    <w:rsid w:val="54F036D4"/>
    <w:rsid w:val="54F04B2F"/>
    <w:rsid w:val="54F14A64"/>
    <w:rsid w:val="54F14BBA"/>
    <w:rsid w:val="54F159AB"/>
    <w:rsid w:val="54F15D3A"/>
    <w:rsid w:val="54F16968"/>
    <w:rsid w:val="54F16CCE"/>
    <w:rsid w:val="54F2448F"/>
    <w:rsid w:val="54F2522D"/>
    <w:rsid w:val="54F266BC"/>
    <w:rsid w:val="54F32D2F"/>
    <w:rsid w:val="54F34717"/>
    <w:rsid w:val="54F35C71"/>
    <w:rsid w:val="54F41FB5"/>
    <w:rsid w:val="54F42BC5"/>
    <w:rsid w:val="54F45305"/>
    <w:rsid w:val="54F46459"/>
    <w:rsid w:val="54F46D90"/>
    <w:rsid w:val="54F541E7"/>
    <w:rsid w:val="54F56541"/>
    <w:rsid w:val="54F5777E"/>
    <w:rsid w:val="54F61579"/>
    <w:rsid w:val="54F616B0"/>
    <w:rsid w:val="54F63F7F"/>
    <w:rsid w:val="54F711F3"/>
    <w:rsid w:val="54F73313"/>
    <w:rsid w:val="54F74E31"/>
    <w:rsid w:val="54F77CF7"/>
    <w:rsid w:val="54F77D7B"/>
    <w:rsid w:val="54F80955"/>
    <w:rsid w:val="54F9129B"/>
    <w:rsid w:val="54F93A6F"/>
    <w:rsid w:val="54F9581D"/>
    <w:rsid w:val="54F975CB"/>
    <w:rsid w:val="54FA3343"/>
    <w:rsid w:val="54FA6A32"/>
    <w:rsid w:val="54FB03B7"/>
    <w:rsid w:val="54FB1595"/>
    <w:rsid w:val="54FB2951"/>
    <w:rsid w:val="54FB30C8"/>
    <w:rsid w:val="54FB3A21"/>
    <w:rsid w:val="54FB4890"/>
    <w:rsid w:val="54FB53F8"/>
    <w:rsid w:val="54FB5AA3"/>
    <w:rsid w:val="54FC355F"/>
    <w:rsid w:val="54FC4F7F"/>
    <w:rsid w:val="54FC7620"/>
    <w:rsid w:val="54FD3E80"/>
    <w:rsid w:val="54FE0609"/>
    <w:rsid w:val="54FE2AEC"/>
    <w:rsid w:val="54FE2FE7"/>
    <w:rsid w:val="54FE4BE1"/>
    <w:rsid w:val="54FF223B"/>
    <w:rsid w:val="54FF63E3"/>
    <w:rsid w:val="55002762"/>
    <w:rsid w:val="550045F1"/>
    <w:rsid w:val="55005333"/>
    <w:rsid w:val="5500538A"/>
    <w:rsid w:val="55007BC9"/>
    <w:rsid w:val="55014365"/>
    <w:rsid w:val="5501635D"/>
    <w:rsid w:val="55020B76"/>
    <w:rsid w:val="55027C53"/>
    <w:rsid w:val="5503166C"/>
    <w:rsid w:val="55033835"/>
    <w:rsid w:val="55050666"/>
    <w:rsid w:val="5505574B"/>
    <w:rsid w:val="550619EB"/>
    <w:rsid w:val="55061CE8"/>
    <w:rsid w:val="55067F3A"/>
    <w:rsid w:val="5507618C"/>
    <w:rsid w:val="55083CB2"/>
    <w:rsid w:val="550846F8"/>
    <w:rsid w:val="55085A60"/>
    <w:rsid w:val="550952AF"/>
    <w:rsid w:val="550A17D8"/>
    <w:rsid w:val="550A34A0"/>
    <w:rsid w:val="550A477B"/>
    <w:rsid w:val="550A77E5"/>
    <w:rsid w:val="550A7A2A"/>
    <w:rsid w:val="550B0877"/>
    <w:rsid w:val="550B1D46"/>
    <w:rsid w:val="550B5550"/>
    <w:rsid w:val="550B72FE"/>
    <w:rsid w:val="550C0B99"/>
    <w:rsid w:val="550C0EAB"/>
    <w:rsid w:val="550C1545"/>
    <w:rsid w:val="550C37A2"/>
    <w:rsid w:val="550D12C8"/>
    <w:rsid w:val="550D3076"/>
    <w:rsid w:val="550D751A"/>
    <w:rsid w:val="550D7E44"/>
    <w:rsid w:val="550E0320"/>
    <w:rsid w:val="550E56F2"/>
    <w:rsid w:val="550F1E2E"/>
    <w:rsid w:val="550F3292"/>
    <w:rsid w:val="550F3998"/>
    <w:rsid w:val="550F5041"/>
    <w:rsid w:val="550F6DEF"/>
    <w:rsid w:val="550F78AC"/>
    <w:rsid w:val="550F79D3"/>
    <w:rsid w:val="550F7CA6"/>
    <w:rsid w:val="5510379B"/>
    <w:rsid w:val="551068BB"/>
    <w:rsid w:val="55106D44"/>
    <w:rsid w:val="55110DB9"/>
    <w:rsid w:val="55115317"/>
    <w:rsid w:val="5512068D"/>
    <w:rsid w:val="55125270"/>
    <w:rsid w:val="55130BD8"/>
    <w:rsid w:val="55132319"/>
    <w:rsid w:val="551323BC"/>
    <w:rsid w:val="55132520"/>
    <w:rsid w:val="55135D8D"/>
    <w:rsid w:val="5513729A"/>
    <w:rsid w:val="551408A9"/>
    <w:rsid w:val="55140F2F"/>
    <w:rsid w:val="55142657"/>
    <w:rsid w:val="55144405"/>
    <w:rsid w:val="551458FF"/>
    <w:rsid w:val="55146546"/>
    <w:rsid w:val="55147A1E"/>
    <w:rsid w:val="55151B4A"/>
    <w:rsid w:val="5516017D"/>
    <w:rsid w:val="55160C9A"/>
    <w:rsid w:val="551663CF"/>
    <w:rsid w:val="55167559"/>
    <w:rsid w:val="55172147"/>
    <w:rsid w:val="55175CA3"/>
    <w:rsid w:val="551804A1"/>
    <w:rsid w:val="55187F1F"/>
    <w:rsid w:val="55191A1B"/>
    <w:rsid w:val="55192603"/>
    <w:rsid w:val="55197C6D"/>
    <w:rsid w:val="551A5986"/>
    <w:rsid w:val="551A5EDA"/>
    <w:rsid w:val="551B1885"/>
    <w:rsid w:val="551B1C37"/>
    <w:rsid w:val="551B1F3B"/>
    <w:rsid w:val="551B39E5"/>
    <w:rsid w:val="551B4F99"/>
    <w:rsid w:val="551B555A"/>
    <w:rsid w:val="551B6816"/>
    <w:rsid w:val="551C0E7F"/>
    <w:rsid w:val="551C150B"/>
    <w:rsid w:val="551C1AB4"/>
    <w:rsid w:val="551C1E13"/>
    <w:rsid w:val="551C37AD"/>
    <w:rsid w:val="551C4226"/>
    <w:rsid w:val="551C574A"/>
    <w:rsid w:val="551C71AF"/>
    <w:rsid w:val="551C730E"/>
    <w:rsid w:val="551D3B59"/>
    <w:rsid w:val="551D46E0"/>
    <w:rsid w:val="551D59AF"/>
    <w:rsid w:val="551D6358"/>
    <w:rsid w:val="551D7CC7"/>
    <w:rsid w:val="551E01F5"/>
    <w:rsid w:val="551E08BC"/>
    <w:rsid w:val="551E34D6"/>
    <w:rsid w:val="551E5CEB"/>
    <w:rsid w:val="551E7032"/>
    <w:rsid w:val="551F1CBA"/>
    <w:rsid w:val="551F37CB"/>
    <w:rsid w:val="5520071A"/>
    <w:rsid w:val="552053D0"/>
    <w:rsid w:val="5520724E"/>
    <w:rsid w:val="552072B9"/>
    <w:rsid w:val="5521118A"/>
    <w:rsid w:val="552116CC"/>
    <w:rsid w:val="55211CC3"/>
    <w:rsid w:val="55212DAA"/>
    <w:rsid w:val="55213E45"/>
    <w:rsid w:val="55214D74"/>
    <w:rsid w:val="55216B22"/>
    <w:rsid w:val="552218BF"/>
    <w:rsid w:val="55222FC6"/>
    <w:rsid w:val="55224EF3"/>
    <w:rsid w:val="5522547A"/>
    <w:rsid w:val="55225AFC"/>
    <w:rsid w:val="5522762D"/>
    <w:rsid w:val="55227E41"/>
    <w:rsid w:val="55230002"/>
    <w:rsid w:val="5523124D"/>
    <w:rsid w:val="55231869"/>
    <w:rsid w:val="5523329E"/>
    <w:rsid w:val="55234D2A"/>
    <w:rsid w:val="55236D3E"/>
    <w:rsid w:val="55237DD9"/>
    <w:rsid w:val="55240D7F"/>
    <w:rsid w:val="55241768"/>
    <w:rsid w:val="5524472E"/>
    <w:rsid w:val="55251E16"/>
    <w:rsid w:val="55252EB4"/>
    <w:rsid w:val="55253A96"/>
    <w:rsid w:val="5525408D"/>
    <w:rsid w:val="55254864"/>
    <w:rsid w:val="55264138"/>
    <w:rsid w:val="55266506"/>
    <w:rsid w:val="5526704E"/>
    <w:rsid w:val="5527238A"/>
    <w:rsid w:val="55272AAB"/>
    <w:rsid w:val="5527639D"/>
    <w:rsid w:val="55276E52"/>
    <w:rsid w:val="55277D28"/>
    <w:rsid w:val="5528196E"/>
    <w:rsid w:val="55284354"/>
    <w:rsid w:val="55284BB8"/>
    <w:rsid w:val="55286102"/>
    <w:rsid w:val="55287EB0"/>
    <w:rsid w:val="55290ED1"/>
    <w:rsid w:val="55291629"/>
    <w:rsid w:val="55292DFE"/>
    <w:rsid w:val="5529453F"/>
    <w:rsid w:val="552A00CC"/>
    <w:rsid w:val="552A0727"/>
    <w:rsid w:val="552A0F02"/>
    <w:rsid w:val="552A1E7A"/>
    <w:rsid w:val="552A4FD9"/>
    <w:rsid w:val="552A59CF"/>
    <w:rsid w:val="552B0183"/>
    <w:rsid w:val="552B01E9"/>
    <w:rsid w:val="552B3A2B"/>
    <w:rsid w:val="552B4BC1"/>
    <w:rsid w:val="552B5846"/>
    <w:rsid w:val="552B6CDF"/>
    <w:rsid w:val="552B7027"/>
    <w:rsid w:val="552C2D71"/>
    <w:rsid w:val="552C5BF2"/>
    <w:rsid w:val="552C7ADE"/>
    <w:rsid w:val="552D3719"/>
    <w:rsid w:val="552D4350"/>
    <w:rsid w:val="552D54C7"/>
    <w:rsid w:val="552E2B4C"/>
    <w:rsid w:val="552E71C5"/>
    <w:rsid w:val="552F123F"/>
    <w:rsid w:val="552F56E3"/>
    <w:rsid w:val="552F78AA"/>
    <w:rsid w:val="55300100"/>
    <w:rsid w:val="5531145B"/>
    <w:rsid w:val="55313209"/>
    <w:rsid w:val="55313784"/>
    <w:rsid w:val="55314161"/>
    <w:rsid w:val="553164FF"/>
    <w:rsid w:val="55320D2F"/>
    <w:rsid w:val="55322ADD"/>
    <w:rsid w:val="55326F81"/>
    <w:rsid w:val="553304D8"/>
    <w:rsid w:val="5534220A"/>
    <w:rsid w:val="553426D6"/>
    <w:rsid w:val="55342CF9"/>
    <w:rsid w:val="55344AA7"/>
    <w:rsid w:val="55346855"/>
    <w:rsid w:val="553524F0"/>
    <w:rsid w:val="553556B3"/>
    <w:rsid w:val="5536081F"/>
    <w:rsid w:val="553625CD"/>
    <w:rsid w:val="55365402"/>
    <w:rsid w:val="55366A71"/>
    <w:rsid w:val="55367759"/>
    <w:rsid w:val="553700F3"/>
    <w:rsid w:val="55376C92"/>
    <w:rsid w:val="55377577"/>
    <w:rsid w:val="5539030F"/>
    <w:rsid w:val="553920BD"/>
    <w:rsid w:val="55394034"/>
    <w:rsid w:val="55394A6A"/>
    <w:rsid w:val="553A18EB"/>
    <w:rsid w:val="553A3D83"/>
    <w:rsid w:val="553A7CB7"/>
    <w:rsid w:val="553B5C4A"/>
    <w:rsid w:val="553C395C"/>
    <w:rsid w:val="553C4EFA"/>
    <w:rsid w:val="553C74D6"/>
    <w:rsid w:val="553D7E00"/>
    <w:rsid w:val="553E76D4"/>
    <w:rsid w:val="553F4D06"/>
    <w:rsid w:val="55400B18"/>
    <w:rsid w:val="554027C6"/>
    <w:rsid w:val="5540344C"/>
    <w:rsid w:val="554051FA"/>
    <w:rsid w:val="554058F4"/>
    <w:rsid w:val="55407939"/>
    <w:rsid w:val="55407BF5"/>
    <w:rsid w:val="554107AA"/>
    <w:rsid w:val="554108DD"/>
    <w:rsid w:val="55410F72"/>
    <w:rsid w:val="554177EE"/>
    <w:rsid w:val="55421D9E"/>
    <w:rsid w:val="55425416"/>
    <w:rsid w:val="554271C4"/>
    <w:rsid w:val="5543118E"/>
    <w:rsid w:val="55434CEA"/>
    <w:rsid w:val="55436576"/>
    <w:rsid w:val="55436A98"/>
    <w:rsid w:val="554378E6"/>
    <w:rsid w:val="55437CB7"/>
    <w:rsid w:val="554438B8"/>
    <w:rsid w:val="55447A06"/>
    <w:rsid w:val="55450A62"/>
    <w:rsid w:val="554525D7"/>
    <w:rsid w:val="55452810"/>
    <w:rsid w:val="554529E7"/>
    <w:rsid w:val="55456CB4"/>
    <w:rsid w:val="55457656"/>
    <w:rsid w:val="55460BEB"/>
    <w:rsid w:val="55461CD0"/>
    <w:rsid w:val="55466588"/>
    <w:rsid w:val="55472A2C"/>
    <w:rsid w:val="554747DA"/>
    <w:rsid w:val="554761E9"/>
    <w:rsid w:val="55476387"/>
    <w:rsid w:val="5548648A"/>
    <w:rsid w:val="554936C9"/>
    <w:rsid w:val="55494F54"/>
    <w:rsid w:val="554967A4"/>
    <w:rsid w:val="554975EC"/>
    <w:rsid w:val="554A3CC0"/>
    <w:rsid w:val="554A42CB"/>
    <w:rsid w:val="554A5B42"/>
    <w:rsid w:val="554A5D68"/>
    <w:rsid w:val="554A5E7C"/>
    <w:rsid w:val="554A6079"/>
    <w:rsid w:val="554A7E27"/>
    <w:rsid w:val="554B05B2"/>
    <w:rsid w:val="554B4C2D"/>
    <w:rsid w:val="554B79BA"/>
    <w:rsid w:val="554C11A0"/>
    <w:rsid w:val="554C1DF1"/>
    <w:rsid w:val="554C3023"/>
    <w:rsid w:val="554C3B9F"/>
    <w:rsid w:val="554C4EA5"/>
    <w:rsid w:val="554C58EA"/>
    <w:rsid w:val="554C742E"/>
    <w:rsid w:val="554D393A"/>
    <w:rsid w:val="554D3BF0"/>
    <w:rsid w:val="554D3C11"/>
    <w:rsid w:val="554D505F"/>
    <w:rsid w:val="554E13D1"/>
    <w:rsid w:val="554E175D"/>
    <w:rsid w:val="554E1B07"/>
    <w:rsid w:val="554E1B40"/>
    <w:rsid w:val="554E1D72"/>
    <w:rsid w:val="554E3DBB"/>
    <w:rsid w:val="554E56D0"/>
    <w:rsid w:val="554F4585"/>
    <w:rsid w:val="55500B7A"/>
    <w:rsid w:val="555076EA"/>
    <w:rsid w:val="555111B5"/>
    <w:rsid w:val="55511492"/>
    <w:rsid w:val="5551200A"/>
    <w:rsid w:val="5551374B"/>
    <w:rsid w:val="55515659"/>
    <w:rsid w:val="555170A7"/>
    <w:rsid w:val="55517407"/>
    <w:rsid w:val="55517A88"/>
    <w:rsid w:val="55517D68"/>
    <w:rsid w:val="55517E5D"/>
    <w:rsid w:val="5552317F"/>
    <w:rsid w:val="55524496"/>
    <w:rsid w:val="555313D1"/>
    <w:rsid w:val="55535B32"/>
    <w:rsid w:val="55540CA5"/>
    <w:rsid w:val="55543E92"/>
    <w:rsid w:val="55545149"/>
    <w:rsid w:val="55546B21"/>
    <w:rsid w:val="55546EF7"/>
    <w:rsid w:val="555470A4"/>
    <w:rsid w:val="555474FB"/>
    <w:rsid w:val="5555290C"/>
    <w:rsid w:val="555574ED"/>
    <w:rsid w:val="555606B6"/>
    <w:rsid w:val="55560EC1"/>
    <w:rsid w:val="55562C6F"/>
    <w:rsid w:val="5556306F"/>
    <w:rsid w:val="555649EC"/>
    <w:rsid w:val="55564A1D"/>
    <w:rsid w:val="555667CB"/>
    <w:rsid w:val="55572544"/>
    <w:rsid w:val="55574A5A"/>
    <w:rsid w:val="55575E7C"/>
    <w:rsid w:val="555775BD"/>
    <w:rsid w:val="55577A9A"/>
    <w:rsid w:val="555863AA"/>
    <w:rsid w:val="5558730C"/>
    <w:rsid w:val="55590B84"/>
    <w:rsid w:val="55592760"/>
    <w:rsid w:val="5559450E"/>
    <w:rsid w:val="555A15D5"/>
    <w:rsid w:val="555A5D4A"/>
    <w:rsid w:val="555B2034"/>
    <w:rsid w:val="555B32D8"/>
    <w:rsid w:val="555B517B"/>
    <w:rsid w:val="555C085E"/>
    <w:rsid w:val="555C6AA5"/>
    <w:rsid w:val="555D2250"/>
    <w:rsid w:val="555D3FFE"/>
    <w:rsid w:val="555E1B24"/>
    <w:rsid w:val="555E48BF"/>
    <w:rsid w:val="555E7D76"/>
    <w:rsid w:val="555F2A91"/>
    <w:rsid w:val="555F3F23"/>
    <w:rsid w:val="555F4E6D"/>
    <w:rsid w:val="555F63B4"/>
    <w:rsid w:val="555F700B"/>
    <w:rsid w:val="5560066F"/>
    <w:rsid w:val="55602309"/>
    <w:rsid w:val="55603AEE"/>
    <w:rsid w:val="5560439E"/>
    <w:rsid w:val="556052DD"/>
    <w:rsid w:val="5560764A"/>
    <w:rsid w:val="55611AFF"/>
    <w:rsid w:val="55617F52"/>
    <w:rsid w:val="556233C2"/>
    <w:rsid w:val="55627866"/>
    <w:rsid w:val="55630EE8"/>
    <w:rsid w:val="55631913"/>
    <w:rsid w:val="5563538C"/>
    <w:rsid w:val="55635669"/>
    <w:rsid w:val="55652EB2"/>
    <w:rsid w:val="55653051"/>
    <w:rsid w:val="556534D1"/>
    <w:rsid w:val="55661910"/>
    <w:rsid w:val="556644E1"/>
    <w:rsid w:val="556709D9"/>
    <w:rsid w:val="55674E7D"/>
    <w:rsid w:val="55676C2B"/>
    <w:rsid w:val="55680017"/>
    <w:rsid w:val="556829A3"/>
    <w:rsid w:val="5568304C"/>
    <w:rsid w:val="55683ADA"/>
    <w:rsid w:val="55684751"/>
    <w:rsid w:val="5568597E"/>
    <w:rsid w:val="55686E01"/>
    <w:rsid w:val="55693F23"/>
    <w:rsid w:val="556A04C9"/>
    <w:rsid w:val="556A1CC2"/>
    <w:rsid w:val="556A2277"/>
    <w:rsid w:val="556A671B"/>
    <w:rsid w:val="556A70BB"/>
    <w:rsid w:val="556B377E"/>
    <w:rsid w:val="556B5782"/>
    <w:rsid w:val="556B5794"/>
    <w:rsid w:val="556B5BEC"/>
    <w:rsid w:val="556B6EC3"/>
    <w:rsid w:val="556C2493"/>
    <w:rsid w:val="556C6C12"/>
    <w:rsid w:val="556D0A6C"/>
    <w:rsid w:val="556D1B46"/>
    <w:rsid w:val="556D2EE9"/>
    <w:rsid w:val="556D411B"/>
    <w:rsid w:val="556E2BE2"/>
    <w:rsid w:val="556E2C73"/>
    <w:rsid w:val="556E4A43"/>
    <w:rsid w:val="556E51DD"/>
    <w:rsid w:val="556E7FB9"/>
    <w:rsid w:val="556F1183"/>
    <w:rsid w:val="556F1F83"/>
    <w:rsid w:val="556F3D31"/>
    <w:rsid w:val="556F5ADF"/>
    <w:rsid w:val="556F788D"/>
    <w:rsid w:val="55703DF7"/>
    <w:rsid w:val="55710D9F"/>
    <w:rsid w:val="55711857"/>
    <w:rsid w:val="55712022"/>
    <w:rsid w:val="55713CB5"/>
    <w:rsid w:val="55714021"/>
    <w:rsid w:val="55722A84"/>
    <w:rsid w:val="5572737D"/>
    <w:rsid w:val="55727548"/>
    <w:rsid w:val="557355CF"/>
    <w:rsid w:val="55735655"/>
    <w:rsid w:val="557356BF"/>
    <w:rsid w:val="55747599"/>
    <w:rsid w:val="55755AEA"/>
    <w:rsid w:val="55757E45"/>
    <w:rsid w:val="55757F75"/>
    <w:rsid w:val="55760C1C"/>
    <w:rsid w:val="557650C0"/>
    <w:rsid w:val="55766E6E"/>
    <w:rsid w:val="55772302"/>
    <w:rsid w:val="55774382"/>
    <w:rsid w:val="55782BE6"/>
    <w:rsid w:val="557868F6"/>
    <w:rsid w:val="55787AE9"/>
    <w:rsid w:val="55791863"/>
    <w:rsid w:val="55793425"/>
    <w:rsid w:val="55794BB0"/>
    <w:rsid w:val="5579695E"/>
    <w:rsid w:val="557A0C4C"/>
    <w:rsid w:val="557A5B5E"/>
    <w:rsid w:val="557B0928"/>
    <w:rsid w:val="557B26D6"/>
    <w:rsid w:val="557B4484"/>
    <w:rsid w:val="557B5277"/>
    <w:rsid w:val="557C1FAA"/>
    <w:rsid w:val="557C303F"/>
    <w:rsid w:val="557C3CE0"/>
    <w:rsid w:val="557C6707"/>
    <w:rsid w:val="557D01FC"/>
    <w:rsid w:val="557D12D8"/>
    <w:rsid w:val="557D6163"/>
    <w:rsid w:val="557D644E"/>
    <w:rsid w:val="557E2692"/>
    <w:rsid w:val="557E3F74"/>
    <w:rsid w:val="557E5D22"/>
    <w:rsid w:val="557F3BF8"/>
    <w:rsid w:val="55801A9A"/>
    <w:rsid w:val="55804E70"/>
    <w:rsid w:val="55805313"/>
    <w:rsid w:val="55805F3E"/>
    <w:rsid w:val="55806E0B"/>
    <w:rsid w:val="55807C59"/>
    <w:rsid w:val="55807CEC"/>
    <w:rsid w:val="55812122"/>
    <w:rsid w:val="55814EC1"/>
    <w:rsid w:val="55821CB6"/>
    <w:rsid w:val="55823A64"/>
    <w:rsid w:val="55825812"/>
    <w:rsid w:val="55826A53"/>
    <w:rsid w:val="558275C0"/>
    <w:rsid w:val="5583158B"/>
    <w:rsid w:val="55833339"/>
    <w:rsid w:val="55833A09"/>
    <w:rsid w:val="55834437"/>
    <w:rsid w:val="5583514A"/>
    <w:rsid w:val="558427C1"/>
    <w:rsid w:val="5584559D"/>
    <w:rsid w:val="558477DD"/>
    <w:rsid w:val="558570B1"/>
    <w:rsid w:val="55862155"/>
    <w:rsid w:val="55865BC1"/>
    <w:rsid w:val="55870A29"/>
    <w:rsid w:val="55872E29"/>
    <w:rsid w:val="5587381A"/>
    <w:rsid w:val="558746DF"/>
    <w:rsid w:val="5587536D"/>
    <w:rsid w:val="558754B4"/>
    <w:rsid w:val="558772CD"/>
    <w:rsid w:val="5588208A"/>
    <w:rsid w:val="558843CD"/>
    <w:rsid w:val="55884BFF"/>
    <w:rsid w:val="55886BA1"/>
    <w:rsid w:val="558959AE"/>
    <w:rsid w:val="558973AD"/>
    <w:rsid w:val="558A2602"/>
    <w:rsid w:val="558A2919"/>
    <w:rsid w:val="558A38DC"/>
    <w:rsid w:val="558A46C7"/>
    <w:rsid w:val="558B0F30"/>
    <w:rsid w:val="558B12F0"/>
    <w:rsid w:val="558B15C3"/>
    <w:rsid w:val="558B4D6C"/>
    <w:rsid w:val="558C48E3"/>
    <w:rsid w:val="558C6691"/>
    <w:rsid w:val="558D0DCD"/>
    <w:rsid w:val="558D3EF5"/>
    <w:rsid w:val="558D41B7"/>
    <w:rsid w:val="558E0B23"/>
    <w:rsid w:val="558E2409"/>
    <w:rsid w:val="558E2F1D"/>
    <w:rsid w:val="558F1CDD"/>
    <w:rsid w:val="558F6181"/>
    <w:rsid w:val="558F7F2F"/>
    <w:rsid w:val="55904B7D"/>
    <w:rsid w:val="55911EF9"/>
    <w:rsid w:val="55913CA7"/>
    <w:rsid w:val="5591600D"/>
    <w:rsid w:val="559315FE"/>
    <w:rsid w:val="55933AE4"/>
    <w:rsid w:val="55937A20"/>
    <w:rsid w:val="55943798"/>
    <w:rsid w:val="55944A92"/>
    <w:rsid w:val="55945546"/>
    <w:rsid w:val="55945837"/>
    <w:rsid w:val="55951476"/>
    <w:rsid w:val="55952056"/>
    <w:rsid w:val="55952EC4"/>
    <w:rsid w:val="559568DC"/>
    <w:rsid w:val="559612BE"/>
    <w:rsid w:val="55963AC7"/>
    <w:rsid w:val="559644E5"/>
    <w:rsid w:val="55974A50"/>
    <w:rsid w:val="55976E37"/>
    <w:rsid w:val="55982C61"/>
    <w:rsid w:val="559846CF"/>
    <w:rsid w:val="5598479F"/>
    <w:rsid w:val="55985036"/>
    <w:rsid w:val="55985182"/>
    <w:rsid w:val="55985762"/>
    <w:rsid w:val="55986DE4"/>
    <w:rsid w:val="55990DAE"/>
    <w:rsid w:val="55992B5C"/>
    <w:rsid w:val="559936A1"/>
    <w:rsid w:val="55994B6E"/>
    <w:rsid w:val="559A00B1"/>
    <w:rsid w:val="559A0305"/>
    <w:rsid w:val="559A33D1"/>
    <w:rsid w:val="559B174B"/>
    <w:rsid w:val="559B2D78"/>
    <w:rsid w:val="559B4B26"/>
    <w:rsid w:val="559B571B"/>
    <w:rsid w:val="559B68D4"/>
    <w:rsid w:val="559C30D6"/>
    <w:rsid w:val="559C5CF1"/>
    <w:rsid w:val="559C795F"/>
    <w:rsid w:val="559D1324"/>
    <w:rsid w:val="559D5E51"/>
    <w:rsid w:val="559E0172"/>
    <w:rsid w:val="559E519B"/>
    <w:rsid w:val="559E522D"/>
    <w:rsid w:val="559E63C4"/>
    <w:rsid w:val="559E6752"/>
    <w:rsid w:val="559F3837"/>
    <w:rsid w:val="559F4616"/>
    <w:rsid w:val="55A00E78"/>
    <w:rsid w:val="55A0213D"/>
    <w:rsid w:val="55A03EEB"/>
    <w:rsid w:val="55A05F59"/>
    <w:rsid w:val="55A106D3"/>
    <w:rsid w:val="55A13269"/>
    <w:rsid w:val="55A150EB"/>
    <w:rsid w:val="55A177A4"/>
    <w:rsid w:val="55A20422"/>
    <w:rsid w:val="55A21511"/>
    <w:rsid w:val="55A21A11"/>
    <w:rsid w:val="55A251C3"/>
    <w:rsid w:val="55A25988"/>
    <w:rsid w:val="55A25EB5"/>
    <w:rsid w:val="55A32FF3"/>
    <w:rsid w:val="55A3400F"/>
    <w:rsid w:val="55A35789"/>
    <w:rsid w:val="55A37E05"/>
    <w:rsid w:val="55A41C2D"/>
    <w:rsid w:val="55A421C8"/>
    <w:rsid w:val="55A43458"/>
    <w:rsid w:val="55A43730"/>
    <w:rsid w:val="55A44E80"/>
    <w:rsid w:val="55A4659C"/>
    <w:rsid w:val="55A504E4"/>
    <w:rsid w:val="55A5058A"/>
    <w:rsid w:val="55A51337"/>
    <w:rsid w:val="55A55913"/>
    <w:rsid w:val="55A7171D"/>
    <w:rsid w:val="55A734CB"/>
    <w:rsid w:val="55A75279"/>
    <w:rsid w:val="55A77164"/>
    <w:rsid w:val="55A80627"/>
    <w:rsid w:val="55A8215D"/>
    <w:rsid w:val="55A84294"/>
    <w:rsid w:val="55A86E0F"/>
    <w:rsid w:val="55A90FF1"/>
    <w:rsid w:val="55A938D2"/>
    <w:rsid w:val="55A9556F"/>
    <w:rsid w:val="55A97243"/>
    <w:rsid w:val="55AA2FBB"/>
    <w:rsid w:val="55AA3B4B"/>
    <w:rsid w:val="55AA3C0D"/>
    <w:rsid w:val="55AA552D"/>
    <w:rsid w:val="55AA6B17"/>
    <w:rsid w:val="55AB1113"/>
    <w:rsid w:val="55AB1785"/>
    <w:rsid w:val="55AB1BE9"/>
    <w:rsid w:val="55AC0AE1"/>
    <w:rsid w:val="55AC288F"/>
    <w:rsid w:val="55AC57E6"/>
    <w:rsid w:val="55AC6D33"/>
    <w:rsid w:val="55AC781A"/>
    <w:rsid w:val="55AD03B6"/>
    <w:rsid w:val="55AD08AF"/>
    <w:rsid w:val="55AD1A98"/>
    <w:rsid w:val="55AD46DE"/>
    <w:rsid w:val="55AD602D"/>
    <w:rsid w:val="55AE2AAB"/>
    <w:rsid w:val="55AE4B30"/>
    <w:rsid w:val="55AE6607"/>
    <w:rsid w:val="55AE7B8F"/>
    <w:rsid w:val="55AF05D2"/>
    <w:rsid w:val="55AF4167"/>
    <w:rsid w:val="55B01E00"/>
    <w:rsid w:val="55B04239"/>
    <w:rsid w:val="55B05424"/>
    <w:rsid w:val="55B055F7"/>
    <w:rsid w:val="55B11152"/>
    <w:rsid w:val="55B13B28"/>
    <w:rsid w:val="55B13EB6"/>
    <w:rsid w:val="55B1434A"/>
    <w:rsid w:val="55B15A0D"/>
    <w:rsid w:val="55B160F8"/>
    <w:rsid w:val="55B16A87"/>
    <w:rsid w:val="55B16B7D"/>
    <w:rsid w:val="55B17EA6"/>
    <w:rsid w:val="55B21658"/>
    <w:rsid w:val="55B23C20"/>
    <w:rsid w:val="55B261C7"/>
    <w:rsid w:val="55B31E70"/>
    <w:rsid w:val="55B32AE8"/>
    <w:rsid w:val="55B3376A"/>
    <w:rsid w:val="55B3499F"/>
    <w:rsid w:val="55B36828"/>
    <w:rsid w:val="55B41744"/>
    <w:rsid w:val="55B41C9B"/>
    <w:rsid w:val="55B42837"/>
    <w:rsid w:val="55B47996"/>
    <w:rsid w:val="55B50492"/>
    <w:rsid w:val="55B53419"/>
    <w:rsid w:val="55B56F58"/>
    <w:rsid w:val="55B57FD9"/>
    <w:rsid w:val="55B61960"/>
    <w:rsid w:val="55B62BC9"/>
    <w:rsid w:val="55B6370E"/>
    <w:rsid w:val="55B654BC"/>
    <w:rsid w:val="55B70C0A"/>
    <w:rsid w:val="55B74E37"/>
    <w:rsid w:val="55B75898"/>
    <w:rsid w:val="55B811D4"/>
    <w:rsid w:val="55B81234"/>
    <w:rsid w:val="55B853A3"/>
    <w:rsid w:val="55B856D8"/>
    <w:rsid w:val="55B866A4"/>
    <w:rsid w:val="55B87486"/>
    <w:rsid w:val="55B90528"/>
    <w:rsid w:val="55B92605"/>
    <w:rsid w:val="55B9334E"/>
    <w:rsid w:val="55B93FBC"/>
    <w:rsid w:val="55B94A5E"/>
    <w:rsid w:val="55B95219"/>
    <w:rsid w:val="55BA127A"/>
    <w:rsid w:val="55BA1450"/>
    <w:rsid w:val="55BB0D24"/>
    <w:rsid w:val="55BB597E"/>
    <w:rsid w:val="55BD2CEE"/>
    <w:rsid w:val="55BD3A86"/>
    <w:rsid w:val="55BD4A9D"/>
    <w:rsid w:val="55BD684B"/>
    <w:rsid w:val="55BE25C3"/>
    <w:rsid w:val="55BF0815"/>
    <w:rsid w:val="55BF6A67"/>
    <w:rsid w:val="55C009B3"/>
    <w:rsid w:val="55C01586"/>
    <w:rsid w:val="55C01AA6"/>
    <w:rsid w:val="55C0458D"/>
    <w:rsid w:val="55C04A3F"/>
    <w:rsid w:val="55C04C11"/>
    <w:rsid w:val="55C050EC"/>
    <w:rsid w:val="55C05294"/>
    <w:rsid w:val="55C07D29"/>
    <w:rsid w:val="55C13859"/>
    <w:rsid w:val="55C139AB"/>
    <w:rsid w:val="55C1657C"/>
    <w:rsid w:val="55C16E70"/>
    <w:rsid w:val="55C21356"/>
    <w:rsid w:val="55C220B3"/>
    <w:rsid w:val="55C22346"/>
    <w:rsid w:val="55C234B0"/>
    <w:rsid w:val="55C23E61"/>
    <w:rsid w:val="55C314A0"/>
    <w:rsid w:val="55C35D9E"/>
    <w:rsid w:val="55C367D4"/>
    <w:rsid w:val="55C41430"/>
    <w:rsid w:val="55C4232C"/>
    <w:rsid w:val="55C43A6D"/>
    <w:rsid w:val="55C445B9"/>
    <w:rsid w:val="55C44C77"/>
    <w:rsid w:val="55C44E8D"/>
    <w:rsid w:val="55C45E2B"/>
    <w:rsid w:val="55C53951"/>
    <w:rsid w:val="55C57E50"/>
    <w:rsid w:val="55C60660"/>
    <w:rsid w:val="55C62C4E"/>
    <w:rsid w:val="55C639B5"/>
    <w:rsid w:val="55C6781D"/>
    <w:rsid w:val="55C67DF5"/>
    <w:rsid w:val="55C70316"/>
    <w:rsid w:val="55C70CAD"/>
    <w:rsid w:val="55C71477"/>
    <w:rsid w:val="55C723EE"/>
    <w:rsid w:val="55C73B6D"/>
    <w:rsid w:val="55C762A1"/>
    <w:rsid w:val="55C8213D"/>
    <w:rsid w:val="55C83126"/>
    <w:rsid w:val="55C91693"/>
    <w:rsid w:val="55C94D0E"/>
    <w:rsid w:val="55C951EF"/>
    <w:rsid w:val="55CA0F67"/>
    <w:rsid w:val="55CA1562"/>
    <w:rsid w:val="55CA5232"/>
    <w:rsid w:val="55CA619E"/>
    <w:rsid w:val="55CA71B9"/>
    <w:rsid w:val="55CB0292"/>
    <w:rsid w:val="55CB4084"/>
    <w:rsid w:val="55CB585D"/>
    <w:rsid w:val="55CC1183"/>
    <w:rsid w:val="55CC2F32"/>
    <w:rsid w:val="55CC368F"/>
    <w:rsid w:val="55CC4CE0"/>
    <w:rsid w:val="55CD354A"/>
    <w:rsid w:val="55CE0A58"/>
    <w:rsid w:val="55CE0CF4"/>
    <w:rsid w:val="55CF096F"/>
    <w:rsid w:val="55CF1D34"/>
    <w:rsid w:val="55CF657E"/>
    <w:rsid w:val="55CF7E7A"/>
    <w:rsid w:val="55D00815"/>
    <w:rsid w:val="55D05227"/>
    <w:rsid w:val="55D10548"/>
    <w:rsid w:val="55D11DEA"/>
    <w:rsid w:val="55D122F6"/>
    <w:rsid w:val="55D12737"/>
    <w:rsid w:val="55D134A0"/>
    <w:rsid w:val="55D1679A"/>
    <w:rsid w:val="55D2403E"/>
    <w:rsid w:val="55D32512"/>
    <w:rsid w:val="55D3446A"/>
    <w:rsid w:val="55D34A00"/>
    <w:rsid w:val="55D3606E"/>
    <w:rsid w:val="55D41DE6"/>
    <w:rsid w:val="55D41E21"/>
    <w:rsid w:val="55D43B94"/>
    <w:rsid w:val="55D50C40"/>
    <w:rsid w:val="55D50E22"/>
    <w:rsid w:val="55D50F5A"/>
    <w:rsid w:val="55D549F2"/>
    <w:rsid w:val="55D5564F"/>
    <w:rsid w:val="55D55E82"/>
    <w:rsid w:val="55D5627A"/>
    <w:rsid w:val="55D61F42"/>
    <w:rsid w:val="55D63DC4"/>
    <w:rsid w:val="55D64741"/>
    <w:rsid w:val="55D65B5E"/>
    <w:rsid w:val="55D6790C"/>
    <w:rsid w:val="55D707A2"/>
    <w:rsid w:val="55D70BBB"/>
    <w:rsid w:val="55D72CA5"/>
    <w:rsid w:val="55D80B7D"/>
    <w:rsid w:val="55D818D6"/>
    <w:rsid w:val="55D8687A"/>
    <w:rsid w:val="55D87B28"/>
    <w:rsid w:val="55D911AB"/>
    <w:rsid w:val="55D9132D"/>
    <w:rsid w:val="55D930C2"/>
    <w:rsid w:val="55D956A7"/>
    <w:rsid w:val="55DA521A"/>
    <w:rsid w:val="55DA73FC"/>
    <w:rsid w:val="55DB13C7"/>
    <w:rsid w:val="55DB4F23"/>
    <w:rsid w:val="55DB5B33"/>
    <w:rsid w:val="55DB5F9C"/>
    <w:rsid w:val="55DB7FBE"/>
    <w:rsid w:val="55DC34F6"/>
    <w:rsid w:val="55DC556F"/>
    <w:rsid w:val="55DD0C9B"/>
    <w:rsid w:val="55DD1A43"/>
    <w:rsid w:val="55DD513F"/>
    <w:rsid w:val="55DD5B36"/>
    <w:rsid w:val="55DD6EED"/>
    <w:rsid w:val="55DD766C"/>
    <w:rsid w:val="55DE39FE"/>
    <w:rsid w:val="55DE5AA4"/>
    <w:rsid w:val="55DE5D56"/>
    <w:rsid w:val="55DF0675"/>
    <w:rsid w:val="55DF0EB7"/>
    <w:rsid w:val="55DF2809"/>
    <w:rsid w:val="55DF4A13"/>
    <w:rsid w:val="55E0078B"/>
    <w:rsid w:val="55E024FE"/>
    <w:rsid w:val="55E02539"/>
    <w:rsid w:val="55E05452"/>
    <w:rsid w:val="55E069DD"/>
    <w:rsid w:val="55E21119"/>
    <w:rsid w:val="55E22755"/>
    <w:rsid w:val="55E34FB7"/>
    <w:rsid w:val="55E36AC2"/>
    <w:rsid w:val="55E37141"/>
    <w:rsid w:val="55E4027B"/>
    <w:rsid w:val="55E42029"/>
    <w:rsid w:val="55E50B5B"/>
    <w:rsid w:val="55E53550"/>
    <w:rsid w:val="55E53563"/>
    <w:rsid w:val="55E53FF3"/>
    <w:rsid w:val="55E55DA1"/>
    <w:rsid w:val="55E62245"/>
    <w:rsid w:val="55E64236"/>
    <w:rsid w:val="55E71B19"/>
    <w:rsid w:val="55E727B5"/>
    <w:rsid w:val="55E82B84"/>
    <w:rsid w:val="55E875EF"/>
    <w:rsid w:val="55E92F5E"/>
    <w:rsid w:val="55E93037"/>
    <w:rsid w:val="55E93AE3"/>
    <w:rsid w:val="55E95892"/>
    <w:rsid w:val="55E966BD"/>
    <w:rsid w:val="55E97640"/>
    <w:rsid w:val="55EA0E79"/>
    <w:rsid w:val="55EA33B8"/>
    <w:rsid w:val="55EA5EC2"/>
    <w:rsid w:val="55EA6C97"/>
    <w:rsid w:val="55EB2648"/>
    <w:rsid w:val="55EB36C7"/>
    <w:rsid w:val="55EB682F"/>
    <w:rsid w:val="55EC00A8"/>
    <w:rsid w:val="55EC4AF5"/>
    <w:rsid w:val="55EC7130"/>
    <w:rsid w:val="55EC7C86"/>
    <w:rsid w:val="55ED23FA"/>
    <w:rsid w:val="55ED4109"/>
    <w:rsid w:val="55ED7157"/>
    <w:rsid w:val="55ED7B8B"/>
    <w:rsid w:val="55EE1531"/>
    <w:rsid w:val="55EE2EA8"/>
    <w:rsid w:val="55EE4C56"/>
    <w:rsid w:val="55EF53BC"/>
    <w:rsid w:val="55F00C7B"/>
    <w:rsid w:val="55F02393"/>
    <w:rsid w:val="55F04E72"/>
    <w:rsid w:val="55F06C20"/>
    <w:rsid w:val="55F07EB9"/>
    <w:rsid w:val="55F11349"/>
    <w:rsid w:val="55F12998"/>
    <w:rsid w:val="55F13374"/>
    <w:rsid w:val="55F14746"/>
    <w:rsid w:val="55F155D1"/>
    <w:rsid w:val="55F15FA4"/>
    <w:rsid w:val="55F16113"/>
    <w:rsid w:val="55F1735A"/>
    <w:rsid w:val="55F304BE"/>
    <w:rsid w:val="55F31078"/>
    <w:rsid w:val="55F34962"/>
    <w:rsid w:val="55F3561B"/>
    <w:rsid w:val="55F35E17"/>
    <w:rsid w:val="55F37AE8"/>
    <w:rsid w:val="55F44F16"/>
    <w:rsid w:val="55F54236"/>
    <w:rsid w:val="55F54744"/>
    <w:rsid w:val="55F6406C"/>
    <w:rsid w:val="55F65CBA"/>
    <w:rsid w:val="55F66200"/>
    <w:rsid w:val="55F67FAE"/>
    <w:rsid w:val="55F70B1B"/>
    <w:rsid w:val="55F751BB"/>
    <w:rsid w:val="55F804F6"/>
    <w:rsid w:val="55F81F79"/>
    <w:rsid w:val="55F82B46"/>
    <w:rsid w:val="55F83C24"/>
    <w:rsid w:val="55F83D27"/>
    <w:rsid w:val="55F84694"/>
    <w:rsid w:val="55F85AD5"/>
    <w:rsid w:val="55F86103"/>
    <w:rsid w:val="55F86516"/>
    <w:rsid w:val="55F90B4F"/>
    <w:rsid w:val="55F931AE"/>
    <w:rsid w:val="55F93719"/>
    <w:rsid w:val="55F96B96"/>
    <w:rsid w:val="55FA7725"/>
    <w:rsid w:val="55FB03CA"/>
    <w:rsid w:val="55FB32AF"/>
    <w:rsid w:val="55FB4449"/>
    <w:rsid w:val="55FB55C5"/>
    <w:rsid w:val="55FC1EE9"/>
    <w:rsid w:val="55FC6467"/>
    <w:rsid w:val="55FD133D"/>
    <w:rsid w:val="55FD30EB"/>
    <w:rsid w:val="55FD4720"/>
    <w:rsid w:val="55FD639A"/>
    <w:rsid w:val="55FD7055"/>
    <w:rsid w:val="55FD738A"/>
    <w:rsid w:val="55FE1C3A"/>
    <w:rsid w:val="55FE3B80"/>
    <w:rsid w:val="55FF3307"/>
    <w:rsid w:val="55FF50B5"/>
    <w:rsid w:val="55FF6E63"/>
    <w:rsid w:val="56002BDB"/>
    <w:rsid w:val="56004B04"/>
    <w:rsid w:val="56010B07"/>
    <w:rsid w:val="56010E2D"/>
    <w:rsid w:val="56015C5E"/>
    <w:rsid w:val="56020701"/>
    <w:rsid w:val="56024BA5"/>
    <w:rsid w:val="56031516"/>
    <w:rsid w:val="56031C3A"/>
    <w:rsid w:val="56033763"/>
    <w:rsid w:val="5603632F"/>
    <w:rsid w:val="560364D8"/>
    <w:rsid w:val="5604091D"/>
    <w:rsid w:val="56041DBB"/>
    <w:rsid w:val="56043840"/>
    <w:rsid w:val="56044479"/>
    <w:rsid w:val="56044998"/>
    <w:rsid w:val="5604729E"/>
    <w:rsid w:val="560476EB"/>
    <w:rsid w:val="56051070"/>
    <w:rsid w:val="56051FA0"/>
    <w:rsid w:val="56061419"/>
    <w:rsid w:val="56063820"/>
    <w:rsid w:val="56066443"/>
    <w:rsid w:val="56067310"/>
    <w:rsid w:val="560721BC"/>
    <w:rsid w:val="56075D18"/>
    <w:rsid w:val="5607674A"/>
    <w:rsid w:val="56080DC4"/>
    <w:rsid w:val="560836E3"/>
    <w:rsid w:val="5608702A"/>
    <w:rsid w:val="56087FCA"/>
    <w:rsid w:val="560901AF"/>
    <w:rsid w:val="56090DC7"/>
    <w:rsid w:val="56091A90"/>
    <w:rsid w:val="56095F34"/>
    <w:rsid w:val="56097CE2"/>
    <w:rsid w:val="560A5808"/>
    <w:rsid w:val="560B1CAC"/>
    <w:rsid w:val="560B3A5A"/>
    <w:rsid w:val="560B522F"/>
    <w:rsid w:val="560C1580"/>
    <w:rsid w:val="560C332E"/>
    <w:rsid w:val="560C551A"/>
    <w:rsid w:val="560D19DC"/>
    <w:rsid w:val="560D1FB2"/>
    <w:rsid w:val="560D288B"/>
    <w:rsid w:val="560E39DC"/>
    <w:rsid w:val="560E70A6"/>
    <w:rsid w:val="560F48D2"/>
    <w:rsid w:val="56101070"/>
    <w:rsid w:val="56102E1E"/>
    <w:rsid w:val="561072C2"/>
    <w:rsid w:val="56110933"/>
    <w:rsid w:val="56113503"/>
    <w:rsid w:val="56114DE8"/>
    <w:rsid w:val="56116B96"/>
    <w:rsid w:val="561203B9"/>
    <w:rsid w:val="56121DC3"/>
    <w:rsid w:val="561225E1"/>
    <w:rsid w:val="5612303A"/>
    <w:rsid w:val="56124432"/>
    <w:rsid w:val="56130317"/>
    <w:rsid w:val="5613082E"/>
    <w:rsid w:val="561313A7"/>
    <w:rsid w:val="56132512"/>
    <w:rsid w:val="561346BC"/>
    <w:rsid w:val="56150435"/>
    <w:rsid w:val="56153315"/>
    <w:rsid w:val="561548D9"/>
    <w:rsid w:val="56156687"/>
    <w:rsid w:val="561604B4"/>
    <w:rsid w:val="56160623"/>
    <w:rsid w:val="56160ACB"/>
    <w:rsid w:val="56160F2C"/>
    <w:rsid w:val="561623FF"/>
    <w:rsid w:val="561641AD"/>
    <w:rsid w:val="56166AC5"/>
    <w:rsid w:val="561736FF"/>
    <w:rsid w:val="56181056"/>
    <w:rsid w:val="561843C9"/>
    <w:rsid w:val="56186556"/>
    <w:rsid w:val="561870C5"/>
    <w:rsid w:val="56187F25"/>
    <w:rsid w:val="56191C96"/>
    <w:rsid w:val="56196DFF"/>
    <w:rsid w:val="561A1EEF"/>
    <w:rsid w:val="561A2661"/>
    <w:rsid w:val="561A3C9D"/>
    <w:rsid w:val="561B45B6"/>
    <w:rsid w:val="561C1CF9"/>
    <w:rsid w:val="561C59B2"/>
    <w:rsid w:val="561D19DF"/>
    <w:rsid w:val="561D1AA7"/>
    <w:rsid w:val="561D2EF6"/>
    <w:rsid w:val="561D36A5"/>
    <w:rsid w:val="561D553B"/>
    <w:rsid w:val="561E1A58"/>
    <w:rsid w:val="561F12B3"/>
    <w:rsid w:val="561F3061"/>
    <w:rsid w:val="561F5757"/>
    <w:rsid w:val="561F7505"/>
    <w:rsid w:val="56206DD9"/>
    <w:rsid w:val="5621105A"/>
    <w:rsid w:val="5621480F"/>
    <w:rsid w:val="5621502B"/>
    <w:rsid w:val="56216E39"/>
    <w:rsid w:val="56217428"/>
    <w:rsid w:val="56220DA3"/>
    <w:rsid w:val="56221408"/>
    <w:rsid w:val="56222B52"/>
    <w:rsid w:val="562253FD"/>
    <w:rsid w:val="56226FF5"/>
    <w:rsid w:val="5623019D"/>
    <w:rsid w:val="562426B7"/>
    <w:rsid w:val="56242D6E"/>
    <w:rsid w:val="56244B1C"/>
    <w:rsid w:val="562468CA"/>
    <w:rsid w:val="56247A78"/>
    <w:rsid w:val="56247EC6"/>
    <w:rsid w:val="56251DC9"/>
    <w:rsid w:val="56252C8B"/>
    <w:rsid w:val="562542C8"/>
    <w:rsid w:val="562543F0"/>
    <w:rsid w:val="56260894"/>
    <w:rsid w:val="562634CB"/>
    <w:rsid w:val="5626429A"/>
    <w:rsid w:val="562648FB"/>
    <w:rsid w:val="562649FE"/>
    <w:rsid w:val="56267C1D"/>
    <w:rsid w:val="56270168"/>
    <w:rsid w:val="56271907"/>
    <w:rsid w:val="5627460C"/>
    <w:rsid w:val="562763BA"/>
    <w:rsid w:val="56284342"/>
    <w:rsid w:val="562846B0"/>
    <w:rsid w:val="5629178B"/>
    <w:rsid w:val="5629200C"/>
    <w:rsid w:val="56292079"/>
    <w:rsid w:val="56293EE0"/>
    <w:rsid w:val="56294CA7"/>
    <w:rsid w:val="562A2A8B"/>
    <w:rsid w:val="562A4B2E"/>
    <w:rsid w:val="562A5895"/>
    <w:rsid w:val="562B40AB"/>
    <w:rsid w:val="562B40FC"/>
    <w:rsid w:val="562B53BB"/>
    <w:rsid w:val="562B5C2F"/>
    <w:rsid w:val="562B5EAA"/>
    <w:rsid w:val="562B7C58"/>
    <w:rsid w:val="562C010C"/>
    <w:rsid w:val="562C08FD"/>
    <w:rsid w:val="562C1C22"/>
    <w:rsid w:val="562C28B6"/>
    <w:rsid w:val="562C39D0"/>
    <w:rsid w:val="562C3AFC"/>
    <w:rsid w:val="562C577E"/>
    <w:rsid w:val="562C718C"/>
    <w:rsid w:val="562D159C"/>
    <w:rsid w:val="562D7239"/>
    <w:rsid w:val="562D7E5B"/>
    <w:rsid w:val="562E14F6"/>
    <w:rsid w:val="562E4C15"/>
    <w:rsid w:val="562E569E"/>
    <w:rsid w:val="562F1756"/>
    <w:rsid w:val="562F3BF3"/>
    <w:rsid w:val="563009B9"/>
    <w:rsid w:val="56301712"/>
    <w:rsid w:val="563034C0"/>
    <w:rsid w:val="56305D62"/>
    <w:rsid w:val="56310FE7"/>
    <w:rsid w:val="56311516"/>
    <w:rsid w:val="56312D95"/>
    <w:rsid w:val="563138A2"/>
    <w:rsid w:val="5632076C"/>
    <w:rsid w:val="5632283D"/>
    <w:rsid w:val="5632631D"/>
    <w:rsid w:val="56330066"/>
    <w:rsid w:val="563306E0"/>
    <w:rsid w:val="56332FB1"/>
    <w:rsid w:val="56334D5F"/>
    <w:rsid w:val="56340DF6"/>
    <w:rsid w:val="5634603B"/>
    <w:rsid w:val="56350AD7"/>
    <w:rsid w:val="56352885"/>
    <w:rsid w:val="56355852"/>
    <w:rsid w:val="56356D29"/>
    <w:rsid w:val="563576D1"/>
    <w:rsid w:val="56366403"/>
    <w:rsid w:val="56367BC0"/>
    <w:rsid w:val="5637332C"/>
    <w:rsid w:val="5637484F"/>
    <w:rsid w:val="56382375"/>
    <w:rsid w:val="56383ADE"/>
    <w:rsid w:val="56384123"/>
    <w:rsid w:val="56384F6E"/>
    <w:rsid w:val="56393EED"/>
    <w:rsid w:val="56396706"/>
    <w:rsid w:val="563A3FF5"/>
    <w:rsid w:val="563A433F"/>
    <w:rsid w:val="563A7E9B"/>
    <w:rsid w:val="563B245F"/>
    <w:rsid w:val="563B3C13"/>
    <w:rsid w:val="563B5030"/>
    <w:rsid w:val="563C00B7"/>
    <w:rsid w:val="563C40E5"/>
    <w:rsid w:val="563D0F57"/>
    <w:rsid w:val="563D52E6"/>
    <w:rsid w:val="563D59A7"/>
    <w:rsid w:val="563D5BDD"/>
    <w:rsid w:val="563D798B"/>
    <w:rsid w:val="563E61C8"/>
    <w:rsid w:val="563F1955"/>
    <w:rsid w:val="563F226F"/>
    <w:rsid w:val="563F3703"/>
    <w:rsid w:val="563F54B2"/>
    <w:rsid w:val="563F74FF"/>
    <w:rsid w:val="563F753A"/>
    <w:rsid w:val="5640122A"/>
    <w:rsid w:val="56401FB6"/>
    <w:rsid w:val="56413980"/>
    <w:rsid w:val="5641747C"/>
    <w:rsid w:val="56417539"/>
    <w:rsid w:val="56420A9E"/>
    <w:rsid w:val="564231F4"/>
    <w:rsid w:val="5642691E"/>
    <w:rsid w:val="56426B33"/>
    <w:rsid w:val="56426F24"/>
    <w:rsid w:val="56431446"/>
    <w:rsid w:val="564358BF"/>
    <w:rsid w:val="5643639E"/>
    <w:rsid w:val="56440D1A"/>
    <w:rsid w:val="56443B98"/>
    <w:rsid w:val="56444C51"/>
    <w:rsid w:val="564451BE"/>
    <w:rsid w:val="56446F6C"/>
    <w:rsid w:val="56454D26"/>
    <w:rsid w:val="564551F9"/>
    <w:rsid w:val="56455319"/>
    <w:rsid w:val="564557B0"/>
    <w:rsid w:val="5646003B"/>
    <w:rsid w:val="56461F01"/>
    <w:rsid w:val="56462CE4"/>
    <w:rsid w:val="56462F23"/>
    <w:rsid w:val="56463818"/>
    <w:rsid w:val="56464A92"/>
    <w:rsid w:val="56465781"/>
    <w:rsid w:val="564668F8"/>
    <w:rsid w:val="5647080A"/>
    <w:rsid w:val="564861A3"/>
    <w:rsid w:val="56490F3E"/>
    <w:rsid w:val="56495D96"/>
    <w:rsid w:val="564A48D7"/>
    <w:rsid w:val="564A6CA3"/>
    <w:rsid w:val="564B02FA"/>
    <w:rsid w:val="564B3E56"/>
    <w:rsid w:val="564B43CE"/>
    <w:rsid w:val="564B5BB5"/>
    <w:rsid w:val="564C33E3"/>
    <w:rsid w:val="564C5E20"/>
    <w:rsid w:val="564C5FB4"/>
    <w:rsid w:val="564E1B99"/>
    <w:rsid w:val="564E304F"/>
    <w:rsid w:val="564E3947"/>
    <w:rsid w:val="564E7DEA"/>
    <w:rsid w:val="564F0A47"/>
    <w:rsid w:val="564F1D64"/>
    <w:rsid w:val="564F34A5"/>
    <w:rsid w:val="564F49C2"/>
    <w:rsid w:val="564F5ABF"/>
    <w:rsid w:val="56501167"/>
    <w:rsid w:val="565018FC"/>
    <w:rsid w:val="56503B63"/>
    <w:rsid w:val="56504234"/>
    <w:rsid w:val="565054B7"/>
    <w:rsid w:val="56505911"/>
    <w:rsid w:val="565060B6"/>
    <w:rsid w:val="565076BF"/>
    <w:rsid w:val="56511C98"/>
    <w:rsid w:val="56513437"/>
    <w:rsid w:val="56514C1D"/>
    <w:rsid w:val="56517F8A"/>
    <w:rsid w:val="565306E5"/>
    <w:rsid w:val="56530F5D"/>
    <w:rsid w:val="56531871"/>
    <w:rsid w:val="5653231D"/>
    <w:rsid w:val="56532FDA"/>
    <w:rsid w:val="565524DA"/>
    <w:rsid w:val="56552F27"/>
    <w:rsid w:val="56553095"/>
    <w:rsid w:val="565545BB"/>
    <w:rsid w:val="56556BF5"/>
    <w:rsid w:val="56560772"/>
    <w:rsid w:val="5656110D"/>
    <w:rsid w:val="5656436E"/>
    <w:rsid w:val="565644B1"/>
    <w:rsid w:val="565656CF"/>
    <w:rsid w:val="56567066"/>
    <w:rsid w:val="565704F6"/>
    <w:rsid w:val="565745AF"/>
    <w:rsid w:val="56574EF1"/>
    <w:rsid w:val="56576C9F"/>
    <w:rsid w:val="56580B20"/>
    <w:rsid w:val="56583407"/>
    <w:rsid w:val="56584CC4"/>
    <w:rsid w:val="56586573"/>
    <w:rsid w:val="56586F52"/>
    <w:rsid w:val="565952BB"/>
    <w:rsid w:val="565965A4"/>
    <w:rsid w:val="56597128"/>
    <w:rsid w:val="565A053D"/>
    <w:rsid w:val="565A05DF"/>
    <w:rsid w:val="565A22EB"/>
    <w:rsid w:val="565A374F"/>
    <w:rsid w:val="565A4685"/>
    <w:rsid w:val="565A5F67"/>
    <w:rsid w:val="565A699C"/>
    <w:rsid w:val="565A7E54"/>
    <w:rsid w:val="565B033A"/>
    <w:rsid w:val="565B1BFE"/>
    <w:rsid w:val="565B237D"/>
    <w:rsid w:val="565B2B5B"/>
    <w:rsid w:val="565C123F"/>
    <w:rsid w:val="565C2AF0"/>
    <w:rsid w:val="565C2ED8"/>
    <w:rsid w:val="565C42B5"/>
    <w:rsid w:val="565C6063"/>
    <w:rsid w:val="565D002E"/>
    <w:rsid w:val="565D3322"/>
    <w:rsid w:val="565D343D"/>
    <w:rsid w:val="565D3B8A"/>
    <w:rsid w:val="565D408D"/>
    <w:rsid w:val="565E57F8"/>
    <w:rsid w:val="565E627F"/>
    <w:rsid w:val="565F3DA6"/>
    <w:rsid w:val="565F4D5F"/>
    <w:rsid w:val="565F6AEE"/>
    <w:rsid w:val="565F7902"/>
    <w:rsid w:val="566029D6"/>
    <w:rsid w:val="56602CE9"/>
    <w:rsid w:val="5660442A"/>
    <w:rsid w:val="5660517B"/>
    <w:rsid w:val="566118CC"/>
    <w:rsid w:val="5661228B"/>
    <w:rsid w:val="56612489"/>
    <w:rsid w:val="5661367A"/>
    <w:rsid w:val="5661528F"/>
    <w:rsid w:val="56621E36"/>
    <w:rsid w:val="56625644"/>
    <w:rsid w:val="56632DAB"/>
    <w:rsid w:val="56633896"/>
    <w:rsid w:val="56635FD2"/>
    <w:rsid w:val="566376FA"/>
    <w:rsid w:val="56644F18"/>
    <w:rsid w:val="56645C60"/>
    <w:rsid w:val="56652726"/>
    <w:rsid w:val="56660C90"/>
    <w:rsid w:val="56664646"/>
    <w:rsid w:val="566650E9"/>
    <w:rsid w:val="566662CB"/>
    <w:rsid w:val="56670EB9"/>
    <w:rsid w:val="566716DA"/>
    <w:rsid w:val="5667605F"/>
    <w:rsid w:val="56680EAC"/>
    <w:rsid w:val="56684C7E"/>
    <w:rsid w:val="56686813"/>
    <w:rsid w:val="56687B29"/>
    <w:rsid w:val="56692B11"/>
    <w:rsid w:val="56692FD1"/>
    <w:rsid w:val="56694C24"/>
    <w:rsid w:val="56696F00"/>
    <w:rsid w:val="566B457E"/>
    <w:rsid w:val="566C201F"/>
    <w:rsid w:val="566C29CD"/>
    <w:rsid w:val="566C39D2"/>
    <w:rsid w:val="566C7E86"/>
    <w:rsid w:val="566D0271"/>
    <w:rsid w:val="566D64C3"/>
    <w:rsid w:val="566E3C82"/>
    <w:rsid w:val="566E3FE9"/>
    <w:rsid w:val="566E5D97"/>
    <w:rsid w:val="566E5DAA"/>
    <w:rsid w:val="566E677D"/>
    <w:rsid w:val="566F234F"/>
    <w:rsid w:val="566F33D2"/>
    <w:rsid w:val="5670204F"/>
    <w:rsid w:val="56707387"/>
    <w:rsid w:val="5671442C"/>
    <w:rsid w:val="567159A4"/>
    <w:rsid w:val="5671683F"/>
    <w:rsid w:val="56720B88"/>
    <w:rsid w:val="567221F5"/>
    <w:rsid w:val="56723AD9"/>
    <w:rsid w:val="56727B44"/>
    <w:rsid w:val="5673115F"/>
    <w:rsid w:val="5673568A"/>
    <w:rsid w:val="56737851"/>
    <w:rsid w:val="567535C9"/>
    <w:rsid w:val="567551C0"/>
    <w:rsid w:val="56757125"/>
    <w:rsid w:val="56764C4B"/>
    <w:rsid w:val="56765263"/>
    <w:rsid w:val="56766650"/>
    <w:rsid w:val="56770254"/>
    <w:rsid w:val="567710EF"/>
    <w:rsid w:val="56771994"/>
    <w:rsid w:val="56772E9D"/>
    <w:rsid w:val="56774584"/>
    <w:rsid w:val="56774F68"/>
    <w:rsid w:val="567809C3"/>
    <w:rsid w:val="56781057"/>
    <w:rsid w:val="56783140"/>
    <w:rsid w:val="56786C15"/>
    <w:rsid w:val="56791F36"/>
    <w:rsid w:val="56792400"/>
    <w:rsid w:val="567943AF"/>
    <w:rsid w:val="56794E67"/>
    <w:rsid w:val="56794FD1"/>
    <w:rsid w:val="567A0BDF"/>
    <w:rsid w:val="567A473C"/>
    <w:rsid w:val="567A6356"/>
    <w:rsid w:val="567A6665"/>
    <w:rsid w:val="567C5AE1"/>
    <w:rsid w:val="567C6706"/>
    <w:rsid w:val="567D422C"/>
    <w:rsid w:val="567E306B"/>
    <w:rsid w:val="567E6E66"/>
    <w:rsid w:val="567F1D52"/>
    <w:rsid w:val="567F21D7"/>
    <w:rsid w:val="567F61F6"/>
    <w:rsid w:val="567F6F04"/>
    <w:rsid w:val="567F7FA4"/>
    <w:rsid w:val="568023CE"/>
    <w:rsid w:val="568043CA"/>
    <w:rsid w:val="56804A33"/>
    <w:rsid w:val="56807F55"/>
    <w:rsid w:val="56811F6E"/>
    <w:rsid w:val="56813763"/>
    <w:rsid w:val="56813D1C"/>
    <w:rsid w:val="56815ACA"/>
    <w:rsid w:val="56821764"/>
    <w:rsid w:val="56823F0C"/>
    <w:rsid w:val="568321BB"/>
    <w:rsid w:val="56833BAA"/>
    <w:rsid w:val="56837A94"/>
    <w:rsid w:val="56837DBC"/>
    <w:rsid w:val="5684049D"/>
    <w:rsid w:val="56840A94"/>
    <w:rsid w:val="5684508C"/>
    <w:rsid w:val="568455BA"/>
    <w:rsid w:val="56845E3D"/>
    <w:rsid w:val="5684661A"/>
    <w:rsid w:val="56856583"/>
    <w:rsid w:val="56861DA8"/>
    <w:rsid w:val="568627ED"/>
    <w:rsid w:val="568630E0"/>
    <w:rsid w:val="56866CFB"/>
    <w:rsid w:val="56867584"/>
    <w:rsid w:val="56881EF5"/>
    <w:rsid w:val="568832FC"/>
    <w:rsid w:val="568850AA"/>
    <w:rsid w:val="56890E23"/>
    <w:rsid w:val="56891D2C"/>
    <w:rsid w:val="56892BD1"/>
    <w:rsid w:val="5689497F"/>
    <w:rsid w:val="56894F10"/>
    <w:rsid w:val="56895B8B"/>
    <w:rsid w:val="568A1DEA"/>
    <w:rsid w:val="568A220F"/>
    <w:rsid w:val="568A52EB"/>
    <w:rsid w:val="568A653E"/>
    <w:rsid w:val="568A7075"/>
    <w:rsid w:val="568B4B9B"/>
    <w:rsid w:val="568B53C7"/>
    <w:rsid w:val="568C0876"/>
    <w:rsid w:val="568C4883"/>
    <w:rsid w:val="568D0913"/>
    <w:rsid w:val="568D26C1"/>
    <w:rsid w:val="568D446F"/>
    <w:rsid w:val="568E01E7"/>
    <w:rsid w:val="568E5D67"/>
    <w:rsid w:val="568E7F08"/>
    <w:rsid w:val="568F0938"/>
    <w:rsid w:val="568F468B"/>
    <w:rsid w:val="568F6618"/>
    <w:rsid w:val="569021B1"/>
    <w:rsid w:val="56902599"/>
    <w:rsid w:val="56903F5F"/>
    <w:rsid w:val="569177A9"/>
    <w:rsid w:val="5692172C"/>
    <w:rsid w:val="56921A85"/>
    <w:rsid w:val="5692595D"/>
    <w:rsid w:val="56925F29"/>
    <w:rsid w:val="5693042F"/>
    <w:rsid w:val="56933A4F"/>
    <w:rsid w:val="569357FD"/>
    <w:rsid w:val="56951575"/>
    <w:rsid w:val="56952097"/>
    <w:rsid w:val="56955A19"/>
    <w:rsid w:val="569577C7"/>
    <w:rsid w:val="569644F9"/>
    <w:rsid w:val="56971EFA"/>
    <w:rsid w:val="5697353F"/>
    <w:rsid w:val="569746CD"/>
    <w:rsid w:val="569752EE"/>
    <w:rsid w:val="56976E3A"/>
    <w:rsid w:val="5697709C"/>
    <w:rsid w:val="56981066"/>
    <w:rsid w:val="569819EA"/>
    <w:rsid w:val="56982E14"/>
    <w:rsid w:val="569844F5"/>
    <w:rsid w:val="569862F0"/>
    <w:rsid w:val="569972B8"/>
    <w:rsid w:val="569A1D83"/>
    <w:rsid w:val="569A3030"/>
    <w:rsid w:val="569A40F6"/>
    <w:rsid w:val="569A430A"/>
    <w:rsid w:val="569A6B8C"/>
    <w:rsid w:val="569B1BC1"/>
    <w:rsid w:val="569C2904"/>
    <w:rsid w:val="569C2C4A"/>
    <w:rsid w:val="569C2F3C"/>
    <w:rsid w:val="569C7FF0"/>
    <w:rsid w:val="569D042A"/>
    <w:rsid w:val="569D3AAB"/>
    <w:rsid w:val="569D5AF1"/>
    <w:rsid w:val="569D5C6F"/>
    <w:rsid w:val="569E155A"/>
    <w:rsid w:val="569E585C"/>
    <w:rsid w:val="569F0646"/>
    <w:rsid w:val="569F144F"/>
    <w:rsid w:val="569F1D25"/>
    <w:rsid w:val="569F23F4"/>
    <w:rsid w:val="569F41A2"/>
    <w:rsid w:val="569F6CEC"/>
    <w:rsid w:val="56A0017C"/>
    <w:rsid w:val="56A00650"/>
    <w:rsid w:val="56A02494"/>
    <w:rsid w:val="56A143BE"/>
    <w:rsid w:val="56A1616C"/>
    <w:rsid w:val="56A16473"/>
    <w:rsid w:val="56A17F1A"/>
    <w:rsid w:val="56A2408D"/>
    <w:rsid w:val="56A25616"/>
    <w:rsid w:val="56A25A40"/>
    <w:rsid w:val="56A30136"/>
    <w:rsid w:val="56A30A8F"/>
    <w:rsid w:val="56A330E5"/>
    <w:rsid w:val="56A44938"/>
    <w:rsid w:val="56A45C5C"/>
    <w:rsid w:val="56A463ED"/>
    <w:rsid w:val="56A46B6A"/>
    <w:rsid w:val="56A47A0A"/>
    <w:rsid w:val="56A52001"/>
    <w:rsid w:val="56A619D5"/>
    <w:rsid w:val="56A61DC2"/>
    <w:rsid w:val="56A63783"/>
    <w:rsid w:val="56A63FEE"/>
    <w:rsid w:val="56A65F13"/>
    <w:rsid w:val="56A66856"/>
    <w:rsid w:val="56A7129B"/>
    <w:rsid w:val="56A7183C"/>
    <w:rsid w:val="56A72C7F"/>
    <w:rsid w:val="56A73E59"/>
    <w:rsid w:val="56A7565F"/>
    <w:rsid w:val="56A75A24"/>
    <w:rsid w:val="56A75DA2"/>
    <w:rsid w:val="56A774B5"/>
    <w:rsid w:val="56A77BCA"/>
    <w:rsid w:val="56A814DF"/>
    <w:rsid w:val="56A83DD4"/>
    <w:rsid w:val="56A8574D"/>
    <w:rsid w:val="56A8690E"/>
    <w:rsid w:val="56A9296F"/>
    <w:rsid w:val="56A949C2"/>
    <w:rsid w:val="56A96DCF"/>
    <w:rsid w:val="56AA059F"/>
    <w:rsid w:val="56AA1C8B"/>
    <w:rsid w:val="56AA21E0"/>
    <w:rsid w:val="56AA2258"/>
    <w:rsid w:val="56AA5540"/>
    <w:rsid w:val="56AA5C3E"/>
    <w:rsid w:val="56AB0D99"/>
    <w:rsid w:val="56AB262D"/>
    <w:rsid w:val="56AC0EE6"/>
    <w:rsid w:val="56AC58A8"/>
    <w:rsid w:val="56AC619E"/>
    <w:rsid w:val="56AC7E60"/>
    <w:rsid w:val="56AD2D63"/>
    <w:rsid w:val="56AD4B11"/>
    <w:rsid w:val="56AE43B1"/>
    <w:rsid w:val="56AE55E1"/>
    <w:rsid w:val="56AF0268"/>
    <w:rsid w:val="56AF0889"/>
    <w:rsid w:val="56AF1A06"/>
    <w:rsid w:val="56AF6ADB"/>
    <w:rsid w:val="56B0015D"/>
    <w:rsid w:val="56B04B74"/>
    <w:rsid w:val="56B063AF"/>
    <w:rsid w:val="56B11101"/>
    <w:rsid w:val="56B13CD2"/>
    <w:rsid w:val="56B20379"/>
    <w:rsid w:val="56B22127"/>
    <w:rsid w:val="56B22A9C"/>
    <w:rsid w:val="56B24F6A"/>
    <w:rsid w:val="56B30473"/>
    <w:rsid w:val="56B34FD7"/>
    <w:rsid w:val="56B37C4E"/>
    <w:rsid w:val="56B417B4"/>
    <w:rsid w:val="56B42DBD"/>
    <w:rsid w:val="56B47A82"/>
    <w:rsid w:val="56B51C18"/>
    <w:rsid w:val="56B539C6"/>
    <w:rsid w:val="56B54C1D"/>
    <w:rsid w:val="56B551FF"/>
    <w:rsid w:val="56B55774"/>
    <w:rsid w:val="56B57E6A"/>
    <w:rsid w:val="56B61219"/>
    <w:rsid w:val="56B618F1"/>
    <w:rsid w:val="56B61FDB"/>
    <w:rsid w:val="56B62312"/>
    <w:rsid w:val="56B714EC"/>
    <w:rsid w:val="56B72805"/>
    <w:rsid w:val="56B748A2"/>
    <w:rsid w:val="56B748BB"/>
    <w:rsid w:val="56B74F73"/>
    <w:rsid w:val="56B75990"/>
    <w:rsid w:val="56B82FF8"/>
    <w:rsid w:val="56B85264"/>
    <w:rsid w:val="56B868CC"/>
    <w:rsid w:val="56B87BDA"/>
    <w:rsid w:val="56B914FA"/>
    <w:rsid w:val="56B92A6E"/>
    <w:rsid w:val="56B95317"/>
    <w:rsid w:val="56B97B68"/>
    <w:rsid w:val="56BA0FDC"/>
    <w:rsid w:val="56BA6B02"/>
    <w:rsid w:val="56BC2FA6"/>
    <w:rsid w:val="56BC4D54"/>
    <w:rsid w:val="56BC5A0F"/>
    <w:rsid w:val="56BC6214"/>
    <w:rsid w:val="56BD287A"/>
    <w:rsid w:val="56BE0ACC"/>
    <w:rsid w:val="56BE5ABA"/>
    <w:rsid w:val="56BE7E5B"/>
    <w:rsid w:val="56BF2058"/>
    <w:rsid w:val="56BF2B93"/>
    <w:rsid w:val="56BF4844"/>
    <w:rsid w:val="56BF4B95"/>
    <w:rsid w:val="56C02A96"/>
    <w:rsid w:val="56C072E4"/>
    <w:rsid w:val="56C077AA"/>
    <w:rsid w:val="56C105BC"/>
    <w:rsid w:val="56C10BF6"/>
    <w:rsid w:val="56C1236A"/>
    <w:rsid w:val="56C137C7"/>
    <w:rsid w:val="56C1680E"/>
    <w:rsid w:val="56C17C0F"/>
    <w:rsid w:val="56C24C57"/>
    <w:rsid w:val="56C251C0"/>
    <w:rsid w:val="56C252B0"/>
    <w:rsid w:val="56C25D72"/>
    <w:rsid w:val="56C30EB0"/>
    <w:rsid w:val="56C32250"/>
    <w:rsid w:val="56C340BC"/>
    <w:rsid w:val="56C34335"/>
    <w:rsid w:val="56C35CCA"/>
    <w:rsid w:val="56C36348"/>
    <w:rsid w:val="56C41E5B"/>
    <w:rsid w:val="56C47577"/>
    <w:rsid w:val="56C536A0"/>
    <w:rsid w:val="56C53780"/>
    <w:rsid w:val="56C5564A"/>
    <w:rsid w:val="56C61E97"/>
    <w:rsid w:val="56C62E2E"/>
    <w:rsid w:val="56C62E6D"/>
    <w:rsid w:val="56C63E25"/>
    <w:rsid w:val="56C6440F"/>
    <w:rsid w:val="56C64655"/>
    <w:rsid w:val="56C67981"/>
    <w:rsid w:val="56C70386"/>
    <w:rsid w:val="56C803A2"/>
    <w:rsid w:val="56C836F9"/>
    <w:rsid w:val="56C853AF"/>
    <w:rsid w:val="56C854A7"/>
    <w:rsid w:val="56C85B33"/>
    <w:rsid w:val="56C85EF8"/>
    <w:rsid w:val="56C87B9D"/>
    <w:rsid w:val="56C97869"/>
    <w:rsid w:val="56CA1CA8"/>
    <w:rsid w:val="56CA2991"/>
    <w:rsid w:val="56CA52D5"/>
    <w:rsid w:val="56CA56C3"/>
    <w:rsid w:val="56CB143B"/>
    <w:rsid w:val="56CB2D43"/>
    <w:rsid w:val="56CB31E9"/>
    <w:rsid w:val="56CB6F14"/>
    <w:rsid w:val="56CB7468"/>
    <w:rsid w:val="56CC4DE0"/>
    <w:rsid w:val="56CC5D09"/>
    <w:rsid w:val="56CD1D6A"/>
    <w:rsid w:val="56CD49AA"/>
    <w:rsid w:val="56CD51B3"/>
    <w:rsid w:val="56CD7199"/>
    <w:rsid w:val="56CD7B3B"/>
    <w:rsid w:val="56CE1969"/>
    <w:rsid w:val="56CE3F2B"/>
    <w:rsid w:val="56CE4A87"/>
    <w:rsid w:val="56CE6835"/>
    <w:rsid w:val="56CF0E06"/>
    <w:rsid w:val="56CF0F2B"/>
    <w:rsid w:val="56CF2CD9"/>
    <w:rsid w:val="56CF4F2F"/>
    <w:rsid w:val="56D007FF"/>
    <w:rsid w:val="56D025AE"/>
    <w:rsid w:val="56D03361"/>
    <w:rsid w:val="56D0597B"/>
    <w:rsid w:val="56D06A51"/>
    <w:rsid w:val="56D11F79"/>
    <w:rsid w:val="56D17C19"/>
    <w:rsid w:val="56D20841"/>
    <w:rsid w:val="56D26326"/>
    <w:rsid w:val="56D3300B"/>
    <w:rsid w:val="56D35C3B"/>
    <w:rsid w:val="56D4209E"/>
    <w:rsid w:val="56D45D22"/>
    <w:rsid w:val="56D46542"/>
    <w:rsid w:val="56D5019B"/>
    <w:rsid w:val="56D524B3"/>
    <w:rsid w:val="56D54DC7"/>
    <w:rsid w:val="56D5543B"/>
    <w:rsid w:val="56D57BC4"/>
    <w:rsid w:val="56D6198C"/>
    <w:rsid w:val="56D64A8E"/>
    <w:rsid w:val="56D71B8E"/>
    <w:rsid w:val="56D7393C"/>
    <w:rsid w:val="56D7455D"/>
    <w:rsid w:val="56D759ED"/>
    <w:rsid w:val="56D823DB"/>
    <w:rsid w:val="56D84AD3"/>
    <w:rsid w:val="56D86546"/>
    <w:rsid w:val="56D9030D"/>
    <w:rsid w:val="56D93B58"/>
    <w:rsid w:val="56D952A8"/>
    <w:rsid w:val="56D95906"/>
    <w:rsid w:val="56DA12D1"/>
    <w:rsid w:val="56DA2EDE"/>
    <w:rsid w:val="56DA342C"/>
    <w:rsid w:val="56DA5E49"/>
    <w:rsid w:val="56DA744F"/>
    <w:rsid w:val="56DB436E"/>
    <w:rsid w:val="56DB4899"/>
    <w:rsid w:val="56DB78D0"/>
    <w:rsid w:val="56DC003D"/>
    <w:rsid w:val="56DC0F52"/>
    <w:rsid w:val="56DC24B6"/>
    <w:rsid w:val="56DC71A4"/>
    <w:rsid w:val="56DD1B24"/>
    <w:rsid w:val="56DE116E"/>
    <w:rsid w:val="56DE2F1C"/>
    <w:rsid w:val="56DE6BE5"/>
    <w:rsid w:val="56DF0A43"/>
    <w:rsid w:val="56DF60CC"/>
    <w:rsid w:val="56DF6C95"/>
    <w:rsid w:val="56E01379"/>
    <w:rsid w:val="56E0560F"/>
    <w:rsid w:val="56E05BB4"/>
    <w:rsid w:val="56E101E0"/>
    <w:rsid w:val="56E10C5F"/>
    <w:rsid w:val="56E11E48"/>
    <w:rsid w:val="56E12A0D"/>
    <w:rsid w:val="56E21670"/>
    <w:rsid w:val="56E224F6"/>
    <w:rsid w:val="56E263CA"/>
    <w:rsid w:val="56E26E86"/>
    <w:rsid w:val="56E30533"/>
    <w:rsid w:val="56E322E1"/>
    <w:rsid w:val="56E4369A"/>
    <w:rsid w:val="56E46A8E"/>
    <w:rsid w:val="56E47BF1"/>
    <w:rsid w:val="56E52553"/>
    <w:rsid w:val="56E542AB"/>
    <w:rsid w:val="56E568B0"/>
    <w:rsid w:val="56E60023"/>
    <w:rsid w:val="56E602CA"/>
    <w:rsid w:val="56E61481"/>
    <w:rsid w:val="56E61DD1"/>
    <w:rsid w:val="56E6209D"/>
    <w:rsid w:val="56E6539D"/>
    <w:rsid w:val="56E66106"/>
    <w:rsid w:val="56E71797"/>
    <w:rsid w:val="56E83D9B"/>
    <w:rsid w:val="56E85B49"/>
    <w:rsid w:val="56E87193"/>
    <w:rsid w:val="56E878F7"/>
    <w:rsid w:val="56E95231"/>
    <w:rsid w:val="56E966AB"/>
    <w:rsid w:val="56EA1292"/>
    <w:rsid w:val="56EA7B13"/>
    <w:rsid w:val="56EB011D"/>
    <w:rsid w:val="56EB388B"/>
    <w:rsid w:val="56EB5639"/>
    <w:rsid w:val="56ED13B1"/>
    <w:rsid w:val="56ED1C78"/>
    <w:rsid w:val="56ED315F"/>
    <w:rsid w:val="56ED3C1D"/>
    <w:rsid w:val="56ED6718"/>
    <w:rsid w:val="56ED7603"/>
    <w:rsid w:val="56EE0C86"/>
    <w:rsid w:val="56EE4F2B"/>
    <w:rsid w:val="56EE7E34"/>
    <w:rsid w:val="56EF512A"/>
    <w:rsid w:val="56EF6ED8"/>
    <w:rsid w:val="56F00EA2"/>
    <w:rsid w:val="56F049FE"/>
    <w:rsid w:val="56F05104"/>
    <w:rsid w:val="56F05A9B"/>
    <w:rsid w:val="56F11165"/>
    <w:rsid w:val="56F131A4"/>
    <w:rsid w:val="56F20776"/>
    <w:rsid w:val="56F2139A"/>
    <w:rsid w:val="56F225F5"/>
    <w:rsid w:val="56F24C1A"/>
    <w:rsid w:val="56F27A24"/>
    <w:rsid w:val="56F32B36"/>
    <w:rsid w:val="56F35097"/>
    <w:rsid w:val="56F3629C"/>
    <w:rsid w:val="56F379AE"/>
    <w:rsid w:val="56F37C7C"/>
    <w:rsid w:val="56F37F17"/>
    <w:rsid w:val="56F40992"/>
    <w:rsid w:val="56F42740"/>
    <w:rsid w:val="56F42ADC"/>
    <w:rsid w:val="56F444EE"/>
    <w:rsid w:val="56F45596"/>
    <w:rsid w:val="56F50266"/>
    <w:rsid w:val="56F50625"/>
    <w:rsid w:val="56F50876"/>
    <w:rsid w:val="56F52014"/>
    <w:rsid w:val="56F549A2"/>
    <w:rsid w:val="56F5666F"/>
    <w:rsid w:val="56F613B1"/>
    <w:rsid w:val="56F61B8A"/>
    <w:rsid w:val="56F62872"/>
    <w:rsid w:val="56F6302C"/>
    <w:rsid w:val="56F71C0B"/>
    <w:rsid w:val="56F72230"/>
    <w:rsid w:val="56F75251"/>
    <w:rsid w:val="56F75D8C"/>
    <w:rsid w:val="56F77E2F"/>
    <w:rsid w:val="56F83896"/>
    <w:rsid w:val="56F83F8C"/>
    <w:rsid w:val="56F84D6A"/>
    <w:rsid w:val="56F852F2"/>
    <w:rsid w:val="56F853E0"/>
    <w:rsid w:val="56F86467"/>
    <w:rsid w:val="56F921F4"/>
    <w:rsid w:val="56F94548"/>
    <w:rsid w:val="56F95FA8"/>
    <w:rsid w:val="56FA0CB7"/>
    <w:rsid w:val="56FA0D87"/>
    <w:rsid w:val="56FA188F"/>
    <w:rsid w:val="56FA3704"/>
    <w:rsid w:val="56FA755E"/>
    <w:rsid w:val="56FA762A"/>
    <w:rsid w:val="56FB1D20"/>
    <w:rsid w:val="56FB3378"/>
    <w:rsid w:val="56FB46F5"/>
    <w:rsid w:val="56FC15F5"/>
    <w:rsid w:val="56FC3212"/>
    <w:rsid w:val="56FC342C"/>
    <w:rsid w:val="56FC7193"/>
    <w:rsid w:val="56FD66F7"/>
    <w:rsid w:val="56FE536D"/>
    <w:rsid w:val="56FE6494"/>
    <w:rsid w:val="56FE711B"/>
    <w:rsid w:val="56FF2E93"/>
    <w:rsid w:val="56FF3769"/>
    <w:rsid w:val="570010E5"/>
    <w:rsid w:val="57002130"/>
    <w:rsid w:val="57004D88"/>
    <w:rsid w:val="570057E7"/>
    <w:rsid w:val="570057F6"/>
    <w:rsid w:val="57014969"/>
    <w:rsid w:val="57014E5D"/>
    <w:rsid w:val="57021979"/>
    <w:rsid w:val="570222B1"/>
    <w:rsid w:val="57024B59"/>
    <w:rsid w:val="570258AE"/>
    <w:rsid w:val="57030BD5"/>
    <w:rsid w:val="57032983"/>
    <w:rsid w:val="5703357A"/>
    <w:rsid w:val="57033CEB"/>
    <w:rsid w:val="57034731"/>
    <w:rsid w:val="57035150"/>
    <w:rsid w:val="570404A9"/>
    <w:rsid w:val="57040AD4"/>
    <w:rsid w:val="57041E39"/>
    <w:rsid w:val="570425E8"/>
    <w:rsid w:val="57044CB1"/>
    <w:rsid w:val="570550AF"/>
    <w:rsid w:val="57055595"/>
    <w:rsid w:val="57055E9A"/>
    <w:rsid w:val="570566FB"/>
    <w:rsid w:val="57062473"/>
    <w:rsid w:val="57067644"/>
    <w:rsid w:val="57071993"/>
    <w:rsid w:val="57071EFB"/>
    <w:rsid w:val="57073816"/>
    <w:rsid w:val="57080108"/>
    <w:rsid w:val="57081D47"/>
    <w:rsid w:val="5708338B"/>
    <w:rsid w:val="57087F99"/>
    <w:rsid w:val="57095CAB"/>
    <w:rsid w:val="5709675A"/>
    <w:rsid w:val="570A1F63"/>
    <w:rsid w:val="570A2678"/>
    <w:rsid w:val="570A6BD7"/>
    <w:rsid w:val="570C0E32"/>
    <w:rsid w:val="570C2B57"/>
    <w:rsid w:val="570D09E8"/>
    <w:rsid w:val="570D1A54"/>
    <w:rsid w:val="570D3802"/>
    <w:rsid w:val="570D55B0"/>
    <w:rsid w:val="570D735E"/>
    <w:rsid w:val="570D7BCB"/>
    <w:rsid w:val="570E6AC4"/>
    <w:rsid w:val="570E7565"/>
    <w:rsid w:val="570F1328"/>
    <w:rsid w:val="570F757A"/>
    <w:rsid w:val="57106E4E"/>
    <w:rsid w:val="571078B3"/>
    <w:rsid w:val="57110691"/>
    <w:rsid w:val="57113204"/>
    <w:rsid w:val="571132F2"/>
    <w:rsid w:val="5711443D"/>
    <w:rsid w:val="571164F6"/>
    <w:rsid w:val="57116F42"/>
    <w:rsid w:val="57122BC6"/>
    <w:rsid w:val="571240E8"/>
    <w:rsid w:val="5712700E"/>
    <w:rsid w:val="5712706A"/>
    <w:rsid w:val="571407D2"/>
    <w:rsid w:val="57144B90"/>
    <w:rsid w:val="5714693E"/>
    <w:rsid w:val="5714705F"/>
    <w:rsid w:val="571477B0"/>
    <w:rsid w:val="5715026D"/>
    <w:rsid w:val="57151BCD"/>
    <w:rsid w:val="57155E26"/>
    <w:rsid w:val="57160908"/>
    <w:rsid w:val="571644B3"/>
    <w:rsid w:val="57164A53"/>
    <w:rsid w:val="5716516A"/>
    <w:rsid w:val="57166E1F"/>
    <w:rsid w:val="571700C1"/>
    <w:rsid w:val="571701DC"/>
    <w:rsid w:val="57171A7A"/>
    <w:rsid w:val="57174680"/>
    <w:rsid w:val="5717642E"/>
    <w:rsid w:val="57177F8E"/>
    <w:rsid w:val="5718173F"/>
    <w:rsid w:val="57181A24"/>
    <w:rsid w:val="57182E93"/>
    <w:rsid w:val="57184310"/>
    <w:rsid w:val="57184FAD"/>
    <w:rsid w:val="5718516B"/>
    <w:rsid w:val="571903F8"/>
    <w:rsid w:val="571921A6"/>
    <w:rsid w:val="57194FC3"/>
    <w:rsid w:val="57197B91"/>
    <w:rsid w:val="571B3425"/>
    <w:rsid w:val="571B4AF5"/>
    <w:rsid w:val="571B5F1F"/>
    <w:rsid w:val="571B7CCD"/>
    <w:rsid w:val="571C1C97"/>
    <w:rsid w:val="571C2C91"/>
    <w:rsid w:val="571C3A45"/>
    <w:rsid w:val="571D2D4D"/>
    <w:rsid w:val="571E050C"/>
    <w:rsid w:val="571E2AC9"/>
    <w:rsid w:val="571E514A"/>
    <w:rsid w:val="571E5A0F"/>
    <w:rsid w:val="571E5DE4"/>
    <w:rsid w:val="571F6A41"/>
    <w:rsid w:val="571F7091"/>
    <w:rsid w:val="57201787"/>
    <w:rsid w:val="57202356"/>
    <w:rsid w:val="572052E3"/>
    <w:rsid w:val="5721105B"/>
    <w:rsid w:val="57212E09"/>
    <w:rsid w:val="572160DF"/>
    <w:rsid w:val="5722022C"/>
    <w:rsid w:val="57224041"/>
    <w:rsid w:val="57226BA7"/>
    <w:rsid w:val="5723008E"/>
    <w:rsid w:val="5723355E"/>
    <w:rsid w:val="57234DD3"/>
    <w:rsid w:val="57235D52"/>
    <w:rsid w:val="57235EB0"/>
    <w:rsid w:val="57236B81"/>
    <w:rsid w:val="57241153"/>
    <w:rsid w:val="5724407D"/>
    <w:rsid w:val="57244339"/>
    <w:rsid w:val="57245BAA"/>
    <w:rsid w:val="57250B4B"/>
    <w:rsid w:val="572525AE"/>
    <w:rsid w:val="572528F9"/>
    <w:rsid w:val="57252941"/>
    <w:rsid w:val="57266671"/>
    <w:rsid w:val="57266914"/>
    <w:rsid w:val="57267EAD"/>
    <w:rsid w:val="57270142"/>
    <w:rsid w:val="572702DF"/>
    <w:rsid w:val="57272673"/>
    <w:rsid w:val="57272B15"/>
    <w:rsid w:val="57272F01"/>
    <w:rsid w:val="5727456B"/>
    <w:rsid w:val="57274EB7"/>
    <w:rsid w:val="572752E3"/>
    <w:rsid w:val="57277B93"/>
    <w:rsid w:val="5728063B"/>
    <w:rsid w:val="572823EA"/>
    <w:rsid w:val="57283E05"/>
    <w:rsid w:val="57284198"/>
    <w:rsid w:val="572861B0"/>
    <w:rsid w:val="57294DB9"/>
    <w:rsid w:val="572A285B"/>
    <w:rsid w:val="572A43B4"/>
    <w:rsid w:val="572A4DAB"/>
    <w:rsid w:val="572A655F"/>
    <w:rsid w:val="572A7F10"/>
    <w:rsid w:val="572B1EDA"/>
    <w:rsid w:val="572B2E52"/>
    <w:rsid w:val="572B2F77"/>
    <w:rsid w:val="572B6B56"/>
    <w:rsid w:val="572B7BB5"/>
    <w:rsid w:val="572C012C"/>
    <w:rsid w:val="572C2786"/>
    <w:rsid w:val="572C3A40"/>
    <w:rsid w:val="572D0B48"/>
    <w:rsid w:val="572D17AE"/>
    <w:rsid w:val="572D1AB2"/>
    <w:rsid w:val="572D1FAA"/>
    <w:rsid w:val="572D21B4"/>
    <w:rsid w:val="572D385D"/>
    <w:rsid w:val="572D5A94"/>
    <w:rsid w:val="572D5C52"/>
    <w:rsid w:val="572D6DE5"/>
    <w:rsid w:val="572D7C2E"/>
    <w:rsid w:val="572E1597"/>
    <w:rsid w:val="572E185E"/>
    <w:rsid w:val="572E4C25"/>
    <w:rsid w:val="572E5D44"/>
    <w:rsid w:val="572F19CA"/>
    <w:rsid w:val="572F3778"/>
    <w:rsid w:val="572F6095"/>
    <w:rsid w:val="572F7695"/>
    <w:rsid w:val="57302597"/>
    <w:rsid w:val="57315742"/>
    <w:rsid w:val="573162A6"/>
    <w:rsid w:val="573174F0"/>
    <w:rsid w:val="57320E71"/>
    <w:rsid w:val="573214BA"/>
    <w:rsid w:val="57321EB2"/>
    <w:rsid w:val="57323D7D"/>
    <w:rsid w:val="573265F8"/>
    <w:rsid w:val="57327A88"/>
    <w:rsid w:val="57331468"/>
    <w:rsid w:val="57334162"/>
    <w:rsid w:val="57341714"/>
    <w:rsid w:val="573423A8"/>
    <w:rsid w:val="57342B3C"/>
    <w:rsid w:val="57343D1F"/>
    <w:rsid w:val="573553E8"/>
    <w:rsid w:val="573568B4"/>
    <w:rsid w:val="5736007C"/>
    <w:rsid w:val="57360676"/>
    <w:rsid w:val="57364B06"/>
    <w:rsid w:val="573667FA"/>
    <w:rsid w:val="5737087F"/>
    <w:rsid w:val="57370DAE"/>
    <w:rsid w:val="5737262D"/>
    <w:rsid w:val="57377899"/>
    <w:rsid w:val="573844FF"/>
    <w:rsid w:val="5738746C"/>
    <w:rsid w:val="5739028B"/>
    <w:rsid w:val="57391243"/>
    <w:rsid w:val="57391A72"/>
    <w:rsid w:val="573939AB"/>
    <w:rsid w:val="573945F7"/>
    <w:rsid w:val="573A0BD3"/>
    <w:rsid w:val="573A1AF4"/>
    <w:rsid w:val="573A3ECB"/>
    <w:rsid w:val="573A75A8"/>
    <w:rsid w:val="573B268A"/>
    <w:rsid w:val="573C2744"/>
    <w:rsid w:val="573C40E7"/>
    <w:rsid w:val="573C4C37"/>
    <w:rsid w:val="573E0931"/>
    <w:rsid w:val="573E1C0D"/>
    <w:rsid w:val="573E39BB"/>
    <w:rsid w:val="573E401C"/>
    <w:rsid w:val="573E7E5F"/>
    <w:rsid w:val="573F5C50"/>
    <w:rsid w:val="573F78A4"/>
    <w:rsid w:val="574014E1"/>
    <w:rsid w:val="57407733"/>
    <w:rsid w:val="574134AB"/>
    <w:rsid w:val="5741351C"/>
    <w:rsid w:val="57415259"/>
    <w:rsid w:val="574154C6"/>
    <w:rsid w:val="57416D00"/>
    <w:rsid w:val="57425FEC"/>
    <w:rsid w:val="5742757D"/>
    <w:rsid w:val="57430FD1"/>
    <w:rsid w:val="57431493"/>
    <w:rsid w:val="57431F17"/>
    <w:rsid w:val="57435475"/>
    <w:rsid w:val="57437223"/>
    <w:rsid w:val="5744373B"/>
    <w:rsid w:val="574437F9"/>
    <w:rsid w:val="57444202"/>
    <w:rsid w:val="57444EAB"/>
    <w:rsid w:val="574472CC"/>
    <w:rsid w:val="574511ED"/>
    <w:rsid w:val="57452801"/>
    <w:rsid w:val="57452F9B"/>
    <w:rsid w:val="57454D4A"/>
    <w:rsid w:val="57460AC2"/>
    <w:rsid w:val="574619CA"/>
    <w:rsid w:val="57462B9C"/>
    <w:rsid w:val="57476D14"/>
    <w:rsid w:val="5747738E"/>
    <w:rsid w:val="574777D2"/>
    <w:rsid w:val="57487160"/>
    <w:rsid w:val="57492610"/>
    <w:rsid w:val="574A16AC"/>
    <w:rsid w:val="574A2244"/>
    <w:rsid w:val="574A45CE"/>
    <w:rsid w:val="574A5743"/>
    <w:rsid w:val="574B2B9D"/>
    <w:rsid w:val="574B4300"/>
    <w:rsid w:val="574B5607"/>
    <w:rsid w:val="574C1A20"/>
    <w:rsid w:val="574C257C"/>
    <w:rsid w:val="574C432A"/>
    <w:rsid w:val="574D1ABF"/>
    <w:rsid w:val="574D1E50"/>
    <w:rsid w:val="574D4690"/>
    <w:rsid w:val="574E56BB"/>
    <w:rsid w:val="574E5B20"/>
    <w:rsid w:val="574E5FF4"/>
    <w:rsid w:val="574F0AD3"/>
    <w:rsid w:val="574F11E3"/>
    <w:rsid w:val="574F3E1A"/>
    <w:rsid w:val="574F5BC8"/>
    <w:rsid w:val="5750131B"/>
    <w:rsid w:val="57501B81"/>
    <w:rsid w:val="57504512"/>
    <w:rsid w:val="57511940"/>
    <w:rsid w:val="575136EE"/>
    <w:rsid w:val="57514C7C"/>
    <w:rsid w:val="575244A1"/>
    <w:rsid w:val="57527466"/>
    <w:rsid w:val="57530B53"/>
    <w:rsid w:val="575332B3"/>
    <w:rsid w:val="5753390A"/>
    <w:rsid w:val="57534930"/>
    <w:rsid w:val="57535931"/>
    <w:rsid w:val="575376E0"/>
    <w:rsid w:val="57544F8D"/>
    <w:rsid w:val="57546DC1"/>
    <w:rsid w:val="5755052D"/>
    <w:rsid w:val="57551EFD"/>
    <w:rsid w:val="57553BBA"/>
    <w:rsid w:val="575556B1"/>
    <w:rsid w:val="57557AE8"/>
    <w:rsid w:val="57560D05"/>
    <w:rsid w:val="5756111B"/>
    <w:rsid w:val="57563CF4"/>
    <w:rsid w:val="575642B2"/>
    <w:rsid w:val="575651A9"/>
    <w:rsid w:val="57566F57"/>
    <w:rsid w:val="575718B6"/>
    <w:rsid w:val="575729E9"/>
    <w:rsid w:val="57572CCF"/>
    <w:rsid w:val="5757538E"/>
    <w:rsid w:val="57575DBC"/>
    <w:rsid w:val="575767BC"/>
    <w:rsid w:val="57580F21"/>
    <w:rsid w:val="57581692"/>
    <w:rsid w:val="575817A3"/>
    <w:rsid w:val="57583CE7"/>
    <w:rsid w:val="57590062"/>
    <w:rsid w:val="575907F5"/>
    <w:rsid w:val="575929A2"/>
    <w:rsid w:val="57595DF5"/>
    <w:rsid w:val="57596A47"/>
    <w:rsid w:val="57597AFD"/>
    <w:rsid w:val="575A2877"/>
    <w:rsid w:val="575A33BD"/>
    <w:rsid w:val="575A40C3"/>
    <w:rsid w:val="575A46F9"/>
    <w:rsid w:val="575B456D"/>
    <w:rsid w:val="575B5F96"/>
    <w:rsid w:val="575B6C94"/>
    <w:rsid w:val="575B6F2E"/>
    <w:rsid w:val="575C0124"/>
    <w:rsid w:val="575C02E5"/>
    <w:rsid w:val="575C1BDA"/>
    <w:rsid w:val="575C24E9"/>
    <w:rsid w:val="575C5C60"/>
    <w:rsid w:val="575D15B4"/>
    <w:rsid w:val="575D1F51"/>
    <w:rsid w:val="575D4949"/>
    <w:rsid w:val="575D5EE9"/>
    <w:rsid w:val="575D6537"/>
    <w:rsid w:val="575D65A5"/>
    <w:rsid w:val="575D6B3A"/>
    <w:rsid w:val="575D77D3"/>
    <w:rsid w:val="575E22AF"/>
    <w:rsid w:val="575E3AFD"/>
    <w:rsid w:val="575E4C41"/>
    <w:rsid w:val="575E5E0B"/>
    <w:rsid w:val="575F507B"/>
    <w:rsid w:val="575F58A9"/>
    <w:rsid w:val="575F6068"/>
    <w:rsid w:val="57601B83"/>
    <w:rsid w:val="57603EB1"/>
    <w:rsid w:val="57607DD5"/>
    <w:rsid w:val="57614D6B"/>
    <w:rsid w:val="576176AA"/>
    <w:rsid w:val="57623B4D"/>
    <w:rsid w:val="57626CED"/>
    <w:rsid w:val="57631674"/>
    <w:rsid w:val="57632745"/>
    <w:rsid w:val="57633422"/>
    <w:rsid w:val="57633CE5"/>
    <w:rsid w:val="57641FFF"/>
    <w:rsid w:val="57643691"/>
    <w:rsid w:val="5764751B"/>
    <w:rsid w:val="57650F48"/>
    <w:rsid w:val="5765363E"/>
    <w:rsid w:val="576553EC"/>
    <w:rsid w:val="576617DC"/>
    <w:rsid w:val="57664CC0"/>
    <w:rsid w:val="57670A72"/>
    <w:rsid w:val="57672F12"/>
    <w:rsid w:val="57675237"/>
    <w:rsid w:val="57677DAD"/>
    <w:rsid w:val="5768064B"/>
    <w:rsid w:val="57681F50"/>
    <w:rsid w:val="57681F6D"/>
    <w:rsid w:val="57684EDC"/>
    <w:rsid w:val="57685E94"/>
    <w:rsid w:val="57686C8A"/>
    <w:rsid w:val="576909AD"/>
    <w:rsid w:val="57691D4D"/>
    <w:rsid w:val="57691DE7"/>
    <w:rsid w:val="57697B57"/>
    <w:rsid w:val="576A0C54"/>
    <w:rsid w:val="576A10B1"/>
    <w:rsid w:val="576A2A02"/>
    <w:rsid w:val="576A36D7"/>
    <w:rsid w:val="576A47B0"/>
    <w:rsid w:val="576B22D6"/>
    <w:rsid w:val="576C0528"/>
    <w:rsid w:val="576C677A"/>
    <w:rsid w:val="576D24F2"/>
    <w:rsid w:val="576D42A0"/>
    <w:rsid w:val="576D604E"/>
    <w:rsid w:val="576D7968"/>
    <w:rsid w:val="576E2539"/>
    <w:rsid w:val="576F1DC6"/>
    <w:rsid w:val="576F23D5"/>
    <w:rsid w:val="576F2F9D"/>
    <w:rsid w:val="57705C34"/>
    <w:rsid w:val="57707A2A"/>
    <w:rsid w:val="57710EBA"/>
    <w:rsid w:val="57713D91"/>
    <w:rsid w:val="57714035"/>
    <w:rsid w:val="57715B3F"/>
    <w:rsid w:val="577160F4"/>
    <w:rsid w:val="57723665"/>
    <w:rsid w:val="5772575D"/>
    <w:rsid w:val="57727B09"/>
    <w:rsid w:val="57732535"/>
    <w:rsid w:val="577363AB"/>
    <w:rsid w:val="57740C05"/>
    <w:rsid w:val="57751D0C"/>
    <w:rsid w:val="577613A7"/>
    <w:rsid w:val="57763155"/>
    <w:rsid w:val="57763F9C"/>
    <w:rsid w:val="577675F9"/>
    <w:rsid w:val="57770C7B"/>
    <w:rsid w:val="57772233"/>
    <w:rsid w:val="57774D2C"/>
    <w:rsid w:val="577817D0"/>
    <w:rsid w:val="57783371"/>
    <w:rsid w:val="5778511F"/>
    <w:rsid w:val="57785D2A"/>
    <w:rsid w:val="57787490"/>
    <w:rsid w:val="57791C46"/>
    <w:rsid w:val="57792C45"/>
    <w:rsid w:val="5779314B"/>
    <w:rsid w:val="577A101C"/>
    <w:rsid w:val="577B076B"/>
    <w:rsid w:val="577B4C0F"/>
    <w:rsid w:val="577B762F"/>
    <w:rsid w:val="577B7AF3"/>
    <w:rsid w:val="577B7E06"/>
    <w:rsid w:val="577C1460"/>
    <w:rsid w:val="577C1B2F"/>
    <w:rsid w:val="577C44E3"/>
    <w:rsid w:val="577C5BD1"/>
    <w:rsid w:val="577C5FCD"/>
    <w:rsid w:val="577D0987"/>
    <w:rsid w:val="577D0E2D"/>
    <w:rsid w:val="577D2735"/>
    <w:rsid w:val="577D3E0F"/>
    <w:rsid w:val="577D5207"/>
    <w:rsid w:val="577D745D"/>
    <w:rsid w:val="577E025B"/>
    <w:rsid w:val="577E1EB3"/>
    <w:rsid w:val="577E200A"/>
    <w:rsid w:val="577E202E"/>
    <w:rsid w:val="577E2459"/>
    <w:rsid w:val="577E46FF"/>
    <w:rsid w:val="577E64AD"/>
    <w:rsid w:val="577F01F2"/>
    <w:rsid w:val="577F2AA1"/>
    <w:rsid w:val="577F432C"/>
    <w:rsid w:val="577F494E"/>
    <w:rsid w:val="577F67A5"/>
    <w:rsid w:val="57801216"/>
    <w:rsid w:val="57802226"/>
    <w:rsid w:val="57802D19"/>
    <w:rsid w:val="57803FD4"/>
    <w:rsid w:val="57804957"/>
    <w:rsid w:val="57805D82"/>
    <w:rsid w:val="5780751F"/>
    <w:rsid w:val="5781180D"/>
    <w:rsid w:val="57821731"/>
    <w:rsid w:val="57822E43"/>
    <w:rsid w:val="5782468E"/>
    <w:rsid w:val="578300CC"/>
    <w:rsid w:val="57835872"/>
    <w:rsid w:val="5784475F"/>
    <w:rsid w:val="5784708D"/>
    <w:rsid w:val="57847330"/>
    <w:rsid w:val="578515EA"/>
    <w:rsid w:val="57861C50"/>
    <w:rsid w:val="57864E12"/>
    <w:rsid w:val="5787228F"/>
    <w:rsid w:val="578735B4"/>
    <w:rsid w:val="57876D39"/>
    <w:rsid w:val="57877110"/>
    <w:rsid w:val="57877DA9"/>
    <w:rsid w:val="57880B5D"/>
    <w:rsid w:val="578810DA"/>
    <w:rsid w:val="57882E88"/>
    <w:rsid w:val="57885D08"/>
    <w:rsid w:val="578873CF"/>
    <w:rsid w:val="57887A2B"/>
    <w:rsid w:val="578A0A11"/>
    <w:rsid w:val="578A1A61"/>
    <w:rsid w:val="578A202A"/>
    <w:rsid w:val="578A29C3"/>
    <w:rsid w:val="578A4585"/>
    <w:rsid w:val="578A4715"/>
    <w:rsid w:val="578A4E52"/>
    <w:rsid w:val="578A6B8F"/>
    <w:rsid w:val="578A6C00"/>
    <w:rsid w:val="578B52A2"/>
    <w:rsid w:val="578C0BCA"/>
    <w:rsid w:val="578C0DF0"/>
    <w:rsid w:val="578C3620"/>
    <w:rsid w:val="578C3DD8"/>
    <w:rsid w:val="578D66F1"/>
    <w:rsid w:val="578D7D69"/>
    <w:rsid w:val="578E1EDB"/>
    <w:rsid w:val="578E2FB3"/>
    <w:rsid w:val="578F20F6"/>
    <w:rsid w:val="578F2469"/>
    <w:rsid w:val="578F4217"/>
    <w:rsid w:val="57901CB9"/>
    <w:rsid w:val="579023EC"/>
    <w:rsid w:val="57911709"/>
    <w:rsid w:val="57916020"/>
    <w:rsid w:val="579161E1"/>
    <w:rsid w:val="57916D63"/>
    <w:rsid w:val="57916F1A"/>
    <w:rsid w:val="57923D07"/>
    <w:rsid w:val="579266C3"/>
    <w:rsid w:val="57931F59"/>
    <w:rsid w:val="57940921"/>
    <w:rsid w:val="5794182D"/>
    <w:rsid w:val="57941896"/>
    <w:rsid w:val="57945CD1"/>
    <w:rsid w:val="57946E25"/>
    <w:rsid w:val="57947A7F"/>
    <w:rsid w:val="57950643"/>
    <w:rsid w:val="57954028"/>
    <w:rsid w:val="579556E4"/>
    <w:rsid w:val="57956B74"/>
    <w:rsid w:val="57961A49"/>
    <w:rsid w:val="57962F95"/>
    <w:rsid w:val="579637F7"/>
    <w:rsid w:val="57964763"/>
    <w:rsid w:val="57970E6E"/>
    <w:rsid w:val="5797214F"/>
    <w:rsid w:val="579730CB"/>
    <w:rsid w:val="579834B7"/>
    <w:rsid w:val="57983CCC"/>
    <w:rsid w:val="5798756F"/>
    <w:rsid w:val="579900C6"/>
    <w:rsid w:val="57990312"/>
    <w:rsid w:val="579923B0"/>
    <w:rsid w:val="57995095"/>
    <w:rsid w:val="57996E43"/>
    <w:rsid w:val="579A60B9"/>
    <w:rsid w:val="579B0E0D"/>
    <w:rsid w:val="579B2BBB"/>
    <w:rsid w:val="579B4127"/>
    <w:rsid w:val="579B51BE"/>
    <w:rsid w:val="579B705F"/>
    <w:rsid w:val="579C692E"/>
    <w:rsid w:val="579C7748"/>
    <w:rsid w:val="579D0B6C"/>
    <w:rsid w:val="579D2DD8"/>
    <w:rsid w:val="579D2FFE"/>
    <w:rsid w:val="579D4B86"/>
    <w:rsid w:val="579E26AC"/>
    <w:rsid w:val="579E2AA8"/>
    <w:rsid w:val="579E4A3A"/>
    <w:rsid w:val="579E626B"/>
    <w:rsid w:val="579E7089"/>
    <w:rsid w:val="579F3F56"/>
    <w:rsid w:val="57A001D2"/>
    <w:rsid w:val="57A008FD"/>
    <w:rsid w:val="57A032F3"/>
    <w:rsid w:val="57A04FE6"/>
    <w:rsid w:val="57A06424"/>
    <w:rsid w:val="57A07E39"/>
    <w:rsid w:val="57A157B9"/>
    <w:rsid w:val="57A16CEC"/>
    <w:rsid w:val="57A23F4A"/>
    <w:rsid w:val="57A2475E"/>
    <w:rsid w:val="57A27CE8"/>
    <w:rsid w:val="57A31A70"/>
    <w:rsid w:val="57A328B9"/>
    <w:rsid w:val="57A32CBE"/>
    <w:rsid w:val="57A357D6"/>
    <w:rsid w:val="57A37CC2"/>
    <w:rsid w:val="57A37F1E"/>
    <w:rsid w:val="57A46928"/>
    <w:rsid w:val="57A540AA"/>
    <w:rsid w:val="57A557E8"/>
    <w:rsid w:val="57A56669"/>
    <w:rsid w:val="57A57DAA"/>
    <w:rsid w:val="57A64363"/>
    <w:rsid w:val="57A660A6"/>
    <w:rsid w:val="57A75A04"/>
    <w:rsid w:val="57A8352A"/>
    <w:rsid w:val="57A852D8"/>
    <w:rsid w:val="57A874DF"/>
    <w:rsid w:val="57A87B51"/>
    <w:rsid w:val="57A9177C"/>
    <w:rsid w:val="57AA1051"/>
    <w:rsid w:val="57AA2DFF"/>
    <w:rsid w:val="57AA72A2"/>
    <w:rsid w:val="57AB1FCB"/>
    <w:rsid w:val="57AB45A5"/>
    <w:rsid w:val="57AB58F8"/>
    <w:rsid w:val="57AB6625"/>
    <w:rsid w:val="57AC1F5D"/>
    <w:rsid w:val="57AC301B"/>
    <w:rsid w:val="57AC6B77"/>
    <w:rsid w:val="57AD653C"/>
    <w:rsid w:val="57AD745F"/>
    <w:rsid w:val="57AD7817"/>
    <w:rsid w:val="57AE0B41"/>
    <w:rsid w:val="57AE7E8C"/>
    <w:rsid w:val="57AF0E5C"/>
    <w:rsid w:val="57AF48B9"/>
    <w:rsid w:val="57B02E32"/>
    <w:rsid w:val="57B10AA4"/>
    <w:rsid w:val="57B123DF"/>
    <w:rsid w:val="57B12C0B"/>
    <w:rsid w:val="57B1634D"/>
    <w:rsid w:val="57B22162"/>
    <w:rsid w:val="57B245FD"/>
    <w:rsid w:val="57B25601"/>
    <w:rsid w:val="57B272F8"/>
    <w:rsid w:val="57B34E87"/>
    <w:rsid w:val="57B36157"/>
    <w:rsid w:val="57B37607"/>
    <w:rsid w:val="57B40121"/>
    <w:rsid w:val="57B43C7D"/>
    <w:rsid w:val="57B515AD"/>
    <w:rsid w:val="57B51AF6"/>
    <w:rsid w:val="57B533B7"/>
    <w:rsid w:val="57B541EA"/>
    <w:rsid w:val="57B5615E"/>
    <w:rsid w:val="57B577BE"/>
    <w:rsid w:val="57B64460"/>
    <w:rsid w:val="57B67676"/>
    <w:rsid w:val="57B679F5"/>
    <w:rsid w:val="57B715F4"/>
    <w:rsid w:val="57B72A76"/>
    <w:rsid w:val="57B74FB6"/>
    <w:rsid w:val="57B8364E"/>
    <w:rsid w:val="57B859AF"/>
    <w:rsid w:val="57B91294"/>
    <w:rsid w:val="57B95737"/>
    <w:rsid w:val="57B974E6"/>
    <w:rsid w:val="57BA5F6E"/>
    <w:rsid w:val="57BB07B6"/>
    <w:rsid w:val="57BB14B0"/>
    <w:rsid w:val="57BB325E"/>
    <w:rsid w:val="57BB61BB"/>
    <w:rsid w:val="57BC1EB0"/>
    <w:rsid w:val="57BC2B32"/>
    <w:rsid w:val="57BC3513"/>
    <w:rsid w:val="57BD0D84"/>
    <w:rsid w:val="57BD5228"/>
    <w:rsid w:val="57BD6FD6"/>
    <w:rsid w:val="57BE1D80"/>
    <w:rsid w:val="57BE50C3"/>
    <w:rsid w:val="57BE5D7F"/>
    <w:rsid w:val="57BE68AA"/>
    <w:rsid w:val="57BF122B"/>
    <w:rsid w:val="57BF16EF"/>
    <w:rsid w:val="57BF1DE0"/>
    <w:rsid w:val="57BF2D4E"/>
    <w:rsid w:val="57BF4B68"/>
    <w:rsid w:val="57BF6D47"/>
    <w:rsid w:val="57C00874"/>
    <w:rsid w:val="57C00A91"/>
    <w:rsid w:val="57C049B1"/>
    <w:rsid w:val="57C06AC6"/>
    <w:rsid w:val="57C07378"/>
    <w:rsid w:val="57C1227D"/>
    <w:rsid w:val="57C14282"/>
    <w:rsid w:val="57C14295"/>
    <w:rsid w:val="57C15E41"/>
    <w:rsid w:val="57C20776"/>
    <w:rsid w:val="57C21903"/>
    <w:rsid w:val="57C2283E"/>
    <w:rsid w:val="57C245EC"/>
    <w:rsid w:val="57C30761"/>
    <w:rsid w:val="57C31C44"/>
    <w:rsid w:val="57C32112"/>
    <w:rsid w:val="57C3426C"/>
    <w:rsid w:val="57C342EB"/>
    <w:rsid w:val="57C40364"/>
    <w:rsid w:val="57C42735"/>
    <w:rsid w:val="57C42FBC"/>
    <w:rsid w:val="57C43751"/>
    <w:rsid w:val="57C4436C"/>
    <w:rsid w:val="57C51F9D"/>
    <w:rsid w:val="57C52157"/>
    <w:rsid w:val="57C5306A"/>
    <w:rsid w:val="57C53081"/>
    <w:rsid w:val="57C53554"/>
    <w:rsid w:val="57C538FF"/>
    <w:rsid w:val="57C540DC"/>
    <w:rsid w:val="57C5456B"/>
    <w:rsid w:val="57C55E8A"/>
    <w:rsid w:val="57C57C38"/>
    <w:rsid w:val="57C67C13"/>
    <w:rsid w:val="57C71C02"/>
    <w:rsid w:val="57C739B1"/>
    <w:rsid w:val="57C74311"/>
    <w:rsid w:val="57C753B4"/>
    <w:rsid w:val="57C830F1"/>
    <w:rsid w:val="57C83AB2"/>
    <w:rsid w:val="57C8441F"/>
    <w:rsid w:val="57C955F2"/>
    <w:rsid w:val="57CA16F3"/>
    <w:rsid w:val="57CA34A1"/>
    <w:rsid w:val="57CA3670"/>
    <w:rsid w:val="57CA5A63"/>
    <w:rsid w:val="57CA61FB"/>
    <w:rsid w:val="57CB1185"/>
    <w:rsid w:val="57CB1AC4"/>
    <w:rsid w:val="57CB5E90"/>
    <w:rsid w:val="57CB7CF4"/>
    <w:rsid w:val="57CC0FC7"/>
    <w:rsid w:val="57CC1ADA"/>
    <w:rsid w:val="57CC28DF"/>
    <w:rsid w:val="57CC3FF9"/>
    <w:rsid w:val="57CC546B"/>
    <w:rsid w:val="57CD1D15"/>
    <w:rsid w:val="57CD4D3F"/>
    <w:rsid w:val="57CE0445"/>
    <w:rsid w:val="57CE11E3"/>
    <w:rsid w:val="57CE1F93"/>
    <w:rsid w:val="57CE5874"/>
    <w:rsid w:val="57CF2865"/>
    <w:rsid w:val="57CF7691"/>
    <w:rsid w:val="57D02229"/>
    <w:rsid w:val="57D02D65"/>
    <w:rsid w:val="57D0303B"/>
    <w:rsid w:val="57D12A81"/>
    <w:rsid w:val="57D1482F"/>
    <w:rsid w:val="57D15936"/>
    <w:rsid w:val="57D15B2D"/>
    <w:rsid w:val="57D17194"/>
    <w:rsid w:val="57D20B66"/>
    <w:rsid w:val="57D2301A"/>
    <w:rsid w:val="57D32355"/>
    <w:rsid w:val="57D32CB6"/>
    <w:rsid w:val="57D367F9"/>
    <w:rsid w:val="57D4431F"/>
    <w:rsid w:val="57D4527B"/>
    <w:rsid w:val="57D460CD"/>
    <w:rsid w:val="57D46BB2"/>
    <w:rsid w:val="57D51955"/>
    <w:rsid w:val="57D52571"/>
    <w:rsid w:val="57D55747"/>
    <w:rsid w:val="57D57B62"/>
    <w:rsid w:val="57D60097"/>
    <w:rsid w:val="57D605C7"/>
    <w:rsid w:val="57D61E46"/>
    <w:rsid w:val="57D64006"/>
    <w:rsid w:val="57D74382"/>
    <w:rsid w:val="57D744C5"/>
    <w:rsid w:val="57D74D28"/>
    <w:rsid w:val="57D80A5C"/>
    <w:rsid w:val="57D83E10"/>
    <w:rsid w:val="57D8721E"/>
    <w:rsid w:val="57D9190C"/>
    <w:rsid w:val="57D91936"/>
    <w:rsid w:val="57D936E4"/>
    <w:rsid w:val="57D97825"/>
    <w:rsid w:val="57DA63E5"/>
    <w:rsid w:val="57DB3900"/>
    <w:rsid w:val="57DC1CD2"/>
    <w:rsid w:val="57DC2896"/>
    <w:rsid w:val="57DC2A49"/>
    <w:rsid w:val="57DC48D5"/>
    <w:rsid w:val="57DC747B"/>
    <w:rsid w:val="57DC7E83"/>
    <w:rsid w:val="57DD09CA"/>
    <w:rsid w:val="57DD1426"/>
    <w:rsid w:val="57DD342F"/>
    <w:rsid w:val="57DD4F82"/>
    <w:rsid w:val="57DD7A72"/>
    <w:rsid w:val="57DE0CFA"/>
    <w:rsid w:val="57DF13CA"/>
    <w:rsid w:val="57DF519E"/>
    <w:rsid w:val="57E00F16"/>
    <w:rsid w:val="57E01127"/>
    <w:rsid w:val="57E016F1"/>
    <w:rsid w:val="57E05E54"/>
    <w:rsid w:val="57E073CC"/>
    <w:rsid w:val="57E079C3"/>
    <w:rsid w:val="57E07C89"/>
    <w:rsid w:val="57E13CBE"/>
    <w:rsid w:val="57E14B9B"/>
    <w:rsid w:val="57E14D89"/>
    <w:rsid w:val="57E15B41"/>
    <w:rsid w:val="57E207EA"/>
    <w:rsid w:val="57E21F59"/>
    <w:rsid w:val="57E24C8E"/>
    <w:rsid w:val="57E26A3C"/>
    <w:rsid w:val="57E27CCA"/>
    <w:rsid w:val="57E301F5"/>
    <w:rsid w:val="57E30858"/>
    <w:rsid w:val="57E3453E"/>
    <w:rsid w:val="57E36310"/>
    <w:rsid w:val="57E40882"/>
    <w:rsid w:val="57E4312C"/>
    <w:rsid w:val="57E44562"/>
    <w:rsid w:val="57E466B2"/>
    <w:rsid w:val="57E4733F"/>
    <w:rsid w:val="57E502DB"/>
    <w:rsid w:val="57E5252E"/>
    <w:rsid w:val="57E5266B"/>
    <w:rsid w:val="57E5652D"/>
    <w:rsid w:val="57E61028"/>
    <w:rsid w:val="57E63DAD"/>
    <w:rsid w:val="57E664AA"/>
    <w:rsid w:val="57E666CC"/>
    <w:rsid w:val="57E722A5"/>
    <w:rsid w:val="57E73420"/>
    <w:rsid w:val="57E738C1"/>
    <w:rsid w:val="57E74053"/>
    <w:rsid w:val="57E74E5F"/>
    <w:rsid w:val="57E75E01"/>
    <w:rsid w:val="57E83927"/>
    <w:rsid w:val="57E9601D"/>
    <w:rsid w:val="57E97A7F"/>
    <w:rsid w:val="57E97DCB"/>
    <w:rsid w:val="57EA3B43"/>
    <w:rsid w:val="57EA58F1"/>
    <w:rsid w:val="57EA653E"/>
    <w:rsid w:val="57EB5E03"/>
    <w:rsid w:val="57EB6DC4"/>
    <w:rsid w:val="57EB796D"/>
    <w:rsid w:val="57EC1669"/>
    <w:rsid w:val="57EC3417"/>
    <w:rsid w:val="57EC74DD"/>
    <w:rsid w:val="57ED39CE"/>
    <w:rsid w:val="57EE3633"/>
    <w:rsid w:val="57EE371D"/>
    <w:rsid w:val="57EF1159"/>
    <w:rsid w:val="57EF1EA6"/>
    <w:rsid w:val="57EF268E"/>
    <w:rsid w:val="57EF2EDD"/>
    <w:rsid w:val="57EF4CB5"/>
    <w:rsid w:val="57EF62EE"/>
    <w:rsid w:val="57F05763"/>
    <w:rsid w:val="57F10A2D"/>
    <w:rsid w:val="57F10C0E"/>
    <w:rsid w:val="57F16C7F"/>
    <w:rsid w:val="57F21060"/>
    <w:rsid w:val="57F24C6F"/>
    <w:rsid w:val="57F25E5A"/>
    <w:rsid w:val="57F263A9"/>
    <w:rsid w:val="57F329F7"/>
    <w:rsid w:val="57F347A6"/>
    <w:rsid w:val="57F360FF"/>
    <w:rsid w:val="57F42CA4"/>
    <w:rsid w:val="57F4552E"/>
    <w:rsid w:val="57F535F0"/>
    <w:rsid w:val="57F53F26"/>
    <w:rsid w:val="57F549C2"/>
    <w:rsid w:val="57F56770"/>
    <w:rsid w:val="57F573AE"/>
    <w:rsid w:val="57F60919"/>
    <w:rsid w:val="57F64296"/>
    <w:rsid w:val="57F64A80"/>
    <w:rsid w:val="57F80BD9"/>
    <w:rsid w:val="57F8404E"/>
    <w:rsid w:val="57F86260"/>
    <w:rsid w:val="57F9058B"/>
    <w:rsid w:val="57F928D4"/>
    <w:rsid w:val="57F95B34"/>
    <w:rsid w:val="57F95F1E"/>
    <w:rsid w:val="57FA1FD8"/>
    <w:rsid w:val="57FA3401"/>
    <w:rsid w:val="57FA4677"/>
    <w:rsid w:val="57FB18AC"/>
    <w:rsid w:val="57FB28B2"/>
    <w:rsid w:val="57FB365A"/>
    <w:rsid w:val="57FB5D50"/>
    <w:rsid w:val="57FC6388"/>
    <w:rsid w:val="57FD05CB"/>
    <w:rsid w:val="57FD3876"/>
    <w:rsid w:val="57FD4205"/>
    <w:rsid w:val="57FE314A"/>
    <w:rsid w:val="57FE389B"/>
    <w:rsid w:val="57FE50EE"/>
    <w:rsid w:val="57FE712D"/>
    <w:rsid w:val="57FF139C"/>
    <w:rsid w:val="57FF1E60"/>
    <w:rsid w:val="57FF46A2"/>
    <w:rsid w:val="57FF7273"/>
    <w:rsid w:val="58003366"/>
    <w:rsid w:val="58005114"/>
    <w:rsid w:val="58005F33"/>
    <w:rsid w:val="58006EC2"/>
    <w:rsid w:val="5800746A"/>
    <w:rsid w:val="58012F16"/>
    <w:rsid w:val="580158F7"/>
    <w:rsid w:val="58015A54"/>
    <w:rsid w:val="58016BCD"/>
    <w:rsid w:val="58021527"/>
    <w:rsid w:val="58022C3B"/>
    <w:rsid w:val="580249E9"/>
    <w:rsid w:val="58030761"/>
    <w:rsid w:val="58040088"/>
    <w:rsid w:val="5804088A"/>
    <w:rsid w:val="58042CF9"/>
    <w:rsid w:val="58044C05"/>
    <w:rsid w:val="58045B99"/>
    <w:rsid w:val="58047084"/>
    <w:rsid w:val="58047BC4"/>
    <w:rsid w:val="5805272B"/>
    <w:rsid w:val="5806097D"/>
    <w:rsid w:val="58061A6F"/>
    <w:rsid w:val="58062B6A"/>
    <w:rsid w:val="58064DD1"/>
    <w:rsid w:val="58073C52"/>
    <w:rsid w:val="580746F5"/>
    <w:rsid w:val="580756F5"/>
    <w:rsid w:val="58075A05"/>
    <w:rsid w:val="58076959"/>
    <w:rsid w:val="580863F2"/>
    <w:rsid w:val="58086E95"/>
    <w:rsid w:val="5809221B"/>
    <w:rsid w:val="58093327"/>
    <w:rsid w:val="58095D77"/>
    <w:rsid w:val="580A1AEF"/>
    <w:rsid w:val="580A51F2"/>
    <w:rsid w:val="580A7D41"/>
    <w:rsid w:val="580B0D23"/>
    <w:rsid w:val="580B1F73"/>
    <w:rsid w:val="580B2BA5"/>
    <w:rsid w:val="580B4A27"/>
    <w:rsid w:val="580B5F93"/>
    <w:rsid w:val="580B68A9"/>
    <w:rsid w:val="580B6F57"/>
    <w:rsid w:val="580C03E7"/>
    <w:rsid w:val="580C1D0B"/>
    <w:rsid w:val="580C5867"/>
    <w:rsid w:val="580D7190"/>
    <w:rsid w:val="580D7529"/>
    <w:rsid w:val="580E1BF0"/>
    <w:rsid w:val="580E5A83"/>
    <w:rsid w:val="580E6CB0"/>
    <w:rsid w:val="580E7831"/>
    <w:rsid w:val="580F192B"/>
    <w:rsid w:val="580F2C77"/>
    <w:rsid w:val="580F2EF4"/>
    <w:rsid w:val="580F32B9"/>
    <w:rsid w:val="580F6D68"/>
    <w:rsid w:val="580F7106"/>
    <w:rsid w:val="581035A9"/>
    <w:rsid w:val="58104E13"/>
    <w:rsid w:val="5810551C"/>
    <w:rsid w:val="58105627"/>
    <w:rsid w:val="5810594D"/>
    <w:rsid w:val="58110E74"/>
    <w:rsid w:val="581110D0"/>
    <w:rsid w:val="5811241E"/>
    <w:rsid w:val="58112E7E"/>
    <w:rsid w:val="58113DA1"/>
    <w:rsid w:val="5812190A"/>
    <w:rsid w:val="58124259"/>
    <w:rsid w:val="58125F42"/>
    <w:rsid w:val="58130B85"/>
    <w:rsid w:val="5813309A"/>
    <w:rsid w:val="5813513D"/>
    <w:rsid w:val="58136BF6"/>
    <w:rsid w:val="581373FA"/>
    <w:rsid w:val="581375D9"/>
    <w:rsid w:val="58142175"/>
    <w:rsid w:val="5814296E"/>
    <w:rsid w:val="5814369A"/>
    <w:rsid w:val="5814473E"/>
    <w:rsid w:val="581450C2"/>
    <w:rsid w:val="5814625D"/>
    <w:rsid w:val="581476D0"/>
    <w:rsid w:val="58150BC0"/>
    <w:rsid w:val="58151317"/>
    <w:rsid w:val="58152BDA"/>
    <w:rsid w:val="58156596"/>
    <w:rsid w:val="58156E12"/>
    <w:rsid w:val="58160494"/>
    <w:rsid w:val="581616F7"/>
    <w:rsid w:val="5816406A"/>
    <w:rsid w:val="58164938"/>
    <w:rsid w:val="581715DB"/>
    <w:rsid w:val="58177D2F"/>
    <w:rsid w:val="581806B0"/>
    <w:rsid w:val="581860B8"/>
    <w:rsid w:val="58191195"/>
    <w:rsid w:val="581A3733"/>
    <w:rsid w:val="581A3F0C"/>
    <w:rsid w:val="581A61D6"/>
    <w:rsid w:val="581A7F84"/>
    <w:rsid w:val="581B3CFC"/>
    <w:rsid w:val="581B6ADF"/>
    <w:rsid w:val="581C03F5"/>
    <w:rsid w:val="581D136C"/>
    <w:rsid w:val="581D5CC6"/>
    <w:rsid w:val="581D5F68"/>
    <w:rsid w:val="581E1370"/>
    <w:rsid w:val="581E3D09"/>
    <w:rsid w:val="581F0CB3"/>
    <w:rsid w:val="581F2BDA"/>
    <w:rsid w:val="581F37ED"/>
    <w:rsid w:val="581F559B"/>
    <w:rsid w:val="58205C46"/>
    <w:rsid w:val="58207565"/>
    <w:rsid w:val="582145F5"/>
    <w:rsid w:val="58214B31"/>
    <w:rsid w:val="582157B7"/>
    <w:rsid w:val="58222C73"/>
    <w:rsid w:val="5822508B"/>
    <w:rsid w:val="5822761C"/>
    <w:rsid w:val="58227A4D"/>
    <w:rsid w:val="5823306C"/>
    <w:rsid w:val="582367B8"/>
    <w:rsid w:val="58240E03"/>
    <w:rsid w:val="58242BB1"/>
    <w:rsid w:val="5824666E"/>
    <w:rsid w:val="58247055"/>
    <w:rsid w:val="58252215"/>
    <w:rsid w:val="5825330B"/>
    <w:rsid w:val="58256762"/>
    <w:rsid w:val="58256929"/>
    <w:rsid w:val="58257AFE"/>
    <w:rsid w:val="58262A5E"/>
    <w:rsid w:val="58262DCD"/>
    <w:rsid w:val="58263A18"/>
    <w:rsid w:val="582651ED"/>
    <w:rsid w:val="5827049A"/>
    <w:rsid w:val="582708F3"/>
    <w:rsid w:val="582726A1"/>
    <w:rsid w:val="5827444F"/>
    <w:rsid w:val="58276B45"/>
    <w:rsid w:val="58284976"/>
    <w:rsid w:val="582930E6"/>
    <w:rsid w:val="582940E7"/>
    <w:rsid w:val="582951BF"/>
    <w:rsid w:val="58295842"/>
    <w:rsid w:val="58296419"/>
    <w:rsid w:val="5829790F"/>
    <w:rsid w:val="582A0D9F"/>
    <w:rsid w:val="582A3F3F"/>
    <w:rsid w:val="582A5808"/>
    <w:rsid w:val="582B03E3"/>
    <w:rsid w:val="582B2191"/>
    <w:rsid w:val="582B4E00"/>
    <w:rsid w:val="582B6A01"/>
    <w:rsid w:val="582C0B68"/>
    <w:rsid w:val="582C415B"/>
    <w:rsid w:val="582C48B7"/>
    <w:rsid w:val="582C7422"/>
    <w:rsid w:val="582C7CB7"/>
    <w:rsid w:val="582D4257"/>
    <w:rsid w:val="582E0BB0"/>
    <w:rsid w:val="582E1C82"/>
    <w:rsid w:val="582E3A30"/>
    <w:rsid w:val="582E3D7B"/>
    <w:rsid w:val="582E57DE"/>
    <w:rsid w:val="582F1556"/>
    <w:rsid w:val="583024E1"/>
    <w:rsid w:val="5830465A"/>
    <w:rsid w:val="58304C11"/>
    <w:rsid w:val="583059FA"/>
    <w:rsid w:val="583077A8"/>
    <w:rsid w:val="583114F6"/>
    <w:rsid w:val="583123B9"/>
    <w:rsid w:val="58314982"/>
    <w:rsid w:val="583152CE"/>
    <w:rsid w:val="58315521"/>
    <w:rsid w:val="5831730C"/>
    <w:rsid w:val="58320DBB"/>
    <w:rsid w:val="5832583F"/>
    <w:rsid w:val="583345AB"/>
    <w:rsid w:val="583348BA"/>
    <w:rsid w:val="583354EA"/>
    <w:rsid w:val="58340BB1"/>
    <w:rsid w:val="58343D8F"/>
    <w:rsid w:val="58345199"/>
    <w:rsid w:val="58346B6C"/>
    <w:rsid w:val="58350440"/>
    <w:rsid w:val="5835070A"/>
    <w:rsid w:val="58350A83"/>
    <w:rsid w:val="58354DBE"/>
    <w:rsid w:val="5835523D"/>
    <w:rsid w:val="58360B36"/>
    <w:rsid w:val="58362591"/>
    <w:rsid w:val="583628E4"/>
    <w:rsid w:val="58366B04"/>
    <w:rsid w:val="5837203C"/>
    <w:rsid w:val="58374567"/>
    <w:rsid w:val="58374AF3"/>
    <w:rsid w:val="58381F6C"/>
    <w:rsid w:val="58382B00"/>
    <w:rsid w:val="583835F4"/>
    <w:rsid w:val="583848AE"/>
    <w:rsid w:val="58385019"/>
    <w:rsid w:val="5838665C"/>
    <w:rsid w:val="58387191"/>
    <w:rsid w:val="58387355"/>
    <w:rsid w:val="583912E0"/>
    <w:rsid w:val="58395CC0"/>
    <w:rsid w:val="58397404"/>
    <w:rsid w:val="583A0626"/>
    <w:rsid w:val="583A0709"/>
    <w:rsid w:val="583A0894"/>
    <w:rsid w:val="583A4E13"/>
    <w:rsid w:val="583A5161"/>
    <w:rsid w:val="583A62CF"/>
    <w:rsid w:val="583B1D24"/>
    <w:rsid w:val="583C439E"/>
    <w:rsid w:val="583D521D"/>
    <w:rsid w:val="583D59A4"/>
    <w:rsid w:val="583E06A5"/>
    <w:rsid w:val="583F13D4"/>
    <w:rsid w:val="583F3D2A"/>
    <w:rsid w:val="583F5C3D"/>
    <w:rsid w:val="583F72E1"/>
    <w:rsid w:val="58404706"/>
    <w:rsid w:val="58407B49"/>
    <w:rsid w:val="584119B5"/>
    <w:rsid w:val="584147CA"/>
    <w:rsid w:val="58417026"/>
    <w:rsid w:val="58417C07"/>
    <w:rsid w:val="584261BB"/>
    <w:rsid w:val="584274DB"/>
    <w:rsid w:val="58427CB3"/>
    <w:rsid w:val="58430B05"/>
    <w:rsid w:val="5843644A"/>
    <w:rsid w:val="58437CE1"/>
    <w:rsid w:val="584414A5"/>
    <w:rsid w:val="58447E96"/>
    <w:rsid w:val="58450578"/>
    <w:rsid w:val="58450A07"/>
    <w:rsid w:val="58450D79"/>
    <w:rsid w:val="58451656"/>
    <w:rsid w:val="584636E7"/>
    <w:rsid w:val="58464603"/>
    <w:rsid w:val="5846521D"/>
    <w:rsid w:val="58466E37"/>
    <w:rsid w:val="58466FCB"/>
    <w:rsid w:val="58467CB4"/>
    <w:rsid w:val="584721FB"/>
    <w:rsid w:val="58473E0C"/>
    <w:rsid w:val="5847689F"/>
    <w:rsid w:val="584771DE"/>
    <w:rsid w:val="58490869"/>
    <w:rsid w:val="58492617"/>
    <w:rsid w:val="5849678B"/>
    <w:rsid w:val="58496ABB"/>
    <w:rsid w:val="584A0389"/>
    <w:rsid w:val="584A1390"/>
    <w:rsid w:val="584A6390"/>
    <w:rsid w:val="584B1819"/>
    <w:rsid w:val="584B64EC"/>
    <w:rsid w:val="584B78DD"/>
    <w:rsid w:val="584C5EF5"/>
    <w:rsid w:val="584D01A7"/>
    <w:rsid w:val="584D4252"/>
    <w:rsid w:val="584D5401"/>
    <w:rsid w:val="584E7C2E"/>
    <w:rsid w:val="584F2A29"/>
    <w:rsid w:val="584F6F7E"/>
    <w:rsid w:val="5850159A"/>
    <w:rsid w:val="58501BF8"/>
    <w:rsid w:val="58501F27"/>
    <w:rsid w:val="58502D54"/>
    <w:rsid w:val="585039A6"/>
    <w:rsid w:val="58506862"/>
    <w:rsid w:val="58515970"/>
    <w:rsid w:val="5851771E"/>
    <w:rsid w:val="58521E89"/>
    <w:rsid w:val="585316E8"/>
    <w:rsid w:val="58533496"/>
    <w:rsid w:val="5853399A"/>
    <w:rsid w:val="58535244"/>
    <w:rsid w:val="5853677A"/>
    <w:rsid w:val="5853793A"/>
    <w:rsid w:val="585422C8"/>
    <w:rsid w:val="585428CB"/>
    <w:rsid w:val="58543994"/>
    <w:rsid w:val="58546B3F"/>
    <w:rsid w:val="5855006D"/>
    <w:rsid w:val="58550FBC"/>
    <w:rsid w:val="58555460"/>
    <w:rsid w:val="5855549C"/>
    <w:rsid w:val="58555EFF"/>
    <w:rsid w:val="58564D34"/>
    <w:rsid w:val="585711D8"/>
    <w:rsid w:val="58580AAD"/>
    <w:rsid w:val="58584F50"/>
    <w:rsid w:val="58586714"/>
    <w:rsid w:val="58586CFE"/>
    <w:rsid w:val="58590AD0"/>
    <w:rsid w:val="58595CC5"/>
    <w:rsid w:val="585969EE"/>
    <w:rsid w:val="585A076F"/>
    <w:rsid w:val="585A0EA0"/>
    <w:rsid w:val="585A130E"/>
    <w:rsid w:val="585A2A77"/>
    <w:rsid w:val="585A4673"/>
    <w:rsid w:val="585A4825"/>
    <w:rsid w:val="585A7E7E"/>
    <w:rsid w:val="585B234B"/>
    <w:rsid w:val="585B279E"/>
    <w:rsid w:val="585B3B38"/>
    <w:rsid w:val="585B4ED6"/>
    <w:rsid w:val="585B5FB1"/>
    <w:rsid w:val="585B7A5B"/>
    <w:rsid w:val="585B7BCD"/>
    <w:rsid w:val="585C67EF"/>
    <w:rsid w:val="585D0B51"/>
    <w:rsid w:val="585D0BA4"/>
    <w:rsid w:val="585D1018"/>
    <w:rsid w:val="585D4315"/>
    <w:rsid w:val="585D536E"/>
    <w:rsid w:val="585E0F3F"/>
    <w:rsid w:val="585E2C46"/>
    <w:rsid w:val="585E4C9C"/>
    <w:rsid w:val="585F008D"/>
    <w:rsid w:val="586014D2"/>
    <w:rsid w:val="58601CC0"/>
    <w:rsid w:val="58602475"/>
    <w:rsid w:val="5860322D"/>
    <w:rsid w:val="58603A98"/>
    <w:rsid w:val="58605180"/>
    <w:rsid w:val="58605891"/>
    <w:rsid w:val="5861257C"/>
    <w:rsid w:val="58613A3F"/>
    <w:rsid w:val="58613E05"/>
    <w:rsid w:val="58615BB3"/>
    <w:rsid w:val="58617BA5"/>
    <w:rsid w:val="5862215A"/>
    <w:rsid w:val="58623230"/>
    <w:rsid w:val="58623574"/>
    <w:rsid w:val="586236D9"/>
    <w:rsid w:val="58627B7D"/>
    <w:rsid w:val="586302CC"/>
    <w:rsid w:val="58631095"/>
    <w:rsid w:val="58631232"/>
    <w:rsid w:val="58631D16"/>
    <w:rsid w:val="58632671"/>
    <w:rsid w:val="58632717"/>
    <w:rsid w:val="58636B8E"/>
    <w:rsid w:val="58640EBA"/>
    <w:rsid w:val="586456A3"/>
    <w:rsid w:val="58647037"/>
    <w:rsid w:val="5864776B"/>
    <w:rsid w:val="58661294"/>
    <w:rsid w:val="586631C9"/>
    <w:rsid w:val="5866766D"/>
    <w:rsid w:val="586678B1"/>
    <w:rsid w:val="58667F89"/>
    <w:rsid w:val="58670CF0"/>
    <w:rsid w:val="58672927"/>
    <w:rsid w:val="586734AA"/>
    <w:rsid w:val="58675193"/>
    <w:rsid w:val="58676F42"/>
    <w:rsid w:val="58683912"/>
    <w:rsid w:val="58685C90"/>
    <w:rsid w:val="58690763"/>
    <w:rsid w:val="58690F0C"/>
    <w:rsid w:val="58694DA2"/>
    <w:rsid w:val="58695B91"/>
    <w:rsid w:val="586A45B5"/>
    <w:rsid w:val="586B07E0"/>
    <w:rsid w:val="586B3415"/>
    <w:rsid w:val="586C27AA"/>
    <w:rsid w:val="586C3723"/>
    <w:rsid w:val="586C4558"/>
    <w:rsid w:val="586C4C5A"/>
    <w:rsid w:val="586D2B2C"/>
    <w:rsid w:val="586D4BB3"/>
    <w:rsid w:val="586E0172"/>
    <w:rsid w:val="586E02D0"/>
    <w:rsid w:val="586E207E"/>
    <w:rsid w:val="586E4418"/>
    <w:rsid w:val="586F0298"/>
    <w:rsid w:val="586F20F3"/>
    <w:rsid w:val="586F5155"/>
    <w:rsid w:val="5870229A"/>
    <w:rsid w:val="58704048"/>
    <w:rsid w:val="58705DF6"/>
    <w:rsid w:val="58711B6E"/>
    <w:rsid w:val="58712080"/>
    <w:rsid w:val="58712BBA"/>
    <w:rsid w:val="58713D7B"/>
    <w:rsid w:val="58715BE7"/>
    <w:rsid w:val="587160D8"/>
    <w:rsid w:val="58716105"/>
    <w:rsid w:val="587221CF"/>
    <w:rsid w:val="58722240"/>
    <w:rsid w:val="58723D88"/>
    <w:rsid w:val="58726012"/>
    <w:rsid w:val="58727DC0"/>
    <w:rsid w:val="58733B38"/>
    <w:rsid w:val="58736CEA"/>
    <w:rsid w:val="58737694"/>
    <w:rsid w:val="587425A5"/>
    <w:rsid w:val="5875340D"/>
    <w:rsid w:val="58753885"/>
    <w:rsid w:val="587578B0"/>
    <w:rsid w:val="5876686B"/>
    <w:rsid w:val="58767185"/>
    <w:rsid w:val="5878114F"/>
    <w:rsid w:val="58781A4A"/>
    <w:rsid w:val="58782EFD"/>
    <w:rsid w:val="58785923"/>
    <w:rsid w:val="58793156"/>
    <w:rsid w:val="5879339B"/>
    <w:rsid w:val="58794897"/>
    <w:rsid w:val="587A0A23"/>
    <w:rsid w:val="587A1E8E"/>
    <w:rsid w:val="587A3E82"/>
    <w:rsid w:val="587A4EC7"/>
    <w:rsid w:val="587A6C75"/>
    <w:rsid w:val="587B1D88"/>
    <w:rsid w:val="587B479B"/>
    <w:rsid w:val="587C0498"/>
    <w:rsid w:val="587C29ED"/>
    <w:rsid w:val="587C3218"/>
    <w:rsid w:val="587D0513"/>
    <w:rsid w:val="587D473C"/>
    <w:rsid w:val="587D49B7"/>
    <w:rsid w:val="587E5B38"/>
    <w:rsid w:val="587F072F"/>
    <w:rsid w:val="587F1238"/>
    <w:rsid w:val="587F24DD"/>
    <w:rsid w:val="587F428B"/>
    <w:rsid w:val="587F43BC"/>
    <w:rsid w:val="587F6FC8"/>
    <w:rsid w:val="58800458"/>
    <w:rsid w:val="58801DB1"/>
    <w:rsid w:val="58816331"/>
    <w:rsid w:val="588211A8"/>
    <w:rsid w:val="58823D7B"/>
    <w:rsid w:val="58826B02"/>
    <w:rsid w:val="58830E15"/>
    <w:rsid w:val="58831FCD"/>
    <w:rsid w:val="58833B98"/>
    <w:rsid w:val="588367EB"/>
    <w:rsid w:val="58837C50"/>
    <w:rsid w:val="58845AE8"/>
    <w:rsid w:val="58847AF3"/>
    <w:rsid w:val="588502C1"/>
    <w:rsid w:val="5886561A"/>
    <w:rsid w:val="588673C8"/>
    <w:rsid w:val="5887183A"/>
    <w:rsid w:val="58872F04"/>
    <w:rsid w:val="588743D1"/>
    <w:rsid w:val="58876D61"/>
    <w:rsid w:val="5887701A"/>
    <w:rsid w:val="58885788"/>
    <w:rsid w:val="58892F66"/>
    <w:rsid w:val="5889335C"/>
    <w:rsid w:val="5889438C"/>
    <w:rsid w:val="5889510A"/>
    <w:rsid w:val="588962EC"/>
    <w:rsid w:val="58897523"/>
    <w:rsid w:val="588A355D"/>
    <w:rsid w:val="588A6E09"/>
    <w:rsid w:val="588B0E82"/>
    <w:rsid w:val="588B57DC"/>
    <w:rsid w:val="588B70D4"/>
    <w:rsid w:val="588C4ECA"/>
    <w:rsid w:val="588D2A5C"/>
    <w:rsid w:val="588D4BFA"/>
    <w:rsid w:val="588D66DB"/>
    <w:rsid w:val="588D71B2"/>
    <w:rsid w:val="588E0972"/>
    <w:rsid w:val="588F168E"/>
    <w:rsid w:val="588F6515"/>
    <w:rsid w:val="58900246"/>
    <w:rsid w:val="589046EA"/>
    <w:rsid w:val="58906B0C"/>
    <w:rsid w:val="58910F7F"/>
    <w:rsid w:val="589124EF"/>
    <w:rsid w:val="58920462"/>
    <w:rsid w:val="58922210"/>
    <w:rsid w:val="58922DBD"/>
    <w:rsid w:val="5893000F"/>
    <w:rsid w:val="58931118"/>
    <w:rsid w:val="58931AE5"/>
    <w:rsid w:val="58940D2D"/>
    <w:rsid w:val="589472C1"/>
    <w:rsid w:val="5895585D"/>
    <w:rsid w:val="58955D01"/>
    <w:rsid w:val="5895746F"/>
    <w:rsid w:val="589715D5"/>
    <w:rsid w:val="5897524F"/>
    <w:rsid w:val="58975A79"/>
    <w:rsid w:val="58977655"/>
    <w:rsid w:val="5898359F"/>
    <w:rsid w:val="58983AEB"/>
    <w:rsid w:val="5898534D"/>
    <w:rsid w:val="589870FB"/>
    <w:rsid w:val="589907AF"/>
    <w:rsid w:val="58992394"/>
    <w:rsid w:val="58995D36"/>
    <w:rsid w:val="589A10C5"/>
    <w:rsid w:val="589A2E73"/>
    <w:rsid w:val="589A4781"/>
    <w:rsid w:val="589B5FCD"/>
    <w:rsid w:val="589C10C1"/>
    <w:rsid w:val="589C308F"/>
    <w:rsid w:val="589C442A"/>
    <w:rsid w:val="589C4E3D"/>
    <w:rsid w:val="589D0B96"/>
    <w:rsid w:val="589D0BB5"/>
    <w:rsid w:val="589D2551"/>
    <w:rsid w:val="589D2963"/>
    <w:rsid w:val="589D2EB3"/>
    <w:rsid w:val="589D6301"/>
    <w:rsid w:val="589E5122"/>
    <w:rsid w:val="589E6E07"/>
    <w:rsid w:val="589E7A7A"/>
    <w:rsid w:val="589F0EF6"/>
    <w:rsid w:val="589F32FA"/>
    <w:rsid w:val="589F66B3"/>
    <w:rsid w:val="589F66DB"/>
    <w:rsid w:val="58A0720E"/>
    <w:rsid w:val="58A106A5"/>
    <w:rsid w:val="58A12453"/>
    <w:rsid w:val="58A13A37"/>
    <w:rsid w:val="58A177A1"/>
    <w:rsid w:val="58A23F37"/>
    <w:rsid w:val="58A24F33"/>
    <w:rsid w:val="58A255C2"/>
    <w:rsid w:val="58A25F95"/>
    <w:rsid w:val="58A3441E"/>
    <w:rsid w:val="58A37F55"/>
    <w:rsid w:val="58A40196"/>
    <w:rsid w:val="58A41F44"/>
    <w:rsid w:val="58A42635"/>
    <w:rsid w:val="58A43CF2"/>
    <w:rsid w:val="58A45FE9"/>
    <w:rsid w:val="58A46651"/>
    <w:rsid w:val="58A470C7"/>
    <w:rsid w:val="58A52C90"/>
    <w:rsid w:val="58A53D86"/>
    <w:rsid w:val="58A540DC"/>
    <w:rsid w:val="58A56525"/>
    <w:rsid w:val="58A612FD"/>
    <w:rsid w:val="58A61818"/>
    <w:rsid w:val="58A65CBC"/>
    <w:rsid w:val="58A66BBE"/>
    <w:rsid w:val="58A67A6A"/>
    <w:rsid w:val="58A75590"/>
    <w:rsid w:val="58A77521"/>
    <w:rsid w:val="58A77C59"/>
    <w:rsid w:val="58A80BFE"/>
    <w:rsid w:val="58A81A34"/>
    <w:rsid w:val="58A837E2"/>
    <w:rsid w:val="58A87748"/>
    <w:rsid w:val="58A91308"/>
    <w:rsid w:val="58A91860"/>
    <w:rsid w:val="58A957AC"/>
    <w:rsid w:val="58A96F31"/>
    <w:rsid w:val="58A9755A"/>
    <w:rsid w:val="58AA3618"/>
    <w:rsid w:val="58AA37DC"/>
    <w:rsid w:val="58AA6296"/>
    <w:rsid w:val="58AB32D2"/>
    <w:rsid w:val="58AB35F3"/>
    <w:rsid w:val="58AB4B55"/>
    <w:rsid w:val="58AB5080"/>
    <w:rsid w:val="58AB6E2E"/>
    <w:rsid w:val="58AC0BB6"/>
    <w:rsid w:val="58AC2BA6"/>
    <w:rsid w:val="58AC5FE5"/>
    <w:rsid w:val="58AD0DF8"/>
    <w:rsid w:val="58AD3520"/>
    <w:rsid w:val="58AE14E6"/>
    <w:rsid w:val="58AE73DB"/>
    <w:rsid w:val="58B02697"/>
    <w:rsid w:val="58B061F7"/>
    <w:rsid w:val="58B06B3A"/>
    <w:rsid w:val="58B101BD"/>
    <w:rsid w:val="58B1275E"/>
    <w:rsid w:val="58B16DE5"/>
    <w:rsid w:val="58B23BD3"/>
    <w:rsid w:val="58B24994"/>
    <w:rsid w:val="58B24C75"/>
    <w:rsid w:val="58B2640F"/>
    <w:rsid w:val="58B26610"/>
    <w:rsid w:val="58B31F22"/>
    <w:rsid w:val="58B32187"/>
    <w:rsid w:val="58B33CCF"/>
    <w:rsid w:val="58B33F35"/>
    <w:rsid w:val="58B34AE2"/>
    <w:rsid w:val="58B42919"/>
    <w:rsid w:val="58B472A9"/>
    <w:rsid w:val="58B47348"/>
    <w:rsid w:val="58B507D8"/>
    <w:rsid w:val="58B51DB1"/>
    <w:rsid w:val="58B55EFF"/>
    <w:rsid w:val="58B569BD"/>
    <w:rsid w:val="58B57CAD"/>
    <w:rsid w:val="58B57EAC"/>
    <w:rsid w:val="58B633A9"/>
    <w:rsid w:val="58B72394"/>
    <w:rsid w:val="58B73A25"/>
    <w:rsid w:val="58B757D6"/>
    <w:rsid w:val="58B75AA8"/>
    <w:rsid w:val="58B75CC9"/>
    <w:rsid w:val="58B77EC9"/>
    <w:rsid w:val="58B77F1B"/>
    <w:rsid w:val="58B80A02"/>
    <w:rsid w:val="58B8154B"/>
    <w:rsid w:val="58B82132"/>
    <w:rsid w:val="58B852E0"/>
    <w:rsid w:val="58B8644A"/>
    <w:rsid w:val="58B87159"/>
    <w:rsid w:val="58B8779D"/>
    <w:rsid w:val="58B92F82"/>
    <w:rsid w:val="58B959EF"/>
    <w:rsid w:val="58BA31BA"/>
    <w:rsid w:val="58BA52C3"/>
    <w:rsid w:val="58BA76CE"/>
    <w:rsid w:val="58BB5FE9"/>
    <w:rsid w:val="58BB6419"/>
    <w:rsid w:val="58BC06AB"/>
    <w:rsid w:val="58BC0E07"/>
    <w:rsid w:val="58BC340F"/>
    <w:rsid w:val="58BC5A66"/>
    <w:rsid w:val="58BC7AA8"/>
    <w:rsid w:val="58BD28DE"/>
    <w:rsid w:val="58BD3D04"/>
    <w:rsid w:val="58BD4DB3"/>
    <w:rsid w:val="58BD6A84"/>
    <w:rsid w:val="58BD71CE"/>
    <w:rsid w:val="58BE247D"/>
    <w:rsid w:val="58BE55EE"/>
    <w:rsid w:val="58BF0B2C"/>
    <w:rsid w:val="58BF6D7E"/>
    <w:rsid w:val="58C058EB"/>
    <w:rsid w:val="58C0702C"/>
    <w:rsid w:val="58C12AF6"/>
    <w:rsid w:val="58C16059"/>
    <w:rsid w:val="58C161B4"/>
    <w:rsid w:val="58C2075D"/>
    <w:rsid w:val="58C223CA"/>
    <w:rsid w:val="58C224BF"/>
    <w:rsid w:val="58C22DDC"/>
    <w:rsid w:val="58C26CBB"/>
    <w:rsid w:val="58C3061C"/>
    <w:rsid w:val="58C3426C"/>
    <w:rsid w:val="58C3688D"/>
    <w:rsid w:val="58C37209"/>
    <w:rsid w:val="58C40FF2"/>
    <w:rsid w:val="58C425E6"/>
    <w:rsid w:val="58C44394"/>
    <w:rsid w:val="58C51C5D"/>
    <w:rsid w:val="58C55072"/>
    <w:rsid w:val="58C61EBA"/>
    <w:rsid w:val="58C62CC0"/>
    <w:rsid w:val="58C63C68"/>
    <w:rsid w:val="58C641C0"/>
    <w:rsid w:val="58C765B6"/>
    <w:rsid w:val="58C779E0"/>
    <w:rsid w:val="58C83E84"/>
    <w:rsid w:val="58C85C32"/>
    <w:rsid w:val="58C86C4E"/>
    <w:rsid w:val="58C8702E"/>
    <w:rsid w:val="58C87A61"/>
    <w:rsid w:val="58C9057C"/>
    <w:rsid w:val="58C9181F"/>
    <w:rsid w:val="58C919AA"/>
    <w:rsid w:val="58C93758"/>
    <w:rsid w:val="58C965A1"/>
    <w:rsid w:val="58CA156E"/>
    <w:rsid w:val="58CA295E"/>
    <w:rsid w:val="58CB01FE"/>
    <w:rsid w:val="58CB127E"/>
    <w:rsid w:val="58CB283B"/>
    <w:rsid w:val="58CB5722"/>
    <w:rsid w:val="58CB74D0"/>
    <w:rsid w:val="58CC01A0"/>
    <w:rsid w:val="58CC5B09"/>
    <w:rsid w:val="58CD149A"/>
    <w:rsid w:val="58CD4FF7"/>
    <w:rsid w:val="58CD6FE3"/>
    <w:rsid w:val="58CE075A"/>
    <w:rsid w:val="58CE0D6F"/>
    <w:rsid w:val="58CE0F37"/>
    <w:rsid w:val="58CE2AC0"/>
    <w:rsid w:val="58CE6F8E"/>
    <w:rsid w:val="58CE6FC1"/>
    <w:rsid w:val="58CF09EC"/>
    <w:rsid w:val="58CF0B8B"/>
    <w:rsid w:val="58CF29C4"/>
    <w:rsid w:val="58CF33BC"/>
    <w:rsid w:val="58CF3F50"/>
    <w:rsid w:val="58D00F8B"/>
    <w:rsid w:val="58D027AF"/>
    <w:rsid w:val="58D02D39"/>
    <w:rsid w:val="58D053E0"/>
    <w:rsid w:val="58D06B21"/>
    <w:rsid w:val="58D16870"/>
    <w:rsid w:val="58D16DB9"/>
    <w:rsid w:val="58D16E92"/>
    <w:rsid w:val="58D177F1"/>
    <w:rsid w:val="58D2085F"/>
    <w:rsid w:val="58D2219E"/>
    <w:rsid w:val="58D2260D"/>
    <w:rsid w:val="58D23533"/>
    <w:rsid w:val="58D26AB1"/>
    <w:rsid w:val="58D330C0"/>
    <w:rsid w:val="58D354A2"/>
    <w:rsid w:val="58D356D2"/>
    <w:rsid w:val="58D36385"/>
    <w:rsid w:val="58D4078C"/>
    <w:rsid w:val="58D41197"/>
    <w:rsid w:val="58D41B18"/>
    <w:rsid w:val="58D41D88"/>
    <w:rsid w:val="58D42829"/>
    <w:rsid w:val="58D43AEF"/>
    <w:rsid w:val="58D45022"/>
    <w:rsid w:val="58D451F1"/>
    <w:rsid w:val="58D45A54"/>
    <w:rsid w:val="58D46167"/>
    <w:rsid w:val="58D534BA"/>
    <w:rsid w:val="58D536CC"/>
    <w:rsid w:val="58D53AF8"/>
    <w:rsid w:val="58D5734A"/>
    <w:rsid w:val="58D61252"/>
    <w:rsid w:val="58D61911"/>
    <w:rsid w:val="58D62EE5"/>
    <w:rsid w:val="58D63201"/>
    <w:rsid w:val="58D66635"/>
    <w:rsid w:val="58D66D2D"/>
    <w:rsid w:val="58D726E2"/>
    <w:rsid w:val="58D73BD1"/>
    <w:rsid w:val="58D740C7"/>
    <w:rsid w:val="58D81BED"/>
    <w:rsid w:val="58D83B72"/>
    <w:rsid w:val="58D92D4F"/>
    <w:rsid w:val="58D946B1"/>
    <w:rsid w:val="58D946F7"/>
    <w:rsid w:val="58D95C71"/>
    <w:rsid w:val="58D97E3F"/>
    <w:rsid w:val="58DA3BB7"/>
    <w:rsid w:val="58DA5965"/>
    <w:rsid w:val="58DA5E43"/>
    <w:rsid w:val="58DA79DE"/>
    <w:rsid w:val="58DB24F3"/>
    <w:rsid w:val="58DB3C34"/>
    <w:rsid w:val="58DC16DE"/>
    <w:rsid w:val="58DC3E49"/>
    <w:rsid w:val="58DC5CCC"/>
    <w:rsid w:val="58DC7930"/>
    <w:rsid w:val="58DD027A"/>
    <w:rsid w:val="58DD0FB2"/>
    <w:rsid w:val="58DE25B5"/>
    <w:rsid w:val="58DE2787"/>
    <w:rsid w:val="58DE40AB"/>
    <w:rsid w:val="58DE7204"/>
    <w:rsid w:val="58DF1EA0"/>
    <w:rsid w:val="58DF4D2A"/>
    <w:rsid w:val="58E01FBF"/>
    <w:rsid w:val="58E027D9"/>
    <w:rsid w:val="58E07AA6"/>
    <w:rsid w:val="58E10C84"/>
    <w:rsid w:val="58E10F36"/>
    <w:rsid w:val="58E14F46"/>
    <w:rsid w:val="58E1680A"/>
    <w:rsid w:val="58E16CF4"/>
    <w:rsid w:val="58E20155"/>
    <w:rsid w:val="58E21C7F"/>
    <w:rsid w:val="58E223C6"/>
    <w:rsid w:val="58E23D5B"/>
    <w:rsid w:val="58E30C85"/>
    <w:rsid w:val="58E30CBE"/>
    <w:rsid w:val="58E340E1"/>
    <w:rsid w:val="58E40592"/>
    <w:rsid w:val="58E42340"/>
    <w:rsid w:val="58E42A57"/>
    <w:rsid w:val="58E44CE6"/>
    <w:rsid w:val="58E50BD4"/>
    <w:rsid w:val="58E55922"/>
    <w:rsid w:val="58E60D47"/>
    <w:rsid w:val="58E6255C"/>
    <w:rsid w:val="58E6430A"/>
    <w:rsid w:val="58E660B8"/>
    <w:rsid w:val="58E6724D"/>
    <w:rsid w:val="58E723B0"/>
    <w:rsid w:val="58E80082"/>
    <w:rsid w:val="58E81E30"/>
    <w:rsid w:val="58E84AF7"/>
    <w:rsid w:val="58E862D4"/>
    <w:rsid w:val="58E86386"/>
    <w:rsid w:val="58E86F94"/>
    <w:rsid w:val="58E87218"/>
    <w:rsid w:val="58E90BE9"/>
    <w:rsid w:val="58E95F87"/>
    <w:rsid w:val="58E97957"/>
    <w:rsid w:val="58EA204C"/>
    <w:rsid w:val="58EB36CF"/>
    <w:rsid w:val="58EB7B73"/>
    <w:rsid w:val="58EC2171"/>
    <w:rsid w:val="58EC6049"/>
    <w:rsid w:val="58EC6D45"/>
    <w:rsid w:val="58ED38EB"/>
    <w:rsid w:val="58ED4908"/>
    <w:rsid w:val="58ED4A43"/>
    <w:rsid w:val="58ED51CF"/>
    <w:rsid w:val="58ED5699"/>
    <w:rsid w:val="58ED5ED8"/>
    <w:rsid w:val="58ED7447"/>
    <w:rsid w:val="58EE4099"/>
    <w:rsid w:val="58EF1DF9"/>
    <w:rsid w:val="58EF2016"/>
    <w:rsid w:val="58EF5082"/>
    <w:rsid w:val="58EF7663"/>
    <w:rsid w:val="58F00CE5"/>
    <w:rsid w:val="58F01409"/>
    <w:rsid w:val="58F033DB"/>
    <w:rsid w:val="58F0498E"/>
    <w:rsid w:val="58F049CA"/>
    <w:rsid w:val="58F112D0"/>
    <w:rsid w:val="58F1329E"/>
    <w:rsid w:val="58F20481"/>
    <w:rsid w:val="58F20F01"/>
    <w:rsid w:val="58F22CAF"/>
    <w:rsid w:val="58F24A5D"/>
    <w:rsid w:val="58F26E37"/>
    <w:rsid w:val="58F272EA"/>
    <w:rsid w:val="58F3077A"/>
    <w:rsid w:val="58F31C0A"/>
    <w:rsid w:val="58F3334B"/>
    <w:rsid w:val="58F4020E"/>
    <w:rsid w:val="58F419FA"/>
    <w:rsid w:val="58F447DB"/>
    <w:rsid w:val="58F44C79"/>
    <w:rsid w:val="58F46A27"/>
    <w:rsid w:val="58F475CA"/>
    <w:rsid w:val="58F509F1"/>
    <w:rsid w:val="58F5279F"/>
    <w:rsid w:val="58F53BD9"/>
    <w:rsid w:val="58F5454D"/>
    <w:rsid w:val="58F6083C"/>
    <w:rsid w:val="58F61CCC"/>
    <w:rsid w:val="58F62B32"/>
    <w:rsid w:val="58F72073"/>
    <w:rsid w:val="58F721E3"/>
    <w:rsid w:val="58F76517"/>
    <w:rsid w:val="58F83E64"/>
    <w:rsid w:val="58F845EC"/>
    <w:rsid w:val="58F929DB"/>
    <w:rsid w:val="58F9403E"/>
    <w:rsid w:val="58FA09F0"/>
    <w:rsid w:val="58FA1B64"/>
    <w:rsid w:val="58FA1DFD"/>
    <w:rsid w:val="58FA2BAD"/>
    <w:rsid w:val="58FA6008"/>
    <w:rsid w:val="58FA747A"/>
    <w:rsid w:val="58FA7DB6"/>
    <w:rsid w:val="58FB5533"/>
    <w:rsid w:val="58FC02AD"/>
    <w:rsid w:val="58FC3385"/>
    <w:rsid w:val="58FC3B2E"/>
    <w:rsid w:val="58FC58DC"/>
    <w:rsid w:val="58FC6858"/>
    <w:rsid w:val="58FC6D00"/>
    <w:rsid w:val="58FC79A3"/>
    <w:rsid w:val="58FD7B91"/>
    <w:rsid w:val="58FE01DE"/>
    <w:rsid w:val="58FE045E"/>
    <w:rsid w:val="58FE1654"/>
    <w:rsid w:val="58FE3C44"/>
    <w:rsid w:val="58FE525C"/>
    <w:rsid w:val="58FE588D"/>
    <w:rsid w:val="58FE6DA1"/>
    <w:rsid w:val="58FE725A"/>
    <w:rsid w:val="58FE78A6"/>
    <w:rsid w:val="58FF53CC"/>
    <w:rsid w:val="58FF717A"/>
    <w:rsid w:val="59002D7E"/>
    <w:rsid w:val="5900361E"/>
    <w:rsid w:val="590044BF"/>
    <w:rsid w:val="5900647A"/>
    <w:rsid w:val="59011144"/>
    <w:rsid w:val="59011212"/>
    <w:rsid w:val="59012EF2"/>
    <w:rsid w:val="5901594F"/>
    <w:rsid w:val="59015B59"/>
    <w:rsid w:val="59023E26"/>
    <w:rsid w:val="59026DDF"/>
    <w:rsid w:val="5903310E"/>
    <w:rsid w:val="59034EBC"/>
    <w:rsid w:val="59034F2B"/>
    <w:rsid w:val="59036C6A"/>
    <w:rsid w:val="590442D0"/>
    <w:rsid w:val="59044790"/>
    <w:rsid w:val="59050C34"/>
    <w:rsid w:val="5906350F"/>
    <w:rsid w:val="59065E48"/>
    <w:rsid w:val="5906675A"/>
    <w:rsid w:val="590725AF"/>
    <w:rsid w:val="59072B6C"/>
    <w:rsid w:val="5907335D"/>
    <w:rsid w:val="5907336E"/>
    <w:rsid w:val="590766A7"/>
    <w:rsid w:val="59082C0D"/>
    <w:rsid w:val="5908391E"/>
    <w:rsid w:val="59084281"/>
    <w:rsid w:val="5908598F"/>
    <w:rsid w:val="59087044"/>
    <w:rsid w:val="59087431"/>
    <w:rsid w:val="59091DA7"/>
    <w:rsid w:val="5909466C"/>
    <w:rsid w:val="59095571"/>
    <w:rsid w:val="590A16F4"/>
    <w:rsid w:val="590A1F1E"/>
    <w:rsid w:val="590A5668"/>
    <w:rsid w:val="590A6A01"/>
    <w:rsid w:val="590B15D2"/>
    <w:rsid w:val="590B1FC3"/>
    <w:rsid w:val="590B3D71"/>
    <w:rsid w:val="590B5B1F"/>
    <w:rsid w:val="590B7B6A"/>
    <w:rsid w:val="590B7E91"/>
    <w:rsid w:val="590C0161"/>
    <w:rsid w:val="590C12BE"/>
    <w:rsid w:val="590C286E"/>
    <w:rsid w:val="590C36B9"/>
    <w:rsid w:val="590C5B4A"/>
    <w:rsid w:val="590D0011"/>
    <w:rsid w:val="590D1897"/>
    <w:rsid w:val="590D3EF2"/>
    <w:rsid w:val="590F1AB3"/>
    <w:rsid w:val="590F3861"/>
    <w:rsid w:val="590F7ABB"/>
    <w:rsid w:val="591000D4"/>
    <w:rsid w:val="59101207"/>
    <w:rsid w:val="59102873"/>
    <w:rsid w:val="591056E7"/>
    <w:rsid w:val="591075D9"/>
    <w:rsid w:val="59113D03"/>
    <w:rsid w:val="59115444"/>
    <w:rsid w:val="59116013"/>
    <w:rsid w:val="5912075A"/>
    <w:rsid w:val="59123665"/>
    <w:rsid w:val="591250FF"/>
    <w:rsid w:val="59126EAD"/>
    <w:rsid w:val="591332A3"/>
    <w:rsid w:val="59136180"/>
    <w:rsid w:val="5914020D"/>
    <w:rsid w:val="59142174"/>
    <w:rsid w:val="59142684"/>
    <w:rsid w:val="59142A73"/>
    <w:rsid w:val="59142C25"/>
    <w:rsid w:val="59143827"/>
    <w:rsid w:val="591438A3"/>
    <w:rsid w:val="59146777"/>
    <w:rsid w:val="59154BEF"/>
    <w:rsid w:val="59155255"/>
    <w:rsid w:val="5915699E"/>
    <w:rsid w:val="59162E41"/>
    <w:rsid w:val="59163636"/>
    <w:rsid w:val="59164226"/>
    <w:rsid w:val="59170968"/>
    <w:rsid w:val="5917349C"/>
    <w:rsid w:val="591744C4"/>
    <w:rsid w:val="59177B75"/>
    <w:rsid w:val="59182517"/>
    <w:rsid w:val="5919023C"/>
    <w:rsid w:val="591923BD"/>
    <w:rsid w:val="59192495"/>
    <w:rsid w:val="591946E0"/>
    <w:rsid w:val="5919648E"/>
    <w:rsid w:val="591A2206"/>
    <w:rsid w:val="591A64F6"/>
    <w:rsid w:val="591A7E3E"/>
    <w:rsid w:val="591B677F"/>
    <w:rsid w:val="591C0E16"/>
    <w:rsid w:val="591C1ADA"/>
    <w:rsid w:val="591C41D0"/>
    <w:rsid w:val="591C5F7E"/>
    <w:rsid w:val="591C7C07"/>
    <w:rsid w:val="591C7D2C"/>
    <w:rsid w:val="591D2213"/>
    <w:rsid w:val="591E1CF6"/>
    <w:rsid w:val="591E3AA4"/>
    <w:rsid w:val="591E5852"/>
    <w:rsid w:val="591E6A76"/>
    <w:rsid w:val="591F15CA"/>
    <w:rsid w:val="591F781C"/>
    <w:rsid w:val="59202935"/>
    <w:rsid w:val="59205A6E"/>
    <w:rsid w:val="592117DB"/>
    <w:rsid w:val="59213594"/>
    <w:rsid w:val="592137F8"/>
    <w:rsid w:val="59215342"/>
    <w:rsid w:val="592310BA"/>
    <w:rsid w:val="59232E69"/>
    <w:rsid w:val="5923730C"/>
    <w:rsid w:val="59244BE6"/>
    <w:rsid w:val="59246BE1"/>
    <w:rsid w:val="59247E56"/>
    <w:rsid w:val="59247F34"/>
    <w:rsid w:val="59254D4A"/>
    <w:rsid w:val="59254E33"/>
    <w:rsid w:val="59260BAB"/>
    <w:rsid w:val="592613B8"/>
    <w:rsid w:val="592620C9"/>
    <w:rsid w:val="59262959"/>
    <w:rsid w:val="592661DA"/>
    <w:rsid w:val="592667A6"/>
    <w:rsid w:val="59266DFD"/>
    <w:rsid w:val="59272B82"/>
    <w:rsid w:val="59275F76"/>
    <w:rsid w:val="59280AFA"/>
    <w:rsid w:val="59280C08"/>
    <w:rsid w:val="59284923"/>
    <w:rsid w:val="592863DC"/>
    <w:rsid w:val="592866D1"/>
    <w:rsid w:val="59290942"/>
    <w:rsid w:val="592A069B"/>
    <w:rsid w:val="592A2449"/>
    <w:rsid w:val="592A7461"/>
    <w:rsid w:val="592B61C1"/>
    <w:rsid w:val="592C389A"/>
    <w:rsid w:val="592C469D"/>
    <w:rsid w:val="592C676D"/>
    <w:rsid w:val="592D018B"/>
    <w:rsid w:val="592D1F39"/>
    <w:rsid w:val="592D3CE7"/>
    <w:rsid w:val="592E180D"/>
    <w:rsid w:val="592E2741"/>
    <w:rsid w:val="592E34CE"/>
    <w:rsid w:val="592E3820"/>
    <w:rsid w:val="592E5DFC"/>
    <w:rsid w:val="592E6ADF"/>
    <w:rsid w:val="592F3F03"/>
    <w:rsid w:val="592F587F"/>
    <w:rsid w:val="592F5CB1"/>
    <w:rsid w:val="592F728C"/>
    <w:rsid w:val="592F7A5F"/>
    <w:rsid w:val="59301A29"/>
    <w:rsid w:val="593037D7"/>
    <w:rsid w:val="59305585"/>
    <w:rsid w:val="593066F1"/>
    <w:rsid w:val="593212FE"/>
    <w:rsid w:val="593254E5"/>
    <w:rsid w:val="593257A1"/>
    <w:rsid w:val="593333F2"/>
    <w:rsid w:val="593368A1"/>
    <w:rsid w:val="5934151A"/>
    <w:rsid w:val="593432C8"/>
    <w:rsid w:val="59345076"/>
    <w:rsid w:val="593459EF"/>
    <w:rsid w:val="59350DEE"/>
    <w:rsid w:val="59352B9C"/>
    <w:rsid w:val="593547E3"/>
    <w:rsid w:val="5935645A"/>
    <w:rsid w:val="593612C5"/>
    <w:rsid w:val="59367040"/>
    <w:rsid w:val="59372DB8"/>
    <w:rsid w:val="59376914"/>
    <w:rsid w:val="593773EE"/>
    <w:rsid w:val="59380668"/>
    <w:rsid w:val="59381A7E"/>
    <w:rsid w:val="59384784"/>
    <w:rsid w:val="5939268C"/>
    <w:rsid w:val="5939309D"/>
    <w:rsid w:val="59396B30"/>
    <w:rsid w:val="593A1111"/>
    <w:rsid w:val="593A597E"/>
    <w:rsid w:val="593A6404"/>
    <w:rsid w:val="593B3532"/>
    <w:rsid w:val="593B4656"/>
    <w:rsid w:val="593B60AD"/>
    <w:rsid w:val="593C0CA9"/>
    <w:rsid w:val="593C217C"/>
    <w:rsid w:val="593C6994"/>
    <w:rsid w:val="593D4460"/>
    <w:rsid w:val="593D549C"/>
    <w:rsid w:val="593D6EE9"/>
    <w:rsid w:val="593E5532"/>
    <w:rsid w:val="593E58F0"/>
    <w:rsid w:val="593E5EF4"/>
    <w:rsid w:val="593E7CA2"/>
    <w:rsid w:val="593F0A05"/>
    <w:rsid w:val="593F20B7"/>
    <w:rsid w:val="593F3A1A"/>
    <w:rsid w:val="593F624C"/>
    <w:rsid w:val="593F6D80"/>
    <w:rsid w:val="59401C6C"/>
    <w:rsid w:val="5940342F"/>
    <w:rsid w:val="59407906"/>
    <w:rsid w:val="59410B35"/>
    <w:rsid w:val="59411541"/>
    <w:rsid w:val="59412334"/>
    <w:rsid w:val="59412DE1"/>
    <w:rsid w:val="59413C36"/>
    <w:rsid w:val="59415079"/>
    <w:rsid w:val="594159E5"/>
    <w:rsid w:val="59417793"/>
    <w:rsid w:val="59420519"/>
    <w:rsid w:val="59421FDC"/>
    <w:rsid w:val="5942215D"/>
    <w:rsid w:val="59423346"/>
    <w:rsid w:val="59424433"/>
    <w:rsid w:val="59426E4E"/>
    <w:rsid w:val="5942706F"/>
    <w:rsid w:val="594302D2"/>
    <w:rsid w:val="5943110E"/>
    <w:rsid w:val="5943112E"/>
    <w:rsid w:val="59434AC4"/>
    <w:rsid w:val="59434F08"/>
    <w:rsid w:val="594352B9"/>
    <w:rsid w:val="59435E87"/>
    <w:rsid w:val="59441031"/>
    <w:rsid w:val="59441762"/>
    <w:rsid w:val="59442D7B"/>
    <w:rsid w:val="594432EF"/>
    <w:rsid w:val="59443C51"/>
    <w:rsid w:val="594445FC"/>
    <w:rsid w:val="59451C63"/>
    <w:rsid w:val="594564B2"/>
    <w:rsid w:val="594612F2"/>
    <w:rsid w:val="59464DA9"/>
    <w:rsid w:val="594700E3"/>
    <w:rsid w:val="5947124D"/>
    <w:rsid w:val="59473E55"/>
    <w:rsid w:val="59475512"/>
    <w:rsid w:val="59480B21"/>
    <w:rsid w:val="59481573"/>
    <w:rsid w:val="594828CF"/>
    <w:rsid w:val="59482AA6"/>
    <w:rsid w:val="594873E4"/>
    <w:rsid w:val="59492A03"/>
    <w:rsid w:val="594953CE"/>
    <w:rsid w:val="594975DD"/>
    <w:rsid w:val="594A2020"/>
    <w:rsid w:val="594A5B4D"/>
    <w:rsid w:val="594A6647"/>
    <w:rsid w:val="594B0611"/>
    <w:rsid w:val="594B23BF"/>
    <w:rsid w:val="594B35C4"/>
    <w:rsid w:val="594B7EAF"/>
    <w:rsid w:val="594C0338"/>
    <w:rsid w:val="594C6863"/>
    <w:rsid w:val="594D0969"/>
    <w:rsid w:val="594D2448"/>
    <w:rsid w:val="594D4389"/>
    <w:rsid w:val="594D46B1"/>
    <w:rsid w:val="594D6137"/>
    <w:rsid w:val="594E3790"/>
    <w:rsid w:val="594E3CA4"/>
    <w:rsid w:val="594E3FF0"/>
    <w:rsid w:val="594E53E5"/>
    <w:rsid w:val="594E6200"/>
    <w:rsid w:val="594F0101"/>
    <w:rsid w:val="594F1EAF"/>
    <w:rsid w:val="594F3C5E"/>
    <w:rsid w:val="594F4A95"/>
    <w:rsid w:val="594F6875"/>
    <w:rsid w:val="594F68EF"/>
    <w:rsid w:val="59501239"/>
    <w:rsid w:val="59505C28"/>
    <w:rsid w:val="595079D6"/>
    <w:rsid w:val="59513D66"/>
    <w:rsid w:val="59513E7A"/>
    <w:rsid w:val="5951505E"/>
    <w:rsid w:val="595222AB"/>
    <w:rsid w:val="5952374E"/>
    <w:rsid w:val="595251F6"/>
    <w:rsid w:val="595272C1"/>
    <w:rsid w:val="59527BF2"/>
    <w:rsid w:val="5953321D"/>
    <w:rsid w:val="59535DC6"/>
    <w:rsid w:val="59537B91"/>
    <w:rsid w:val="595419DA"/>
    <w:rsid w:val="5954305C"/>
    <w:rsid w:val="59545051"/>
    <w:rsid w:val="59545718"/>
    <w:rsid w:val="595459D3"/>
    <w:rsid w:val="59554FEC"/>
    <w:rsid w:val="5955770B"/>
    <w:rsid w:val="59572B86"/>
    <w:rsid w:val="59575007"/>
    <w:rsid w:val="595764E2"/>
    <w:rsid w:val="59580388"/>
    <w:rsid w:val="5958611D"/>
    <w:rsid w:val="59590F80"/>
    <w:rsid w:val="59592D2E"/>
    <w:rsid w:val="595A2602"/>
    <w:rsid w:val="595B05E7"/>
    <w:rsid w:val="595B0854"/>
    <w:rsid w:val="595B4CF8"/>
    <w:rsid w:val="595B4E18"/>
    <w:rsid w:val="595B648D"/>
    <w:rsid w:val="595B6559"/>
    <w:rsid w:val="595B6AA6"/>
    <w:rsid w:val="595B7B57"/>
    <w:rsid w:val="595C1E69"/>
    <w:rsid w:val="595C281E"/>
    <w:rsid w:val="595C45CC"/>
    <w:rsid w:val="595D7738"/>
    <w:rsid w:val="595E0345"/>
    <w:rsid w:val="595E0A50"/>
    <w:rsid w:val="595E20F3"/>
    <w:rsid w:val="595E4EDA"/>
    <w:rsid w:val="595E6596"/>
    <w:rsid w:val="595F1045"/>
    <w:rsid w:val="595F4C29"/>
    <w:rsid w:val="59600F92"/>
    <w:rsid w:val="59601815"/>
    <w:rsid w:val="5960230F"/>
    <w:rsid w:val="59602EDC"/>
    <w:rsid w:val="596040BD"/>
    <w:rsid w:val="59611BE3"/>
    <w:rsid w:val="59613640"/>
    <w:rsid w:val="5961677D"/>
    <w:rsid w:val="596173AF"/>
    <w:rsid w:val="59617A7C"/>
    <w:rsid w:val="59617E35"/>
    <w:rsid w:val="59625555"/>
    <w:rsid w:val="5962565A"/>
    <w:rsid w:val="596335AA"/>
    <w:rsid w:val="59633BAD"/>
    <w:rsid w:val="5963595B"/>
    <w:rsid w:val="59637709"/>
    <w:rsid w:val="596377A1"/>
    <w:rsid w:val="59641EA2"/>
    <w:rsid w:val="5964760B"/>
    <w:rsid w:val="596508EF"/>
    <w:rsid w:val="59650A9B"/>
    <w:rsid w:val="596516D3"/>
    <w:rsid w:val="59657925"/>
    <w:rsid w:val="59662674"/>
    <w:rsid w:val="5966458A"/>
    <w:rsid w:val="596651E2"/>
    <w:rsid w:val="5966544B"/>
    <w:rsid w:val="59665C11"/>
    <w:rsid w:val="59670634"/>
    <w:rsid w:val="59670EB0"/>
    <w:rsid w:val="5967258A"/>
    <w:rsid w:val="5967369D"/>
    <w:rsid w:val="596811C3"/>
    <w:rsid w:val="59682F71"/>
    <w:rsid w:val="59684D1F"/>
    <w:rsid w:val="5968741C"/>
    <w:rsid w:val="596908AC"/>
    <w:rsid w:val="596921AE"/>
    <w:rsid w:val="59694B3B"/>
    <w:rsid w:val="59694D38"/>
    <w:rsid w:val="596A0A97"/>
    <w:rsid w:val="596A21EB"/>
    <w:rsid w:val="596A5729"/>
    <w:rsid w:val="596A7DCD"/>
    <w:rsid w:val="596B0AA6"/>
    <w:rsid w:val="596B490D"/>
    <w:rsid w:val="596B5961"/>
    <w:rsid w:val="596B6FBD"/>
    <w:rsid w:val="596C0CB3"/>
    <w:rsid w:val="596C23A1"/>
    <w:rsid w:val="596C66E6"/>
    <w:rsid w:val="596C74DE"/>
    <w:rsid w:val="596C75CE"/>
    <w:rsid w:val="596D0588"/>
    <w:rsid w:val="596D1DFE"/>
    <w:rsid w:val="596D4A2C"/>
    <w:rsid w:val="596D7189"/>
    <w:rsid w:val="596F0932"/>
    <w:rsid w:val="596F4300"/>
    <w:rsid w:val="596F471E"/>
    <w:rsid w:val="596F5DC6"/>
    <w:rsid w:val="59700C71"/>
    <w:rsid w:val="59701E26"/>
    <w:rsid w:val="597072EF"/>
    <w:rsid w:val="59710078"/>
    <w:rsid w:val="5971077F"/>
    <w:rsid w:val="59710803"/>
    <w:rsid w:val="59710BF6"/>
    <w:rsid w:val="5971703E"/>
    <w:rsid w:val="59721C0F"/>
    <w:rsid w:val="5972392C"/>
    <w:rsid w:val="59723DF0"/>
    <w:rsid w:val="59725AF3"/>
    <w:rsid w:val="59725B9E"/>
    <w:rsid w:val="59735C70"/>
    <w:rsid w:val="59741916"/>
    <w:rsid w:val="597436C4"/>
    <w:rsid w:val="59745091"/>
    <w:rsid w:val="59746740"/>
    <w:rsid w:val="59750590"/>
    <w:rsid w:val="5975743C"/>
    <w:rsid w:val="59760330"/>
    <w:rsid w:val="59771406"/>
    <w:rsid w:val="59771588"/>
    <w:rsid w:val="59771E7D"/>
    <w:rsid w:val="597727E3"/>
    <w:rsid w:val="597731B4"/>
    <w:rsid w:val="59777658"/>
    <w:rsid w:val="597933D0"/>
    <w:rsid w:val="5979517E"/>
    <w:rsid w:val="59796F2C"/>
    <w:rsid w:val="597A1BE3"/>
    <w:rsid w:val="597A4A53"/>
    <w:rsid w:val="597B0D4A"/>
    <w:rsid w:val="597B0EF6"/>
    <w:rsid w:val="597B4402"/>
    <w:rsid w:val="597B7DE5"/>
    <w:rsid w:val="597B7E05"/>
    <w:rsid w:val="597C04CE"/>
    <w:rsid w:val="597C07CB"/>
    <w:rsid w:val="597C1D67"/>
    <w:rsid w:val="597C53CD"/>
    <w:rsid w:val="597E01B2"/>
    <w:rsid w:val="597E09E7"/>
    <w:rsid w:val="597E2795"/>
    <w:rsid w:val="597E38B0"/>
    <w:rsid w:val="597E4825"/>
    <w:rsid w:val="597E69FA"/>
    <w:rsid w:val="597F13A4"/>
    <w:rsid w:val="597F3D8D"/>
    <w:rsid w:val="597F4213"/>
    <w:rsid w:val="597F4F29"/>
    <w:rsid w:val="598002BB"/>
    <w:rsid w:val="59814033"/>
    <w:rsid w:val="59815DE1"/>
    <w:rsid w:val="59816B33"/>
    <w:rsid w:val="5982194E"/>
    <w:rsid w:val="59822285"/>
    <w:rsid w:val="5982618D"/>
    <w:rsid w:val="59826F78"/>
    <w:rsid w:val="59830A08"/>
    <w:rsid w:val="59831B59"/>
    <w:rsid w:val="59833D47"/>
    <w:rsid w:val="59835FFD"/>
    <w:rsid w:val="598377C9"/>
    <w:rsid w:val="59837DAB"/>
    <w:rsid w:val="59842401"/>
    <w:rsid w:val="59843C6A"/>
    <w:rsid w:val="598445D7"/>
    <w:rsid w:val="598454B4"/>
    <w:rsid w:val="598516EC"/>
    <w:rsid w:val="59851D75"/>
    <w:rsid w:val="59853B23"/>
    <w:rsid w:val="598558D1"/>
    <w:rsid w:val="59855904"/>
    <w:rsid w:val="598619AA"/>
    <w:rsid w:val="598633F7"/>
    <w:rsid w:val="59865323"/>
    <w:rsid w:val="598723FB"/>
    <w:rsid w:val="59874A90"/>
    <w:rsid w:val="59875AED"/>
    <w:rsid w:val="59876A59"/>
    <w:rsid w:val="59883613"/>
    <w:rsid w:val="59884257"/>
    <w:rsid w:val="598853C1"/>
    <w:rsid w:val="59885BA3"/>
    <w:rsid w:val="59886A06"/>
    <w:rsid w:val="598870DA"/>
    <w:rsid w:val="59891641"/>
    <w:rsid w:val="5989462F"/>
    <w:rsid w:val="59897A4C"/>
    <w:rsid w:val="598A13F7"/>
    <w:rsid w:val="598A5B73"/>
    <w:rsid w:val="598A738C"/>
    <w:rsid w:val="598B4D2E"/>
    <w:rsid w:val="598B6C60"/>
    <w:rsid w:val="598C254A"/>
    <w:rsid w:val="598C3104"/>
    <w:rsid w:val="598C4FDD"/>
    <w:rsid w:val="598C5A03"/>
    <w:rsid w:val="598C7161"/>
    <w:rsid w:val="598D0C2A"/>
    <w:rsid w:val="598D1B8C"/>
    <w:rsid w:val="598D29D8"/>
    <w:rsid w:val="598D4786"/>
    <w:rsid w:val="598D6D7B"/>
    <w:rsid w:val="598E1A4B"/>
    <w:rsid w:val="598E2878"/>
    <w:rsid w:val="598E7CA7"/>
    <w:rsid w:val="598F04FE"/>
    <w:rsid w:val="598F1061"/>
    <w:rsid w:val="598F1658"/>
    <w:rsid w:val="598F1C47"/>
    <w:rsid w:val="598F34DA"/>
    <w:rsid w:val="598F40FD"/>
    <w:rsid w:val="598F49A2"/>
    <w:rsid w:val="598F6750"/>
    <w:rsid w:val="599004C0"/>
    <w:rsid w:val="599013CB"/>
    <w:rsid w:val="59905198"/>
    <w:rsid w:val="5991071A"/>
    <w:rsid w:val="59910850"/>
    <w:rsid w:val="59914276"/>
    <w:rsid w:val="599211F9"/>
    <w:rsid w:val="59922E34"/>
    <w:rsid w:val="59926240"/>
    <w:rsid w:val="59926803"/>
    <w:rsid w:val="59927AB8"/>
    <w:rsid w:val="59934492"/>
    <w:rsid w:val="599363C3"/>
    <w:rsid w:val="599419E0"/>
    <w:rsid w:val="59941FB8"/>
    <w:rsid w:val="59943D66"/>
    <w:rsid w:val="59944FA9"/>
    <w:rsid w:val="59945B14"/>
    <w:rsid w:val="59953293"/>
    <w:rsid w:val="5996100A"/>
    <w:rsid w:val="5996188C"/>
    <w:rsid w:val="599620B2"/>
    <w:rsid w:val="5996337C"/>
    <w:rsid w:val="59965D30"/>
    <w:rsid w:val="59965FE5"/>
    <w:rsid w:val="59973856"/>
    <w:rsid w:val="59974BEA"/>
    <w:rsid w:val="59975605"/>
    <w:rsid w:val="59976A37"/>
    <w:rsid w:val="59977BFE"/>
    <w:rsid w:val="59981AA8"/>
    <w:rsid w:val="59983EBE"/>
    <w:rsid w:val="59992B12"/>
    <w:rsid w:val="5999312B"/>
    <w:rsid w:val="59995821"/>
    <w:rsid w:val="599975CF"/>
    <w:rsid w:val="599A3342"/>
    <w:rsid w:val="599A3D7C"/>
    <w:rsid w:val="599B0A12"/>
    <w:rsid w:val="599B50F5"/>
    <w:rsid w:val="599B6EA3"/>
    <w:rsid w:val="599C0E6D"/>
    <w:rsid w:val="599C29E3"/>
    <w:rsid w:val="599C7F9A"/>
    <w:rsid w:val="599D3AED"/>
    <w:rsid w:val="599D70BF"/>
    <w:rsid w:val="599D770E"/>
    <w:rsid w:val="599E0C2C"/>
    <w:rsid w:val="599E2561"/>
    <w:rsid w:val="599E2E37"/>
    <w:rsid w:val="599E6993"/>
    <w:rsid w:val="599E748D"/>
    <w:rsid w:val="599F549F"/>
    <w:rsid w:val="59A003B7"/>
    <w:rsid w:val="59A01CE7"/>
    <w:rsid w:val="59A01E04"/>
    <w:rsid w:val="59A0270B"/>
    <w:rsid w:val="59A10841"/>
    <w:rsid w:val="59A146EF"/>
    <w:rsid w:val="59A2217E"/>
    <w:rsid w:val="59A23CB9"/>
    <w:rsid w:val="59A246D5"/>
    <w:rsid w:val="59A26483"/>
    <w:rsid w:val="59A27223"/>
    <w:rsid w:val="59A3044D"/>
    <w:rsid w:val="59A321FB"/>
    <w:rsid w:val="59A324BD"/>
    <w:rsid w:val="59A3360E"/>
    <w:rsid w:val="59A33FA9"/>
    <w:rsid w:val="59A41ECD"/>
    <w:rsid w:val="59A440B3"/>
    <w:rsid w:val="59A51AAD"/>
    <w:rsid w:val="59A541C5"/>
    <w:rsid w:val="59A557EF"/>
    <w:rsid w:val="59A57D21"/>
    <w:rsid w:val="59A61035"/>
    <w:rsid w:val="59A62BC5"/>
    <w:rsid w:val="59A631D6"/>
    <w:rsid w:val="59A637A5"/>
    <w:rsid w:val="59A64D1A"/>
    <w:rsid w:val="59A65848"/>
    <w:rsid w:val="59A71CEC"/>
    <w:rsid w:val="59A73A9A"/>
    <w:rsid w:val="59A815C0"/>
    <w:rsid w:val="59A858EE"/>
    <w:rsid w:val="59A87728"/>
    <w:rsid w:val="59A93BFA"/>
    <w:rsid w:val="59A96204"/>
    <w:rsid w:val="59AA358A"/>
    <w:rsid w:val="59AA70A9"/>
    <w:rsid w:val="59AA73E6"/>
    <w:rsid w:val="59AB1C1C"/>
    <w:rsid w:val="59AC10B0"/>
    <w:rsid w:val="59AC11EF"/>
    <w:rsid w:val="59AC19B3"/>
    <w:rsid w:val="59AC3230"/>
    <w:rsid w:val="59AC5554"/>
    <w:rsid w:val="59AC5E01"/>
    <w:rsid w:val="59AC7302"/>
    <w:rsid w:val="59AD0FCD"/>
    <w:rsid w:val="59AD307A"/>
    <w:rsid w:val="59AD4E28"/>
    <w:rsid w:val="59AD53F3"/>
    <w:rsid w:val="59AE3068"/>
    <w:rsid w:val="59AE5B50"/>
    <w:rsid w:val="59AF0BA0"/>
    <w:rsid w:val="59AF13E1"/>
    <w:rsid w:val="59AF194C"/>
    <w:rsid w:val="59AF31AA"/>
    <w:rsid w:val="59AF3B15"/>
    <w:rsid w:val="59B04EC1"/>
    <w:rsid w:val="59B14918"/>
    <w:rsid w:val="59B166C6"/>
    <w:rsid w:val="59B2243E"/>
    <w:rsid w:val="59B23CDF"/>
    <w:rsid w:val="59B241EC"/>
    <w:rsid w:val="59B24684"/>
    <w:rsid w:val="59B3027F"/>
    <w:rsid w:val="59B32542"/>
    <w:rsid w:val="59B33103"/>
    <w:rsid w:val="59B368E2"/>
    <w:rsid w:val="59B419C2"/>
    <w:rsid w:val="59B44408"/>
    <w:rsid w:val="59B457A0"/>
    <w:rsid w:val="59B4682A"/>
    <w:rsid w:val="59B47F65"/>
    <w:rsid w:val="59B54A80"/>
    <w:rsid w:val="59B56945"/>
    <w:rsid w:val="59B60181"/>
    <w:rsid w:val="59B61940"/>
    <w:rsid w:val="59B61F2F"/>
    <w:rsid w:val="59B63CDD"/>
    <w:rsid w:val="59B66EB3"/>
    <w:rsid w:val="59B70BE5"/>
    <w:rsid w:val="59B75B90"/>
    <w:rsid w:val="59B777C6"/>
    <w:rsid w:val="59B77A55"/>
    <w:rsid w:val="59B77D1A"/>
    <w:rsid w:val="59B813F9"/>
    <w:rsid w:val="59B817D3"/>
    <w:rsid w:val="59B822EC"/>
    <w:rsid w:val="59B82F14"/>
    <w:rsid w:val="59B83EF9"/>
    <w:rsid w:val="59B85CA7"/>
    <w:rsid w:val="59B85D5D"/>
    <w:rsid w:val="59B9363D"/>
    <w:rsid w:val="59B94D22"/>
    <w:rsid w:val="59B9557B"/>
    <w:rsid w:val="59BA195E"/>
    <w:rsid w:val="59BA1AFF"/>
    <w:rsid w:val="59BB12F3"/>
    <w:rsid w:val="59BB1895"/>
    <w:rsid w:val="59BB5797"/>
    <w:rsid w:val="59BB6525"/>
    <w:rsid w:val="59BC0BA6"/>
    <w:rsid w:val="59BC16A1"/>
    <w:rsid w:val="59BC2D25"/>
    <w:rsid w:val="59BC677A"/>
    <w:rsid w:val="59BD32BD"/>
    <w:rsid w:val="59BD3F73"/>
    <w:rsid w:val="59BD4194"/>
    <w:rsid w:val="59BD41B5"/>
    <w:rsid w:val="59BE0DE3"/>
    <w:rsid w:val="59BE18A7"/>
    <w:rsid w:val="59BE5645"/>
    <w:rsid w:val="59BE7035"/>
    <w:rsid w:val="59BF34B1"/>
    <w:rsid w:val="59BF5E61"/>
    <w:rsid w:val="59BF62F8"/>
    <w:rsid w:val="59C02DAD"/>
    <w:rsid w:val="59C040E4"/>
    <w:rsid w:val="59C0439F"/>
    <w:rsid w:val="59C04B5B"/>
    <w:rsid w:val="59C05D5F"/>
    <w:rsid w:val="59C06909"/>
    <w:rsid w:val="59C12681"/>
    <w:rsid w:val="59C12859"/>
    <w:rsid w:val="59C146DB"/>
    <w:rsid w:val="59C148D7"/>
    <w:rsid w:val="59C1603F"/>
    <w:rsid w:val="59C171FA"/>
    <w:rsid w:val="59C208D3"/>
    <w:rsid w:val="59C2281F"/>
    <w:rsid w:val="59C26B97"/>
    <w:rsid w:val="59C30A49"/>
    <w:rsid w:val="59C350B5"/>
    <w:rsid w:val="59C363FA"/>
    <w:rsid w:val="59C36E08"/>
    <w:rsid w:val="59C44088"/>
    <w:rsid w:val="59C44F92"/>
    <w:rsid w:val="59C503C4"/>
    <w:rsid w:val="59C52172"/>
    <w:rsid w:val="59C53F20"/>
    <w:rsid w:val="59C54111"/>
    <w:rsid w:val="59C56616"/>
    <w:rsid w:val="59C67E07"/>
    <w:rsid w:val="59C72A09"/>
    <w:rsid w:val="59C75EEA"/>
    <w:rsid w:val="59C76D47"/>
    <w:rsid w:val="59C81FC7"/>
    <w:rsid w:val="59C83A10"/>
    <w:rsid w:val="59C84CF3"/>
    <w:rsid w:val="59C86FEF"/>
    <w:rsid w:val="59C879D0"/>
    <w:rsid w:val="59C9173A"/>
    <w:rsid w:val="59C97EB4"/>
    <w:rsid w:val="59CA1091"/>
    <w:rsid w:val="59CA3C2C"/>
    <w:rsid w:val="59CA59DA"/>
    <w:rsid w:val="59CA67B9"/>
    <w:rsid w:val="59CB03D4"/>
    <w:rsid w:val="59CB27DC"/>
    <w:rsid w:val="59CB4D9E"/>
    <w:rsid w:val="59CB72A0"/>
    <w:rsid w:val="59CC1E60"/>
    <w:rsid w:val="59CC281A"/>
    <w:rsid w:val="59CC3500"/>
    <w:rsid w:val="59CC471F"/>
    <w:rsid w:val="59CD1026"/>
    <w:rsid w:val="59CD14A9"/>
    <w:rsid w:val="59CD7278"/>
    <w:rsid w:val="59CE513A"/>
    <w:rsid w:val="59CE514F"/>
    <w:rsid w:val="59CE718B"/>
    <w:rsid w:val="59CF2FF0"/>
    <w:rsid w:val="59CF4798"/>
    <w:rsid w:val="59CF5EBD"/>
    <w:rsid w:val="59CF65CA"/>
    <w:rsid w:val="59D008FC"/>
    <w:rsid w:val="59D0262B"/>
    <w:rsid w:val="59D10B16"/>
    <w:rsid w:val="59D114AF"/>
    <w:rsid w:val="59D13728"/>
    <w:rsid w:val="59D13ABB"/>
    <w:rsid w:val="59D16D68"/>
    <w:rsid w:val="59D2488F"/>
    <w:rsid w:val="59D27B1C"/>
    <w:rsid w:val="59D303F7"/>
    <w:rsid w:val="59D30FAC"/>
    <w:rsid w:val="59D40607"/>
    <w:rsid w:val="59D40C86"/>
    <w:rsid w:val="59D423B5"/>
    <w:rsid w:val="59D46859"/>
    <w:rsid w:val="59D538CC"/>
    <w:rsid w:val="59D6437F"/>
    <w:rsid w:val="59D6612D"/>
    <w:rsid w:val="59D670D0"/>
    <w:rsid w:val="59D703B5"/>
    <w:rsid w:val="59D7546A"/>
    <w:rsid w:val="59D76434"/>
    <w:rsid w:val="59D77217"/>
    <w:rsid w:val="59D8098F"/>
    <w:rsid w:val="59D81EA5"/>
    <w:rsid w:val="59D8398E"/>
    <w:rsid w:val="59D86349"/>
    <w:rsid w:val="59D874BF"/>
    <w:rsid w:val="59D9224D"/>
    <w:rsid w:val="59D95C1D"/>
    <w:rsid w:val="59DA60D8"/>
    <w:rsid w:val="59DA62AE"/>
    <w:rsid w:val="59DB1995"/>
    <w:rsid w:val="59DB27BD"/>
    <w:rsid w:val="59DB3743"/>
    <w:rsid w:val="59DD0435"/>
    <w:rsid w:val="59DD28C5"/>
    <w:rsid w:val="59DD2EFB"/>
    <w:rsid w:val="59DD3310"/>
    <w:rsid w:val="59DD570D"/>
    <w:rsid w:val="59DD74BB"/>
    <w:rsid w:val="59DE0997"/>
    <w:rsid w:val="59DE1485"/>
    <w:rsid w:val="59DE3233"/>
    <w:rsid w:val="59DE5CEC"/>
    <w:rsid w:val="59DF0C90"/>
    <w:rsid w:val="59DF482A"/>
    <w:rsid w:val="59E00821"/>
    <w:rsid w:val="59E009DF"/>
    <w:rsid w:val="59E039B2"/>
    <w:rsid w:val="59E06FAB"/>
    <w:rsid w:val="59E07248"/>
    <w:rsid w:val="59E07296"/>
    <w:rsid w:val="59E13BDC"/>
    <w:rsid w:val="59E152CA"/>
    <w:rsid w:val="59E16850"/>
    <w:rsid w:val="59E200C2"/>
    <w:rsid w:val="59E20F76"/>
    <w:rsid w:val="59E21F44"/>
    <w:rsid w:val="59E24AD2"/>
    <w:rsid w:val="59E27E5B"/>
    <w:rsid w:val="59E3084A"/>
    <w:rsid w:val="59E30AA1"/>
    <w:rsid w:val="59E30CB0"/>
    <w:rsid w:val="59E35E84"/>
    <w:rsid w:val="59E41003"/>
    <w:rsid w:val="59E41F31"/>
    <w:rsid w:val="59E44A42"/>
    <w:rsid w:val="59E455A3"/>
    <w:rsid w:val="59E52AA6"/>
    <w:rsid w:val="59E56370"/>
    <w:rsid w:val="59E57B15"/>
    <w:rsid w:val="59E6181C"/>
    <w:rsid w:val="59E65F92"/>
    <w:rsid w:val="59E736B1"/>
    <w:rsid w:val="59E75CE1"/>
    <w:rsid w:val="59E7658C"/>
    <w:rsid w:val="59E81E58"/>
    <w:rsid w:val="59E87171"/>
    <w:rsid w:val="59E91D42"/>
    <w:rsid w:val="59E92304"/>
    <w:rsid w:val="59E93868"/>
    <w:rsid w:val="59E940B2"/>
    <w:rsid w:val="59E9425F"/>
    <w:rsid w:val="59E946F5"/>
    <w:rsid w:val="59E94913"/>
    <w:rsid w:val="59EA31D2"/>
    <w:rsid w:val="59EA5DA3"/>
    <w:rsid w:val="59EA607C"/>
    <w:rsid w:val="59EA7E2A"/>
    <w:rsid w:val="59EB7019"/>
    <w:rsid w:val="59EB7CCA"/>
    <w:rsid w:val="59EC10F8"/>
    <w:rsid w:val="59EC150B"/>
    <w:rsid w:val="59EC4514"/>
    <w:rsid w:val="59EC5CC1"/>
    <w:rsid w:val="59EC76FE"/>
    <w:rsid w:val="59ED3294"/>
    <w:rsid w:val="59ED3476"/>
    <w:rsid w:val="59ED7DCB"/>
    <w:rsid w:val="59EE16C8"/>
    <w:rsid w:val="59EE2FE3"/>
    <w:rsid w:val="59EF3692"/>
    <w:rsid w:val="59EF4473"/>
    <w:rsid w:val="59EF5113"/>
    <w:rsid w:val="59EF5441"/>
    <w:rsid w:val="59F01C15"/>
    <w:rsid w:val="59F0601A"/>
    <w:rsid w:val="59F1240F"/>
    <w:rsid w:val="59F12F67"/>
    <w:rsid w:val="59F130A5"/>
    <w:rsid w:val="59F14BAF"/>
    <w:rsid w:val="59F14D15"/>
    <w:rsid w:val="59F15728"/>
    <w:rsid w:val="59F16733"/>
    <w:rsid w:val="59F23F00"/>
    <w:rsid w:val="59F24535"/>
    <w:rsid w:val="59F2790A"/>
    <w:rsid w:val="59F27AC0"/>
    <w:rsid w:val="59F31338"/>
    <w:rsid w:val="59F34F31"/>
    <w:rsid w:val="59F36CDF"/>
    <w:rsid w:val="59F40973"/>
    <w:rsid w:val="59F40CA9"/>
    <w:rsid w:val="59F41C54"/>
    <w:rsid w:val="59F42A57"/>
    <w:rsid w:val="59F474CF"/>
    <w:rsid w:val="59F52EB6"/>
    <w:rsid w:val="59F57697"/>
    <w:rsid w:val="59F600D4"/>
    <w:rsid w:val="59F64A21"/>
    <w:rsid w:val="59F667CF"/>
    <w:rsid w:val="59F760A3"/>
    <w:rsid w:val="59F76FF3"/>
    <w:rsid w:val="59F82332"/>
    <w:rsid w:val="59F82C5A"/>
    <w:rsid w:val="59F842F5"/>
    <w:rsid w:val="59F861A7"/>
    <w:rsid w:val="59F91E1B"/>
    <w:rsid w:val="59FA5898"/>
    <w:rsid w:val="59FA62BF"/>
    <w:rsid w:val="59FB2025"/>
    <w:rsid w:val="59FB398C"/>
    <w:rsid w:val="59FB3DE5"/>
    <w:rsid w:val="59FB6D28"/>
    <w:rsid w:val="59FB7EC1"/>
    <w:rsid w:val="59FD5DAF"/>
    <w:rsid w:val="59FE34D1"/>
    <w:rsid w:val="59FE5108"/>
    <w:rsid w:val="59FE7432"/>
    <w:rsid w:val="5A000038"/>
    <w:rsid w:val="5A0013FC"/>
    <w:rsid w:val="5A003607"/>
    <w:rsid w:val="5A004DC5"/>
    <w:rsid w:val="5A00764E"/>
    <w:rsid w:val="5A015998"/>
    <w:rsid w:val="5A01773D"/>
    <w:rsid w:val="5A0228E9"/>
    <w:rsid w:val="5A0233C6"/>
    <w:rsid w:val="5A023E3C"/>
    <w:rsid w:val="5A025174"/>
    <w:rsid w:val="5A026F22"/>
    <w:rsid w:val="5A0314C7"/>
    <w:rsid w:val="5A0324D1"/>
    <w:rsid w:val="5A033FD0"/>
    <w:rsid w:val="5A03581A"/>
    <w:rsid w:val="5A036A58"/>
    <w:rsid w:val="5A040EEC"/>
    <w:rsid w:val="5A045FAC"/>
    <w:rsid w:val="5A04694A"/>
    <w:rsid w:val="5A047DDA"/>
    <w:rsid w:val="5A0507C0"/>
    <w:rsid w:val="5A05126A"/>
    <w:rsid w:val="5A054C64"/>
    <w:rsid w:val="5A055F9C"/>
    <w:rsid w:val="5A056A12"/>
    <w:rsid w:val="5A061ADA"/>
    <w:rsid w:val="5A06516A"/>
    <w:rsid w:val="5A0652E7"/>
    <w:rsid w:val="5A0667C2"/>
    <w:rsid w:val="5A0709DC"/>
    <w:rsid w:val="5A070ABB"/>
    <w:rsid w:val="5A07278A"/>
    <w:rsid w:val="5A07589F"/>
    <w:rsid w:val="5A0802B0"/>
    <w:rsid w:val="5A081CC5"/>
    <w:rsid w:val="5A08675B"/>
    <w:rsid w:val="5A090A0D"/>
    <w:rsid w:val="5A0930AE"/>
    <w:rsid w:val="5A096187"/>
    <w:rsid w:val="5A0A04CC"/>
    <w:rsid w:val="5A0A1945"/>
    <w:rsid w:val="5A0A3C4C"/>
    <w:rsid w:val="5A0A4028"/>
    <w:rsid w:val="5A0A426F"/>
    <w:rsid w:val="5A0A61CB"/>
    <w:rsid w:val="5A0A6C1F"/>
    <w:rsid w:val="5A0A75B7"/>
    <w:rsid w:val="5A0A7B67"/>
    <w:rsid w:val="5A0B2AA0"/>
    <w:rsid w:val="5A0B50DC"/>
    <w:rsid w:val="5A0B6471"/>
    <w:rsid w:val="5A0C49A0"/>
    <w:rsid w:val="5A0C5FF2"/>
    <w:rsid w:val="5A0C7DA1"/>
    <w:rsid w:val="5A0C7F96"/>
    <w:rsid w:val="5A0D113D"/>
    <w:rsid w:val="5A0D1F2D"/>
    <w:rsid w:val="5A0D6360"/>
    <w:rsid w:val="5A0D6BDE"/>
    <w:rsid w:val="5A0D7B97"/>
    <w:rsid w:val="5A0E1D6B"/>
    <w:rsid w:val="5A0E3B19"/>
    <w:rsid w:val="5A0E43F7"/>
    <w:rsid w:val="5A0E58C7"/>
    <w:rsid w:val="5A0E6E91"/>
    <w:rsid w:val="5A0F163F"/>
    <w:rsid w:val="5A0F1BDE"/>
    <w:rsid w:val="5A0F7584"/>
    <w:rsid w:val="5A0F7891"/>
    <w:rsid w:val="5A101373"/>
    <w:rsid w:val="5A1017B7"/>
    <w:rsid w:val="5A104F2B"/>
    <w:rsid w:val="5A113609"/>
    <w:rsid w:val="5A1153B7"/>
    <w:rsid w:val="5A117165"/>
    <w:rsid w:val="5A1179C4"/>
    <w:rsid w:val="5A1223DE"/>
    <w:rsid w:val="5A122803"/>
    <w:rsid w:val="5A132EDD"/>
    <w:rsid w:val="5A133146"/>
    <w:rsid w:val="5A137381"/>
    <w:rsid w:val="5A141852"/>
    <w:rsid w:val="5A141DEB"/>
    <w:rsid w:val="5A142217"/>
    <w:rsid w:val="5A142A22"/>
    <w:rsid w:val="5A1432F7"/>
    <w:rsid w:val="5A146C55"/>
    <w:rsid w:val="5A1478CF"/>
    <w:rsid w:val="5A150D5F"/>
    <w:rsid w:val="5A1524A8"/>
    <w:rsid w:val="5A1530F9"/>
    <w:rsid w:val="5A15432B"/>
    <w:rsid w:val="5A155769"/>
    <w:rsid w:val="5A1561AD"/>
    <w:rsid w:val="5A157CD6"/>
    <w:rsid w:val="5A160C1F"/>
    <w:rsid w:val="5A1621EF"/>
    <w:rsid w:val="5A1645AB"/>
    <w:rsid w:val="5A171DE1"/>
    <w:rsid w:val="5A17367F"/>
    <w:rsid w:val="5A176C23"/>
    <w:rsid w:val="5A1804F3"/>
    <w:rsid w:val="5A1844C8"/>
    <w:rsid w:val="5A1844F7"/>
    <w:rsid w:val="5A184BE5"/>
    <w:rsid w:val="5A185B07"/>
    <w:rsid w:val="5A186745"/>
    <w:rsid w:val="5A1867E8"/>
    <w:rsid w:val="5A187F80"/>
    <w:rsid w:val="5A1924BD"/>
    <w:rsid w:val="5A19426B"/>
    <w:rsid w:val="5A1976E0"/>
    <w:rsid w:val="5A1A070F"/>
    <w:rsid w:val="5A1A0B6E"/>
    <w:rsid w:val="5A1A6CEB"/>
    <w:rsid w:val="5A1A73E5"/>
    <w:rsid w:val="5A1B09C5"/>
    <w:rsid w:val="5A1B10FF"/>
    <w:rsid w:val="5A1B2000"/>
    <w:rsid w:val="5A1B4488"/>
    <w:rsid w:val="5A1B4BD1"/>
    <w:rsid w:val="5A1B6236"/>
    <w:rsid w:val="5A1C7FD4"/>
    <w:rsid w:val="5A1D0200"/>
    <w:rsid w:val="5A1D0C32"/>
    <w:rsid w:val="5A1D1FAE"/>
    <w:rsid w:val="5A1D3C0D"/>
    <w:rsid w:val="5A1D41B7"/>
    <w:rsid w:val="5A1D5B0A"/>
    <w:rsid w:val="5A1D5F5A"/>
    <w:rsid w:val="5A1F01E5"/>
    <w:rsid w:val="5A1F49E2"/>
    <w:rsid w:val="5A1F5D26"/>
    <w:rsid w:val="5A1F5E80"/>
    <w:rsid w:val="5A1F75E1"/>
    <w:rsid w:val="5A2013E8"/>
    <w:rsid w:val="5A201A9E"/>
    <w:rsid w:val="5A204434"/>
    <w:rsid w:val="5A2055FA"/>
    <w:rsid w:val="5A207377"/>
    <w:rsid w:val="5A207F8C"/>
    <w:rsid w:val="5A214787"/>
    <w:rsid w:val="5A214DED"/>
    <w:rsid w:val="5A217302"/>
    <w:rsid w:val="5A221372"/>
    <w:rsid w:val="5A222A2B"/>
    <w:rsid w:val="5A22360B"/>
    <w:rsid w:val="5A225816"/>
    <w:rsid w:val="5A226ABA"/>
    <w:rsid w:val="5A2275C4"/>
    <w:rsid w:val="5A235F34"/>
    <w:rsid w:val="5A24333C"/>
    <w:rsid w:val="5A250E62"/>
    <w:rsid w:val="5A252C10"/>
    <w:rsid w:val="5A255C83"/>
    <w:rsid w:val="5A261CE4"/>
    <w:rsid w:val="5A262421"/>
    <w:rsid w:val="5A26308B"/>
    <w:rsid w:val="5A263AEE"/>
    <w:rsid w:val="5A267B08"/>
    <w:rsid w:val="5A272E2C"/>
    <w:rsid w:val="5A2739C7"/>
    <w:rsid w:val="5A2748B5"/>
    <w:rsid w:val="5A276988"/>
    <w:rsid w:val="5A283B4A"/>
    <w:rsid w:val="5A290736"/>
    <w:rsid w:val="5A290952"/>
    <w:rsid w:val="5A292701"/>
    <w:rsid w:val="5A296A09"/>
    <w:rsid w:val="5A296BA4"/>
    <w:rsid w:val="5A2A0227"/>
    <w:rsid w:val="5A2A29A6"/>
    <w:rsid w:val="5A2A3450"/>
    <w:rsid w:val="5A2A6F71"/>
    <w:rsid w:val="5A2A786D"/>
    <w:rsid w:val="5A2B23A0"/>
    <w:rsid w:val="5A2C3F9F"/>
    <w:rsid w:val="5A2C5B56"/>
    <w:rsid w:val="5A2D0972"/>
    <w:rsid w:val="5A2E0476"/>
    <w:rsid w:val="5A2E0F1A"/>
    <w:rsid w:val="5A2E1A75"/>
    <w:rsid w:val="5A2E2CC9"/>
    <w:rsid w:val="5A2E2DE5"/>
    <w:rsid w:val="5A2E7D17"/>
    <w:rsid w:val="5A2F19F0"/>
    <w:rsid w:val="5A2F1CE1"/>
    <w:rsid w:val="5A2F3452"/>
    <w:rsid w:val="5A2F34FB"/>
    <w:rsid w:val="5A2F3A8F"/>
    <w:rsid w:val="5A2F4103"/>
    <w:rsid w:val="5A2F4251"/>
    <w:rsid w:val="5A2F55FE"/>
    <w:rsid w:val="5A304162"/>
    <w:rsid w:val="5A307F33"/>
    <w:rsid w:val="5A3115B5"/>
    <w:rsid w:val="5A315A59"/>
    <w:rsid w:val="5A316DF7"/>
    <w:rsid w:val="5A317807"/>
    <w:rsid w:val="5A3201A4"/>
    <w:rsid w:val="5A3219C8"/>
    <w:rsid w:val="5A32541C"/>
    <w:rsid w:val="5A3317D1"/>
    <w:rsid w:val="5A3319A0"/>
    <w:rsid w:val="5A33532D"/>
    <w:rsid w:val="5A336A53"/>
    <w:rsid w:val="5A34058B"/>
    <w:rsid w:val="5A345D8F"/>
    <w:rsid w:val="5A351F4D"/>
    <w:rsid w:val="5A353608"/>
    <w:rsid w:val="5A355549"/>
    <w:rsid w:val="5A3570F8"/>
    <w:rsid w:val="5A3612C1"/>
    <w:rsid w:val="5A36148E"/>
    <w:rsid w:val="5A3617D9"/>
    <w:rsid w:val="5A36306F"/>
    <w:rsid w:val="5A363EC3"/>
    <w:rsid w:val="5A364B59"/>
    <w:rsid w:val="5A364E1D"/>
    <w:rsid w:val="5A366BCB"/>
    <w:rsid w:val="5A366C08"/>
    <w:rsid w:val="5A372C69"/>
    <w:rsid w:val="5A373959"/>
    <w:rsid w:val="5A376B0B"/>
    <w:rsid w:val="5A37717F"/>
    <w:rsid w:val="5A380B96"/>
    <w:rsid w:val="5A380C4D"/>
    <w:rsid w:val="5A38495A"/>
    <w:rsid w:val="5A386DE8"/>
    <w:rsid w:val="5A39015A"/>
    <w:rsid w:val="5A3966BC"/>
    <w:rsid w:val="5A3A006F"/>
    <w:rsid w:val="5A3A2B60"/>
    <w:rsid w:val="5A3A490E"/>
    <w:rsid w:val="5A3B0686"/>
    <w:rsid w:val="5A3B09E5"/>
    <w:rsid w:val="5A3B1D99"/>
    <w:rsid w:val="5A3B2434"/>
    <w:rsid w:val="5A3B26BF"/>
    <w:rsid w:val="5A3B2D8E"/>
    <w:rsid w:val="5A3B41BB"/>
    <w:rsid w:val="5A3B5590"/>
    <w:rsid w:val="5A3B5777"/>
    <w:rsid w:val="5A3B68D8"/>
    <w:rsid w:val="5A3B79B5"/>
    <w:rsid w:val="5A3C0CDA"/>
    <w:rsid w:val="5A3C3F0A"/>
    <w:rsid w:val="5A3C57D7"/>
    <w:rsid w:val="5A3C75BC"/>
    <w:rsid w:val="5A3D1E99"/>
    <w:rsid w:val="5A3D31AE"/>
    <w:rsid w:val="5A3D38B7"/>
    <w:rsid w:val="5A3D41A9"/>
    <w:rsid w:val="5A3D5D31"/>
    <w:rsid w:val="5A3D61AC"/>
    <w:rsid w:val="5A3D7BB3"/>
    <w:rsid w:val="5A3D7F5A"/>
    <w:rsid w:val="5A3E2B3C"/>
    <w:rsid w:val="5A3E3516"/>
    <w:rsid w:val="5A3E3CD2"/>
    <w:rsid w:val="5A3F1F24"/>
    <w:rsid w:val="5A3F2AD6"/>
    <w:rsid w:val="5A3F7574"/>
    <w:rsid w:val="5A4006AD"/>
    <w:rsid w:val="5A400957"/>
    <w:rsid w:val="5A401AEB"/>
    <w:rsid w:val="5A4021FB"/>
    <w:rsid w:val="5A402ED2"/>
    <w:rsid w:val="5A403211"/>
    <w:rsid w:val="5A403EEE"/>
    <w:rsid w:val="5A40545C"/>
    <w:rsid w:val="5A405C9C"/>
    <w:rsid w:val="5A40750D"/>
    <w:rsid w:val="5A410C83"/>
    <w:rsid w:val="5A416278"/>
    <w:rsid w:val="5A421A14"/>
    <w:rsid w:val="5A4237C2"/>
    <w:rsid w:val="5A42686F"/>
    <w:rsid w:val="5A427C66"/>
    <w:rsid w:val="5A427D7C"/>
    <w:rsid w:val="5A43120C"/>
    <w:rsid w:val="5A443187"/>
    <w:rsid w:val="5A443D50"/>
    <w:rsid w:val="5A44753A"/>
    <w:rsid w:val="5A447DA9"/>
    <w:rsid w:val="5A4524C4"/>
    <w:rsid w:val="5A4532B2"/>
    <w:rsid w:val="5A4549C0"/>
    <w:rsid w:val="5A455061"/>
    <w:rsid w:val="5A45526D"/>
    <w:rsid w:val="5A457E3E"/>
    <w:rsid w:val="5A4612CE"/>
    <w:rsid w:val="5A461504"/>
    <w:rsid w:val="5A462ABB"/>
    <w:rsid w:val="5A464A33"/>
    <w:rsid w:val="5A464A9F"/>
    <w:rsid w:val="5A471654"/>
    <w:rsid w:val="5A47502D"/>
    <w:rsid w:val="5A47527D"/>
    <w:rsid w:val="5A4825B9"/>
    <w:rsid w:val="5A485073"/>
    <w:rsid w:val="5A490BF5"/>
    <w:rsid w:val="5A492DA3"/>
    <w:rsid w:val="5A494B51"/>
    <w:rsid w:val="5A495791"/>
    <w:rsid w:val="5A4968FF"/>
    <w:rsid w:val="5A496E9E"/>
    <w:rsid w:val="5A4A08C9"/>
    <w:rsid w:val="5A4A2677"/>
    <w:rsid w:val="5A4A47BE"/>
    <w:rsid w:val="5A4B6B1B"/>
    <w:rsid w:val="5A4B7ED6"/>
    <w:rsid w:val="5A4C2893"/>
    <w:rsid w:val="5A4D3A95"/>
    <w:rsid w:val="5A4D4E8F"/>
    <w:rsid w:val="5A4E03B9"/>
    <w:rsid w:val="5A4E2167"/>
    <w:rsid w:val="5A4E4EBF"/>
    <w:rsid w:val="5A4E4EC7"/>
    <w:rsid w:val="5A4E660B"/>
    <w:rsid w:val="5A4E7A60"/>
    <w:rsid w:val="5A4F003A"/>
    <w:rsid w:val="5A4F2199"/>
    <w:rsid w:val="5A4F5EDF"/>
    <w:rsid w:val="5A4F6A7A"/>
    <w:rsid w:val="5A501756"/>
    <w:rsid w:val="5A502380"/>
    <w:rsid w:val="5A504F51"/>
    <w:rsid w:val="5A512D1C"/>
    <w:rsid w:val="5A513A05"/>
    <w:rsid w:val="5A516674"/>
    <w:rsid w:val="5A517EA9"/>
    <w:rsid w:val="5A5220D0"/>
    <w:rsid w:val="5A523C38"/>
    <w:rsid w:val="5A530D01"/>
    <w:rsid w:val="5A532442"/>
    <w:rsid w:val="5A533803"/>
    <w:rsid w:val="5A5359CF"/>
    <w:rsid w:val="5A541296"/>
    <w:rsid w:val="5A546114"/>
    <w:rsid w:val="5A547EB1"/>
    <w:rsid w:val="5A551326"/>
    <w:rsid w:val="5A551748"/>
    <w:rsid w:val="5A555AC8"/>
    <w:rsid w:val="5A555D78"/>
    <w:rsid w:val="5A5561F2"/>
    <w:rsid w:val="5A557999"/>
    <w:rsid w:val="5A56101C"/>
    <w:rsid w:val="5A5669C0"/>
    <w:rsid w:val="5A56726E"/>
    <w:rsid w:val="5A5709EA"/>
    <w:rsid w:val="5A581029"/>
    <w:rsid w:val="5A581238"/>
    <w:rsid w:val="5A584D94"/>
    <w:rsid w:val="5A5866B1"/>
    <w:rsid w:val="5A587151"/>
    <w:rsid w:val="5A5A0B0C"/>
    <w:rsid w:val="5A5A0B57"/>
    <w:rsid w:val="5A5A4FB0"/>
    <w:rsid w:val="5A5A6358"/>
    <w:rsid w:val="5A5A6BFA"/>
    <w:rsid w:val="5A5A6D5E"/>
    <w:rsid w:val="5A5B13AA"/>
    <w:rsid w:val="5A5B444D"/>
    <w:rsid w:val="5A5C0657"/>
    <w:rsid w:val="5A5C0D28"/>
    <w:rsid w:val="5A5C3AE8"/>
    <w:rsid w:val="5A5D31A1"/>
    <w:rsid w:val="5A5D3887"/>
    <w:rsid w:val="5A5D7C3D"/>
    <w:rsid w:val="5A5E7555"/>
    <w:rsid w:val="5A5F119F"/>
    <w:rsid w:val="5A5F1E75"/>
    <w:rsid w:val="5A5F25C6"/>
    <w:rsid w:val="5A5F5C3B"/>
    <w:rsid w:val="5A5F6122"/>
    <w:rsid w:val="5A5F7277"/>
    <w:rsid w:val="5A5F799D"/>
    <w:rsid w:val="5A6000EC"/>
    <w:rsid w:val="5A601E9A"/>
    <w:rsid w:val="5A60349D"/>
    <w:rsid w:val="5A605398"/>
    <w:rsid w:val="5A60756D"/>
    <w:rsid w:val="5A6154AD"/>
    <w:rsid w:val="5A625C12"/>
    <w:rsid w:val="5A627366"/>
    <w:rsid w:val="5A6279C1"/>
    <w:rsid w:val="5A630AC0"/>
    <w:rsid w:val="5A6333C7"/>
    <w:rsid w:val="5A633F8B"/>
    <w:rsid w:val="5A63501F"/>
    <w:rsid w:val="5A635F19"/>
    <w:rsid w:val="5A6379CB"/>
    <w:rsid w:val="5A644212"/>
    <w:rsid w:val="5A644857"/>
    <w:rsid w:val="5A6459BF"/>
    <w:rsid w:val="5A647BDD"/>
    <w:rsid w:val="5A653116"/>
    <w:rsid w:val="5A655703"/>
    <w:rsid w:val="5A6558B4"/>
    <w:rsid w:val="5A655E0E"/>
    <w:rsid w:val="5A657262"/>
    <w:rsid w:val="5A6574B1"/>
    <w:rsid w:val="5A657737"/>
    <w:rsid w:val="5A6621A7"/>
    <w:rsid w:val="5A6621BA"/>
    <w:rsid w:val="5A6636D6"/>
    <w:rsid w:val="5A663955"/>
    <w:rsid w:val="5A667177"/>
    <w:rsid w:val="5A67147B"/>
    <w:rsid w:val="5A67192E"/>
    <w:rsid w:val="5A671D48"/>
    <w:rsid w:val="5A680816"/>
    <w:rsid w:val="5A68526F"/>
    <w:rsid w:val="5A68656B"/>
    <w:rsid w:val="5A686DB7"/>
    <w:rsid w:val="5A690D4F"/>
    <w:rsid w:val="5A693983"/>
    <w:rsid w:val="5A695C2E"/>
    <w:rsid w:val="5A696FA1"/>
    <w:rsid w:val="5A6A0B89"/>
    <w:rsid w:val="5A6A3F7A"/>
    <w:rsid w:val="5A6A4AC7"/>
    <w:rsid w:val="5A6A5DFC"/>
    <w:rsid w:val="5A6B0321"/>
    <w:rsid w:val="5A6B2D19"/>
    <w:rsid w:val="5A6B69EA"/>
    <w:rsid w:val="5A6C4CE3"/>
    <w:rsid w:val="5A6E2809"/>
    <w:rsid w:val="5A6E4072"/>
    <w:rsid w:val="5A6E45B7"/>
    <w:rsid w:val="5A6E5EB4"/>
    <w:rsid w:val="5A6E6D68"/>
    <w:rsid w:val="5A6E6FF9"/>
    <w:rsid w:val="5A6F196A"/>
    <w:rsid w:val="5A6F20DD"/>
    <w:rsid w:val="5A6F78F1"/>
    <w:rsid w:val="5A700229"/>
    <w:rsid w:val="5A706581"/>
    <w:rsid w:val="5A707B20"/>
    <w:rsid w:val="5A710CEC"/>
    <w:rsid w:val="5A7140A7"/>
    <w:rsid w:val="5A7159CB"/>
    <w:rsid w:val="5A715C9D"/>
    <w:rsid w:val="5A726E5B"/>
    <w:rsid w:val="5A7302EB"/>
    <w:rsid w:val="5A732A0C"/>
    <w:rsid w:val="5A734481"/>
    <w:rsid w:val="5A736072"/>
    <w:rsid w:val="5A737E20"/>
    <w:rsid w:val="5A743A3B"/>
    <w:rsid w:val="5A744553"/>
    <w:rsid w:val="5A745534"/>
    <w:rsid w:val="5A7476F4"/>
    <w:rsid w:val="5A751DEA"/>
    <w:rsid w:val="5A752C0B"/>
    <w:rsid w:val="5A753B98"/>
    <w:rsid w:val="5A7557DC"/>
    <w:rsid w:val="5A755946"/>
    <w:rsid w:val="5A75672B"/>
    <w:rsid w:val="5A7573AF"/>
    <w:rsid w:val="5A7602B6"/>
    <w:rsid w:val="5A7616BE"/>
    <w:rsid w:val="5A76346C"/>
    <w:rsid w:val="5A76552B"/>
    <w:rsid w:val="5A766C6C"/>
    <w:rsid w:val="5A767910"/>
    <w:rsid w:val="5A770ED5"/>
    <w:rsid w:val="5A772EEE"/>
    <w:rsid w:val="5A78158C"/>
    <w:rsid w:val="5A781F79"/>
    <w:rsid w:val="5A782CCD"/>
    <w:rsid w:val="5A783688"/>
    <w:rsid w:val="5A785436"/>
    <w:rsid w:val="5A792A1C"/>
    <w:rsid w:val="5A79415D"/>
    <w:rsid w:val="5A795CEF"/>
    <w:rsid w:val="5A7A09D4"/>
    <w:rsid w:val="5A7A11AE"/>
    <w:rsid w:val="5A7A2F5C"/>
    <w:rsid w:val="5A7A72EA"/>
    <w:rsid w:val="5A7B0A82"/>
    <w:rsid w:val="5A7B7F0D"/>
    <w:rsid w:val="5A7C4FD7"/>
    <w:rsid w:val="5A7C60D9"/>
    <w:rsid w:val="5A7D47FA"/>
    <w:rsid w:val="5A7E47EA"/>
    <w:rsid w:val="5A7F014E"/>
    <w:rsid w:val="5A7F0572"/>
    <w:rsid w:val="5A7F4A16"/>
    <w:rsid w:val="5A8063F2"/>
    <w:rsid w:val="5A8073A9"/>
    <w:rsid w:val="5A81078E"/>
    <w:rsid w:val="5A815DC2"/>
    <w:rsid w:val="5A816520"/>
    <w:rsid w:val="5A820063"/>
    <w:rsid w:val="5A8262B5"/>
    <w:rsid w:val="5A831ACB"/>
    <w:rsid w:val="5A836351"/>
    <w:rsid w:val="5A840D97"/>
    <w:rsid w:val="5A843DDB"/>
    <w:rsid w:val="5A844068"/>
    <w:rsid w:val="5A845B89"/>
    <w:rsid w:val="5A850909"/>
    <w:rsid w:val="5A851901"/>
    <w:rsid w:val="5A851DAC"/>
    <w:rsid w:val="5A85681A"/>
    <w:rsid w:val="5A865DA5"/>
    <w:rsid w:val="5A866761"/>
    <w:rsid w:val="5A866EA7"/>
    <w:rsid w:val="5A871B1D"/>
    <w:rsid w:val="5A8720A7"/>
    <w:rsid w:val="5A87351F"/>
    <w:rsid w:val="5A8738CB"/>
    <w:rsid w:val="5A875679"/>
    <w:rsid w:val="5A877BF1"/>
    <w:rsid w:val="5A8913F1"/>
    <w:rsid w:val="5A8921D3"/>
    <w:rsid w:val="5A89319F"/>
    <w:rsid w:val="5A893A09"/>
    <w:rsid w:val="5A897643"/>
    <w:rsid w:val="5A8A39A1"/>
    <w:rsid w:val="5A8A6572"/>
    <w:rsid w:val="5A8A7C23"/>
    <w:rsid w:val="5A8B1072"/>
    <w:rsid w:val="5A8B1EB0"/>
    <w:rsid w:val="5A8B233A"/>
    <w:rsid w:val="5A8B2434"/>
    <w:rsid w:val="5A8B5169"/>
    <w:rsid w:val="5A8B6F17"/>
    <w:rsid w:val="5A8B6FEB"/>
    <w:rsid w:val="5A8C0E92"/>
    <w:rsid w:val="5A8C0EE1"/>
    <w:rsid w:val="5A8C2C8F"/>
    <w:rsid w:val="5A8C5C4E"/>
    <w:rsid w:val="5A8D11CD"/>
    <w:rsid w:val="5A8D2322"/>
    <w:rsid w:val="5A8D2874"/>
    <w:rsid w:val="5A8D2E09"/>
    <w:rsid w:val="5A8D703A"/>
    <w:rsid w:val="5A8E07B6"/>
    <w:rsid w:val="5A8E2EB8"/>
    <w:rsid w:val="5A8E6A07"/>
    <w:rsid w:val="5A8F2484"/>
    <w:rsid w:val="5A9009D2"/>
    <w:rsid w:val="5A902780"/>
    <w:rsid w:val="5A90452E"/>
    <w:rsid w:val="5A9102A6"/>
    <w:rsid w:val="5A910924"/>
    <w:rsid w:val="5A910CA3"/>
    <w:rsid w:val="5A910E47"/>
    <w:rsid w:val="5A912133"/>
    <w:rsid w:val="5A9130D1"/>
    <w:rsid w:val="5A9164F8"/>
    <w:rsid w:val="5A9214FD"/>
    <w:rsid w:val="5A922006"/>
    <w:rsid w:val="5A9226C1"/>
    <w:rsid w:val="5A925F77"/>
    <w:rsid w:val="5A927802"/>
    <w:rsid w:val="5A9303F0"/>
    <w:rsid w:val="5A93208E"/>
    <w:rsid w:val="5A932270"/>
    <w:rsid w:val="5A932272"/>
    <w:rsid w:val="5A932869"/>
    <w:rsid w:val="5A933CC4"/>
    <w:rsid w:val="5A93401E"/>
    <w:rsid w:val="5A9340F5"/>
    <w:rsid w:val="5A9346EC"/>
    <w:rsid w:val="5A93582F"/>
    <w:rsid w:val="5A936194"/>
    <w:rsid w:val="5A9424E8"/>
    <w:rsid w:val="5A945927"/>
    <w:rsid w:val="5A9515D5"/>
    <w:rsid w:val="5A951B44"/>
    <w:rsid w:val="5A956F0C"/>
    <w:rsid w:val="5A957D96"/>
    <w:rsid w:val="5A960EB7"/>
    <w:rsid w:val="5A961BCC"/>
    <w:rsid w:val="5A963B0E"/>
    <w:rsid w:val="5A964B15"/>
    <w:rsid w:val="5A9658BC"/>
    <w:rsid w:val="5A966E99"/>
    <w:rsid w:val="5A971BE5"/>
    <w:rsid w:val="5A971D60"/>
    <w:rsid w:val="5A974857"/>
    <w:rsid w:val="5A975FA5"/>
    <w:rsid w:val="5A9764BF"/>
    <w:rsid w:val="5A9776E6"/>
    <w:rsid w:val="5A9817D2"/>
    <w:rsid w:val="5A985AD8"/>
    <w:rsid w:val="5A987886"/>
    <w:rsid w:val="5A9A1850"/>
    <w:rsid w:val="5A9A25A2"/>
    <w:rsid w:val="5A9A3496"/>
    <w:rsid w:val="5A9A4367"/>
    <w:rsid w:val="5A9A79A0"/>
    <w:rsid w:val="5A9B0F8D"/>
    <w:rsid w:val="5A9B2ED2"/>
    <w:rsid w:val="5A9B610F"/>
    <w:rsid w:val="5A9B6A06"/>
    <w:rsid w:val="5A9B73A6"/>
    <w:rsid w:val="5A9C0987"/>
    <w:rsid w:val="5A9C1476"/>
    <w:rsid w:val="5A9C6954"/>
    <w:rsid w:val="5A9C7376"/>
    <w:rsid w:val="5A9C75F4"/>
    <w:rsid w:val="5A9D01E2"/>
    <w:rsid w:val="5A9D28FB"/>
    <w:rsid w:val="5A9E261C"/>
    <w:rsid w:val="5A9E32A7"/>
    <w:rsid w:val="5A9F0C15"/>
    <w:rsid w:val="5A9F443E"/>
    <w:rsid w:val="5A9F4737"/>
    <w:rsid w:val="5A9F4787"/>
    <w:rsid w:val="5A9F6E67"/>
    <w:rsid w:val="5AA004E9"/>
    <w:rsid w:val="5AA006AA"/>
    <w:rsid w:val="5AA049C5"/>
    <w:rsid w:val="5AA11C28"/>
    <w:rsid w:val="5AA12BDF"/>
    <w:rsid w:val="5AA1498D"/>
    <w:rsid w:val="5AA1673B"/>
    <w:rsid w:val="5AA17C75"/>
    <w:rsid w:val="5AA2024C"/>
    <w:rsid w:val="5AA20705"/>
    <w:rsid w:val="5AA24261"/>
    <w:rsid w:val="5AA25FBF"/>
    <w:rsid w:val="5AA26640"/>
    <w:rsid w:val="5AA35C89"/>
    <w:rsid w:val="5AA37BFA"/>
    <w:rsid w:val="5AA41CEA"/>
    <w:rsid w:val="5AA4622B"/>
    <w:rsid w:val="5AA472C5"/>
    <w:rsid w:val="5AA47FD9"/>
    <w:rsid w:val="5AA505A9"/>
    <w:rsid w:val="5AA51D39"/>
    <w:rsid w:val="5AA55791"/>
    <w:rsid w:val="5AA601F5"/>
    <w:rsid w:val="5AA61A39"/>
    <w:rsid w:val="5AA7161B"/>
    <w:rsid w:val="5AA71877"/>
    <w:rsid w:val="5AA75A9A"/>
    <w:rsid w:val="5AA77AC9"/>
    <w:rsid w:val="5AA8066B"/>
    <w:rsid w:val="5AA8538D"/>
    <w:rsid w:val="5AA90FE3"/>
    <w:rsid w:val="5AA93841"/>
    <w:rsid w:val="5AA93C52"/>
    <w:rsid w:val="5AA955EF"/>
    <w:rsid w:val="5AA95E0F"/>
    <w:rsid w:val="5AAA2F8A"/>
    <w:rsid w:val="5AAA33BD"/>
    <w:rsid w:val="5AAA72D0"/>
    <w:rsid w:val="5AAB1367"/>
    <w:rsid w:val="5AAB1D32"/>
    <w:rsid w:val="5AAB58AA"/>
    <w:rsid w:val="5AAB7E89"/>
    <w:rsid w:val="5AAC2014"/>
    <w:rsid w:val="5AAC3332"/>
    <w:rsid w:val="5AAC50E0"/>
    <w:rsid w:val="5AAC5D2F"/>
    <w:rsid w:val="5AAD17DD"/>
    <w:rsid w:val="5AAD553B"/>
    <w:rsid w:val="5AAD66C5"/>
    <w:rsid w:val="5AAE0E58"/>
    <w:rsid w:val="5AAE180E"/>
    <w:rsid w:val="5AAE2C06"/>
    <w:rsid w:val="5AAE4249"/>
    <w:rsid w:val="5AAF6DFC"/>
    <w:rsid w:val="5AB01005"/>
    <w:rsid w:val="5AB026D8"/>
    <w:rsid w:val="5AB126F6"/>
    <w:rsid w:val="5AB12F14"/>
    <w:rsid w:val="5AB20948"/>
    <w:rsid w:val="5AB26B9A"/>
    <w:rsid w:val="5AB3021C"/>
    <w:rsid w:val="5AB32C62"/>
    <w:rsid w:val="5AB3503A"/>
    <w:rsid w:val="5AB3646E"/>
    <w:rsid w:val="5AB4095F"/>
    <w:rsid w:val="5AB41A71"/>
    <w:rsid w:val="5AB4500B"/>
    <w:rsid w:val="5AB5009D"/>
    <w:rsid w:val="5AB520CC"/>
    <w:rsid w:val="5AB521E6"/>
    <w:rsid w:val="5AB53F94"/>
    <w:rsid w:val="5AB54B3D"/>
    <w:rsid w:val="5AB56474"/>
    <w:rsid w:val="5AB60226"/>
    <w:rsid w:val="5AB65981"/>
    <w:rsid w:val="5AB65E2A"/>
    <w:rsid w:val="5AB67D0C"/>
    <w:rsid w:val="5AB729BD"/>
    <w:rsid w:val="5AB72D08"/>
    <w:rsid w:val="5AB75F5E"/>
    <w:rsid w:val="5AB81CD6"/>
    <w:rsid w:val="5AB83A84"/>
    <w:rsid w:val="5AB8573A"/>
    <w:rsid w:val="5AB86A1E"/>
    <w:rsid w:val="5AB87F28"/>
    <w:rsid w:val="5AB90B7F"/>
    <w:rsid w:val="5AB92CAB"/>
    <w:rsid w:val="5ABA15AB"/>
    <w:rsid w:val="5ABA35A2"/>
    <w:rsid w:val="5ABA5A4E"/>
    <w:rsid w:val="5ABA77FD"/>
    <w:rsid w:val="5ABB539F"/>
    <w:rsid w:val="5ABC3449"/>
    <w:rsid w:val="5ABC3575"/>
    <w:rsid w:val="5ABC7F70"/>
    <w:rsid w:val="5ABD553F"/>
    <w:rsid w:val="5ABD57E0"/>
    <w:rsid w:val="5ABD72ED"/>
    <w:rsid w:val="5ABD7CBF"/>
    <w:rsid w:val="5ABE0CF7"/>
    <w:rsid w:val="5ABE1D47"/>
    <w:rsid w:val="5ABE2233"/>
    <w:rsid w:val="5ABF12B7"/>
    <w:rsid w:val="5ABF3065"/>
    <w:rsid w:val="5ABF3D20"/>
    <w:rsid w:val="5ABF6042"/>
    <w:rsid w:val="5ABF63A6"/>
    <w:rsid w:val="5ABF70CA"/>
    <w:rsid w:val="5AC015EA"/>
    <w:rsid w:val="5AC01B77"/>
    <w:rsid w:val="5AC02939"/>
    <w:rsid w:val="5AC051B0"/>
    <w:rsid w:val="5AC05F56"/>
    <w:rsid w:val="5AC07378"/>
    <w:rsid w:val="5AC076C9"/>
    <w:rsid w:val="5AC10B8B"/>
    <w:rsid w:val="5AC16C57"/>
    <w:rsid w:val="5AC16DDD"/>
    <w:rsid w:val="5AC17406"/>
    <w:rsid w:val="5AC226A1"/>
    <w:rsid w:val="5AC24903"/>
    <w:rsid w:val="5AC266B1"/>
    <w:rsid w:val="5AC26C4B"/>
    <w:rsid w:val="5AC3040C"/>
    <w:rsid w:val="5AC30A03"/>
    <w:rsid w:val="5AC35272"/>
    <w:rsid w:val="5AC35791"/>
    <w:rsid w:val="5AC35F2E"/>
    <w:rsid w:val="5AC36D8D"/>
    <w:rsid w:val="5AC4067B"/>
    <w:rsid w:val="5AC40943"/>
    <w:rsid w:val="5AC46060"/>
    <w:rsid w:val="5AC47D89"/>
    <w:rsid w:val="5AC62645"/>
    <w:rsid w:val="5AC63BF3"/>
    <w:rsid w:val="5AC643F3"/>
    <w:rsid w:val="5AC665E9"/>
    <w:rsid w:val="5AC676C9"/>
    <w:rsid w:val="5AC73CC7"/>
    <w:rsid w:val="5AC75083"/>
    <w:rsid w:val="5AC75A14"/>
    <w:rsid w:val="5AC8016B"/>
    <w:rsid w:val="5AC80A2C"/>
    <w:rsid w:val="5AC92574"/>
    <w:rsid w:val="5AC93EE4"/>
    <w:rsid w:val="5AC95C92"/>
    <w:rsid w:val="5AC979A3"/>
    <w:rsid w:val="5AC97A40"/>
    <w:rsid w:val="5ACB1A0A"/>
    <w:rsid w:val="5ACB721C"/>
    <w:rsid w:val="5ACB7C5C"/>
    <w:rsid w:val="5ACC12DE"/>
    <w:rsid w:val="5ACC2EAA"/>
    <w:rsid w:val="5ACC3ACD"/>
    <w:rsid w:val="5ACC5D4E"/>
    <w:rsid w:val="5ACD26CB"/>
    <w:rsid w:val="5ACD39D4"/>
    <w:rsid w:val="5ACE0A2B"/>
    <w:rsid w:val="5ACE0C44"/>
    <w:rsid w:val="5ACE0C48"/>
    <w:rsid w:val="5ACE5056"/>
    <w:rsid w:val="5ACF7D2C"/>
    <w:rsid w:val="5AD00DCE"/>
    <w:rsid w:val="5AD05272"/>
    <w:rsid w:val="5AD10D06"/>
    <w:rsid w:val="5AD15071"/>
    <w:rsid w:val="5AD15490"/>
    <w:rsid w:val="5AD20FEA"/>
    <w:rsid w:val="5AD22D98"/>
    <w:rsid w:val="5AD24E93"/>
    <w:rsid w:val="5AD2655E"/>
    <w:rsid w:val="5AD308BE"/>
    <w:rsid w:val="5AD32184"/>
    <w:rsid w:val="5AD3266C"/>
    <w:rsid w:val="5AD33626"/>
    <w:rsid w:val="5AD36B10"/>
    <w:rsid w:val="5AD37AF4"/>
    <w:rsid w:val="5AD52888"/>
    <w:rsid w:val="5AD563E4"/>
    <w:rsid w:val="5AD60436"/>
    <w:rsid w:val="5AD63C32"/>
    <w:rsid w:val="5AD703AE"/>
    <w:rsid w:val="5AD70FD5"/>
    <w:rsid w:val="5AD72002"/>
    <w:rsid w:val="5AD7215D"/>
    <w:rsid w:val="5AD73437"/>
    <w:rsid w:val="5AD76600"/>
    <w:rsid w:val="5AD81B99"/>
    <w:rsid w:val="5AD841FC"/>
    <w:rsid w:val="5AD84AEB"/>
    <w:rsid w:val="5AD84F11"/>
    <w:rsid w:val="5AD85C2E"/>
    <w:rsid w:val="5AD85ED5"/>
    <w:rsid w:val="5AD94DAE"/>
    <w:rsid w:val="5ADA201D"/>
    <w:rsid w:val="5ADA39FB"/>
    <w:rsid w:val="5ADB07F9"/>
    <w:rsid w:val="5ADB1972"/>
    <w:rsid w:val="5ADB7F50"/>
    <w:rsid w:val="5ADC1E90"/>
    <w:rsid w:val="5ADC3C17"/>
    <w:rsid w:val="5ADC59C5"/>
    <w:rsid w:val="5ADC7773"/>
    <w:rsid w:val="5ADD173D"/>
    <w:rsid w:val="5ADD2FA2"/>
    <w:rsid w:val="5ADD34EB"/>
    <w:rsid w:val="5ADE30F8"/>
    <w:rsid w:val="5ADE437E"/>
    <w:rsid w:val="5ADE790C"/>
    <w:rsid w:val="5ADE798F"/>
    <w:rsid w:val="5ADF05BE"/>
    <w:rsid w:val="5ADF1011"/>
    <w:rsid w:val="5ADF1BC9"/>
    <w:rsid w:val="5ADF330A"/>
    <w:rsid w:val="5ADF3707"/>
    <w:rsid w:val="5ADF3818"/>
    <w:rsid w:val="5ADF54B5"/>
    <w:rsid w:val="5ADF5B4E"/>
    <w:rsid w:val="5ADF6775"/>
    <w:rsid w:val="5ADF7263"/>
    <w:rsid w:val="5ADF7500"/>
    <w:rsid w:val="5AE03098"/>
    <w:rsid w:val="5AE0479A"/>
    <w:rsid w:val="5AE0768E"/>
    <w:rsid w:val="5AE109B1"/>
    <w:rsid w:val="5AE13CFF"/>
    <w:rsid w:val="5AE141E7"/>
    <w:rsid w:val="5AE143DD"/>
    <w:rsid w:val="5AE14D89"/>
    <w:rsid w:val="5AE15F27"/>
    <w:rsid w:val="5AE20A1C"/>
    <w:rsid w:val="5AE20B01"/>
    <w:rsid w:val="5AE23BA6"/>
    <w:rsid w:val="5AE240ED"/>
    <w:rsid w:val="5AE26034"/>
    <w:rsid w:val="5AE26D53"/>
    <w:rsid w:val="5AE3287C"/>
    <w:rsid w:val="5AE3311B"/>
    <w:rsid w:val="5AE34AD6"/>
    <w:rsid w:val="5AE34FA5"/>
    <w:rsid w:val="5AE40174"/>
    <w:rsid w:val="5AE42ACB"/>
    <w:rsid w:val="5AE44879"/>
    <w:rsid w:val="5AE4717C"/>
    <w:rsid w:val="5AE514C8"/>
    <w:rsid w:val="5AE51B06"/>
    <w:rsid w:val="5AE53801"/>
    <w:rsid w:val="5AE623A0"/>
    <w:rsid w:val="5AE64A95"/>
    <w:rsid w:val="5AE7393E"/>
    <w:rsid w:val="5AE73BFA"/>
    <w:rsid w:val="5AE74990"/>
    <w:rsid w:val="5AE74EBA"/>
    <w:rsid w:val="5AE76118"/>
    <w:rsid w:val="5AE843BC"/>
    <w:rsid w:val="5AE84932"/>
    <w:rsid w:val="5AE85AFD"/>
    <w:rsid w:val="5AE900E2"/>
    <w:rsid w:val="5AE91E90"/>
    <w:rsid w:val="5AE9584C"/>
    <w:rsid w:val="5AE96334"/>
    <w:rsid w:val="5AEA041D"/>
    <w:rsid w:val="5AEA2425"/>
    <w:rsid w:val="5AEB0587"/>
    <w:rsid w:val="5AEB20AC"/>
    <w:rsid w:val="5AEB4CAC"/>
    <w:rsid w:val="5AEB5D39"/>
    <w:rsid w:val="5AEB644A"/>
    <w:rsid w:val="5AEB7D90"/>
    <w:rsid w:val="5AEC1152"/>
    <w:rsid w:val="5AEC2C48"/>
    <w:rsid w:val="5AED1175"/>
    <w:rsid w:val="5AED1980"/>
    <w:rsid w:val="5AED1C1F"/>
    <w:rsid w:val="5AED2FF7"/>
    <w:rsid w:val="5AED5471"/>
    <w:rsid w:val="5AED6D9E"/>
    <w:rsid w:val="5AED77A3"/>
    <w:rsid w:val="5AED7BD2"/>
    <w:rsid w:val="5AEE00E5"/>
    <w:rsid w:val="5AEE2153"/>
    <w:rsid w:val="5AEE394A"/>
    <w:rsid w:val="5AEE56F8"/>
    <w:rsid w:val="5AEE74A6"/>
    <w:rsid w:val="5AEE7EE1"/>
    <w:rsid w:val="5AEF2DFF"/>
    <w:rsid w:val="5AEF3D67"/>
    <w:rsid w:val="5AEF428F"/>
    <w:rsid w:val="5AEF720A"/>
    <w:rsid w:val="5AF01470"/>
    <w:rsid w:val="5AF02B4E"/>
    <w:rsid w:val="5AF02DAD"/>
    <w:rsid w:val="5AF0321E"/>
    <w:rsid w:val="5AF0501D"/>
    <w:rsid w:val="5AF06CAB"/>
    <w:rsid w:val="5AF076C2"/>
    <w:rsid w:val="5AF2003F"/>
    <w:rsid w:val="5AF21780"/>
    <w:rsid w:val="5AF23219"/>
    <w:rsid w:val="5AF251E8"/>
    <w:rsid w:val="5AF26F96"/>
    <w:rsid w:val="5AF34DC3"/>
    <w:rsid w:val="5AF365A6"/>
    <w:rsid w:val="5AF3791F"/>
    <w:rsid w:val="5AF37BFF"/>
    <w:rsid w:val="5AF4295F"/>
    <w:rsid w:val="5AF441EA"/>
    <w:rsid w:val="5AF50835"/>
    <w:rsid w:val="5AF54CD9"/>
    <w:rsid w:val="5AF5541F"/>
    <w:rsid w:val="5AF56A87"/>
    <w:rsid w:val="5AF57114"/>
    <w:rsid w:val="5AF61591"/>
    <w:rsid w:val="5AF61EC6"/>
    <w:rsid w:val="5AF641B2"/>
    <w:rsid w:val="5AF70FCD"/>
    <w:rsid w:val="5AF727FF"/>
    <w:rsid w:val="5AF745AD"/>
    <w:rsid w:val="5AF77072"/>
    <w:rsid w:val="5AF77E50"/>
    <w:rsid w:val="5AF80325"/>
    <w:rsid w:val="5AF80981"/>
    <w:rsid w:val="5AF812E0"/>
    <w:rsid w:val="5AF820D3"/>
    <w:rsid w:val="5AF84D50"/>
    <w:rsid w:val="5AF87B55"/>
    <w:rsid w:val="5AF95341"/>
    <w:rsid w:val="5AF96577"/>
    <w:rsid w:val="5AF96A82"/>
    <w:rsid w:val="5AFA409D"/>
    <w:rsid w:val="5AFA531F"/>
    <w:rsid w:val="5AFA5519"/>
    <w:rsid w:val="5AFA6E60"/>
    <w:rsid w:val="5AFB13A2"/>
    <w:rsid w:val="5AFB2832"/>
    <w:rsid w:val="5AFC0BB3"/>
    <w:rsid w:val="5AFC1BC3"/>
    <w:rsid w:val="5AFC2477"/>
    <w:rsid w:val="5AFC3A2E"/>
    <w:rsid w:val="5AFC6067"/>
    <w:rsid w:val="5AFC6DAF"/>
    <w:rsid w:val="5AFD1C3B"/>
    <w:rsid w:val="5AFD256F"/>
    <w:rsid w:val="5AFE0644"/>
    <w:rsid w:val="5AFE1C40"/>
    <w:rsid w:val="5AFE1DDF"/>
    <w:rsid w:val="5AFE7D23"/>
    <w:rsid w:val="5AFF16B3"/>
    <w:rsid w:val="5AFF32E3"/>
    <w:rsid w:val="5AFF3461"/>
    <w:rsid w:val="5AFF3D84"/>
    <w:rsid w:val="5AFF74AC"/>
    <w:rsid w:val="5B00299D"/>
    <w:rsid w:val="5B01367D"/>
    <w:rsid w:val="5B013F5E"/>
    <w:rsid w:val="5B01542B"/>
    <w:rsid w:val="5B0171D9"/>
    <w:rsid w:val="5B026AD8"/>
    <w:rsid w:val="5B0311A3"/>
    <w:rsid w:val="5B032363"/>
    <w:rsid w:val="5B03409B"/>
    <w:rsid w:val="5B0373F5"/>
    <w:rsid w:val="5B042454"/>
    <w:rsid w:val="5B046CCA"/>
    <w:rsid w:val="5B0538E4"/>
    <w:rsid w:val="5B055025"/>
    <w:rsid w:val="5B0608E3"/>
    <w:rsid w:val="5B060C94"/>
    <w:rsid w:val="5B062596"/>
    <w:rsid w:val="5B062A42"/>
    <w:rsid w:val="5B067945"/>
    <w:rsid w:val="5B070568"/>
    <w:rsid w:val="5B081542"/>
    <w:rsid w:val="5B082265"/>
    <w:rsid w:val="5B084A0C"/>
    <w:rsid w:val="5B08503A"/>
    <w:rsid w:val="5B0867BA"/>
    <w:rsid w:val="5B091590"/>
    <w:rsid w:val="5B091926"/>
    <w:rsid w:val="5B092532"/>
    <w:rsid w:val="5B0928D0"/>
    <w:rsid w:val="5B0942E0"/>
    <w:rsid w:val="5B0A0784"/>
    <w:rsid w:val="5B0A5E51"/>
    <w:rsid w:val="5B0B0058"/>
    <w:rsid w:val="5B0B4E63"/>
    <w:rsid w:val="5B0B4E8E"/>
    <w:rsid w:val="5B0B62AA"/>
    <w:rsid w:val="5B0D1FE8"/>
    <w:rsid w:val="5B0D2FCE"/>
    <w:rsid w:val="5B0D577B"/>
    <w:rsid w:val="5B0D7F40"/>
    <w:rsid w:val="5B0E18F6"/>
    <w:rsid w:val="5B0E1F54"/>
    <w:rsid w:val="5B0E3DAB"/>
    <w:rsid w:val="5B0E7B48"/>
    <w:rsid w:val="5B0F637C"/>
    <w:rsid w:val="5B0F7567"/>
    <w:rsid w:val="5B0F7F42"/>
    <w:rsid w:val="5B102138"/>
    <w:rsid w:val="5B1036BE"/>
    <w:rsid w:val="5B105354"/>
    <w:rsid w:val="5B105C48"/>
    <w:rsid w:val="5B105DDE"/>
    <w:rsid w:val="5B116E35"/>
    <w:rsid w:val="5B1213E7"/>
    <w:rsid w:val="5B124A58"/>
    <w:rsid w:val="5B12588A"/>
    <w:rsid w:val="5B127629"/>
    <w:rsid w:val="5B127639"/>
    <w:rsid w:val="5B130AB9"/>
    <w:rsid w:val="5B13515F"/>
    <w:rsid w:val="5B136F0D"/>
    <w:rsid w:val="5B142584"/>
    <w:rsid w:val="5B1502BF"/>
    <w:rsid w:val="5B150ED7"/>
    <w:rsid w:val="5B152313"/>
    <w:rsid w:val="5B152C85"/>
    <w:rsid w:val="5B1533D9"/>
    <w:rsid w:val="5B154B1A"/>
    <w:rsid w:val="5B155FAA"/>
    <w:rsid w:val="5B161574"/>
    <w:rsid w:val="5B165C74"/>
    <w:rsid w:val="5B167A65"/>
    <w:rsid w:val="5B1708CA"/>
    <w:rsid w:val="5B170F8F"/>
    <w:rsid w:val="5B174656"/>
    <w:rsid w:val="5B174697"/>
    <w:rsid w:val="5B174C4F"/>
    <w:rsid w:val="5B175BCD"/>
    <w:rsid w:val="5B1769FD"/>
    <w:rsid w:val="5B182775"/>
    <w:rsid w:val="5B182ACC"/>
    <w:rsid w:val="5B18349B"/>
    <w:rsid w:val="5B183DB2"/>
    <w:rsid w:val="5B193CC6"/>
    <w:rsid w:val="5B1973BE"/>
    <w:rsid w:val="5B1A1E2F"/>
    <w:rsid w:val="5B1A5DBB"/>
    <w:rsid w:val="5B1A64ED"/>
    <w:rsid w:val="5B1B05D8"/>
    <w:rsid w:val="5B1B1E1C"/>
    <w:rsid w:val="5B1B25F4"/>
    <w:rsid w:val="5B1B42A8"/>
    <w:rsid w:val="5B1B6721"/>
    <w:rsid w:val="5B1B6909"/>
    <w:rsid w:val="5B1C04B7"/>
    <w:rsid w:val="5B1C2265"/>
    <w:rsid w:val="5B1C32AC"/>
    <w:rsid w:val="5B1C4013"/>
    <w:rsid w:val="5B1D1788"/>
    <w:rsid w:val="5B1D26A9"/>
    <w:rsid w:val="5B1D7AB4"/>
    <w:rsid w:val="5B1E422F"/>
    <w:rsid w:val="5B1E5215"/>
    <w:rsid w:val="5B1E5BCC"/>
    <w:rsid w:val="5B1F58B2"/>
    <w:rsid w:val="5B1F6F47"/>
    <w:rsid w:val="5B2004EC"/>
    <w:rsid w:val="5B20148D"/>
    <w:rsid w:val="5B202F43"/>
    <w:rsid w:val="5B226321"/>
    <w:rsid w:val="5B231846"/>
    <w:rsid w:val="5B23320E"/>
    <w:rsid w:val="5B2335F4"/>
    <w:rsid w:val="5B2367B9"/>
    <w:rsid w:val="5B241A3E"/>
    <w:rsid w:val="5B242EC8"/>
    <w:rsid w:val="5B2435F7"/>
    <w:rsid w:val="5B246D9E"/>
    <w:rsid w:val="5B251198"/>
    <w:rsid w:val="5B252CE1"/>
    <w:rsid w:val="5B2532E8"/>
    <w:rsid w:val="5B2555BE"/>
    <w:rsid w:val="5B255A9F"/>
    <w:rsid w:val="5B2564F8"/>
    <w:rsid w:val="5B260139"/>
    <w:rsid w:val="5B26435E"/>
    <w:rsid w:val="5B264B90"/>
    <w:rsid w:val="5B264E92"/>
    <w:rsid w:val="5B2663C3"/>
    <w:rsid w:val="5B274456"/>
    <w:rsid w:val="5B2757EE"/>
    <w:rsid w:val="5B2829B8"/>
    <w:rsid w:val="5B28417F"/>
    <w:rsid w:val="5B2871D6"/>
    <w:rsid w:val="5B287ECC"/>
    <w:rsid w:val="5B2911EF"/>
    <w:rsid w:val="5B291D9C"/>
    <w:rsid w:val="5B294420"/>
    <w:rsid w:val="5B296730"/>
    <w:rsid w:val="5B2A2BD4"/>
    <w:rsid w:val="5B2B24A8"/>
    <w:rsid w:val="5B2B78C6"/>
    <w:rsid w:val="5B2C42DB"/>
    <w:rsid w:val="5B2D049B"/>
    <w:rsid w:val="5B2D2E9B"/>
    <w:rsid w:val="5B2D4231"/>
    <w:rsid w:val="5B2D6220"/>
    <w:rsid w:val="5B2D677A"/>
    <w:rsid w:val="5B2D7786"/>
    <w:rsid w:val="5B2E478C"/>
    <w:rsid w:val="5B2E55C0"/>
    <w:rsid w:val="5B2E56C1"/>
    <w:rsid w:val="5B2E6991"/>
    <w:rsid w:val="5B2F1959"/>
    <w:rsid w:val="5B2F4766"/>
    <w:rsid w:val="5B2F6BD7"/>
    <w:rsid w:val="5B30071F"/>
    <w:rsid w:val="5B301722"/>
    <w:rsid w:val="5B303A59"/>
    <w:rsid w:val="5B303E52"/>
    <w:rsid w:val="5B303F63"/>
    <w:rsid w:val="5B304FAA"/>
    <w:rsid w:val="5B305D11"/>
    <w:rsid w:val="5B306BB7"/>
    <w:rsid w:val="5B317A04"/>
    <w:rsid w:val="5B317D9E"/>
    <w:rsid w:val="5B3254D2"/>
    <w:rsid w:val="5B3255E5"/>
    <w:rsid w:val="5B33135D"/>
    <w:rsid w:val="5B3319B1"/>
    <w:rsid w:val="5B334661"/>
    <w:rsid w:val="5B341205"/>
    <w:rsid w:val="5B342501"/>
    <w:rsid w:val="5B3436B8"/>
    <w:rsid w:val="5B344A0E"/>
    <w:rsid w:val="5B34507D"/>
    <w:rsid w:val="5B345801"/>
    <w:rsid w:val="5B3475AF"/>
    <w:rsid w:val="5B351579"/>
    <w:rsid w:val="5B352E38"/>
    <w:rsid w:val="5B353327"/>
    <w:rsid w:val="5B353E88"/>
    <w:rsid w:val="5B3550D5"/>
    <w:rsid w:val="5B366A24"/>
    <w:rsid w:val="5B370E4D"/>
    <w:rsid w:val="5B3728E1"/>
    <w:rsid w:val="5B37791B"/>
    <w:rsid w:val="5B377EB4"/>
    <w:rsid w:val="5B381344"/>
    <w:rsid w:val="5B386973"/>
    <w:rsid w:val="5B3A093D"/>
    <w:rsid w:val="5B3A253C"/>
    <w:rsid w:val="5B3A4CB8"/>
    <w:rsid w:val="5B3A5112"/>
    <w:rsid w:val="5B3B3A67"/>
    <w:rsid w:val="5B3B7B32"/>
    <w:rsid w:val="5B3B7BB5"/>
    <w:rsid w:val="5B3C1155"/>
    <w:rsid w:val="5B3C46B5"/>
    <w:rsid w:val="5B3C5E8B"/>
    <w:rsid w:val="5B3C6463"/>
    <w:rsid w:val="5B3C7526"/>
    <w:rsid w:val="5B3D25E5"/>
    <w:rsid w:val="5B3D3F8A"/>
    <w:rsid w:val="5B3D7621"/>
    <w:rsid w:val="5B3E042E"/>
    <w:rsid w:val="5B3E38F4"/>
    <w:rsid w:val="5B3E3A75"/>
    <w:rsid w:val="5B3E6680"/>
    <w:rsid w:val="5B3F3505"/>
    <w:rsid w:val="5B3F6646"/>
    <w:rsid w:val="5B3F7D02"/>
    <w:rsid w:val="5B402059"/>
    <w:rsid w:val="5B402650"/>
    <w:rsid w:val="5B4041A6"/>
    <w:rsid w:val="5B405992"/>
    <w:rsid w:val="5B407AD6"/>
    <w:rsid w:val="5B410B52"/>
    <w:rsid w:val="5B410DC4"/>
    <w:rsid w:val="5B411CCC"/>
    <w:rsid w:val="5B4219B2"/>
    <w:rsid w:val="5B421B6B"/>
    <w:rsid w:val="5B424FC7"/>
    <w:rsid w:val="5B4250C0"/>
    <w:rsid w:val="5B433C96"/>
    <w:rsid w:val="5B435A44"/>
    <w:rsid w:val="5B4408CC"/>
    <w:rsid w:val="5B440AC5"/>
    <w:rsid w:val="5B440BC2"/>
    <w:rsid w:val="5B44356A"/>
    <w:rsid w:val="5B4450E7"/>
    <w:rsid w:val="5B445318"/>
    <w:rsid w:val="5B461090"/>
    <w:rsid w:val="5B463224"/>
    <w:rsid w:val="5B463785"/>
    <w:rsid w:val="5B4638CB"/>
    <w:rsid w:val="5B46490B"/>
    <w:rsid w:val="5B4672E2"/>
    <w:rsid w:val="5B467D2A"/>
    <w:rsid w:val="5B4711DE"/>
    <w:rsid w:val="5B4721DC"/>
    <w:rsid w:val="5B474373"/>
    <w:rsid w:val="5B48014E"/>
    <w:rsid w:val="5B480E39"/>
    <w:rsid w:val="5B4812AC"/>
    <w:rsid w:val="5B48305A"/>
    <w:rsid w:val="5B487E87"/>
    <w:rsid w:val="5B490B80"/>
    <w:rsid w:val="5B492DC1"/>
    <w:rsid w:val="5B494EF4"/>
    <w:rsid w:val="5B4A5737"/>
    <w:rsid w:val="5B4A632A"/>
    <w:rsid w:val="5B4A6DD2"/>
    <w:rsid w:val="5B4B1498"/>
    <w:rsid w:val="5B4B2B4A"/>
    <w:rsid w:val="5B4B45EA"/>
    <w:rsid w:val="5B4B48F9"/>
    <w:rsid w:val="5B4B4BE9"/>
    <w:rsid w:val="5B4B66A7"/>
    <w:rsid w:val="5B4C0C4A"/>
    <w:rsid w:val="5B4C1439"/>
    <w:rsid w:val="5B4C1D1F"/>
    <w:rsid w:val="5B4C6789"/>
    <w:rsid w:val="5B4D0671"/>
    <w:rsid w:val="5B4D241F"/>
    <w:rsid w:val="5B4D457C"/>
    <w:rsid w:val="5B4D6ED8"/>
    <w:rsid w:val="5B4D71D2"/>
    <w:rsid w:val="5B4E087A"/>
    <w:rsid w:val="5B4E4D05"/>
    <w:rsid w:val="5B4E5876"/>
    <w:rsid w:val="5B4E6197"/>
    <w:rsid w:val="5B4F0BAF"/>
    <w:rsid w:val="5B4F263B"/>
    <w:rsid w:val="5B4F61E9"/>
    <w:rsid w:val="5B4F7694"/>
    <w:rsid w:val="5B500161"/>
    <w:rsid w:val="5B501F0F"/>
    <w:rsid w:val="5B50716E"/>
    <w:rsid w:val="5B510A5B"/>
    <w:rsid w:val="5B516417"/>
    <w:rsid w:val="5B525C87"/>
    <w:rsid w:val="5B527780"/>
    <w:rsid w:val="5B5312F2"/>
    <w:rsid w:val="5B537EED"/>
    <w:rsid w:val="5B5404D6"/>
    <w:rsid w:val="5B5437AD"/>
    <w:rsid w:val="5B545C1D"/>
    <w:rsid w:val="5B5473DC"/>
    <w:rsid w:val="5B551AD3"/>
    <w:rsid w:val="5B555777"/>
    <w:rsid w:val="5B557525"/>
    <w:rsid w:val="5B5639C9"/>
    <w:rsid w:val="5B563EF6"/>
    <w:rsid w:val="5B5648CD"/>
    <w:rsid w:val="5B566D33"/>
    <w:rsid w:val="5B5718F2"/>
    <w:rsid w:val="5B571FE3"/>
    <w:rsid w:val="5B57504B"/>
    <w:rsid w:val="5B587751"/>
    <w:rsid w:val="5B5900DD"/>
    <w:rsid w:val="5B59067D"/>
    <w:rsid w:val="5B590DC3"/>
    <w:rsid w:val="5B591DBE"/>
    <w:rsid w:val="5B596DB6"/>
    <w:rsid w:val="5B5976A4"/>
    <w:rsid w:val="5B5A1146"/>
    <w:rsid w:val="5B5A2D8E"/>
    <w:rsid w:val="5B5A4B3C"/>
    <w:rsid w:val="5B5B0FE0"/>
    <w:rsid w:val="5B5B1C39"/>
    <w:rsid w:val="5B5B4626"/>
    <w:rsid w:val="5B5B46DE"/>
    <w:rsid w:val="5B5C08B4"/>
    <w:rsid w:val="5B5C0D15"/>
    <w:rsid w:val="5B5C436D"/>
    <w:rsid w:val="5B5C5660"/>
    <w:rsid w:val="5B5C5B6E"/>
    <w:rsid w:val="5B5C73BE"/>
    <w:rsid w:val="5B5D626A"/>
    <w:rsid w:val="5B5E1068"/>
    <w:rsid w:val="5B5E3FD6"/>
    <w:rsid w:val="5B5E4FCB"/>
    <w:rsid w:val="5B5E63DA"/>
    <w:rsid w:val="5B5F03A4"/>
    <w:rsid w:val="5B5F0829"/>
    <w:rsid w:val="5B5F2152"/>
    <w:rsid w:val="5B6065F6"/>
    <w:rsid w:val="5B6070C0"/>
    <w:rsid w:val="5B6073A6"/>
    <w:rsid w:val="5B61236E"/>
    <w:rsid w:val="5B61314E"/>
    <w:rsid w:val="5B620508"/>
    <w:rsid w:val="5B620669"/>
    <w:rsid w:val="5B6209E7"/>
    <w:rsid w:val="5B6219E0"/>
    <w:rsid w:val="5B624559"/>
    <w:rsid w:val="5B626359"/>
    <w:rsid w:val="5B631C42"/>
    <w:rsid w:val="5B634300"/>
    <w:rsid w:val="5B635A41"/>
    <w:rsid w:val="5B642E16"/>
    <w:rsid w:val="5B647768"/>
    <w:rsid w:val="5B651D73"/>
    <w:rsid w:val="5B653C0C"/>
    <w:rsid w:val="5B654162"/>
    <w:rsid w:val="5B6559BA"/>
    <w:rsid w:val="5B656F7D"/>
    <w:rsid w:val="5B661732"/>
    <w:rsid w:val="5B6641ED"/>
    <w:rsid w:val="5B667984"/>
    <w:rsid w:val="5B672793"/>
    <w:rsid w:val="5B672C81"/>
    <w:rsid w:val="5B6775B8"/>
    <w:rsid w:val="5B6854AA"/>
    <w:rsid w:val="5B6918B3"/>
    <w:rsid w:val="5B692A0A"/>
    <w:rsid w:val="5B694FC7"/>
    <w:rsid w:val="5B6A1602"/>
    <w:rsid w:val="5B6A23D1"/>
    <w:rsid w:val="5B6A69E5"/>
    <w:rsid w:val="5B6A7475"/>
    <w:rsid w:val="5B6B2A69"/>
    <w:rsid w:val="5B6B4F9B"/>
    <w:rsid w:val="5B6C1577"/>
    <w:rsid w:val="5B6C22F2"/>
    <w:rsid w:val="5B6C5663"/>
    <w:rsid w:val="5B6D0D13"/>
    <w:rsid w:val="5B6D0F94"/>
    <w:rsid w:val="5B6D22E7"/>
    <w:rsid w:val="5B6D2AC1"/>
    <w:rsid w:val="5B6D486F"/>
    <w:rsid w:val="5B6E08AB"/>
    <w:rsid w:val="5B6E1B18"/>
    <w:rsid w:val="5B6E3309"/>
    <w:rsid w:val="5B6E6BA3"/>
    <w:rsid w:val="5B6E7783"/>
    <w:rsid w:val="5B6F05E7"/>
    <w:rsid w:val="5B6F3FE4"/>
    <w:rsid w:val="5B6F4A8B"/>
    <w:rsid w:val="5B6F5BFD"/>
    <w:rsid w:val="5B70096B"/>
    <w:rsid w:val="5B7025B1"/>
    <w:rsid w:val="5B703BC1"/>
    <w:rsid w:val="5B70435F"/>
    <w:rsid w:val="5B70585B"/>
    <w:rsid w:val="5B70610D"/>
    <w:rsid w:val="5B714DC4"/>
    <w:rsid w:val="5B7174CC"/>
    <w:rsid w:val="5B7200D7"/>
    <w:rsid w:val="5B721E85"/>
    <w:rsid w:val="5B722965"/>
    <w:rsid w:val="5B723E47"/>
    <w:rsid w:val="5B724748"/>
    <w:rsid w:val="5B726329"/>
    <w:rsid w:val="5B7331D9"/>
    <w:rsid w:val="5B7367AC"/>
    <w:rsid w:val="5B7425BD"/>
    <w:rsid w:val="5B743E4F"/>
    <w:rsid w:val="5B745285"/>
    <w:rsid w:val="5B745BFD"/>
    <w:rsid w:val="5B751975"/>
    <w:rsid w:val="5B757A61"/>
    <w:rsid w:val="5B76313A"/>
    <w:rsid w:val="5B763D98"/>
    <w:rsid w:val="5B765E19"/>
    <w:rsid w:val="5B767A9D"/>
    <w:rsid w:val="5B767BC7"/>
    <w:rsid w:val="5B7705D8"/>
    <w:rsid w:val="5B773940"/>
    <w:rsid w:val="5B7756EE"/>
    <w:rsid w:val="5B7770CB"/>
    <w:rsid w:val="5B791466"/>
    <w:rsid w:val="5B793214"/>
    <w:rsid w:val="5B7976B8"/>
    <w:rsid w:val="5B797C67"/>
    <w:rsid w:val="5B7A175B"/>
    <w:rsid w:val="5B7A2838"/>
    <w:rsid w:val="5B7A6F8C"/>
    <w:rsid w:val="5B7B07D5"/>
    <w:rsid w:val="5B7B2587"/>
    <w:rsid w:val="5B7B3430"/>
    <w:rsid w:val="5B7C0F56"/>
    <w:rsid w:val="5B7C4516"/>
    <w:rsid w:val="5B7C65E8"/>
    <w:rsid w:val="5B7C6E79"/>
    <w:rsid w:val="5B7C71A8"/>
    <w:rsid w:val="5B7D7A78"/>
    <w:rsid w:val="5B7E0F08"/>
    <w:rsid w:val="5B7E238B"/>
    <w:rsid w:val="5B7E2649"/>
    <w:rsid w:val="5B7E680D"/>
    <w:rsid w:val="5B7E682E"/>
    <w:rsid w:val="5B7F2398"/>
    <w:rsid w:val="5B7F3AD9"/>
    <w:rsid w:val="5B7F3B46"/>
    <w:rsid w:val="5B800A46"/>
    <w:rsid w:val="5B8027F4"/>
    <w:rsid w:val="5B803869"/>
    <w:rsid w:val="5B81031A"/>
    <w:rsid w:val="5B816560"/>
    <w:rsid w:val="5B81656C"/>
    <w:rsid w:val="5B8322E4"/>
    <w:rsid w:val="5B83329D"/>
    <w:rsid w:val="5B835E40"/>
    <w:rsid w:val="5B841BB9"/>
    <w:rsid w:val="5B84427B"/>
    <w:rsid w:val="5B844D7A"/>
    <w:rsid w:val="5B846329"/>
    <w:rsid w:val="5B853696"/>
    <w:rsid w:val="5B85605C"/>
    <w:rsid w:val="5B85794B"/>
    <w:rsid w:val="5B8609F1"/>
    <w:rsid w:val="5B863B83"/>
    <w:rsid w:val="5B864775"/>
    <w:rsid w:val="5B86789B"/>
    <w:rsid w:val="5B871EA9"/>
    <w:rsid w:val="5B87226B"/>
    <w:rsid w:val="5B874E3C"/>
    <w:rsid w:val="5B877578"/>
    <w:rsid w:val="5B880B7C"/>
    <w:rsid w:val="5B8816A9"/>
    <w:rsid w:val="5B88346D"/>
    <w:rsid w:val="5B884B8B"/>
    <w:rsid w:val="5B8878EC"/>
    <w:rsid w:val="5B8878FB"/>
    <w:rsid w:val="5B89053F"/>
    <w:rsid w:val="5B891348"/>
    <w:rsid w:val="5B89229B"/>
    <w:rsid w:val="5B893B43"/>
    <w:rsid w:val="5B89601B"/>
    <w:rsid w:val="5B8A0C0A"/>
    <w:rsid w:val="5B8A113B"/>
    <w:rsid w:val="5B8A3673"/>
    <w:rsid w:val="5B8A5421"/>
    <w:rsid w:val="5B8A6792"/>
    <w:rsid w:val="5B8A71CF"/>
    <w:rsid w:val="5B8B1199"/>
    <w:rsid w:val="5B8B207C"/>
    <w:rsid w:val="5B8B2F47"/>
    <w:rsid w:val="5B8C1D0F"/>
    <w:rsid w:val="5B8D315C"/>
    <w:rsid w:val="5B8D5FE9"/>
    <w:rsid w:val="5B8D6CBF"/>
    <w:rsid w:val="5B8D756D"/>
    <w:rsid w:val="5B8E1DED"/>
    <w:rsid w:val="5B8E2808"/>
    <w:rsid w:val="5B8F0C89"/>
    <w:rsid w:val="5B8F1398"/>
    <w:rsid w:val="5B8F2A37"/>
    <w:rsid w:val="5B8F35CE"/>
    <w:rsid w:val="5B8F47E5"/>
    <w:rsid w:val="5B8F4FC4"/>
    <w:rsid w:val="5B90055D"/>
    <w:rsid w:val="5B904A5E"/>
    <w:rsid w:val="5B905AD9"/>
    <w:rsid w:val="5B90718A"/>
    <w:rsid w:val="5B910182"/>
    <w:rsid w:val="5B9166A3"/>
    <w:rsid w:val="5B920779"/>
    <w:rsid w:val="5B922527"/>
    <w:rsid w:val="5B9240CB"/>
    <w:rsid w:val="5B9242D5"/>
    <w:rsid w:val="5B93012D"/>
    <w:rsid w:val="5B9306C1"/>
    <w:rsid w:val="5B931ECE"/>
    <w:rsid w:val="5B9333DF"/>
    <w:rsid w:val="5B9348D6"/>
    <w:rsid w:val="5B94004E"/>
    <w:rsid w:val="5B9462A0"/>
    <w:rsid w:val="5B947CAF"/>
    <w:rsid w:val="5B953DC6"/>
    <w:rsid w:val="5B955628"/>
    <w:rsid w:val="5B955B74"/>
    <w:rsid w:val="5B957B5E"/>
    <w:rsid w:val="5B9718EC"/>
    <w:rsid w:val="5B9731F0"/>
    <w:rsid w:val="5B973A7B"/>
    <w:rsid w:val="5B977B3E"/>
    <w:rsid w:val="5B982CBF"/>
    <w:rsid w:val="5B987310"/>
    <w:rsid w:val="5B987706"/>
    <w:rsid w:val="5B991B08"/>
    <w:rsid w:val="5B9938B6"/>
    <w:rsid w:val="5B995664"/>
    <w:rsid w:val="5B996E51"/>
    <w:rsid w:val="5B9A06E1"/>
    <w:rsid w:val="5B9A5508"/>
    <w:rsid w:val="5B9B13DC"/>
    <w:rsid w:val="5B9B1B71"/>
    <w:rsid w:val="5B9B762E"/>
    <w:rsid w:val="5B9C0614"/>
    <w:rsid w:val="5B9C2737"/>
    <w:rsid w:val="5B9C3001"/>
    <w:rsid w:val="5B9C5AAD"/>
    <w:rsid w:val="5B9C6F02"/>
    <w:rsid w:val="5B9D7062"/>
    <w:rsid w:val="5B9D7C01"/>
    <w:rsid w:val="5B9E0ECC"/>
    <w:rsid w:val="5B9E2C7A"/>
    <w:rsid w:val="5B9E6334"/>
    <w:rsid w:val="5B9F1982"/>
    <w:rsid w:val="5BA00E99"/>
    <w:rsid w:val="5BA02E96"/>
    <w:rsid w:val="5BA04553"/>
    <w:rsid w:val="5BA04C44"/>
    <w:rsid w:val="5BA069F2"/>
    <w:rsid w:val="5BA109BC"/>
    <w:rsid w:val="5BA11C13"/>
    <w:rsid w:val="5BA1276A"/>
    <w:rsid w:val="5BA164AF"/>
    <w:rsid w:val="5BA16F7A"/>
    <w:rsid w:val="5BA20303"/>
    <w:rsid w:val="5BA2287A"/>
    <w:rsid w:val="5BA22B03"/>
    <w:rsid w:val="5BA230B9"/>
    <w:rsid w:val="5BA25CE6"/>
    <w:rsid w:val="5BA26C0E"/>
    <w:rsid w:val="5BA30291"/>
    <w:rsid w:val="5BA31FB4"/>
    <w:rsid w:val="5BA32ED4"/>
    <w:rsid w:val="5BA34735"/>
    <w:rsid w:val="5BA364E3"/>
    <w:rsid w:val="5BA44364"/>
    <w:rsid w:val="5BA477A6"/>
    <w:rsid w:val="5BA504AD"/>
    <w:rsid w:val="5BA525F2"/>
    <w:rsid w:val="5BA54009"/>
    <w:rsid w:val="5BA639C4"/>
    <w:rsid w:val="5BA64DC5"/>
    <w:rsid w:val="5BA65FD3"/>
    <w:rsid w:val="5BA67D81"/>
    <w:rsid w:val="5BA81D4B"/>
    <w:rsid w:val="5BA83AF9"/>
    <w:rsid w:val="5BA858A7"/>
    <w:rsid w:val="5BA86C3F"/>
    <w:rsid w:val="5BA87F9D"/>
    <w:rsid w:val="5BA90BC9"/>
    <w:rsid w:val="5BA93FBD"/>
    <w:rsid w:val="5BA94D31"/>
    <w:rsid w:val="5BA9570C"/>
    <w:rsid w:val="5BA95F91"/>
    <w:rsid w:val="5BAA161F"/>
    <w:rsid w:val="5BAA3CDC"/>
    <w:rsid w:val="5BAA5AC3"/>
    <w:rsid w:val="5BAA68AB"/>
    <w:rsid w:val="5BAB0978"/>
    <w:rsid w:val="5BAB3E1F"/>
    <w:rsid w:val="5BAB48D3"/>
    <w:rsid w:val="5BAB5397"/>
    <w:rsid w:val="5BAB7F25"/>
    <w:rsid w:val="5BAC183B"/>
    <w:rsid w:val="5BAC2AF6"/>
    <w:rsid w:val="5BAC7B83"/>
    <w:rsid w:val="5BAD12E6"/>
    <w:rsid w:val="5BAD2995"/>
    <w:rsid w:val="5BAD364E"/>
    <w:rsid w:val="5BAD3F86"/>
    <w:rsid w:val="5BAD3FA7"/>
    <w:rsid w:val="5BAD55B3"/>
    <w:rsid w:val="5BAD6B57"/>
    <w:rsid w:val="5BAD7DF7"/>
    <w:rsid w:val="5BAE3FA6"/>
    <w:rsid w:val="5BAF1477"/>
    <w:rsid w:val="5BAF30D9"/>
    <w:rsid w:val="5BAF6C35"/>
    <w:rsid w:val="5BB05C07"/>
    <w:rsid w:val="5BB06961"/>
    <w:rsid w:val="5BB10BFF"/>
    <w:rsid w:val="5BB1318C"/>
    <w:rsid w:val="5BB13D97"/>
    <w:rsid w:val="5BB16E51"/>
    <w:rsid w:val="5BB2091F"/>
    <w:rsid w:val="5BB20BF1"/>
    <w:rsid w:val="5BB21741"/>
    <w:rsid w:val="5BB25227"/>
    <w:rsid w:val="5BB26726"/>
    <w:rsid w:val="5BB268BB"/>
    <w:rsid w:val="5BB308F0"/>
    <w:rsid w:val="5BB42718"/>
    <w:rsid w:val="5BB575B8"/>
    <w:rsid w:val="5BB57FC4"/>
    <w:rsid w:val="5BB61F39"/>
    <w:rsid w:val="5BB64468"/>
    <w:rsid w:val="5BB66216"/>
    <w:rsid w:val="5BB679B1"/>
    <w:rsid w:val="5BB701E0"/>
    <w:rsid w:val="5BB727DA"/>
    <w:rsid w:val="5BB73D3C"/>
    <w:rsid w:val="5BB7469A"/>
    <w:rsid w:val="5BB85F08"/>
    <w:rsid w:val="5BB86188"/>
    <w:rsid w:val="5BB92529"/>
    <w:rsid w:val="5BB950FA"/>
    <w:rsid w:val="5BB95D06"/>
    <w:rsid w:val="5BB97AB4"/>
    <w:rsid w:val="5BBA05CD"/>
    <w:rsid w:val="5BBA1D21"/>
    <w:rsid w:val="5BBA38B1"/>
    <w:rsid w:val="5BBA7DB4"/>
    <w:rsid w:val="5BBB1A7E"/>
    <w:rsid w:val="5BBB382C"/>
    <w:rsid w:val="5BBC2C60"/>
    <w:rsid w:val="5BBD06F3"/>
    <w:rsid w:val="5BBD4F0B"/>
    <w:rsid w:val="5BBD57F6"/>
    <w:rsid w:val="5BBF782B"/>
    <w:rsid w:val="5BC07095"/>
    <w:rsid w:val="5BC12FA5"/>
    <w:rsid w:val="5BC1388C"/>
    <w:rsid w:val="5BC1423B"/>
    <w:rsid w:val="5BC14BBB"/>
    <w:rsid w:val="5BC16601"/>
    <w:rsid w:val="5BC22E0D"/>
    <w:rsid w:val="5BC261CE"/>
    <w:rsid w:val="5BC326E1"/>
    <w:rsid w:val="5BC32810"/>
    <w:rsid w:val="5BC361AC"/>
    <w:rsid w:val="5BC36B85"/>
    <w:rsid w:val="5BC45966"/>
    <w:rsid w:val="5BC52561"/>
    <w:rsid w:val="5BC528FD"/>
    <w:rsid w:val="5BC546AB"/>
    <w:rsid w:val="5BC54DDE"/>
    <w:rsid w:val="5BC56459"/>
    <w:rsid w:val="5BC56630"/>
    <w:rsid w:val="5BC61027"/>
    <w:rsid w:val="5BC71EB1"/>
    <w:rsid w:val="5BC749BE"/>
    <w:rsid w:val="5BC760F3"/>
    <w:rsid w:val="5BC76675"/>
    <w:rsid w:val="5BC76D7B"/>
    <w:rsid w:val="5BC776FE"/>
    <w:rsid w:val="5BC77AD0"/>
    <w:rsid w:val="5BC8220C"/>
    <w:rsid w:val="5BC835A7"/>
    <w:rsid w:val="5BC8419B"/>
    <w:rsid w:val="5BC85F49"/>
    <w:rsid w:val="5BC87CF7"/>
    <w:rsid w:val="5BC92803"/>
    <w:rsid w:val="5BC934AE"/>
    <w:rsid w:val="5BC94477"/>
    <w:rsid w:val="5BC95A51"/>
    <w:rsid w:val="5BCA1CC1"/>
    <w:rsid w:val="5BCA3A6F"/>
    <w:rsid w:val="5BCA61A8"/>
    <w:rsid w:val="5BCA7F13"/>
    <w:rsid w:val="5BCB20E0"/>
    <w:rsid w:val="5BCB77E7"/>
    <w:rsid w:val="5BCC0F14"/>
    <w:rsid w:val="5BCC3945"/>
    <w:rsid w:val="5BCC3C8B"/>
    <w:rsid w:val="5BCC4E69"/>
    <w:rsid w:val="5BCD20F1"/>
    <w:rsid w:val="5BCD355F"/>
    <w:rsid w:val="5BCD4A00"/>
    <w:rsid w:val="5BCD67E0"/>
    <w:rsid w:val="5BCF0A61"/>
    <w:rsid w:val="5BCF11AE"/>
    <w:rsid w:val="5BCF4526"/>
    <w:rsid w:val="5BCF5DB2"/>
    <w:rsid w:val="5BD01EF1"/>
    <w:rsid w:val="5BD0768A"/>
    <w:rsid w:val="5BD109AA"/>
    <w:rsid w:val="5BD112A2"/>
    <w:rsid w:val="5BD13092"/>
    <w:rsid w:val="5BD13BC9"/>
    <w:rsid w:val="5BD14DFE"/>
    <w:rsid w:val="5BD20B76"/>
    <w:rsid w:val="5BD26DC8"/>
    <w:rsid w:val="5BD3501A"/>
    <w:rsid w:val="5BD40D92"/>
    <w:rsid w:val="5BD41669"/>
    <w:rsid w:val="5BD42B40"/>
    <w:rsid w:val="5BD43D75"/>
    <w:rsid w:val="5BD45872"/>
    <w:rsid w:val="5BD4669C"/>
    <w:rsid w:val="5BD51D05"/>
    <w:rsid w:val="5BD566AF"/>
    <w:rsid w:val="5BD64622"/>
    <w:rsid w:val="5BD668B8"/>
    <w:rsid w:val="5BD743DE"/>
    <w:rsid w:val="5BD77678"/>
    <w:rsid w:val="5BD90156"/>
    <w:rsid w:val="5BD92D30"/>
    <w:rsid w:val="5BD935B6"/>
    <w:rsid w:val="5BDA1E2A"/>
    <w:rsid w:val="5BDB3ECE"/>
    <w:rsid w:val="5BDB5C7C"/>
    <w:rsid w:val="5BDB7A2A"/>
    <w:rsid w:val="5BDC19F5"/>
    <w:rsid w:val="5BDC2023"/>
    <w:rsid w:val="5BDC3065"/>
    <w:rsid w:val="5BDC37A3"/>
    <w:rsid w:val="5BDC4E3C"/>
    <w:rsid w:val="5BDC57DA"/>
    <w:rsid w:val="5BDC590D"/>
    <w:rsid w:val="5BDD2446"/>
    <w:rsid w:val="5BDE39BF"/>
    <w:rsid w:val="5BDE576D"/>
    <w:rsid w:val="5BDF0A14"/>
    <w:rsid w:val="5BDF0C0E"/>
    <w:rsid w:val="5BDF4A8F"/>
    <w:rsid w:val="5BDF5D95"/>
    <w:rsid w:val="5BDF6BBC"/>
    <w:rsid w:val="5BDF6E15"/>
    <w:rsid w:val="5BDF71A8"/>
    <w:rsid w:val="5BDF71E4"/>
    <w:rsid w:val="5BE002A5"/>
    <w:rsid w:val="5BE014E5"/>
    <w:rsid w:val="5BE019E6"/>
    <w:rsid w:val="5BE03293"/>
    <w:rsid w:val="5BE05F4F"/>
    <w:rsid w:val="5BE07737"/>
    <w:rsid w:val="5BE10DB9"/>
    <w:rsid w:val="5BE16D8E"/>
    <w:rsid w:val="5BE20856"/>
    <w:rsid w:val="5BE24E75"/>
    <w:rsid w:val="5BE2525D"/>
    <w:rsid w:val="5BE2700B"/>
    <w:rsid w:val="5BE30FD5"/>
    <w:rsid w:val="5BE32D83"/>
    <w:rsid w:val="5BE34680"/>
    <w:rsid w:val="5BE34B31"/>
    <w:rsid w:val="5BE469EC"/>
    <w:rsid w:val="5BE52CCA"/>
    <w:rsid w:val="5BE55B4F"/>
    <w:rsid w:val="5BE56AFB"/>
    <w:rsid w:val="5BE579D9"/>
    <w:rsid w:val="5BE57DB8"/>
    <w:rsid w:val="5BE6171B"/>
    <w:rsid w:val="5BE64117"/>
    <w:rsid w:val="5BE72873"/>
    <w:rsid w:val="5BE74621"/>
    <w:rsid w:val="5BE82147"/>
    <w:rsid w:val="5BE83874"/>
    <w:rsid w:val="5BE865EB"/>
    <w:rsid w:val="5BE92A98"/>
    <w:rsid w:val="5BE93AAA"/>
    <w:rsid w:val="5BEA2363"/>
    <w:rsid w:val="5BEA261B"/>
    <w:rsid w:val="5BEA5EBF"/>
    <w:rsid w:val="5BEB53B8"/>
    <w:rsid w:val="5BEB6BC0"/>
    <w:rsid w:val="5BEC1A5C"/>
    <w:rsid w:val="5BEC1C38"/>
    <w:rsid w:val="5BEC2C8D"/>
    <w:rsid w:val="5BEC3CBC"/>
    <w:rsid w:val="5BEC60DC"/>
    <w:rsid w:val="5BEC75ED"/>
    <w:rsid w:val="5BED59B0"/>
    <w:rsid w:val="5BED775E"/>
    <w:rsid w:val="5BEE04E8"/>
    <w:rsid w:val="5BEE0B3E"/>
    <w:rsid w:val="5BEE226D"/>
    <w:rsid w:val="5BEF1728"/>
    <w:rsid w:val="5BEF18A9"/>
    <w:rsid w:val="5BEF27F5"/>
    <w:rsid w:val="5BEF731F"/>
    <w:rsid w:val="5BEF797A"/>
    <w:rsid w:val="5BF04597"/>
    <w:rsid w:val="5BF07D9A"/>
    <w:rsid w:val="5BF117E5"/>
    <w:rsid w:val="5BF136F2"/>
    <w:rsid w:val="5BF154A0"/>
    <w:rsid w:val="5BF1724E"/>
    <w:rsid w:val="5BF172E7"/>
    <w:rsid w:val="5BF2002D"/>
    <w:rsid w:val="5BF22FC6"/>
    <w:rsid w:val="5BF31218"/>
    <w:rsid w:val="5BF31926"/>
    <w:rsid w:val="5BF3356C"/>
    <w:rsid w:val="5BF33B63"/>
    <w:rsid w:val="5BF34BE0"/>
    <w:rsid w:val="5BF3671B"/>
    <w:rsid w:val="5BF40AEC"/>
    <w:rsid w:val="5BF412EC"/>
    <w:rsid w:val="5BF46D24"/>
    <w:rsid w:val="5BF528CE"/>
    <w:rsid w:val="5BF530A5"/>
    <w:rsid w:val="5BF54751"/>
    <w:rsid w:val="5BF56BCA"/>
    <w:rsid w:val="5BF60D08"/>
    <w:rsid w:val="5BF6266E"/>
    <w:rsid w:val="5BF62AB6"/>
    <w:rsid w:val="5BF63943"/>
    <w:rsid w:val="5BF64864"/>
    <w:rsid w:val="5BF705DC"/>
    <w:rsid w:val="5BF70A64"/>
    <w:rsid w:val="5BF74771"/>
    <w:rsid w:val="5BF77C6D"/>
    <w:rsid w:val="5BF810FD"/>
    <w:rsid w:val="5BF846A1"/>
    <w:rsid w:val="5BF8652C"/>
    <w:rsid w:val="5BF8682E"/>
    <w:rsid w:val="5BF90B21"/>
    <w:rsid w:val="5BF90F02"/>
    <w:rsid w:val="5BF9258D"/>
    <w:rsid w:val="5BF925A6"/>
    <w:rsid w:val="5BF95BF7"/>
    <w:rsid w:val="5BF97111"/>
    <w:rsid w:val="5BFA1F99"/>
    <w:rsid w:val="5BFA340D"/>
    <w:rsid w:val="5BFA528F"/>
    <w:rsid w:val="5BFB1E7B"/>
    <w:rsid w:val="5BFB4B8D"/>
    <w:rsid w:val="5BFB631F"/>
    <w:rsid w:val="5BFC62C9"/>
    <w:rsid w:val="5BFC7A7E"/>
    <w:rsid w:val="5BFD0B79"/>
    <w:rsid w:val="5BFD0FB4"/>
    <w:rsid w:val="5BFD2097"/>
    <w:rsid w:val="5BFD372D"/>
    <w:rsid w:val="5BFD3E45"/>
    <w:rsid w:val="5BFD450A"/>
    <w:rsid w:val="5BFD49CE"/>
    <w:rsid w:val="5BFE5E0F"/>
    <w:rsid w:val="5BFE7528"/>
    <w:rsid w:val="5BFE7BBD"/>
    <w:rsid w:val="5BFF0ABC"/>
    <w:rsid w:val="5BFF1C79"/>
    <w:rsid w:val="5BFF25D9"/>
    <w:rsid w:val="5BFF46E2"/>
    <w:rsid w:val="5BFF4CBE"/>
    <w:rsid w:val="5BFF4D2F"/>
    <w:rsid w:val="5BFF63FF"/>
    <w:rsid w:val="5C0017AD"/>
    <w:rsid w:val="5C001B87"/>
    <w:rsid w:val="5C0056E3"/>
    <w:rsid w:val="5C013209"/>
    <w:rsid w:val="5C02145B"/>
    <w:rsid w:val="5C0276AD"/>
    <w:rsid w:val="5C0427F6"/>
    <w:rsid w:val="5C043425"/>
    <w:rsid w:val="5C044ACF"/>
    <w:rsid w:val="5C050F4B"/>
    <w:rsid w:val="5C051711"/>
    <w:rsid w:val="5C061FC0"/>
    <w:rsid w:val="5C06456D"/>
    <w:rsid w:val="5C067377"/>
    <w:rsid w:val="5C07081F"/>
    <w:rsid w:val="5C073450"/>
    <w:rsid w:val="5C074942"/>
    <w:rsid w:val="5C074B91"/>
    <w:rsid w:val="5C074CC3"/>
    <w:rsid w:val="5C074E77"/>
    <w:rsid w:val="5C074EE8"/>
    <w:rsid w:val="5C0764E2"/>
    <w:rsid w:val="5C076A71"/>
    <w:rsid w:val="5C080ABF"/>
    <w:rsid w:val="5C080BF2"/>
    <w:rsid w:val="5C084598"/>
    <w:rsid w:val="5C0A1DD1"/>
    <w:rsid w:val="5C0A3706"/>
    <w:rsid w:val="5C0A6562"/>
    <w:rsid w:val="5C0A69D0"/>
    <w:rsid w:val="5C0A7E5D"/>
    <w:rsid w:val="5C0A7FEF"/>
    <w:rsid w:val="5C0B0191"/>
    <w:rsid w:val="5C0B16CD"/>
    <w:rsid w:val="5C0B1FF6"/>
    <w:rsid w:val="5C0B3304"/>
    <w:rsid w:val="5C0B49A2"/>
    <w:rsid w:val="5C0B7550"/>
    <w:rsid w:val="5C0B7862"/>
    <w:rsid w:val="5C0C052C"/>
    <w:rsid w:val="5C0C0A03"/>
    <w:rsid w:val="5C0C1A9E"/>
    <w:rsid w:val="5C0C22DA"/>
    <w:rsid w:val="5C0C4088"/>
    <w:rsid w:val="5C0C7573"/>
    <w:rsid w:val="5C0C7E31"/>
    <w:rsid w:val="5C0D1BAE"/>
    <w:rsid w:val="5C0D4B4D"/>
    <w:rsid w:val="5C0D7E00"/>
    <w:rsid w:val="5C0F1DCA"/>
    <w:rsid w:val="5C0F5219"/>
    <w:rsid w:val="5C0F5926"/>
    <w:rsid w:val="5C1014A6"/>
    <w:rsid w:val="5C1072E3"/>
    <w:rsid w:val="5C107384"/>
    <w:rsid w:val="5C1075E8"/>
    <w:rsid w:val="5C110814"/>
    <w:rsid w:val="5C11169E"/>
    <w:rsid w:val="5C113810"/>
    <w:rsid w:val="5C115B42"/>
    <w:rsid w:val="5C1178F0"/>
    <w:rsid w:val="5C121CA4"/>
    <w:rsid w:val="5C124875"/>
    <w:rsid w:val="5C1271C4"/>
    <w:rsid w:val="5C1318BA"/>
    <w:rsid w:val="5C133134"/>
    <w:rsid w:val="5C133668"/>
    <w:rsid w:val="5C1360AC"/>
    <w:rsid w:val="5C14118E"/>
    <w:rsid w:val="5C142F3C"/>
    <w:rsid w:val="5C145A54"/>
    <w:rsid w:val="5C147195"/>
    <w:rsid w:val="5C1473E0"/>
    <w:rsid w:val="5C152EDA"/>
    <w:rsid w:val="5C161AB5"/>
    <w:rsid w:val="5C161D46"/>
    <w:rsid w:val="5C163158"/>
    <w:rsid w:val="5C164A62"/>
    <w:rsid w:val="5C164F06"/>
    <w:rsid w:val="5C166CB5"/>
    <w:rsid w:val="5C166E64"/>
    <w:rsid w:val="5C17200E"/>
    <w:rsid w:val="5C180C7F"/>
    <w:rsid w:val="5C182A2D"/>
    <w:rsid w:val="5C186ED1"/>
    <w:rsid w:val="5C191B77"/>
    <w:rsid w:val="5C192E43"/>
    <w:rsid w:val="5C194704"/>
    <w:rsid w:val="5C1949F7"/>
    <w:rsid w:val="5C19509B"/>
    <w:rsid w:val="5C195F6E"/>
    <w:rsid w:val="5C1967A5"/>
    <w:rsid w:val="5C1A18C6"/>
    <w:rsid w:val="5C1A210E"/>
    <w:rsid w:val="5C1B076F"/>
    <w:rsid w:val="5C1B126D"/>
    <w:rsid w:val="5C1B19F6"/>
    <w:rsid w:val="5C1B251D"/>
    <w:rsid w:val="5C1B2D56"/>
    <w:rsid w:val="5C1B4497"/>
    <w:rsid w:val="5C1B5569"/>
    <w:rsid w:val="5C1B79DA"/>
    <w:rsid w:val="5C1C0299"/>
    <w:rsid w:val="5C1C06E1"/>
    <w:rsid w:val="5C1C3CDD"/>
    <w:rsid w:val="5C1C5927"/>
    <w:rsid w:val="5C1C79E2"/>
    <w:rsid w:val="5C1D44E7"/>
    <w:rsid w:val="5C1D706E"/>
    <w:rsid w:val="5C1D7440"/>
    <w:rsid w:val="5C1E0247"/>
    <w:rsid w:val="5C1E06D4"/>
    <w:rsid w:val="5C1E200D"/>
    <w:rsid w:val="5C1E479A"/>
    <w:rsid w:val="5C1E6D45"/>
    <w:rsid w:val="5C1E7C90"/>
    <w:rsid w:val="5C1F31C3"/>
    <w:rsid w:val="5C1F68B2"/>
    <w:rsid w:val="5C1F7667"/>
    <w:rsid w:val="5C20178C"/>
    <w:rsid w:val="5C2018E1"/>
    <w:rsid w:val="5C205D85"/>
    <w:rsid w:val="5C207B33"/>
    <w:rsid w:val="5C21613C"/>
    <w:rsid w:val="5C216BC7"/>
    <w:rsid w:val="5C217550"/>
    <w:rsid w:val="5C217DC4"/>
    <w:rsid w:val="5C220805"/>
    <w:rsid w:val="5C220C9C"/>
    <w:rsid w:val="5C221798"/>
    <w:rsid w:val="5C221AFD"/>
    <w:rsid w:val="5C221E63"/>
    <w:rsid w:val="5C2238AB"/>
    <w:rsid w:val="5C225659"/>
    <w:rsid w:val="5C2313D1"/>
    <w:rsid w:val="5C2314C8"/>
    <w:rsid w:val="5C237623"/>
    <w:rsid w:val="5C241013"/>
    <w:rsid w:val="5C245C7D"/>
    <w:rsid w:val="5C246C89"/>
    <w:rsid w:val="5C247E7A"/>
    <w:rsid w:val="5C250DA0"/>
    <w:rsid w:val="5C25105F"/>
    <w:rsid w:val="5C25339C"/>
    <w:rsid w:val="5C254D44"/>
    <w:rsid w:val="5C25514A"/>
    <w:rsid w:val="5C2615A9"/>
    <w:rsid w:val="5C263B5B"/>
    <w:rsid w:val="5C263CF4"/>
    <w:rsid w:val="5C267CE8"/>
    <w:rsid w:val="5C267E27"/>
    <w:rsid w:val="5C270EC2"/>
    <w:rsid w:val="5C272A39"/>
    <w:rsid w:val="5C272C70"/>
    <w:rsid w:val="5C275536"/>
    <w:rsid w:val="5C283EC9"/>
    <w:rsid w:val="5C2869E8"/>
    <w:rsid w:val="5C291AE7"/>
    <w:rsid w:val="5C292E8C"/>
    <w:rsid w:val="5C293A7C"/>
    <w:rsid w:val="5C2941B8"/>
    <w:rsid w:val="5C29444E"/>
    <w:rsid w:val="5C296D51"/>
    <w:rsid w:val="5C296FB2"/>
    <w:rsid w:val="5C2A13BA"/>
    <w:rsid w:val="5C2B19E9"/>
    <w:rsid w:val="5C2B284A"/>
    <w:rsid w:val="5C2B39D4"/>
    <w:rsid w:val="5C2B3F8B"/>
    <w:rsid w:val="5C2B64E9"/>
    <w:rsid w:val="5C2C0286"/>
    <w:rsid w:val="5C2C297C"/>
    <w:rsid w:val="5C2C4A5B"/>
    <w:rsid w:val="5C2C541B"/>
    <w:rsid w:val="5C2C5531"/>
    <w:rsid w:val="5C2C64D8"/>
    <w:rsid w:val="5C2D3FFE"/>
    <w:rsid w:val="5C2E04A2"/>
    <w:rsid w:val="5C2E2250"/>
    <w:rsid w:val="5C2F11CB"/>
    <w:rsid w:val="5C2F265B"/>
    <w:rsid w:val="5C2F421A"/>
    <w:rsid w:val="5C2F7D76"/>
    <w:rsid w:val="5C3011D6"/>
    <w:rsid w:val="5C313919"/>
    <w:rsid w:val="5C316701"/>
    <w:rsid w:val="5C320050"/>
    <w:rsid w:val="5C32128D"/>
    <w:rsid w:val="5C321615"/>
    <w:rsid w:val="5C3317B3"/>
    <w:rsid w:val="5C3319F4"/>
    <w:rsid w:val="5C333BAD"/>
    <w:rsid w:val="5C335072"/>
    <w:rsid w:val="5C335AB8"/>
    <w:rsid w:val="5C33711A"/>
    <w:rsid w:val="5C337866"/>
    <w:rsid w:val="5C341831"/>
    <w:rsid w:val="5C3435DF"/>
    <w:rsid w:val="5C34538D"/>
    <w:rsid w:val="5C3564CD"/>
    <w:rsid w:val="5C35673C"/>
    <w:rsid w:val="5C357C0E"/>
    <w:rsid w:val="5C36109E"/>
    <w:rsid w:val="5C364F80"/>
    <w:rsid w:val="5C365391"/>
    <w:rsid w:val="5C3655A9"/>
    <w:rsid w:val="5C3744D8"/>
    <w:rsid w:val="5C381321"/>
    <w:rsid w:val="5C382608"/>
    <w:rsid w:val="5C383DA3"/>
    <w:rsid w:val="5C384E7D"/>
    <w:rsid w:val="5C38721E"/>
    <w:rsid w:val="5C390BF5"/>
    <w:rsid w:val="5C391356"/>
    <w:rsid w:val="5C392508"/>
    <w:rsid w:val="5C3978BC"/>
    <w:rsid w:val="5C3A3E1D"/>
    <w:rsid w:val="5C3A6E47"/>
    <w:rsid w:val="5C3B496D"/>
    <w:rsid w:val="5C3B4C65"/>
    <w:rsid w:val="5C3B671B"/>
    <w:rsid w:val="5C3C37CF"/>
    <w:rsid w:val="5C3D4C5F"/>
    <w:rsid w:val="5C3D781A"/>
    <w:rsid w:val="5C3D7831"/>
    <w:rsid w:val="5C3E7830"/>
    <w:rsid w:val="5C3F076D"/>
    <w:rsid w:val="5C3F2150"/>
    <w:rsid w:val="5C3F26AF"/>
    <w:rsid w:val="5C3F612E"/>
    <w:rsid w:val="5C4001D5"/>
    <w:rsid w:val="5C401F83"/>
    <w:rsid w:val="5C404D21"/>
    <w:rsid w:val="5C414CEA"/>
    <w:rsid w:val="5C41558F"/>
    <w:rsid w:val="5C422212"/>
    <w:rsid w:val="5C423DD8"/>
    <w:rsid w:val="5C423F4D"/>
    <w:rsid w:val="5C425CFC"/>
    <w:rsid w:val="5C430AD1"/>
    <w:rsid w:val="5C433822"/>
    <w:rsid w:val="5C433D3C"/>
    <w:rsid w:val="5C437A7C"/>
    <w:rsid w:val="5C440DC8"/>
    <w:rsid w:val="5C441C47"/>
    <w:rsid w:val="5C445C13"/>
    <w:rsid w:val="5C446F7A"/>
    <w:rsid w:val="5C447CC6"/>
    <w:rsid w:val="5C451348"/>
    <w:rsid w:val="5C452FC8"/>
    <w:rsid w:val="5C4557EC"/>
    <w:rsid w:val="5C457832"/>
    <w:rsid w:val="5C460B93"/>
    <w:rsid w:val="5C4672AF"/>
    <w:rsid w:val="5C4708E2"/>
    <w:rsid w:val="5C473312"/>
    <w:rsid w:val="5C474B09"/>
    <w:rsid w:val="5C4750B5"/>
    <w:rsid w:val="5C4750C0"/>
    <w:rsid w:val="5C480E38"/>
    <w:rsid w:val="5C487DBB"/>
    <w:rsid w:val="5C4900A4"/>
    <w:rsid w:val="5C49226D"/>
    <w:rsid w:val="5C492F91"/>
    <w:rsid w:val="5C493FE5"/>
    <w:rsid w:val="5C49708A"/>
    <w:rsid w:val="5C4A12B0"/>
    <w:rsid w:val="5C4A2E02"/>
    <w:rsid w:val="5C4A4BB0"/>
    <w:rsid w:val="5C4A5F64"/>
    <w:rsid w:val="5C4B1054"/>
    <w:rsid w:val="5C4B444E"/>
    <w:rsid w:val="5C4C0928"/>
    <w:rsid w:val="5C4C26D6"/>
    <w:rsid w:val="5C4C28AD"/>
    <w:rsid w:val="5C4C5B7C"/>
    <w:rsid w:val="5C4C6B7A"/>
    <w:rsid w:val="5C4C79FE"/>
    <w:rsid w:val="5C4D01D6"/>
    <w:rsid w:val="5C4D5E95"/>
    <w:rsid w:val="5C4E28F2"/>
    <w:rsid w:val="5C4E458C"/>
    <w:rsid w:val="5C4E46A0"/>
    <w:rsid w:val="5C4E644E"/>
    <w:rsid w:val="5C4F02C9"/>
    <w:rsid w:val="5C4F0418"/>
    <w:rsid w:val="5C4F17D1"/>
    <w:rsid w:val="5C4F21C6"/>
    <w:rsid w:val="5C50053D"/>
    <w:rsid w:val="5C501641"/>
    <w:rsid w:val="5C501AC6"/>
    <w:rsid w:val="5C50239C"/>
    <w:rsid w:val="5C50666A"/>
    <w:rsid w:val="5C5123E2"/>
    <w:rsid w:val="5C51323E"/>
    <w:rsid w:val="5C514191"/>
    <w:rsid w:val="5C514E2F"/>
    <w:rsid w:val="5C515F3F"/>
    <w:rsid w:val="5C525426"/>
    <w:rsid w:val="5C531BBB"/>
    <w:rsid w:val="5C531CB7"/>
    <w:rsid w:val="5C533A65"/>
    <w:rsid w:val="5C536D10"/>
    <w:rsid w:val="5C537F09"/>
    <w:rsid w:val="5C541A56"/>
    <w:rsid w:val="5C545A2F"/>
    <w:rsid w:val="5C5477DD"/>
    <w:rsid w:val="5C552EE6"/>
    <w:rsid w:val="5C553C81"/>
    <w:rsid w:val="5C555AB7"/>
    <w:rsid w:val="5C56150A"/>
    <w:rsid w:val="5C56162E"/>
    <w:rsid w:val="5C5617A7"/>
    <w:rsid w:val="5C563555"/>
    <w:rsid w:val="5C56542E"/>
    <w:rsid w:val="5C5679F9"/>
    <w:rsid w:val="5C58107B"/>
    <w:rsid w:val="5C581C15"/>
    <w:rsid w:val="5C582FA8"/>
    <w:rsid w:val="5C583771"/>
    <w:rsid w:val="5C585659"/>
    <w:rsid w:val="5C585A2B"/>
    <w:rsid w:val="5C5872CD"/>
    <w:rsid w:val="5C594DF3"/>
    <w:rsid w:val="5C5A0499"/>
    <w:rsid w:val="5C5A1297"/>
    <w:rsid w:val="5C5A6D58"/>
    <w:rsid w:val="5C5B0B6B"/>
    <w:rsid w:val="5C5B500F"/>
    <w:rsid w:val="5C5B6963"/>
    <w:rsid w:val="5C5B6DBD"/>
    <w:rsid w:val="5C5C5B3C"/>
    <w:rsid w:val="5C5D0D87"/>
    <w:rsid w:val="5C5D2B35"/>
    <w:rsid w:val="5C5D2C69"/>
    <w:rsid w:val="5C5D642E"/>
    <w:rsid w:val="5C5E0D45"/>
    <w:rsid w:val="5C5E210D"/>
    <w:rsid w:val="5C5E2F13"/>
    <w:rsid w:val="5C5F173A"/>
    <w:rsid w:val="5C5F68AD"/>
    <w:rsid w:val="5C5F6B69"/>
    <w:rsid w:val="5C5F7FE6"/>
    <w:rsid w:val="5C602626"/>
    <w:rsid w:val="5C602BCA"/>
    <w:rsid w:val="5C6043D4"/>
    <w:rsid w:val="5C606182"/>
    <w:rsid w:val="5C610054"/>
    <w:rsid w:val="5C61144A"/>
    <w:rsid w:val="5C612876"/>
    <w:rsid w:val="5C612E76"/>
    <w:rsid w:val="5C61405A"/>
    <w:rsid w:val="5C614145"/>
    <w:rsid w:val="5C617363"/>
    <w:rsid w:val="5C62014C"/>
    <w:rsid w:val="5C6207A8"/>
    <w:rsid w:val="5C62639E"/>
    <w:rsid w:val="5C627C53"/>
    <w:rsid w:val="5C6334A3"/>
    <w:rsid w:val="5C6340A3"/>
    <w:rsid w:val="5C636DC0"/>
    <w:rsid w:val="5C6375C0"/>
    <w:rsid w:val="5C642116"/>
    <w:rsid w:val="5C643492"/>
    <w:rsid w:val="5C643EC4"/>
    <w:rsid w:val="5C64411C"/>
    <w:rsid w:val="5C645C72"/>
    <w:rsid w:val="5C6519EA"/>
    <w:rsid w:val="5C655C22"/>
    <w:rsid w:val="5C657C3C"/>
    <w:rsid w:val="5C6623B6"/>
    <w:rsid w:val="5C663A43"/>
    <w:rsid w:val="5C666A3C"/>
    <w:rsid w:val="5C670E9C"/>
    <w:rsid w:val="5C6739B4"/>
    <w:rsid w:val="5C674914"/>
    <w:rsid w:val="5C675762"/>
    <w:rsid w:val="5C677510"/>
    <w:rsid w:val="5C680238"/>
    <w:rsid w:val="5C6803E2"/>
    <w:rsid w:val="5C68135C"/>
    <w:rsid w:val="5C687F31"/>
    <w:rsid w:val="5C6913FE"/>
    <w:rsid w:val="5C6914DA"/>
    <w:rsid w:val="5C693288"/>
    <w:rsid w:val="5C6949CD"/>
    <w:rsid w:val="5C69772C"/>
    <w:rsid w:val="5C6A3177"/>
    <w:rsid w:val="5C6A5252"/>
    <w:rsid w:val="5C6A7000"/>
    <w:rsid w:val="5C6B141E"/>
    <w:rsid w:val="5C6B34A4"/>
    <w:rsid w:val="5C6C0FCA"/>
    <w:rsid w:val="5C6C116D"/>
    <w:rsid w:val="5C6C1E2A"/>
    <w:rsid w:val="5C6C2D78"/>
    <w:rsid w:val="5C6C4B26"/>
    <w:rsid w:val="5C6D4219"/>
    <w:rsid w:val="5C6D45FA"/>
    <w:rsid w:val="5C6D6519"/>
    <w:rsid w:val="5C6E089F"/>
    <w:rsid w:val="5C6E2624"/>
    <w:rsid w:val="5C6E57F5"/>
    <w:rsid w:val="5C6E6AF1"/>
    <w:rsid w:val="5C6E7D9F"/>
    <w:rsid w:val="5C6F1132"/>
    <w:rsid w:val="5C6F122F"/>
    <w:rsid w:val="5C6F4617"/>
    <w:rsid w:val="5C702869"/>
    <w:rsid w:val="5C70659A"/>
    <w:rsid w:val="5C707482"/>
    <w:rsid w:val="5C71038F"/>
    <w:rsid w:val="5C71213D"/>
    <w:rsid w:val="5C713B4F"/>
    <w:rsid w:val="5C715DA6"/>
    <w:rsid w:val="5C7165E1"/>
    <w:rsid w:val="5C724FDF"/>
    <w:rsid w:val="5C725121"/>
    <w:rsid w:val="5C726720"/>
    <w:rsid w:val="5C727CF2"/>
    <w:rsid w:val="5C732C8F"/>
    <w:rsid w:val="5C732FCD"/>
    <w:rsid w:val="5C734107"/>
    <w:rsid w:val="5C73646F"/>
    <w:rsid w:val="5C741C2D"/>
    <w:rsid w:val="5C752EDA"/>
    <w:rsid w:val="5C755CF7"/>
    <w:rsid w:val="5C755D8C"/>
    <w:rsid w:val="5C7562EE"/>
    <w:rsid w:val="5C757E7F"/>
    <w:rsid w:val="5C761E49"/>
    <w:rsid w:val="5C764DF0"/>
    <w:rsid w:val="5C7659A5"/>
    <w:rsid w:val="5C767840"/>
    <w:rsid w:val="5C77403F"/>
    <w:rsid w:val="5C775059"/>
    <w:rsid w:val="5C7779C1"/>
    <w:rsid w:val="5C777D5B"/>
    <w:rsid w:val="5C780021"/>
    <w:rsid w:val="5C78171D"/>
    <w:rsid w:val="5C7834CB"/>
    <w:rsid w:val="5C785B25"/>
    <w:rsid w:val="5C7900C1"/>
    <w:rsid w:val="5C793BEA"/>
    <w:rsid w:val="5C797AB8"/>
    <w:rsid w:val="5C7A3771"/>
    <w:rsid w:val="5C7A4790"/>
    <w:rsid w:val="5C7B120D"/>
    <w:rsid w:val="5C7B1BCE"/>
    <w:rsid w:val="5C7B2FBB"/>
    <w:rsid w:val="5C7B745F"/>
    <w:rsid w:val="5C7C1CA3"/>
    <w:rsid w:val="5C7C7E2C"/>
    <w:rsid w:val="5C7D0377"/>
    <w:rsid w:val="5C7D0BFF"/>
    <w:rsid w:val="5C7D31D8"/>
    <w:rsid w:val="5C7D7FE2"/>
    <w:rsid w:val="5C7E1792"/>
    <w:rsid w:val="5C7E485A"/>
    <w:rsid w:val="5C7E4EFB"/>
    <w:rsid w:val="5C7F01DC"/>
    <w:rsid w:val="5C7F0CFE"/>
    <w:rsid w:val="5C7F2AAC"/>
    <w:rsid w:val="5C8005D2"/>
    <w:rsid w:val="5C80234E"/>
    <w:rsid w:val="5C807715"/>
    <w:rsid w:val="5C813644"/>
    <w:rsid w:val="5C814A76"/>
    <w:rsid w:val="5C8207EE"/>
    <w:rsid w:val="5C8209A3"/>
    <w:rsid w:val="5C82259C"/>
    <w:rsid w:val="5C8226B0"/>
    <w:rsid w:val="5C830B35"/>
    <w:rsid w:val="5C831D4C"/>
    <w:rsid w:val="5C831D5A"/>
    <w:rsid w:val="5C83262C"/>
    <w:rsid w:val="5C835D51"/>
    <w:rsid w:val="5C8400C2"/>
    <w:rsid w:val="5C841E70"/>
    <w:rsid w:val="5C844566"/>
    <w:rsid w:val="5C846314"/>
    <w:rsid w:val="5C846E17"/>
    <w:rsid w:val="5C861F87"/>
    <w:rsid w:val="5C86208C"/>
    <w:rsid w:val="5C866026"/>
    <w:rsid w:val="5C867ADA"/>
    <w:rsid w:val="5C875D75"/>
    <w:rsid w:val="5C875E04"/>
    <w:rsid w:val="5C877BB2"/>
    <w:rsid w:val="5C880946"/>
    <w:rsid w:val="5C8868EF"/>
    <w:rsid w:val="5C89392A"/>
    <w:rsid w:val="5C8956D8"/>
    <w:rsid w:val="5C8A1451"/>
    <w:rsid w:val="5C8A5083"/>
    <w:rsid w:val="5C8A56BD"/>
    <w:rsid w:val="5C8A65AB"/>
    <w:rsid w:val="5C8A7B5D"/>
    <w:rsid w:val="5C8B76A2"/>
    <w:rsid w:val="5C8C1275"/>
    <w:rsid w:val="5C8C19E4"/>
    <w:rsid w:val="5C8C341B"/>
    <w:rsid w:val="5C8C51C9"/>
    <w:rsid w:val="5C8C6AE6"/>
    <w:rsid w:val="5C8D1BE7"/>
    <w:rsid w:val="5C8D46FD"/>
    <w:rsid w:val="5C8D6C54"/>
    <w:rsid w:val="5C8E035F"/>
    <w:rsid w:val="5C8E0F41"/>
    <w:rsid w:val="5C8E2747"/>
    <w:rsid w:val="5C8E2CEF"/>
    <w:rsid w:val="5C8E4E72"/>
    <w:rsid w:val="5C8F017E"/>
    <w:rsid w:val="5C8F1519"/>
    <w:rsid w:val="5C8F2377"/>
    <w:rsid w:val="5C8F386B"/>
    <w:rsid w:val="5C8F4507"/>
    <w:rsid w:val="5C8F6A67"/>
    <w:rsid w:val="5C906884"/>
    <w:rsid w:val="5C907ACF"/>
    <w:rsid w:val="5C910A31"/>
    <w:rsid w:val="5C912102"/>
    <w:rsid w:val="5C913139"/>
    <w:rsid w:val="5C913940"/>
    <w:rsid w:val="5C91458D"/>
    <w:rsid w:val="5C91668F"/>
    <w:rsid w:val="5C9173E2"/>
    <w:rsid w:val="5C92020D"/>
    <w:rsid w:val="5C921E92"/>
    <w:rsid w:val="5C925985"/>
    <w:rsid w:val="5C930305"/>
    <w:rsid w:val="5C931C99"/>
    <w:rsid w:val="5C9421A2"/>
    <w:rsid w:val="5C945392"/>
    <w:rsid w:val="5C950379"/>
    <w:rsid w:val="5C950521"/>
    <w:rsid w:val="5C950D18"/>
    <w:rsid w:val="5C951806"/>
    <w:rsid w:val="5C9522CF"/>
    <w:rsid w:val="5C95407D"/>
    <w:rsid w:val="5C955894"/>
    <w:rsid w:val="5C962871"/>
    <w:rsid w:val="5C96334A"/>
    <w:rsid w:val="5C9654DF"/>
    <w:rsid w:val="5C966047"/>
    <w:rsid w:val="5C966149"/>
    <w:rsid w:val="5C9830D0"/>
    <w:rsid w:val="5C984A7A"/>
    <w:rsid w:val="5C98591B"/>
    <w:rsid w:val="5C991D7B"/>
    <w:rsid w:val="5C99218B"/>
    <w:rsid w:val="5C992723"/>
    <w:rsid w:val="5C995BE0"/>
    <w:rsid w:val="5C9A0FDC"/>
    <w:rsid w:val="5C9A1694"/>
    <w:rsid w:val="5C9A3DD2"/>
    <w:rsid w:val="5C9A5B38"/>
    <w:rsid w:val="5C9B540C"/>
    <w:rsid w:val="5C9C024C"/>
    <w:rsid w:val="5C9C18B0"/>
    <w:rsid w:val="5C9C55D4"/>
    <w:rsid w:val="5C9C588E"/>
    <w:rsid w:val="5C9C6B0B"/>
    <w:rsid w:val="5C9D207A"/>
    <w:rsid w:val="5C9D2F32"/>
    <w:rsid w:val="5C9E0E22"/>
    <w:rsid w:val="5C9E1237"/>
    <w:rsid w:val="5C9E158E"/>
    <w:rsid w:val="5C9E2764"/>
    <w:rsid w:val="5C9E2ADB"/>
    <w:rsid w:val="5C9E412C"/>
    <w:rsid w:val="5C9E5FFE"/>
    <w:rsid w:val="5C9F314E"/>
    <w:rsid w:val="5C9F329F"/>
    <w:rsid w:val="5C9F3FFC"/>
    <w:rsid w:val="5C9F4AFE"/>
    <w:rsid w:val="5C9F4BDD"/>
    <w:rsid w:val="5C9F4EFC"/>
    <w:rsid w:val="5C9F639C"/>
    <w:rsid w:val="5C9F6BCD"/>
    <w:rsid w:val="5C9F6CAA"/>
    <w:rsid w:val="5CA014D0"/>
    <w:rsid w:val="5CA06446"/>
    <w:rsid w:val="5CA114ED"/>
    <w:rsid w:val="5CA13F40"/>
    <w:rsid w:val="5CA22C3E"/>
    <w:rsid w:val="5CA23E0E"/>
    <w:rsid w:val="5CA249EC"/>
    <w:rsid w:val="5CA2679A"/>
    <w:rsid w:val="5CA3008C"/>
    <w:rsid w:val="5CA37228"/>
    <w:rsid w:val="5CA40764"/>
    <w:rsid w:val="5CA40F33"/>
    <w:rsid w:val="5CA4207D"/>
    <w:rsid w:val="5CA442C0"/>
    <w:rsid w:val="5CA44DE7"/>
    <w:rsid w:val="5CA50E48"/>
    <w:rsid w:val="5CA52EC4"/>
    <w:rsid w:val="5CA6278E"/>
    <w:rsid w:val="5CA63169"/>
    <w:rsid w:val="5CA644DC"/>
    <w:rsid w:val="5CA6628A"/>
    <w:rsid w:val="5CA66A9A"/>
    <w:rsid w:val="5CA70254"/>
    <w:rsid w:val="5CA75CC0"/>
    <w:rsid w:val="5CA77709"/>
    <w:rsid w:val="5CA8320B"/>
    <w:rsid w:val="5CA83DE1"/>
    <w:rsid w:val="5CA8544F"/>
    <w:rsid w:val="5CA8660D"/>
    <w:rsid w:val="5CA93FCD"/>
    <w:rsid w:val="5CA9482A"/>
    <w:rsid w:val="5CA95D7B"/>
    <w:rsid w:val="5CA976A3"/>
    <w:rsid w:val="5CA97B29"/>
    <w:rsid w:val="5CAA0818"/>
    <w:rsid w:val="5CAA3CE0"/>
    <w:rsid w:val="5CAA6E48"/>
    <w:rsid w:val="5CAB1AF3"/>
    <w:rsid w:val="5CAB4ECB"/>
    <w:rsid w:val="5CAC012B"/>
    <w:rsid w:val="5CAC1086"/>
    <w:rsid w:val="5CAC13C7"/>
    <w:rsid w:val="5CAC25E0"/>
    <w:rsid w:val="5CAC586B"/>
    <w:rsid w:val="5CAC6600"/>
    <w:rsid w:val="5CAC7619"/>
    <w:rsid w:val="5CAC7D41"/>
    <w:rsid w:val="5CAD1F1A"/>
    <w:rsid w:val="5CAD354C"/>
    <w:rsid w:val="5CAD3ADA"/>
    <w:rsid w:val="5CAD58A7"/>
    <w:rsid w:val="5CAD5A5C"/>
    <w:rsid w:val="5CAD5C4F"/>
    <w:rsid w:val="5CAD6E80"/>
    <w:rsid w:val="5CAE0FD9"/>
    <w:rsid w:val="5CAE3F47"/>
    <w:rsid w:val="5CAE7372"/>
    <w:rsid w:val="5CAE7C53"/>
    <w:rsid w:val="5CAF3AF1"/>
    <w:rsid w:val="5CB050E1"/>
    <w:rsid w:val="5CB0535B"/>
    <w:rsid w:val="5CB07109"/>
    <w:rsid w:val="5CB10FE2"/>
    <w:rsid w:val="5CB130EE"/>
    <w:rsid w:val="5CB169DD"/>
    <w:rsid w:val="5CB2187F"/>
    <w:rsid w:val="5CB279C3"/>
    <w:rsid w:val="5CB309A7"/>
    <w:rsid w:val="5CB3109E"/>
    <w:rsid w:val="5CB32755"/>
    <w:rsid w:val="5CB33902"/>
    <w:rsid w:val="5CB35EB0"/>
    <w:rsid w:val="5CB36BF9"/>
    <w:rsid w:val="5CB4383A"/>
    <w:rsid w:val="5CB44D92"/>
    <w:rsid w:val="5CB46ED9"/>
    <w:rsid w:val="5CB50DF3"/>
    <w:rsid w:val="5CB531AD"/>
    <w:rsid w:val="5CB53485"/>
    <w:rsid w:val="5CB55498"/>
    <w:rsid w:val="5CB62246"/>
    <w:rsid w:val="5CB62283"/>
    <w:rsid w:val="5CB63F9A"/>
    <w:rsid w:val="5CB63FF4"/>
    <w:rsid w:val="5CB70498"/>
    <w:rsid w:val="5CB75ACB"/>
    <w:rsid w:val="5CB75B92"/>
    <w:rsid w:val="5CB76C3D"/>
    <w:rsid w:val="5CB862E4"/>
    <w:rsid w:val="5CB87D6C"/>
    <w:rsid w:val="5CB920AE"/>
    <w:rsid w:val="5CB9797E"/>
    <w:rsid w:val="5CB97D9E"/>
    <w:rsid w:val="5CBA1D36"/>
    <w:rsid w:val="5CBA3056"/>
    <w:rsid w:val="5CBA3AE4"/>
    <w:rsid w:val="5CBA7F88"/>
    <w:rsid w:val="5CBB059A"/>
    <w:rsid w:val="5CBB34E5"/>
    <w:rsid w:val="5CBB785C"/>
    <w:rsid w:val="5CBC2834"/>
    <w:rsid w:val="5CBC3D00"/>
    <w:rsid w:val="5CBC40EB"/>
    <w:rsid w:val="5CBC5AAE"/>
    <w:rsid w:val="5CBD0CC6"/>
    <w:rsid w:val="5CBD1826"/>
    <w:rsid w:val="5CBD2F40"/>
    <w:rsid w:val="5CBD35D4"/>
    <w:rsid w:val="5CBD5382"/>
    <w:rsid w:val="5CBD5AD6"/>
    <w:rsid w:val="5CBD7121"/>
    <w:rsid w:val="5CBE3A3B"/>
    <w:rsid w:val="5CBF0EE3"/>
    <w:rsid w:val="5CBF559E"/>
    <w:rsid w:val="5CBF734C"/>
    <w:rsid w:val="5CC00BE3"/>
    <w:rsid w:val="5CC020DF"/>
    <w:rsid w:val="5CC10D6F"/>
    <w:rsid w:val="5CC11316"/>
    <w:rsid w:val="5CC11FAF"/>
    <w:rsid w:val="5CC159BF"/>
    <w:rsid w:val="5CC15D6D"/>
    <w:rsid w:val="5CC169A6"/>
    <w:rsid w:val="5CC20BEA"/>
    <w:rsid w:val="5CC22998"/>
    <w:rsid w:val="5CC22A6E"/>
    <w:rsid w:val="5CC23926"/>
    <w:rsid w:val="5CC2508E"/>
    <w:rsid w:val="5CC25BDD"/>
    <w:rsid w:val="5CC26E3C"/>
    <w:rsid w:val="5CC31B3E"/>
    <w:rsid w:val="5CC32337"/>
    <w:rsid w:val="5CC333F7"/>
    <w:rsid w:val="5CC35FC8"/>
    <w:rsid w:val="5CC41F82"/>
    <w:rsid w:val="5CC42BB4"/>
    <w:rsid w:val="5CC44887"/>
    <w:rsid w:val="5CC46711"/>
    <w:rsid w:val="5CC47458"/>
    <w:rsid w:val="5CC508E8"/>
    <w:rsid w:val="5CC52489"/>
    <w:rsid w:val="5CC53F10"/>
    <w:rsid w:val="5CC5405A"/>
    <w:rsid w:val="5CC55D17"/>
    <w:rsid w:val="5CC57FD9"/>
    <w:rsid w:val="5CC64C09"/>
    <w:rsid w:val="5CC701B8"/>
    <w:rsid w:val="5CC721E9"/>
    <w:rsid w:val="5CC74453"/>
    <w:rsid w:val="5CC74949"/>
    <w:rsid w:val="5CC76201"/>
    <w:rsid w:val="5CC76C66"/>
    <w:rsid w:val="5CC83530"/>
    <w:rsid w:val="5CC84698"/>
    <w:rsid w:val="5CC85055"/>
    <w:rsid w:val="5CC901CB"/>
    <w:rsid w:val="5CC90B9A"/>
    <w:rsid w:val="5CC93979"/>
    <w:rsid w:val="5CC93FFF"/>
    <w:rsid w:val="5CC94D93"/>
    <w:rsid w:val="5CC97269"/>
    <w:rsid w:val="5CCA6C30"/>
    <w:rsid w:val="5CCB042C"/>
    <w:rsid w:val="5CCB09AD"/>
    <w:rsid w:val="5CCB4CA9"/>
    <w:rsid w:val="5CCB5CF1"/>
    <w:rsid w:val="5CCC56B2"/>
    <w:rsid w:val="5CCD4246"/>
    <w:rsid w:val="5CCD5585"/>
    <w:rsid w:val="5CCE30DB"/>
    <w:rsid w:val="5CCE3A33"/>
    <w:rsid w:val="5CCE45B4"/>
    <w:rsid w:val="5CCE4802"/>
    <w:rsid w:val="5CCE57E1"/>
    <w:rsid w:val="5CCE758F"/>
    <w:rsid w:val="5CCE7ABC"/>
    <w:rsid w:val="5CCF422F"/>
    <w:rsid w:val="5CD01559"/>
    <w:rsid w:val="5CD03A0F"/>
    <w:rsid w:val="5CD050B5"/>
    <w:rsid w:val="5CD059FB"/>
    <w:rsid w:val="5CD0766A"/>
    <w:rsid w:val="5CD105CC"/>
    <w:rsid w:val="5CD10E2D"/>
    <w:rsid w:val="5CD11E60"/>
    <w:rsid w:val="5CD16455"/>
    <w:rsid w:val="5CD1707F"/>
    <w:rsid w:val="5CD17CAC"/>
    <w:rsid w:val="5CD21AB9"/>
    <w:rsid w:val="5CD252D1"/>
    <w:rsid w:val="5CD27DB2"/>
    <w:rsid w:val="5CD31049"/>
    <w:rsid w:val="5CD32A92"/>
    <w:rsid w:val="5CD32DF8"/>
    <w:rsid w:val="5CD32EEC"/>
    <w:rsid w:val="5CD34BA6"/>
    <w:rsid w:val="5CD4121D"/>
    <w:rsid w:val="5CD45D2F"/>
    <w:rsid w:val="5CD46F4D"/>
    <w:rsid w:val="5CD47B93"/>
    <w:rsid w:val="5CD47BB1"/>
    <w:rsid w:val="5CD503DD"/>
    <w:rsid w:val="5CD52465"/>
    <w:rsid w:val="5CD526CC"/>
    <w:rsid w:val="5CD544A4"/>
    <w:rsid w:val="5CD54DC2"/>
    <w:rsid w:val="5CD551B9"/>
    <w:rsid w:val="5CD56B70"/>
    <w:rsid w:val="5CD5759B"/>
    <w:rsid w:val="5CD60065"/>
    <w:rsid w:val="5CD64EEC"/>
    <w:rsid w:val="5CD66BD0"/>
    <w:rsid w:val="5CD722AD"/>
    <w:rsid w:val="5CD73CDC"/>
    <w:rsid w:val="5CD8040E"/>
    <w:rsid w:val="5CD866D0"/>
    <w:rsid w:val="5CD901EE"/>
    <w:rsid w:val="5CD9561D"/>
    <w:rsid w:val="5CD95D98"/>
    <w:rsid w:val="5CDA22F5"/>
    <w:rsid w:val="5CDA23D8"/>
    <w:rsid w:val="5CDA3A35"/>
    <w:rsid w:val="5CDB2B0E"/>
    <w:rsid w:val="5CDB3739"/>
    <w:rsid w:val="5CDB6651"/>
    <w:rsid w:val="5CDC1CAC"/>
    <w:rsid w:val="5CDC25D7"/>
    <w:rsid w:val="5CDC2730"/>
    <w:rsid w:val="5CDC2C62"/>
    <w:rsid w:val="5CDC3F9E"/>
    <w:rsid w:val="5CDC48C1"/>
    <w:rsid w:val="5CDC6150"/>
    <w:rsid w:val="5CDC7EFE"/>
    <w:rsid w:val="5CDD20FE"/>
    <w:rsid w:val="5CDD3C76"/>
    <w:rsid w:val="5CDD46AC"/>
    <w:rsid w:val="5CDD6B6F"/>
    <w:rsid w:val="5CDE0AE1"/>
    <w:rsid w:val="5CDE1A17"/>
    <w:rsid w:val="5CDE2BD0"/>
    <w:rsid w:val="5CDF179C"/>
    <w:rsid w:val="5CDF183D"/>
    <w:rsid w:val="5CDF2202"/>
    <w:rsid w:val="5CDF354A"/>
    <w:rsid w:val="5CDF3BFA"/>
    <w:rsid w:val="5CDF4060"/>
    <w:rsid w:val="5CDF6A65"/>
    <w:rsid w:val="5CE07CC2"/>
    <w:rsid w:val="5CE13766"/>
    <w:rsid w:val="5CE1524F"/>
    <w:rsid w:val="5CE15514"/>
    <w:rsid w:val="5CE177F5"/>
    <w:rsid w:val="5CE2085D"/>
    <w:rsid w:val="5CE2303B"/>
    <w:rsid w:val="5CE248CA"/>
    <w:rsid w:val="5CE24D2A"/>
    <w:rsid w:val="5CE24DE9"/>
    <w:rsid w:val="5CE26B83"/>
    <w:rsid w:val="5CE26C73"/>
    <w:rsid w:val="5CE30EC6"/>
    <w:rsid w:val="5CE37C51"/>
    <w:rsid w:val="5CE42072"/>
    <w:rsid w:val="5CE45005"/>
    <w:rsid w:val="5CE46DB3"/>
    <w:rsid w:val="5CE51038"/>
    <w:rsid w:val="5CE51B83"/>
    <w:rsid w:val="5CE53C41"/>
    <w:rsid w:val="5CE55301"/>
    <w:rsid w:val="5CE553B6"/>
    <w:rsid w:val="5CE60816"/>
    <w:rsid w:val="5CE60D7D"/>
    <w:rsid w:val="5CE62B2B"/>
    <w:rsid w:val="5CE70651"/>
    <w:rsid w:val="5CE742FE"/>
    <w:rsid w:val="5CE80DDB"/>
    <w:rsid w:val="5CE86853"/>
    <w:rsid w:val="5CE86B05"/>
    <w:rsid w:val="5CE92CAA"/>
    <w:rsid w:val="5CE963D0"/>
    <w:rsid w:val="5CEB0BBD"/>
    <w:rsid w:val="5CEB1EEF"/>
    <w:rsid w:val="5CED0739"/>
    <w:rsid w:val="5CED0ACF"/>
    <w:rsid w:val="5CED1E80"/>
    <w:rsid w:val="5CED3EB9"/>
    <w:rsid w:val="5CED6664"/>
    <w:rsid w:val="5CEE12AB"/>
    <w:rsid w:val="5CEE19DF"/>
    <w:rsid w:val="5CEE378D"/>
    <w:rsid w:val="5CEE4C40"/>
    <w:rsid w:val="5CEE5E83"/>
    <w:rsid w:val="5CEE7C31"/>
    <w:rsid w:val="5CEF1701"/>
    <w:rsid w:val="5CEF292A"/>
    <w:rsid w:val="5CEF3201"/>
    <w:rsid w:val="5CEF3B55"/>
    <w:rsid w:val="5CF01B47"/>
    <w:rsid w:val="5CF023D6"/>
    <w:rsid w:val="5CF04FE5"/>
    <w:rsid w:val="5CF05884"/>
    <w:rsid w:val="5CF06D22"/>
    <w:rsid w:val="5CF06E1D"/>
    <w:rsid w:val="5CF0728E"/>
    <w:rsid w:val="5CF108C4"/>
    <w:rsid w:val="5CF1327E"/>
    <w:rsid w:val="5CF138A4"/>
    <w:rsid w:val="5CF214D0"/>
    <w:rsid w:val="5CF27722"/>
    <w:rsid w:val="5CF30CF2"/>
    <w:rsid w:val="5CF30D95"/>
    <w:rsid w:val="5CF3349A"/>
    <w:rsid w:val="5CF35248"/>
    <w:rsid w:val="5CF36FF6"/>
    <w:rsid w:val="5CF376FB"/>
    <w:rsid w:val="5CF37C4E"/>
    <w:rsid w:val="5CF43966"/>
    <w:rsid w:val="5CF4729D"/>
    <w:rsid w:val="5CF47533"/>
    <w:rsid w:val="5CF50FC0"/>
    <w:rsid w:val="5CF5402E"/>
    <w:rsid w:val="5CF54B1C"/>
    <w:rsid w:val="5CF56286"/>
    <w:rsid w:val="5CF56D95"/>
    <w:rsid w:val="5CF57B59"/>
    <w:rsid w:val="5CF654CB"/>
    <w:rsid w:val="5CF70133"/>
    <w:rsid w:val="5CF7423D"/>
    <w:rsid w:val="5CF74266"/>
    <w:rsid w:val="5CF74D38"/>
    <w:rsid w:val="5CF75F50"/>
    <w:rsid w:val="5CF76AE6"/>
    <w:rsid w:val="5CF80AB0"/>
    <w:rsid w:val="5CF81667"/>
    <w:rsid w:val="5CF82EF2"/>
    <w:rsid w:val="5CF83F2B"/>
    <w:rsid w:val="5CF8460C"/>
    <w:rsid w:val="5CF86A03"/>
    <w:rsid w:val="5CF87257"/>
    <w:rsid w:val="5CF93E7B"/>
    <w:rsid w:val="5CF95F59"/>
    <w:rsid w:val="5CF9752B"/>
    <w:rsid w:val="5CF977D8"/>
    <w:rsid w:val="5CFA0384"/>
    <w:rsid w:val="5CFA6087"/>
    <w:rsid w:val="5CFA65D6"/>
    <w:rsid w:val="5CFA74F2"/>
    <w:rsid w:val="5CFB5EAA"/>
    <w:rsid w:val="5CFB7BB8"/>
    <w:rsid w:val="5CFB7CDB"/>
    <w:rsid w:val="5CFC1E1A"/>
    <w:rsid w:val="5CFC234E"/>
    <w:rsid w:val="5CFC343A"/>
    <w:rsid w:val="5CFC6920"/>
    <w:rsid w:val="5CFC7EDD"/>
    <w:rsid w:val="5CFD0323"/>
    <w:rsid w:val="5CFD17D9"/>
    <w:rsid w:val="5CFD21A5"/>
    <w:rsid w:val="5CFD4A18"/>
    <w:rsid w:val="5CFD6159"/>
    <w:rsid w:val="5CFD7971"/>
    <w:rsid w:val="5CFD7E74"/>
    <w:rsid w:val="5CFE1DA8"/>
    <w:rsid w:val="5CFE54F3"/>
    <w:rsid w:val="5CFE55B1"/>
    <w:rsid w:val="5CFE60C6"/>
    <w:rsid w:val="5CFE6274"/>
    <w:rsid w:val="5CFE666C"/>
    <w:rsid w:val="5CFE6A98"/>
    <w:rsid w:val="5CFF338A"/>
    <w:rsid w:val="5CFF3BED"/>
    <w:rsid w:val="5CFF599B"/>
    <w:rsid w:val="5CFF6FC3"/>
    <w:rsid w:val="5CFF708F"/>
    <w:rsid w:val="5D000012"/>
    <w:rsid w:val="5D001F09"/>
    <w:rsid w:val="5D003399"/>
    <w:rsid w:val="5D003981"/>
    <w:rsid w:val="5D003D37"/>
    <w:rsid w:val="5D0050E4"/>
    <w:rsid w:val="5D005803"/>
    <w:rsid w:val="5D011713"/>
    <w:rsid w:val="5D0134C1"/>
    <w:rsid w:val="5D01410A"/>
    <w:rsid w:val="5D01456F"/>
    <w:rsid w:val="5D021703"/>
    <w:rsid w:val="5D022BFD"/>
    <w:rsid w:val="5D02513D"/>
    <w:rsid w:val="5D02548B"/>
    <w:rsid w:val="5D027239"/>
    <w:rsid w:val="5D03345B"/>
    <w:rsid w:val="5D0336DD"/>
    <w:rsid w:val="5D0354EE"/>
    <w:rsid w:val="5D035663"/>
    <w:rsid w:val="5D037826"/>
    <w:rsid w:val="5D042FB1"/>
    <w:rsid w:val="5D0444B0"/>
    <w:rsid w:val="5D047455"/>
    <w:rsid w:val="5D05247F"/>
    <w:rsid w:val="5D055D7B"/>
    <w:rsid w:val="5D057DF3"/>
    <w:rsid w:val="5D064F7B"/>
    <w:rsid w:val="5D06579F"/>
    <w:rsid w:val="5D066D29"/>
    <w:rsid w:val="5D067F49"/>
    <w:rsid w:val="5D07069B"/>
    <w:rsid w:val="5D080CF3"/>
    <w:rsid w:val="5D084B91"/>
    <w:rsid w:val="5D086716"/>
    <w:rsid w:val="5D086F45"/>
    <w:rsid w:val="5D094A6B"/>
    <w:rsid w:val="5D096819"/>
    <w:rsid w:val="5D0A075D"/>
    <w:rsid w:val="5D0A2B3D"/>
    <w:rsid w:val="5D0B07E3"/>
    <w:rsid w:val="5D0B2591"/>
    <w:rsid w:val="5D0B69B5"/>
    <w:rsid w:val="5D0C1C8A"/>
    <w:rsid w:val="5D0C3366"/>
    <w:rsid w:val="5D0D1165"/>
    <w:rsid w:val="5D0D450D"/>
    <w:rsid w:val="5D0D455B"/>
    <w:rsid w:val="5D0E2082"/>
    <w:rsid w:val="5D0E267D"/>
    <w:rsid w:val="5D0E3E30"/>
    <w:rsid w:val="5D0E599D"/>
    <w:rsid w:val="5D0E70DE"/>
    <w:rsid w:val="5D0F5EA7"/>
    <w:rsid w:val="5D101956"/>
    <w:rsid w:val="5D103FD3"/>
    <w:rsid w:val="5D104BD4"/>
    <w:rsid w:val="5D105DFA"/>
    <w:rsid w:val="5D107BA8"/>
    <w:rsid w:val="5D121B72"/>
    <w:rsid w:val="5D123920"/>
    <w:rsid w:val="5D126AC8"/>
    <w:rsid w:val="5D130198"/>
    <w:rsid w:val="5D131446"/>
    <w:rsid w:val="5D1458EA"/>
    <w:rsid w:val="5D150CC2"/>
    <w:rsid w:val="5D152127"/>
    <w:rsid w:val="5D152C9F"/>
    <w:rsid w:val="5D1551BE"/>
    <w:rsid w:val="5D156E6C"/>
    <w:rsid w:val="5D156F6C"/>
    <w:rsid w:val="5D157638"/>
    <w:rsid w:val="5D163B33"/>
    <w:rsid w:val="5D16412F"/>
    <w:rsid w:val="5D166AA8"/>
    <w:rsid w:val="5D172CE4"/>
    <w:rsid w:val="5D172DC7"/>
    <w:rsid w:val="5D17334D"/>
    <w:rsid w:val="5D1800D8"/>
    <w:rsid w:val="5D182D61"/>
    <w:rsid w:val="5D184CAE"/>
    <w:rsid w:val="5D186267"/>
    <w:rsid w:val="5D186A5C"/>
    <w:rsid w:val="5D192F00"/>
    <w:rsid w:val="5D1A27D4"/>
    <w:rsid w:val="5D1A5681"/>
    <w:rsid w:val="5D1A5CB8"/>
    <w:rsid w:val="5D1A636B"/>
    <w:rsid w:val="5D1A6C78"/>
    <w:rsid w:val="5D1A6FF8"/>
    <w:rsid w:val="5D1B1DC3"/>
    <w:rsid w:val="5D1C02FB"/>
    <w:rsid w:val="5D1C1431"/>
    <w:rsid w:val="5D1C479E"/>
    <w:rsid w:val="5D1C4B80"/>
    <w:rsid w:val="5D1C5180"/>
    <w:rsid w:val="5D1C654D"/>
    <w:rsid w:val="5D1D22C5"/>
    <w:rsid w:val="5D1E0063"/>
    <w:rsid w:val="5D1E0236"/>
    <w:rsid w:val="5D1F14F3"/>
    <w:rsid w:val="5D1F428F"/>
    <w:rsid w:val="5D1F4C3F"/>
    <w:rsid w:val="5D1F603D"/>
    <w:rsid w:val="5D1F7DEB"/>
    <w:rsid w:val="5D200BF3"/>
    <w:rsid w:val="5D2109E2"/>
    <w:rsid w:val="5D210D3B"/>
    <w:rsid w:val="5D2117E1"/>
    <w:rsid w:val="5D211DB5"/>
    <w:rsid w:val="5D212BDB"/>
    <w:rsid w:val="5D213E13"/>
    <w:rsid w:val="5D215911"/>
    <w:rsid w:val="5D221689"/>
    <w:rsid w:val="5D222CA5"/>
    <w:rsid w:val="5D223F41"/>
    <w:rsid w:val="5D2279DF"/>
    <w:rsid w:val="5D235B2D"/>
    <w:rsid w:val="5D236733"/>
    <w:rsid w:val="5D2378DB"/>
    <w:rsid w:val="5D237E74"/>
    <w:rsid w:val="5D2418A5"/>
    <w:rsid w:val="5D24236E"/>
    <w:rsid w:val="5D243653"/>
    <w:rsid w:val="5D245401"/>
    <w:rsid w:val="5D245437"/>
    <w:rsid w:val="5D2472B9"/>
    <w:rsid w:val="5D251039"/>
    <w:rsid w:val="5D251732"/>
    <w:rsid w:val="5D253684"/>
    <w:rsid w:val="5D260C6D"/>
    <w:rsid w:val="5D261179"/>
    <w:rsid w:val="5D2612E1"/>
    <w:rsid w:val="5D261E0F"/>
    <w:rsid w:val="5D263C24"/>
    <w:rsid w:val="5D265251"/>
    <w:rsid w:val="5D266025"/>
    <w:rsid w:val="5D26635F"/>
    <w:rsid w:val="5D2667F5"/>
    <w:rsid w:val="5D2670A4"/>
    <w:rsid w:val="5D276544"/>
    <w:rsid w:val="5D276C9F"/>
    <w:rsid w:val="5D293AFC"/>
    <w:rsid w:val="5D296EBB"/>
    <w:rsid w:val="5D2B2C34"/>
    <w:rsid w:val="5D2B34FF"/>
    <w:rsid w:val="5D2B49E2"/>
    <w:rsid w:val="5D2B4EC5"/>
    <w:rsid w:val="5D2B6790"/>
    <w:rsid w:val="5D2B7A96"/>
    <w:rsid w:val="5D2C1B2D"/>
    <w:rsid w:val="5D2C3C97"/>
    <w:rsid w:val="5D2C7006"/>
    <w:rsid w:val="5D2D2508"/>
    <w:rsid w:val="5D2D4600"/>
    <w:rsid w:val="5D2D69AC"/>
    <w:rsid w:val="5D2E002E"/>
    <w:rsid w:val="5D2E1F8C"/>
    <w:rsid w:val="5D2E44D2"/>
    <w:rsid w:val="5D2E4F87"/>
    <w:rsid w:val="5D2E6280"/>
    <w:rsid w:val="5D301FF8"/>
    <w:rsid w:val="5D302346"/>
    <w:rsid w:val="5D305B40"/>
    <w:rsid w:val="5D3078A7"/>
    <w:rsid w:val="5D307FDF"/>
    <w:rsid w:val="5D31155E"/>
    <w:rsid w:val="5D31529E"/>
    <w:rsid w:val="5D321109"/>
    <w:rsid w:val="5D321CB1"/>
    <w:rsid w:val="5D323FC2"/>
    <w:rsid w:val="5D324115"/>
    <w:rsid w:val="5D325781"/>
    <w:rsid w:val="5D325C2D"/>
    <w:rsid w:val="5D325D70"/>
    <w:rsid w:val="5D327B1E"/>
    <w:rsid w:val="5D327BF3"/>
    <w:rsid w:val="5D331AE8"/>
    <w:rsid w:val="5D3327F4"/>
    <w:rsid w:val="5D332C2E"/>
    <w:rsid w:val="5D336E41"/>
    <w:rsid w:val="5D343809"/>
    <w:rsid w:val="5D34475D"/>
    <w:rsid w:val="5D347D3A"/>
    <w:rsid w:val="5D350B48"/>
    <w:rsid w:val="5D351B9C"/>
    <w:rsid w:val="5D357A22"/>
    <w:rsid w:val="5D365454"/>
    <w:rsid w:val="5D3715D8"/>
    <w:rsid w:val="5D373386"/>
    <w:rsid w:val="5D375134"/>
    <w:rsid w:val="5D380EAD"/>
    <w:rsid w:val="5D382BEB"/>
    <w:rsid w:val="5D386C2B"/>
    <w:rsid w:val="5D3874C9"/>
    <w:rsid w:val="5D390ACA"/>
    <w:rsid w:val="5D395350"/>
    <w:rsid w:val="5D3970FE"/>
    <w:rsid w:val="5D3A2E77"/>
    <w:rsid w:val="5D3A352A"/>
    <w:rsid w:val="5D3A3FB8"/>
    <w:rsid w:val="5D3A60FB"/>
    <w:rsid w:val="5D3B04F7"/>
    <w:rsid w:val="5D3B49BA"/>
    <w:rsid w:val="5D3C0A1B"/>
    <w:rsid w:val="5D3C5BE7"/>
    <w:rsid w:val="5D3C5E4A"/>
    <w:rsid w:val="5D3D2726"/>
    <w:rsid w:val="5D3D366C"/>
    <w:rsid w:val="5D3E0B98"/>
    <w:rsid w:val="5D3E0F31"/>
    <w:rsid w:val="5D3E2967"/>
    <w:rsid w:val="5D3E3B09"/>
    <w:rsid w:val="5D3E4715"/>
    <w:rsid w:val="5D3E4A7C"/>
    <w:rsid w:val="5D3E65AD"/>
    <w:rsid w:val="5D3E7177"/>
    <w:rsid w:val="5D3F048D"/>
    <w:rsid w:val="5D3F223B"/>
    <w:rsid w:val="5D3F47CB"/>
    <w:rsid w:val="5D3F5F0C"/>
    <w:rsid w:val="5D3F5FFD"/>
    <w:rsid w:val="5D3F66DF"/>
    <w:rsid w:val="5D40082C"/>
    <w:rsid w:val="5D401AB7"/>
    <w:rsid w:val="5D403DEE"/>
    <w:rsid w:val="5D404DD9"/>
    <w:rsid w:val="5D40739C"/>
    <w:rsid w:val="5D4131BD"/>
    <w:rsid w:val="5D414205"/>
    <w:rsid w:val="5D415FB3"/>
    <w:rsid w:val="5D417D61"/>
    <w:rsid w:val="5D423AD9"/>
    <w:rsid w:val="5D4319EC"/>
    <w:rsid w:val="5D431D2B"/>
    <w:rsid w:val="5D435D18"/>
    <w:rsid w:val="5D4400DB"/>
    <w:rsid w:val="5D44101C"/>
    <w:rsid w:val="5D441D7E"/>
    <w:rsid w:val="5D442145"/>
    <w:rsid w:val="5D443CF5"/>
    <w:rsid w:val="5D4463D1"/>
    <w:rsid w:val="5D4471AD"/>
    <w:rsid w:val="5D4476DA"/>
    <w:rsid w:val="5D447851"/>
    <w:rsid w:val="5D45320E"/>
    <w:rsid w:val="5D45751B"/>
    <w:rsid w:val="5D461ACD"/>
    <w:rsid w:val="5D4640D6"/>
    <w:rsid w:val="5D465377"/>
    <w:rsid w:val="5D467A6D"/>
    <w:rsid w:val="5D470374"/>
    <w:rsid w:val="5D471115"/>
    <w:rsid w:val="5D47373E"/>
    <w:rsid w:val="5D475B2E"/>
    <w:rsid w:val="5D47627E"/>
    <w:rsid w:val="5D476EE2"/>
    <w:rsid w:val="5D4806FF"/>
    <w:rsid w:val="5D483AC0"/>
    <w:rsid w:val="5D4844AA"/>
    <w:rsid w:val="5D484754"/>
    <w:rsid w:val="5D487AAF"/>
    <w:rsid w:val="5D49044E"/>
    <w:rsid w:val="5D491438"/>
    <w:rsid w:val="5D4930BA"/>
    <w:rsid w:val="5D494895"/>
    <w:rsid w:val="5D494E68"/>
    <w:rsid w:val="5D4A3BF5"/>
    <w:rsid w:val="5D4B0BE0"/>
    <w:rsid w:val="5D4B2344"/>
    <w:rsid w:val="5D4B2794"/>
    <w:rsid w:val="5D4B5084"/>
    <w:rsid w:val="5D4B58BE"/>
    <w:rsid w:val="5D4B5B91"/>
    <w:rsid w:val="5D4B6E32"/>
    <w:rsid w:val="5D4B7080"/>
    <w:rsid w:val="5D4C0CBF"/>
    <w:rsid w:val="5D4C32E7"/>
    <w:rsid w:val="5D4C5E53"/>
    <w:rsid w:val="5D4C6DCF"/>
    <w:rsid w:val="5D4D19A0"/>
    <w:rsid w:val="5D4D2BAA"/>
    <w:rsid w:val="5D4D5F01"/>
    <w:rsid w:val="5D4D6706"/>
    <w:rsid w:val="5D4E06D0"/>
    <w:rsid w:val="5D4E3D26"/>
    <w:rsid w:val="5D4F0812"/>
    <w:rsid w:val="5D4F6922"/>
    <w:rsid w:val="5D4F7EBF"/>
    <w:rsid w:val="5D50269A"/>
    <w:rsid w:val="5D504448"/>
    <w:rsid w:val="5D50707B"/>
    <w:rsid w:val="5D515502"/>
    <w:rsid w:val="5D517B46"/>
    <w:rsid w:val="5D521F6E"/>
    <w:rsid w:val="5D522C41"/>
    <w:rsid w:val="5D52630E"/>
    <w:rsid w:val="5D526412"/>
    <w:rsid w:val="5D527F72"/>
    <w:rsid w:val="5D530D5F"/>
    <w:rsid w:val="5D533B8E"/>
    <w:rsid w:val="5D537A94"/>
    <w:rsid w:val="5D5407E1"/>
    <w:rsid w:val="5D5425F2"/>
    <w:rsid w:val="5D5435D0"/>
    <w:rsid w:val="5D551A5E"/>
    <w:rsid w:val="5D55380D"/>
    <w:rsid w:val="5D557CB0"/>
    <w:rsid w:val="5D5604AC"/>
    <w:rsid w:val="5D56233C"/>
    <w:rsid w:val="5D573A29"/>
    <w:rsid w:val="5D5757D7"/>
    <w:rsid w:val="5D577585"/>
    <w:rsid w:val="5D59154F"/>
    <w:rsid w:val="5D592B27"/>
    <w:rsid w:val="5D5932FD"/>
    <w:rsid w:val="5D5977A1"/>
    <w:rsid w:val="5D5A0E23"/>
    <w:rsid w:val="5D5A2B14"/>
    <w:rsid w:val="5D5A2D9A"/>
    <w:rsid w:val="5D5B6947"/>
    <w:rsid w:val="5D5B76D9"/>
    <w:rsid w:val="5D5C103F"/>
    <w:rsid w:val="5D5C6CE9"/>
    <w:rsid w:val="5D5C7C44"/>
    <w:rsid w:val="5D5D23B8"/>
    <w:rsid w:val="5D5D39B1"/>
    <w:rsid w:val="5D5D549E"/>
    <w:rsid w:val="5D5E0913"/>
    <w:rsid w:val="5D5E4DAF"/>
    <w:rsid w:val="5D5E4DB7"/>
    <w:rsid w:val="5D5E6B65"/>
    <w:rsid w:val="5D5F0A1B"/>
    <w:rsid w:val="5D600B2F"/>
    <w:rsid w:val="5D600FE8"/>
    <w:rsid w:val="5D606272"/>
    <w:rsid w:val="5D606C00"/>
    <w:rsid w:val="5D60791C"/>
    <w:rsid w:val="5D607EDE"/>
    <w:rsid w:val="5D6121B1"/>
    <w:rsid w:val="5D6303A7"/>
    <w:rsid w:val="5D6323CD"/>
    <w:rsid w:val="5D633729"/>
    <w:rsid w:val="5D63417B"/>
    <w:rsid w:val="5D635829"/>
    <w:rsid w:val="5D635F29"/>
    <w:rsid w:val="5D636026"/>
    <w:rsid w:val="5D641CA2"/>
    <w:rsid w:val="5D643E41"/>
    <w:rsid w:val="5D644335"/>
    <w:rsid w:val="5D6459E3"/>
    <w:rsid w:val="5D646797"/>
    <w:rsid w:val="5D656145"/>
    <w:rsid w:val="5D6610B7"/>
    <w:rsid w:val="5D662547"/>
    <w:rsid w:val="5D663C6C"/>
    <w:rsid w:val="5D664BB3"/>
    <w:rsid w:val="5D665A1A"/>
    <w:rsid w:val="5D6677C8"/>
    <w:rsid w:val="5D6679D6"/>
    <w:rsid w:val="5D675118"/>
    <w:rsid w:val="5D681792"/>
    <w:rsid w:val="5D683540"/>
    <w:rsid w:val="5D686F12"/>
    <w:rsid w:val="5D6879E4"/>
    <w:rsid w:val="5D69191D"/>
    <w:rsid w:val="5D6919BB"/>
    <w:rsid w:val="5D6923E4"/>
    <w:rsid w:val="5D6926E4"/>
    <w:rsid w:val="5D69537A"/>
    <w:rsid w:val="5D69550A"/>
    <w:rsid w:val="5D696197"/>
    <w:rsid w:val="5D6972B8"/>
    <w:rsid w:val="5D6A0EC8"/>
    <w:rsid w:val="5D6A11E7"/>
    <w:rsid w:val="5D6A2609"/>
    <w:rsid w:val="5D6A375C"/>
    <w:rsid w:val="5D6B012B"/>
    <w:rsid w:val="5D6B1930"/>
    <w:rsid w:val="5D6B2358"/>
    <w:rsid w:val="5D6B3030"/>
    <w:rsid w:val="5D6B37A0"/>
    <w:rsid w:val="5D6B62F8"/>
    <w:rsid w:val="5D6B74D4"/>
    <w:rsid w:val="5D6B76F5"/>
    <w:rsid w:val="5D6C4EBE"/>
    <w:rsid w:val="5D6D4FFA"/>
    <w:rsid w:val="5D6D6DA8"/>
    <w:rsid w:val="5D6E0D73"/>
    <w:rsid w:val="5D6E241A"/>
    <w:rsid w:val="5D6E48CE"/>
    <w:rsid w:val="5D6E5861"/>
    <w:rsid w:val="5D6F0D72"/>
    <w:rsid w:val="5D6F2B20"/>
    <w:rsid w:val="5D703C04"/>
    <w:rsid w:val="5D704AEA"/>
    <w:rsid w:val="5D707CD3"/>
    <w:rsid w:val="5D710D9B"/>
    <w:rsid w:val="5D717C84"/>
    <w:rsid w:val="5D720862"/>
    <w:rsid w:val="5D722610"/>
    <w:rsid w:val="5D7243BE"/>
    <w:rsid w:val="5D72616D"/>
    <w:rsid w:val="5D731EE5"/>
    <w:rsid w:val="5D7356CA"/>
    <w:rsid w:val="5D740137"/>
    <w:rsid w:val="5D7416F1"/>
    <w:rsid w:val="5D747763"/>
    <w:rsid w:val="5D752101"/>
    <w:rsid w:val="5D755FDB"/>
    <w:rsid w:val="5D75771C"/>
    <w:rsid w:val="5D7657DF"/>
    <w:rsid w:val="5D767178"/>
    <w:rsid w:val="5D77019C"/>
    <w:rsid w:val="5D774E08"/>
    <w:rsid w:val="5D77631A"/>
    <w:rsid w:val="5D777C27"/>
    <w:rsid w:val="5D78015F"/>
    <w:rsid w:val="5D780793"/>
    <w:rsid w:val="5D780D8A"/>
    <w:rsid w:val="5D784ED8"/>
    <w:rsid w:val="5D786263"/>
    <w:rsid w:val="5D7874FB"/>
    <w:rsid w:val="5D79376A"/>
    <w:rsid w:val="5D79399F"/>
    <w:rsid w:val="5D79648E"/>
    <w:rsid w:val="5D7A14C5"/>
    <w:rsid w:val="5D7A1978"/>
    <w:rsid w:val="5D7A267C"/>
    <w:rsid w:val="5D7A2DEC"/>
    <w:rsid w:val="5D7A51C0"/>
    <w:rsid w:val="5D7B43E9"/>
    <w:rsid w:val="5D7C3154"/>
    <w:rsid w:val="5D7C523D"/>
    <w:rsid w:val="5D7C5FBA"/>
    <w:rsid w:val="5D7C6FEB"/>
    <w:rsid w:val="5D7C705D"/>
    <w:rsid w:val="5D7D04B0"/>
    <w:rsid w:val="5D7D1CC2"/>
    <w:rsid w:val="5D7D6D6E"/>
    <w:rsid w:val="5D7E2D63"/>
    <w:rsid w:val="5D7E7207"/>
    <w:rsid w:val="5D7E7879"/>
    <w:rsid w:val="5D7F0889"/>
    <w:rsid w:val="5D7F5E78"/>
    <w:rsid w:val="5D7F6ADB"/>
    <w:rsid w:val="5D8020D0"/>
    <w:rsid w:val="5D80324F"/>
    <w:rsid w:val="5D80482F"/>
    <w:rsid w:val="5D804D2D"/>
    <w:rsid w:val="5D80551E"/>
    <w:rsid w:val="5D806DA9"/>
    <w:rsid w:val="5D812854"/>
    <w:rsid w:val="5D813535"/>
    <w:rsid w:val="5D814602"/>
    <w:rsid w:val="5D820585"/>
    <w:rsid w:val="5D82078D"/>
    <w:rsid w:val="5D821579"/>
    <w:rsid w:val="5D82232C"/>
    <w:rsid w:val="5D823E2B"/>
    <w:rsid w:val="5D83037A"/>
    <w:rsid w:val="5D8331B0"/>
    <w:rsid w:val="5D83481E"/>
    <w:rsid w:val="5D8353B4"/>
    <w:rsid w:val="5D8365CC"/>
    <w:rsid w:val="5D837CBB"/>
    <w:rsid w:val="5D847209"/>
    <w:rsid w:val="5D847211"/>
    <w:rsid w:val="5D8472F1"/>
    <w:rsid w:val="5D852344"/>
    <w:rsid w:val="5D855AD0"/>
    <w:rsid w:val="5D855B1B"/>
    <w:rsid w:val="5D855DF2"/>
    <w:rsid w:val="5D860167"/>
    <w:rsid w:val="5D861C18"/>
    <w:rsid w:val="5D86262B"/>
    <w:rsid w:val="5D86679C"/>
    <w:rsid w:val="5D876BC7"/>
    <w:rsid w:val="5D880882"/>
    <w:rsid w:val="5D881DC3"/>
    <w:rsid w:val="5D881E34"/>
    <w:rsid w:val="5D885990"/>
    <w:rsid w:val="5D891708"/>
    <w:rsid w:val="5D892A85"/>
    <w:rsid w:val="5D893DE5"/>
    <w:rsid w:val="5D8958E1"/>
    <w:rsid w:val="5D897EE5"/>
    <w:rsid w:val="5D8A140E"/>
    <w:rsid w:val="5D8B4513"/>
    <w:rsid w:val="5D8B5480"/>
    <w:rsid w:val="5D8B722E"/>
    <w:rsid w:val="5D8C14AB"/>
    <w:rsid w:val="5D8D11F8"/>
    <w:rsid w:val="5D8D2FA6"/>
    <w:rsid w:val="5D8D542F"/>
    <w:rsid w:val="5D8D6E33"/>
    <w:rsid w:val="5D8D744A"/>
    <w:rsid w:val="5D8E67A5"/>
    <w:rsid w:val="5D8E7717"/>
    <w:rsid w:val="5D8F055D"/>
    <w:rsid w:val="5D8F2E94"/>
    <w:rsid w:val="5D8F31C2"/>
    <w:rsid w:val="5D8F3629"/>
    <w:rsid w:val="5D8F5E65"/>
    <w:rsid w:val="5D8F6D1E"/>
    <w:rsid w:val="5D900CE9"/>
    <w:rsid w:val="5D902A97"/>
    <w:rsid w:val="5D9046A1"/>
    <w:rsid w:val="5D911872"/>
    <w:rsid w:val="5D911B45"/>
    <w:rsid w:val="5D911D6B"/>
    <w:rsid w:val="5D915A0E"/>
    <w:rsid w:val="5D916F3A"/>
    <w:rsid w:val="5D917FAE"/>
    <w:rsid w:val="5D9205BD"/>
    <w:rsid w:val="5D92153A"/>
    <w:rsid w:val="5D921815"/>
    <w:rsid w:val="5D92352D"/>
    <w:rsid w:val="5D92680F"/>
    <w:rsid w:val="5D942587"/>
    <w:rsid w:val="5D9440FD"/>
    <w:rsid w:val="5D944335"/>
    <w:rsid w:val="5D945AEA"/>
    <w:rsid w:val="5D94787C"/>
    <w:rsid w:val="5D9562FF"/>
    <w:rsid w:val="5D957880"/>
    <w:rsid w:val="5D962F27"/>
    <w:rsid w:val="5D9642C5"/>
    <w:rsid w:val="5D964551"/>
    <w:rsid w:val="5D966A55"/>
    <w:rsid w:val="5D972077"/>
    <w:rsid w:val="5D973E25"/>
    <w:rsid w:val="5D9854A9"/>
    <w:rsid w:val="5D99194B"/>
    <w:rsid w:val="5D992F6F"/>
    <w:rsid w:val="5D994293"/>
    <w:rsid w:val="5D995DEF"/>
    <w:rsid w:val="5D996B17"/>
    <w:rsid w:val="5D99733A"/>
    <w:rsid w:val="5D99777E"/>
    <w:rsid w:val="5D9A0DA9"/>
    <w:rsid w:val="5D9A3915"/>
    <w:rsid w:val="5D9A56C3"/>
    <w:rsid w:val="5D9A7D3B"/>
    <w:rsid w:val="5D9A7FA7"/>
    <w:rsid w:val="5D9B28C6"/>
    <w:rsid w:val="5D9B46E1"/>
    <w:rsid w:val="5D9B7CF5"/>
    <w:rsid w:val="5D9C143B"/>
    <w:rsid w:val="5D9C3D56"/>
    <w:rsid w:val="5D9C5497"/>
    <w:rsid w:val="5D9C768D"/>
    <w:rsid w:val="5D9D3A0C"/>
    <w:rsid w:val="5D9D53A8"/>
    <w:rsid w:val="5D9D6927"/>
    <w:rsid w:val="5D9E1657"/>
    <w:rsid w:val="5D9E3405"/>
    <w:rsid w:val="5D9F0F2C"/>
    <w:rsid w:val="5D9F2CDA"/>
    <w:rsid w:val="5D9F40BD"/>
    <w:rsid w:val="5D9F468E"/>
    <w:rsid w:val="5D9F72CC"/>
    <w:rsid w:val="5DA01872"/>
    <w:rsid w:val="5DA0210D"/>
    <w:rsid w:val="5DA0579B"/>
    <w:rsid w:val="5DA12EF6"/>
    <w:rsid w:val="5DA13B67"/>
    <w:rsid w:val="5DA14CA4"/>
    <w:rsid w:val="5DA17E96"/>
    <w:rsid w:val="5DA2076D"/>
    <w:rsid w:val="5DA232CA"/>
    <w:rsid w:val="5DA24FF7"/>
    <w:rsid w:val="5DA257AB"/>
    <w:rsid w:val="5DA27112"/>
    <w:rsid w:val="5DA30A1C"/>
    <w:rsid w:val="5DA31058"/>
    <w:rsid w:val="5DA31B36"/>
    <w:rsid w:val="5DA320EA"/>
    <w:rsid w:val="5DA32799"/>
    <w:rsid w:val="5DA327CA"/>
    <w:rsid w:val="5DA367D2"/>
    <w:rsid w:val="5DA402F0"/>
    <w:rsid w:val="5DA43E97"/>
    <w:rsid w:val="5DA53978"/>
    <w:rsid w:val="5DA550B9"/>
    <w:rsid w:val="5DA56FD4"/>
    <w:rsid w:val="5DA6050C"/>
    <w:rsid w:val="5DA61A44"/>
    <w:rsid w:val="5DA6543C"/>
    <w:rsid w:val="5DA66549"/>
    <w:rsid w:val="5DA762B7"/>
    <w:rsid w:val="5DA76675"/>
    <w:rsid w:val="5DA76ABE"/>
    <w:rsid w:val="5DA779D9"/>
    <w:rsid w:val="5DA84284"/>
    <w:rsid w:val="5DA84C95"/>
    <w:rsid w:val="5DA86032"/>
    <w:rsid w:val="5DA87DE0"/>
    <w:rsid w:val="5DA90FEF"/>
    <w:rsid w:val="5DA95699"/>
    <w:rsid w:val="5DA9751B"/>
    <w:rsid w:val="5DAA00A6"/>
    <w:rsid w:val="5DAA0F07"/>
    <w:rsid w:val="5DAA5341"/>
    <w:rsid w:val="5DAA635A"/>
    <w:rsid w:val="5DAA7FFC"/>
    <w:rsid w:val="5DAB167E"/>
    <w:rsid w:val="5DAB687E"/>
    <w:rsid w:val="5DAD01E9"/>
    <w:rsid w:val="5DAD189A"/>
    <w:rsid w:val="5DAD1ABB"/>
    <w:rsid w:val="5DAD746C"/>
    <w:rsid w:val="5DAD7A63"/>
    <w:rsid w:val="5DAE189B"/>
    <w:rsid w:val="5DAE616B"/>
    <w:rsid w:val="5DAF116F"/>
    <w:rsid w:val="5DAF2ACA"/>
    <w:rsid w:val="5DAF38A5"/>
    <w:rsid w:val="5DAF5613"/>
    <w:rsid w:val="5DAF67CF"/>
    <w:rsid w:val="5DAF73C1"/>
    <w:rsid w:val="5DB04D5F"/>
    <w:rsid w:val="5DB04EE7"/>
    <w:rsid w:val="5DB06C95"/>
    <w:rsid w:val="5DB16193"/>
    <w:rsid w:val="5DB176D2"/>
    <w:rsid w:val="5DB20402"/>
    <w:rsid w:val="5DB20C5F"/>
    <w:rsid w:val="5DB237B0"/>
    <w:rsid w:val="5DB24B00"/>
    <w:rsid w:val="5DB25F7C"/>
    <w:rsid w:val="5DB30B4D"/>
    <w:rsid w:val="5DB3755A"/>
    <w:rsid w:val="5DB40D31"/>
    <w:rsid w:val="5DB5346D"/>
    <w:rsid w:val="5DB56E70"/>
    <w:rsid w:val="5DB6074F"/>
    <w:rsid w:val="5DB62203"/>
    <w:rsid w:val="5DB674CE"/>
    <w:rsid w:val="5DB70023"/>
    <w:rsid w:val="5DB72254"/>
    <w:rsid w:val="5DB73211"/>
    <w:rsid w:val="5DB744C7"/>
    <w:rsid w:val="5DB77164"/>
    <w:rsid w:val="5DB81AFC"/>
    <w:rsid w:val="5DB85725"/>
    <w:rsid w:val="5DB9023F"/>
    <w:rsid w:val="5DB90FAA"/>
    <w:rsid w:val="5DB96921"/>
    <w:rsid w:val="5DBA1DF2"/>
    <w:rsid w:val="5DBA6A71"/>
    <w:rsid w:val="5DBA7B13"/>
    <w:rsid w:val="5DBB3FB7"/>
    <w:rsid w:val="5DBB72DF"/>
    <w:rsid w:val="5DBC1ADE"/>
    <w:rsid w:val="5DBC3340"/>
    <w:rsid w:val="5DBC4A28"/>
    <w:rsid w:val="5DBD1BFF"/>
    <w:rsid w:val="5DBD2BF9"/>
    <w:rsid w:val="5DBD47D0"/>
    <w:rsid w:val="5DBD639A"/>
    <w:rsid w:val="5DBD7DFF"/>
    <w:rsid w:val="5DBD7F10"/>
    <w:rsid w:val="5DBE13B2"/>
    <w:rsid w:val="5DBE29D7"/>
    <w:rsid w:val="5DBE2E7D"/>
    <w:rsid w:val="5DBE35C0"/>
    <w:rsid w:val="5DBE3D69"/>
    <w:rsid w:val="5DBE5C60"/>
    <w:rsid w:val="5DBE5C92"/>
    <w:rsid w:val="5DBF512A"/>
    <w:rsid w:val="5DC01CC1"/>
    <w:rsid w:val="5DC10EA2"/>
    <w:rsid w:val="5DC15346"/>
    <w:rsid w:val="5DC170F4"/>
    <w:rsid w:val="5DC203F0"/>
    <w:rsid w:val="5DC25A71"/>
    <w:rsid w:val="5DC263CD"/>
    <w:rsid w:val="5DC30642"/>
    <w:rsid w:val="5DC30B3D"/>
    <w:rsid w:val="5DC310BE"/>
    <w:rsid w:val="5DC32E6C"/>
    <w:rsid w:val="5DC42740"/>
    <w:rsid w:val="5DC50992"/>
    <w:rsid w:val="5DC56BE4"/>
    <w:rsid w:val="5DC62799"/>
    <w:rsid w:val="5DC643F2"/>
    <w:rsid w:val="5DC6470A"/>
    <w:rsid w:val="5DC650F3"/>
    <w:rsid w:val="5DC664B8"/>
    <w:rsid w:val="5DC66FC3"/>
    <w:rsid w:val="5DC71C2C"/>
    <w:rsid w:val="5DC7295C"/>
    <w:rsid w:val="5DC73D3A"/>
    <w:rsid w:val="5DC740D4"/>
    <w:rsid w:val="5DC7527B"/>
    <w:rsid w:val="5DC75882"/>
    <w:rsid w:val="5DC75B6C"/>
    <w:rsid w:val="5DC75C57"/>
    <w:rsid w:val="5DC80482"/>
    <w:rsid w:val="5DC82230"/>
    <w:rsid w:val="5DC84057"/>
    <w:rsid w:val="5DC87EAF"/>
    <w:rsid w:val="5DC93298"/>
    <w:rsid w:val="5DC9454F"/>
    <w:rsid w:val="5DC94959"/>
    <w:rsid w:val="5DC97463"/>
    <w:rsid w:val="5DCA244C"/>
    <w:rsid w:val="5DCA3994"/>
    <w:rsid w:val="5DCA3CCC"/>
    <w:rsid w:val="5DCA5FA9"/>
    <w:rsid w:val="5DCA671F"/>
    <w:rsid w:val="5DCA6C62"/>
    <w:rsid w:val="5DCB0B02"/>
    <w:rsid w:val="5DCB1D21"/>
    <w:rsid w:val="5DCB3ACF"/>
    <w:rsid w:val="5DCB69FB"/>
    <w:rsid w:val="5DCC0264"/>
    <w:rsid w:val="5DCC4114"/>
    <w:rsid w:val="5DCC6F53"/>
    <w:rsid w:val="5DCC7F2C"/>
    <w:rsid w:val="5DCD2B84"/>
    <w:rsid w:val="5DCD3CEB"/>
    <w:rsid w:val="5DCD5A99"/>
    <w:rsid w:val="5DCD7665"/>
    <w:rsid w:val="5DCE3543"/>
    <w:rsid w:val="5DCE3820"/>
    <w:rsid w:val="5DCE778C"/>
    <w:rsid w:val="5DCE7C26"/>
    <w:rsid w:val="5DCF1811"/>
    <w:rsid w:val="5DCF35BF"/>
    <w:rsid w:val="5DD010E5"/>
    <w:rsid w:val="5DD02516"/>
    <w:rsid w:val="5DD051EF"/>
    <w:rsid w:val="5DD05331"/>
    <w:rsid w:val="5DD14C26"/>
    <w:rsid w:val="5DD1521D"/>
    <w:rsid w:val="5DD16AA8"/>
    <w:rsid w:val="5DD21301"/>
    <w:rsid w:val="5DD24E5D"/>
    <w:rsid w:val="5DD262E3"/>
    <w:rsid w:val="5DD30137"/>
    <w:rsid w:val="5DD3082E"/>
    <w:rsid w:val="5DD3169B"/>
    <w:rsid w:val="5DD369F6"/>
    <w:rsid w:val="5DD40BD5"/>
    <w:rsid w:val="5DD45079"/>
    <w:rsid w:val="5DD46E27"/>
    <w:rsid w:val="5DD5492F"/>
    <w:rsid w:val="5DD54BCD"/>
    <w:rsid w:val="5DD60DF1"/>
    <w:rsid w:val="5DD64975"/>
    <w:rsid w:val="5DD65765"/>
    <w:rsid w:val="5DD70496"/>
    <w:rsid w:val="5DD706C5"/>
    <w:rsid w:val="5DD72166"/>
    <w:rsid w:val="5DD72473"/>
    <w:rsid w:val="5DD73B54"/>
    <w:rsid w:val="5DD748DD"/>
    <w:rsid w:val="5DD75377"/>
    <w:rsid w:val="5DD76917"/>
    <w:rsid w:val="5DD77EFF"/>
    <w:rsid w:val="5DD813D8"/>
    <w:rsid w:val="5DD829D4"/>
    <w:rsid w:val="5DD90176"/>
    <w:rsid w:val="5DD921C5"/>
    <w:rsid w:val="5DD92868"/>
    <w:rsid w:val="5DD939A9"/>
    <w:rsid w:val="5DD961EC"/>
    <w:rsid w:val="5DD972C0"/>
    <w:rsid w:val="5DDA597C"/>
    <w:rsid w:val="5DDB4167"/>
    <w:rsid w:val="5DDB5188"/>
    <w:rsid w:val="5DDB68C9"/>
    <w:rsid w:val="5DDC30B5"/>
    <w:rsid w:val="5DDC49C3"/>
    <w:rsid w:val="5DDC7A8A"/>
    <w:rsid w:val="5DDD14DB"/>
    <w:rsid w:val="5DDD2002"/>
    <w:rsid w:val="5DDD3DBA"/>
    <w:rsid w:val="5DDD79E1"/>
    <w:rsid w:val="5DDD7C88"/>
    <w:rsid w:val="5DDE175E"/>
    <w:rsid w:val="5DDE3802"/>
    <w:rsid w:val="5DDE3B09"/>
    <w:rsid w:val="5DDE49CF"/>
    <w:rsid w:val="5DDF59C7"/>
    <w:rsid w:val="5DDF66DA"/>
    <w:rsid w:val="5DDF7B22"/>
    <w:rsid w:val="5DE01893"/>
    <w:rsid w:val="5DE03D69"/>
    <w:rsid w:val="5DE057CC"/>
    <w:rsid w:val="5DE06B8B"/>
    <w:rsid w:val="5DE0757A"/>
    <w:rsid w:val="5DE132F2"/>
    <w:rsid w:val="5DE136CE"/>
    <w:rsid w:val="5DE177B7"/>
    <w:rsid w:val="5DE2253A"/>
    <w:rsid w:val="5DE352BC"/>
    <w:rsid w:val="5DE36025"/>
    <w:rsid w:val="5DE3706A"/>
    <w:rsid w:val="5DE52DE2"/>
    <w:rsid w:val="5DE53350"/>
    <w:rsid w:val="5DE57E9C"/>
    <w:rsid w:val="5DE60909"/>
    <w:rsid w:val="5DE62F1A"/>
    <w:rsid w:val="5DE639DC"/>
    <w:rsid w:val="5DE66B5A"/>
    <w:rsid w:val="5DE67457"/>
    <w:rsid w:val="5DE70D68"/>
    <w:rsid w:val="5DE72BB3"/>
    <w:rsid w:val="5DE745A6"/>
    <w:rsid w:val="5DE74DAC"/>
    <w:rsid w:val="5DE77A12"/>
    <w:rsid w:val="5DE80564"/>
    <w:rsid w:val="5DE828D3"/>
    <w:rsid w:val="5DE838F6"/>
    <w:rsid w:val="5DE84681"/>
    <w:rsid w:val="5DE856FA"/>
    <w:rsid w:val="5DE9275A"/>
    <w:rsid w:val="5DE93CEA"/>
    <w:rsid w:val="5DE975EC"/>
    <w:rsid w:val="5DEA03F9"/>
    <w:rsid w:val="5DEA29FC"/>
    <w:rsid w:val="5DEA37ED"/>
    <w:rsid w:val="5DEA43BA"/>
    <w:rsid w:val="5DEA4CE6"/>
    <w:rsid w:val="5DEB11A8"/>
    <w:rsid w:val="5DEB4069"/>
    <w:rsid w:val="5DEB5308"/>
    <w:rsid w:val="5DEB5F1F"/>
    <w:rsid w:val="5DEB7AC7"/>
    <w:rsid w:val="5DEC0CDE"/>
    <w:rsid w:val="5DEC21C1"/>
    <w:rsid w:val="5DEC23C3"/>
    <w:rsid w:val="5DEC4171"/>
    <w:rsid w:val="5DEC610D"/>
    <w:rsid w:val="5DED1C97"/>
    <w:rsid w:val="5DED73FB"/>
    <w:rsid w:val="5DED7EE9"/>
    <w:rsid w:val="5DEE04B2"/>
    <w:rsid w:val="5DEE4D3F"/>
    <w:rsid w:val="5DEE6FA7"/>
    <w:rsid w:val="5DEE7AA4"/>
    <w:rsid w:val="5DEF09A6"/>
    <w:rsid w:val="5DEF3C61"/>
    <w:rsid w:val="5DEF4877"/>
    <w:rsid w:val="5DEF52FF"/>
    <w:rsid w:val="5DEF6232"/>
    <w:rsid w:val="5DF0631C"/>
    <w:rsid w:val="5DF0765F"/>
    <w:rsid w:val="5DF10AEF"/>
    <w:rsid w:val="5DF11D3F"/>
    <w:rsid w:val="5DF12B00"/>
    <w:rsid w:val="5DF14631"/>
    <w:rsid w:val="5DF15941"/>
    <w:rsid w:val="5DF23751"/>
    <w:rsid w:val="5DF254FF"/>
    <w:rsid w:val="5DF36984"/>
    <w:rsid w:val="5DF40F63"/>
    <w:rsid w:val="5DF41277"/>
    <w:rsid w:val="5DF444C3"/>
    <w:rsid w:val="5DF474C9"/>
    <w:rsid w:val="5DF50900"/>
    <w:rsid w:val="5DF50B4C"/>
    <w:rsid w:val="5DF534BC"/>
    <w:rsid w:val="5DF56948"/>
    <w:rsid w:val="5DF634D1"/>
    <w:rsid w:val="5DF748C4"/>
    <w:rsid w:val="5DF75DF1"/>
    <w:rsid w:val="5DF80913"/>
    <w:rsid w:val="5DF8324B"/>
    <w:rsid w:val="5DF9063C"/>
    <w:rsid w:val="5DF93079"/>
    <w:rsid w:val="5DF94AE0"/>
    <w:rsid w:val="5DF9688E"/>
    <w:rsid w:val="5DF97BF1"/>
    <w:rsid w:val="5DFB0845"/>
    <w:rsid w:val="5DFB0A81"/>
    <w:rsid w:val="5DFB2606"/>
    <w:rsid w:val="5DFB43B4"/>
    <w:rsid w:val="5DFB6860"/>
    <w:rsid w:val="5DFC012C"/>
    <w:rsid w:val="5DFC06A3"/>
    <w:rsid w:val="5DFC07D3"/>
    <w:rsid w:val="5DFC1EDA"/>
    <w:rsid w:val="5DFC2281"/>
    <w:rsid w:val="5DFC5C02"/>
    <w:rsid w:val="5DFC7083"/>
    <w:rsid w:val="5DFD2192"/>
    <w:rsid w:val="5DFD275E"/>
    <w:rsid w:val="5DFD637E"/>
    <w:rsid w:val="5DFE05C1"/>
    <w:rsid w:val="5DFE37C1"/>
    <w:rsid w:val="5DFE3EA4"/>
    <w:rsid w:val="5DFE46BD"/>
    <w:rsid w:val="5E000F3D"/>
    <w:rsid w:val="5E001719"/>
    <w:rsid w:val="5E003B31"/>
    <w:rsid w:val="5E005AAD"/>
    <w:rsid w:val="5E007154"/>
    <w:rsid w:val="5E0078F1"/>
    <w:rsid w:val="5E007C1C"/>
    <w:rsid w:val="5E015EA1"/>
    <w:rsid w:val="5E0170BB"/>
    <w:rsid w:val="5E017192"/>
    <w:rsid w:val="5E01756A"/>
    <w:rsid w:val="5E022C03"/>
    <w:rsid w:val="5E022F04"/>
    <w:rsid w:val="5E0234A1"/>
    <w:rsid w:val="5E023994"/>
    <w:rsid w:val="5E02425E"/>
    <w:rsid w:val="5E024645"/>
    <w:rsid w:val="5E025E27"/>
    <w:rsid w:val="5E03201B"/>
    <w:rsid w:val="5E033269"/>
    <w:rsid w:val="5E033789"/>
    <w:rsid w:val="5E035AD5"/>
    <w:rsid w:val="5E041A8D"/>
    <w:rsid w:val="5E045783"/>
    <w:rsid w:val="5E0503F5"/>
    <w:rsid w:val="5E052FC6"/>
    <w:rsid w:val="5E055233"/>
    <w:rsid w:val="5E055371"/>
    <w:rsid w:val="5E055E66"/>
    <w:rsid w:val="5E056363"/>
    <w:rsid w:val="5E056FE1"/>
    <w:rsid w:val="5E062D59"/>
    <w:rsid w:val="5E072D15"/>
    <w:rsid w:val="5E0758E6"/>
    <w:rsid w:val="5E0771FD"/>
    <w:rsid w:val="5E08087F"/>
    <w:rsid w:val="5E082F75"/>
    <w:rsid w:val="5E083B3D"/>
    <w:rsid w:val="5E084C74"/>
    <w:rsid w:val="5E084D23"/>
    <w:rsid w:val="5E086AD1"/>
    <w:rsid w:val="5E091947"/>
    <w:rsid w:val="5E095F43"/>
    <w:rsid w:val="5E0A2849"/>
    <w:rsid w:val="5E0A2DD7"/>
    <w:rsid w:val="5E0A33AF"/>
    <w:rsid w:val="5E0A3A4B"/>
    <w:rsid w:val="5E0A45F7"/>
    <w:rsid w:val="5E0B036F"/>
    <w:rsid w:val="5E0B4267"/>
    <w:rsid w:val="5E0B6844"/>
    <w:rsid w:val="5E0C4813"/>
    <w:rsid w:val="5E0C65C1"/>
    <w:rsid w:val="5E0C7B07"/>
    <w:rsid w:val="5E0D0F4A"/>
    <w:rsid w:val="5E0D1262"/>
    <w:rsid w:val="5E0D40E7"/>
    <w:rsid w:val="5E0D6B87"/>
    <w:rsid w:val="5E0E10DF"/>
    <w:rsid w:val="5E0E4C86"/>
    <w:rsid w:val="5E0E5C68"/>
    <w:rsid w:val="5E0E65C4"/>
    <w:rsid w:val="5E0E7C71"/>
    <w:rsid w:val="5E0F4078"/>
    <w:rsid w:val="5E0F4A7A"/>
    <w:rsid w:val="5E0F7E5F"/>
    <w:rsid w:val="5E105508"/>
    <w:rsid w:val="5E1075E1"/>
    <w:rsid w:val="5E111E29"/>
    <w:rsid w:val="5E1174B8"/>
    <w:rsid w:val="5E1216FE"/>
    <w:rsid w:val="5E121F2E"/>
    <w:rsid w:val="5E127950"/>
    <w:rsid w:val="5E1355CA"/>
    <w:rsid w:val="5E137441"/>
    <w:rsid w:val="5E14191A"/>
    <w:rsid w:val="5E1436C8"/>
    <w:rsid w:val="5E145319"/>
    <w:rsid w:val="5E145476"/>
    <w:rsid w:val="5E151873"/>
    <w:rsid w:val="5E1577F7"/>
    <w:rsid w:val="5E157EEA"/>
    <w:rsid w:val="5E16137A"/>
    <w:rsid w:val="5E162F9C"/>
    <w:rsid w:val="5E163F4B"/>
    <w:rsid w:val="5E16546A"/>
    <w:rsid w:val="5E167440"/>
    <w:rsid w:val="5E171EED"/>
    <w:rsid w:val="5E17280A"/>
    <w:rsid w:val="5E1753DB"/>
    <w:rsid w:val="5E176181"/>
    <w:rsid w:val="5E1831B8"/>
    <w:rsid w:val="5E186172"/>
    <w:rsid w:val="5E18686B"/>
    <w:rsid w:val="5E187A25"/>
    <w:rsid w:val="5E190CDE"/>
    <w:rsid w:val="5E192C11"/>
    <w:rsid w:val="5E1945C0"/>
    <w:rsid w:val="5E195133"/>
    <w:rsid w:val="5E196F30"/>
    <w:rsid w:val="5E197CFB"/>
    <w:rsid w:val="5E1B2CA8"/>
    <w:rsid w:val="5E1B2ED5"/>
    <w:rsid w:val="5E1C257C"/>
    <w:rsid w:val="5E1C33F4"/>
    <w:rsid w:val="5E1C432A"/>
    <w:rsid w:val="5E1C5B50"/>
    <w:rsid w:val="5E1C667C"/>
    <w:rsid w:val="5E1D124D"/>
    <w:rsid w:val="5E1D3C33"/>
    <w:rsid w:val="5E1D7D3C"/>
    <w:rsid w:val="5E1E00A2"/>
    <w:rsid w:val="5E1E02CA"/>
    <w:rsid w:val="5E1E09A6"/>
    <w:rsid w:val="5E1E14CC"/>
    <w:rsid w:val="5E1E164A"/>
    <w:rsid w:val="5E1E24E7"/>
    <w:rsid w:val="5E1E4546"/>
    <w:rsid w:val="5E1E55F9"/>
    <w:rsid w:val="5E1E5693"/>
    <w:rsid w:val="5E1E62F4"/>
    <w:rsid w:val="5E1E6F5C"/>
    <w:rsid w:val="5E1F64BA"/>
    <w:rsid w:val="5E2002BE"/>
    <w:rsid w:val="5E20206C"/>
    <w:rsid w:val="5E203E1A"/>
    <w:rsid w:val="5E204FFD"/>
    <w:rsid w:val="5E2157AD"/>
    <w:rsid w:val="5E215D93"/>
    <w:rsid w:val="5E21648D"/>
    <w:rsid w:val="5E224037"/>
    <w:rsid w:val="5E225DE5"/>
    <w:rsid w:val="5E22791D"/>
    <w:rsid w:val="5E227B93"/>
    <w:rsid w:val="5E231749"/>
    <w:rsid w:val="5E231B5D"/>
    <w:rsid w:val="5E232FBD"/>
    <w:rsid w:val="5E23390B"/>
    <w:rsid w:val="5E2356B9"/>
    <w:rsid w:val="5E24290B"/>
    <w:rsid w:val="5E2437F4"/>
    <w:rsid w:val="5E24654F"/>
    <w:rsid w:val="5E2467F1"/>
    <w:rsid w:val="5E250292"/>
    <w:rsid w:val="5E253597"/>
    <w:rsid w:val="5E266397"/>
    <w:rsid w:val="5E27164D"/>
    <w:rsid w:val="5E27175F"/>
    <w:rsid w:val="5E274ED0"/>
    <w:rsid w:val="5E2751A9"/>
    <w:rsid w:val="5E275274"/>
    <w:rsid w:val="5E2775D5"/>
    <w:rsid w:val="5E280F3B"/>
    <w:rsid w:val="5E282CCF"/>
    <w:rsid w:val="5E28378F"/>
    <w:rsid w:val="5E2841CF"/>
    <w:rsid w:val="5E286051"/>
    <w:rsid w:val="5E2861E3"/>
    <w:rsid w:val="5E287173"/>
    <w:rsid w:val="5E2A0C80"/>
    <w:rsid w:val="5E2A4C99"/>
    <w:rsid w:val="5E2A70C6"/>
    <w:rsid w:val="5E2A782D"/>
    <w:rsid w:val="5E2B02ED"/>
    <w:rsid w:val="5E2B49EF"/>
    <w:rsid w:val="5E2B4CE1"/>
    <w:rsid w:val="5E2B5FA2"/>
    <w:rsid w:val="5E2C0A11"/>
    <w:rsid w:val="5E2C27BF"/>
    <w:rsid w:val="5E2C35A0"/>
    <w:rsid w:val="5E2C53BA"/>
    <w:rsid w:val="5E2C6599"/>
    <w:rsid w:val="5E2C6C63"/>
    <w:rsid w:val="5E2D04EF"/>
    <w:rsid w:val="5E2D27C9"/>
    <w:rsid w:val="5E2D30F6"/>
    <w:rsid w:val="5E2D4789"/>
    <w:rsid w:val="5E2D6774"/>
    <w:rsid w:val="5E2E1600"/>
    <w:rsid w:val="5E2E21CB"/>
    <w:rsid w:val="5E2E21D2"/>
    <w:rsid w:val="5E2E29DB"/>
    <w:rsid w:val="5E2E3F58"/>
    <w:rsid w:val="5E2F0501"/>
    <w:rsid w:val="5E2F22B0"/>
    <w:rsid w:val="5E2F3662"/>
    <w:rsid w:val="5E2F3CF2"/>
    <w:rsid w:val="5E2F578E"/>
    <w:rsid w:val="5E2F5EF2"/>
    <w:rsid w:val="5E302E63"/>
    <w:rsid w:val="5E304AF2"/>
    <w:rsid w:val="5E304CD0"/>
    <w:rsid w:val="5E310F5A"/>
    <w:rsid w:val="5E312A3D"/>
    <w:rsid w:val="5E315F82"/>
    <w:rsid w:val="5E3214BF"/>
    <w:rsid w:val="5E32584C"/>
    <w:rsid w:val="5E3308A2"/>
    <w:rsid w:val="5E331DA0"/>
    <w:rsid w:val="5E336DDC"/>
    <w:rsid w:val="5E340A11"/>
    <w:rsid w:val="5E341674"/>
    <w:rsid w:val="5E341D32"/>
    <w:rsid w:val="5E343D6A"/>
    <w:rsid w:val="5E345B18"/>
    <w:rsid w:val="5E3461FB"/>
    <w:rsid w:val="5E346C10"/>
    <w:rsid w:val="5E3527BB"/>
    <w:rsid w:val="5E36363E"/>
    <w:rsid w:val="5E366A66"/>
    <w:rsid w:val="5E367223"/>
    <w:rsid w:val="5E372B91"/>
    <w:rsid w:val="5E373550"/>
    <w:rsid w:val="5E3735CA"/>
    <w:rsid w:val="5E373936"/>
    <w:rsid w:val="5E3755D5"/>
    <w:rsid w:val="5E384133"/>
    <w:rsid w:val="5E384714"/>
    <w:rsid w:val="5E3873B6"/>
    <w:rsid w:val="5E391380"/>
    <w:rsid w:val="5E3914BC"/>
    <w:rsid w:val="5E39312E"/>
    <w:rsid w:val="5E394EDC"/>
    <w:rsid w:val="5E3A0775"/>
    <w:rsid w:val="5E3B0544"/>
    <w:rsid w:val="5E3B0C54"/>
    <w:rsid w:val="5E3B2A02"/>
    <w:rsid w:val="5E3B4EC4"/>
    <w:rsid w:val="5E3B6EA6"/>
    <w:rsid w:val="5E3C677A"/>
    <w:rsid w:val="5E3D2C1E"/>
    <w:rsid w:val="5E3D49CC"/>
    <w:rsid w:val="5E3E0745"/>
    <w:rsid w:val="5E3E0DB9"/>
    <w:rsid w:val="5E3E24F3"/>
    <w:rsid w:val="5E3F1A16"/>
    <w:rsid w:val="5E3F2181"/>
    <w:rsid w:val="5E400D9F"/>
    <w:rsid w:val="5E402537"/>
    <w:rsid w:val="5E40270F"/>
    <w:rsid w:val="5E406065"/>
    <w:rsid w:val="5E406B7A"/>
    <w:rsid w:val="5E407D3D"/>
    <w:rsid w:val="5E412B3C"/>
    <w:rsid w:val="5E413D91"/>
    <w:rsid w:val="5E414336"/>
    <w:rsid w:val="5E414979"/>
    <w:rsid w:val="5E415A77"/>
    <w:rsid w:val="5E420235"/>
    <w:rsid w:val="5E4210B5"/>
    <w:rsid w:val="5E421FE3"/>
    <w:rsid w:val="5E425D20"/>
    <w:rsid w:val="5E431827"/>
    <w:rsid w:val="5E4340D7"/>
    <w:rsid w:val="5E435D5B"/>
    <w:rsid w:val="5E437B09"/>
    <w:rsid w:val="5E442C20"/>
    <w:rsid w:val="5E443363"/>
    <w:rsid w:val="5E452AAD"/>
    <w:rsid w:val="5E453881"/>
    <w:rsid w:val="5E457D25"/>
    <w:rsid w:val="5E4710BE"/>
    <w:rsid w:val="5E473A9D"/>
    <w:rsid w:val="5E47584B"/>
    <w:rsid w:val="5E4775F9"/>
    <w:rsid w:val="5E481638"/>
    <w:rsid w:val="5E4820C4"/>
    <w:rsid w:val="5E483371"/>
    <w:rsid w:val="5E48792D"/>
    <w:rsid w:val="5E4976C6"/>
    <w:rsid w:val="5E4A0E97"/>
    <w:rsid w:val="5E4A4746"/>
    <w:rsid w:val="5E4A57F6"/>
    <w:rsid w:val="5E4A70E9"/>
    <w:rsid w:val="5E4A7EF0"/>
    <w:rsid w:val="5E4B3B2C"/>
    <w:rsid w:val="5E4B7FF1"/>
    <w:rsid w:val="5E4C10B3"/>
    <w:rsid w:val="5E4C476B"/>
    <w:rsid w:val="5E4C52CF"/>
    <w:rsid w:val="5E4C7EA6"/>
    <w:rsid w:val="5E4D0A45"/>
    <w:rsid w:val="5E4D2736"/>
    <w:rsid w:val="5E4E007B"/>
    <w:rsid w:val="5E4E4E2C"/>
    <w:rsid w:val="5E4E6BDA"/>
    <w:rsid w:val="5E4F150B"/>
    <w:rsid w:val="5E4F16AA"/>
    <w:rsid w:val="5E4F4700"/>
    <w:rsid w:val="5E4F64AE"/>
    <w:rsid w:val="5E4F6D8C"/>
    <w:rsid w:val="5E510478"/>
    <w:rsid w:val="5E512226"/>
    <w:rsid w:val="5E513E2B"/>
    <w:rsid w:val="5E51556C"/>
    <w:rsid w:val="5E521233"/>
    <w:rsid w:val="5E522D71"/>
    <w:rsid w:val="5E53117C"/>
    <w:rsid w:val="5E53232E"/>
    <w:rsid w:val="5E532442"/>
    <w:rsid w:val="5E532C9F"/>
    <w:rsid w:val="5E5341F0"/>
    <w:rsid w:val="5E541E8E"/>
    <w:rsid w:val="5E542134"/>
    <w:rsid w:val="5E543AC4"/>
    <w:rsid w:val="5E546896"/>
    <w:rsid w:val="5E547F68"/>
    <w:rsid w:val="5E5539B1"/>
    <w:rsid w:val="5E5541B9"/>
    <w:rsid w:val="5E563CE0"/>
    <w:rsid w:val="5E570B9C"/>
    <w:rsid w:val="5E571FFC"/>
    <w:rsid w:val="5E57286E"/>
    <w:rsid w:val="5E5742FD"/>
    <w:rsid w:val="5E587A58"/>
    <w:rsid w:val="5E590ADE"/>
    <w:rsid w:val="5E5925BD"/>
    <w:rsid w:val="5E59518E"/>
    <w:rsid w:val="5E59557E"/>
    <w:rsid w:val="5E596C5B"/>
    <w:rsid w:val="5E59732C"/>
    <w:rsid w:val="5E5A16CB"/>
    <w:rsid w:val="5E5B11EF"/>
    <w:rsid w:val="5E5B30A5"/>
    <w:rsid w:val="5E5B4240"/>
    <w:rsid w:val="5E5B4E53"/>
    <w:rsid w:val="5E5B7AAE"/>
    <w:rsid w:val="5E5B7E40"/>
    <w:rsid w:val="5E5C34C8"/>
    <w:rsid w:val="5E5D049F"/>
    <w:rsid w:val="5E5D0BCB"/>
    <w:rsid w:val="5E5D3B0F"/>
    <w:rsid w:val="5E5D4F0E"/>
    <w:rsid w:val="5E5D6E1D"/>
    <w:rsid w:val="5E5E1C45"/>
    <w:rsid w:val="5E5E2B95"/>
    <w:rsid w:val="5E5E46B1"/>
    <w:rsid w:val="5E5E4943"/>
    <w:rsid w:val="5E5E642F"/>
    <w:rsid w:val="5E5F0DE7"/>
    <w:rsid w:val="5E5F1000"/>
    <w:rsid w:val="5E5F25B6"/>
    <w:rsid w:val="5E5F3229"/>
    <w:rsid w:val="5E5F3B71"/>
    <w:rsid w:val="5E6014E1"/>
    <w:rsid w:val="5E602469"/>
    <w:rsid w:val="5E602490"/>
    <w:rsid w:val="5E60324E"/>
    <w:rsid w:val="5E604B5F"/>
    <w:rsid w:val="5E606FDF"/>
    <w:rsid w:val="5E611936"/>
    <w:rsid w:val="5E6137A3"/>
    <w:rsid w:val="5E6164F1"/>
    <w:rsid w:val="5E62015D"/>
    <w:rsid w:val="5E624433"/>
    <w:rsid w:val="5E6274D1"/>
    <w:rsid w:val="5E627981"/>
    <w:rsid w:val="5E631F59"/>
    <w:rsid w:val="5E635A43"/>
    <w:rsid w:val="5E6379D2"/>
    <w:rsid w:val="5E64127C"/>
    <w:rsid w:val="5E6463FD"/>
    <w:rsid w:val="5E653F23"/>
    <w:rsid w:val="5E654B19"/>
    <w:rsid w:val="5E665A7A"/>
    <w:rsid w:val="5E666BB1"/>
    <w:rsid w:val="5E671A49"/>
    <w:rsid w:val="5E672F0F"/>
    <w:rsid w:val="5E680C22"/>
    <w:rsid w:val="5E6837F3"/>
    <w:rsid w:val="5E6859B9"/>
    <w:rsid w:val="5E685B2F"/>
    <w:rsid w:val="5E687DD5"/>
    <w:rsid w:val="5E6913B3"/>
    <w:rsid w:val="5E6920B2"/>
    <w:rsid w:val="5E695F0B"/>
    <w:rsid w:val="5E69659B"/>
    <w:rsid w:val="5E6A153A"/>
    <w:rsid w:val="5E6A32E8"/>
    <w:rsid w:val="5E6A6113"/>
    <w:rsid w:val="5E6A778C"/>
    <w:rsid w:val="5E6B076C"/>
    <w:rsid w:val="5E6B75A3"/>
    <w:rsid w:val="5E6C0178"/>
    <w:rsid w:val="5E6C3504"/>
    <w:rsid w:val="5E6C46AE"/>
    <w:rsid w:val="5E6C52B2"/>
    <w:rsid w:val="5E6C7060"/>
    <w:rsid w:val="5E6D1EC3"/>
    <w:rsid w:val="5E6D1EF9"/>
    <w:rsid w:val="5E6D4B86"/>
    <w:rsid w:val="5E6D4F05"/>
    <w:rsid w:val="5E6E09E2"/>
    <w:rsid w:val="5E6E102A"/>
    <w:rsid w:val="5E6E5F24"/>
    <w:rsid w:val="5E6E69F1"/>
    <w:rsid w:val="5E6F08FE"/>
    <w:rsid w:val="5E6F0AF5"/>
    <w:rsid w:val="5E6F1128"/>
    <w:rsid w:val="5E6F6282"/>
    <w:rsid w:val="5E6F69C2"/>
    <w:rsid w:val="5E6F6B50"/>
    <w:rsid w:val="5E6F6EE3"/>
    <w:rsid w:val="5E700844"/>
    <w:rsid w:val="5E701F85"/>
    <w:rsid w:val="5E70731E"/>
    <w:rsid w:val="5E7110A1"/>
    <w:rsid w:val="5E71214E"/>
    <w:rsid w:val="5E71323D"/>
    <w:rsid w:val="5E714676"/>
    <w:rsid w:val="5E716ED1"/>
    <w:rsid w:val="5E721DE0"/>
    <w:rsid w:val="5E723E03"/>
    <w:rsid w:val="5E7303EE"/>
    <w:rsid w:val="5E730AFC"/>
    <w:rsid w:val="5E73185A"/>
    <w:rsid w:val="5E731AF5"/>
    <w:rsid w:val="5E734892"/>
    <w:rsid w:val="5E741D96"/>
    <w:rsid w:val="5E7423B8"/>
    <w:rsid w:val="5E74361D"/>
    <w:rsid w:val="5E744166"/>
    <w:rsid w:val="5E744D97"/>
    <w:rsid w:val="5E745F14"/>
    <w:rsid w:val="5E75379E"/>
    <w:rsid w:val="5E756851"/>
    <w:rsid w:val="5E761C8C"/>
    <w:rsid w:val="5E7646B6"/>
    <w:rsid w:val="5E765FD4"/>
    <w:rsid w:val="5E766130"/>
    <w:rsid w:val="5E76708C"/>
    <w:rsid w:val="5E7728EA"/>
    <w:rsid w:val="5E773A29"/>
    <w:rsid w:val="5E773B98"/>
    <w:rsid w:val="5E781EA8"/>
    <w:rsid w:val="5E783C56"/>
    <w:rsid w:val="5E7841E4"/>
    <w:rsid w:val="5E790894"/>
    <w:rsid w:val="5E79139F"/>
    <w:rsid w:val="5E79177D"/>
    <w:rsid w:val="5E79352B"/>
    <w:rsid w:val="5E79420B"/>
    <w:rsid w:val="5E7951E3"/>
    <w:rsid w:val="5E7A0D57"/>
    <w:rsid w:val="5E7A2FDC"/>
    <w:rsid w:val="5E7A5C21"/>
    <w:rsid w:val="5E7B3747"/>
    <w:rsid w:val="5E7C30F9"/>
    <w:rsid w:val="5E7C4479"/>
    <w:rsid w:val="5E7C7C50"/>
    <w:rsid w:val="5E7D10AC"/>
    <w:rsid w:val="5E7D2C2D"/>
    <w:rsid w:val="5E7D301B"/>
    <w:rsid w:val="5E7D4589"/>
    <w:rsid w:val="5E7E2E48"/>
    <w:rsid w:val="5E7E6D93"/>
    <w:rsid w:val="5E7F07D9"/>
    <w:rsid w:val="5E7F1DFA"/>
    <w:rsid w:val="5E7F26CA"/>
    <w:rsid w:val="5E7F3237"/>
    <w:rsid w:val="5E7F4FE5"/>
    <w:rsid w:val="5E7F747C"/>
    <w:rsid w:val="5E80006A"/>
    <w:rsid w:val="5E800339"/>
    <w:rsid w:val="5E800D5D"/>
    <w:rsid w:val="5E802B0B"/>
    <w:rsid w:val="5E8051FF"/>
    <w:rsid w:val="5E82439A"/>
    <w:rsid w:val="5E824AD5"/>
    <w:rsid w:val="5E824F54"/>
    <w:rsid w:val="5E825343"/>
    <w:rsid w:val="5E8263FA"/>
    <w:rsid w:val="5E826883"/>
    <w:rsid w:val="5E826DD6"/>
    <w:rsid w:val="5E836CBA"/>
    <w:rsid w:val="5E837009"/>
    <w:rsid w:val="5E8374BB"/>
    <w:rsid w:val="5E837932"/>
    <w:rsid w:val="5E84084D"/>
    <w:rsid w:val="5E8425FB"/>
    <w:rsid w:val="5E8545C5"/>
    <w:rsid w:val="5E864246"/>
    <w:rsid w:val="5E865589"/>
    <w:rsid w:val="5E866146"/>
    <w:rsid w:val="5E866BEB"/>
    <w:rsid w:val="5E866D7C"/>
    <w:rsid w:val="5E86731E"/>
    <w:rsid w:val="5E8720EC"/>
    <w:rsid w:val="5E87381B"/>
    <w:rsid w:val="5E87563B"/>
    <w:rsid w:val="5E875C48"/>
    <w:rsid w:val="5E875D6C"/>
    <w:rsid w:val="5E88169C"/>
    <w:rsid w:val="5E881B12"/>
    <w:rsid w:val="5E886680"/>
    <w:rsid w:val="5E891C7B"/>
    <w:rsid w:val="5E89256C"/>
    <w:rsid w:val="5E892B2C"/>
    <w:rsid w:val="5E895323"/>
    <w:rsid w:val="5E8953EC"/>
    <w:rsid w:val="5E896F1E"/>
    <w:rsid w:val="5E8A3960"/>
    <w:rsid w:val="5E8A56FD"/>
    <w:rsid w:val="5E8B2644"/>
    <w:rsid w:val="5E8B3525"/>
    <w:rsid w:val="5E8C1E1D"/>
    <w:rsid w:val="5E8C31B7"/>
    <w:rsid w:val="5E8C325E"/>
    <w:rsid w:val="5E8C5954"/>
    <w:rsid w:val="5E8C7702"/>
    <w:rsid w:val="5E8D14AD"/>
    <w:rsid w:val="5E8D4D9E"/>
    <w:rsid w:val="5E8D6822"/>
    <w:rsid w:val="5E8D7D9E"/>
    <w:rsid w:val="5E8E0B78"/>
    <w:rsid w:val="5E8E20E3"/>
    <w:rsid w:val="5E8E293D"/>
    <w:rsid w:val="5E8E347A"/>
    <w:rsid w:val="5E8E550E"/>
    <w:rsid w:val="5E8F0FA0"/>
    <w:rsid w:val="5E8F2D4E"/>
    <w:rsid w:val="5E8F3DCD"/>
    <w:rsid w:val="5E8F4D7A"/>
    <w:rsid w:val="5E9051E7"/>
    <w:rsid w:val="5E916AC6"/>
    <w:rsid w:val="5E92405B"/>
    <w:rsid w:val="5E930A90"/>
    <w:rsid w:val="5E933EB4"/>
    <w:rsid w:val="5E9345EC"/>
    <w:rsid w:val="5E940365"/>
    <w:rsid w:val="5E9465B6"/>
    <w:rsid w:val="5E9468D1"/>
    <w:rsid w:val="5E952810"/>
    <w:rsid w:val="5E954808"/>
    <w:rsid w:val="5E9640DD"/>
    <w:rsid w:val="5E9640F1"/>
    <w:rsid w:val="5E96511B"/>
    <w:rsid w:val="5E967583"/>
    <w:rsid w:val="5E97541D"/>
    <w:rsid w:val="5E977D01"/>
    <w:rsid w:val="5E9860A7"/>
    <w:rsid w:val="5E9862CC"/>
    <w:rsid w:val="5E9865C0"/>
    <w:rsid w:val="5E986B75"/>
    <w:rsid w:val="5E987E55"/>
    <w:rsid w:val="5E990A29"/>
    <w:rsid w:val="5E992621"/>
    <w:rsid w:val="5E993BCD"/>
    <w:rsid w:val="5E99597B"/>
    <w:rsid w:val="5E997CEB"/>
    <w:rsid w:val="5E9A1E1F"/>
    <w:rsid w:val="5E9A432D"/>
    <w:rsid w:val="5E9A5B81"/>
    <w:rsid w:val="5E9A7145"/>
    <w:rsid w:val="5E9B16F3"/>
    <w:rsid w:val="5E9B32AB"/>
    <w:rsid w:val="5E9B5B97"/>
    <w:rsid w:val="5E9C7B12"/>
    <w:rsid w:val="5E9D0FA2"/>
    <w:rsid w:val="5E9D190F"/>
    <w:rsid w:val="5E9D4E86"/>
    <w:rsid w:val="5E9D546B"/>
    <w:rsid w:val="5E9E4478"/>
    <w:rsid w:val="5E9F11E3"/>
    <w:rsid w:val="5E9F46C5"/>
    <w:rsid w:val="5E9F4D52"/>
    <w:rsid w:val="5E9F5687"/>
    <w:rsid w:val="5E9F695F"/>
    <w:rsid w:val="5E9F7435"/>
    <w:rsid w:val="5EA02E4B"/>
    <w:rsid w:val="5EA031AD"/>
    <w:rsid w:val="5EA03A71"/>
    <w:rsid w:val="5EA1158C"/>
    <w:rsid w:val="5EA13984"/>
    <w:rsid w:val="5EA20542"/>
    <w:rsid w:val="5EA20CD3"/>
    <w:rsid w:val="5EA24E14"/>
    <w:rsid w:val="5EA26F25"/>
    <w:rsid w:val="5EA273CE"/>
    <w:rsid w:val="5EA27DAC"/>
    <w:rsid w:val="5EA31BDB"/>
    <w:rsid w:val="5EA339D0"/>
    <w:rsid w:val="5EA362A4"/>
    <w:rsid w:val="5EA42C9D"/>
    <w:rsid w:val="5EA43F9A"/>
    <w:rsid w:val="5EA44A4C"/>
    <w:rsid w:val="5EA45C5F"/>
    <w:rsid w:val="5EA467FA"/>
    <w:rsid w:val="5EA50BC4"/>
    <w:rsid w:val="5EA52572"/>
    <w:rsid w:val="5EA62054"/>
    <w:rsid w:val="5EA65556"/>
    <w:rsid w:val="5EA66A16"/>
    <w:rsid w:val="5EA70098"/>
    <w:rsid w:val="5EA7148B"/>
    <w:rsid w:val="5EA7453C"/>
    <w:rsid w:val="5EA747FB"/>
    <w:rsid w:val="5EA762EA"/>
    <w:rsid w:val="5EA7731F"/>
    <w:rsid w:val="5EA902B4"/>
    <w:rsid w:val="5EA92062"/>
    <w:rsid w:val="5EA92116"/>
    <w:rsid w:val="5EA93E10"/>
    <w:rsid w:val="5EA93E48"/>
    <w:rsid w:val="5EA944E1"/>
    <w:rsid w:val="5EAA07DC"/>
    <w:rsid w:val="5EAA0DD9"/>
    <w:rsid w:val="5EAA1FE8"/>
    <w:rsid w:val="5EAA2C55"/>
    <w:rsid w:val="5EAA32A0"/>
    <w:rsid w:val="5EAA4A4C"/>
    <w:rsid w:val="5EAA6F51"/>
    <w:rsid w:val="5EAA78E8"/>
    <w:rsid w:val="5EAB402C"/>
    <w:rsid w:val="5EAB497D"/>
    <w:rsid w:val="5EAB4A36"/>
    <w:rsid w:val="5EAC1B52"/>
    <w:rsid w:val="5EAC3900"/>
    <w:rsid w:val="5EAC3985"/>
    <w:rsid w:val="5EAC56AE"/>
    <w:rsid w:val="5EAD4099"/>
    <w:rsid w:val="5EAD68AB"/>
    <w:rsid w:val="5EAD7E18"/>
    <w:rsid w:val="5EAE2BA6"/>
    <w:rsid w:val="5EAE7678"/>
    <w:rsid w:val="5EAF03E4"/>
    <w:rsid w:val="5EAF5616"/>
    <w:rsid w:val="5EAF64C4"/>
    <w:rsid w:val="5EB01642"/>
    <w:rsid w:val="5EB033F0"/>
    <w:rsid w:val="5EB04382"/>
    <w:rsid w:val="5EB0712E"/>
    <w:rsid w:val="5EB14C3F"/>
    <w:rsid w:val="5EB153BA"/>
    <w:rsid w:val="5EB17167"/>
    <w:rsid w:val="5EB236E5"/>
    <w:rsid w:val="5EB24909"/>
    <w:rsid w:val="5EB24F70"/>
    <w:rsid w:val="5EB25567"/>
    <w:rsid w:val="5EB32EE1"/>
    <w:rsid w:val="5EB33332"/>
    <w:rsid w:val="5EB34C8F"/>
    <w:rsid w:val="5EB36A3D"/>
    <w:rsid w:val="5EB423E0"/>
    <w:rsid w:val="5EB448CA"/>
    <w:rsid w:val="5EB54005"/>
    <w:rsid w:val="5EB55AE8"/>
    <w:rsid w:val="5EB629D1"/>
    <w:rsid w:val="5EB63CF1"/>
    <w:rsid w:val="5EB6652D"/>
    <w:rsid w:val="5EB6733A"/>
    <w:rsid w:val="5EB6783E"/>
    <w:rsid w:val="5EB7471A"/>
    <w:rsid w:val="5EB822A5"/>
    <w:rsid w:val="5EB84469"/>
    <w:rsid w:val="5EB86749"/>
    <w:rsid w:val="5EB915F4"/>
    <w:rsid w:val="5EB91C0B"/>
    <w:rsid w:val="5EB9425C"/>
    <w:rsid w:val="5EB94262"/>
    <w:rsid w:val="5EB94E0A"/>
    <w:rsid w:val="5EB97DCB"/>
    <w:rsid w:val="5EBA021D"/>
    <w:rsid w:val="5EBA10B2"/>
    <w:rsid w:val="5EBA426F"/>
    <w:rsid w:val="5EBA5EA2"/>
    <w:rsid w:val="5EBA601D"/>
    <w:rsid w:val="5EBB2DEA"/>
    <w:rsid w:val="5EBB6782"/>
    <w:rsid w:val="5EBB7FE7"/>
    <w:rsid w:val="5EBC058C"/>
    <w:rsid w:val="5EBD2F7D"/>
    <w:rsid w:val="5EBD3D5F"/>
    <w:rsid w:val="5EBD4D49"/>
    <w:rsid w:val="5EBD78BB"/>
    <w:rsid w:val="5EBE09B7"/>
    <w:rsid w:val="5EBE53E1"/>
    <w:rsid w:val="5EBF0824"/>
    <w:rsid w:val="5EBF1885"/>
    <w:rsid w:val="5EBF3633"/>
    <w:rsid w:val="5EC0115A"/>
    <w:rsid w:val="5EC032AD"/>
    <w:rsid w:val="5EC073AC"/>
    <w:rsid w:val="5EC23124"/>
    <w:rsid w:val="5EC2722F"/>
    <w:rsid w:val="5EC27532"/>
    <w:rsid w:val="5EC27625"/>
    <w:rsid w:val="5EC411D7"/>
    <w:rsid w:val="5EC450EE"/>
    <w:rsid w:val="5EC46E9C"/>
    <w:rsid w:val="5EC501AE"/>
    <w:rsid w:val="5EC56A6D"/>
    <w:rsid w:val="5EC62291"/>
    <w:rsid w:val="5EC724E8"/>
    <w:rsid w:val="5EC72ACE"/>
    <w:rsid w:val="5EC7698C"/>
    <w:rsid w:val="5EC92704"/>
    <w:rsid w:val="5EC92B76"/>
    <w:rsid w:val="5EC944B2"/>
    <w:rsid w:val="5EC94517"/>
    <w:rsid w:val="5EC96260"/>
    <w:rsid w:val="5EC9640F"/>
    <w:rsid w:val="5EC9783D"/>
    <w:rsid w:val="5EC97FBF"/>
    <w:rsid w:val="5ECA3D86"/>
    <w:rsid w:val="5ECA45A2"/>
    <w:rsid w:val="5ECA7203"/>
    <w:rsid w:val="5ECB647C"/>
    <w:rsid w:val="5ECB695E"/>
    <w:rsid w:val="5ECC3FA2"/>
    <w:rsid w:val="5ECC54B0"/>
    <w:rsid w:val="5ECC5796"/>
    <w:rsid w:val="5ECC5D50"/>
    <w:rsid w:val="5ECC7AFE"/>
    <w:rsid w:val="5ECD3B61"/>
    <w:rsid w:val="5ECD6940"/>
    <w:rsid w:val="5ECD7C46"/>
    <w:rsid w:val="5ECE1AC8"/>
    <w:rsid w:val="5ECE2E8E"/>
    <w:rsid w:val="5ECE2EF6"/>
    <w:rsid w:val="5ECF1260"/>
    <w:rsid w:val="5ED03A93"/>
    <w:rsid w:val="5ED052C1"/>
    <w:rsid w:val="5ED05841"/>
    <w:rsid w:val="5ED115B9"/>
    <w:rsid w:val="5ED13367"/>
    <w:rsid w:val="5ED136E3"/>
    <w:rsid w:val="5ED16751"/>
    <w:rsid w:val="5ED21322"/>
    <w:rsid w:val="5ED24F38"/>
    <w:rsid w:val="5ED2780B"/>
    <w:rsid w:val="5ED27F21"/>
    <w:rsid w:val="5ED422DB"/>
    <w:rsid w:val="5ED52E57"/>
    <w:rsid w:val="5ED56562"/>
    <w:rsid w:val="5ED56FB5"/>
    <w:rsid w:val="5ED60A36"/>
    <w:rsid w:val="5ED65E52"/>
    <w:rsid w:val="5ED715A9"/>
    <w:rsid w:val="5ED74E21"/>
    <w:rsid w:val="5ED75BF1"/>
    <w:rsid w:val="5ED83F06"/>
    <w:rsid w:val="5ED846F5"/>
    <w:rsid w:val="5ED864A3"/>
    <w:rsid w:val="5ED92B56"/>
    <w:rsid w:val="5ED944FD"/>
    <w:rsid w:val="5ED94AAC"/>
    <w:rsid w:val="5ED958FA"/>
    <w:rsid w:val="5ED97AB4"/>
    <w:rsid w:val="5EDA046D"/>
    <w:rsid w:val="5EDA1B2A"/>
    <w:rsid w:val="5EDA2095"/>
    <w:rsid w:val="5EDA50EB"/>
    <w:rsid w:val="5EDA66BF"/>
    <w:rsid w:val="5EDA7568"/>
    <w:rsid w:val="5EDB0C66"/>
    <w:rsid w:val="5EDB1138"/>
    <w:rsid w:val="5EDB1AE4"/>
    <w:rsid w:val="5EDB204B"/>
    <w:rsid w:val="5EDB41E5"/>
    <w:rsid w:val="5EDB5F93"/>
    <w:rsid w:val="5EDB7564"/>
    <w:rsid w:val="5EDD7F5D"/>
    <w:rsid w:val="5EDE0D55"/>
    <w:rsid w:val="5EDF5A84"/>
    <w:rsid w:val="5EDF7832"/>
    <w:rsid w:val="5EE017FC"/>
    <w:rsid w:val="5EE035AA"/>
    <w:rsid w:val="5EE04DB6"/>
    <w:rsid w:val="5EE059A9"/>
    <w:rsid w:val="5EE063A4"/>
    <w:rsid w:val="5EE06817"/>
    <w:rsid w:val="5EE16246"/>
    <w:rsid w:val="5EE17256"/>
    <w:rsid w:val="5EE172D7"/>
    <w:rsid w:val="5EE237C6"/>
    <w:rsid w:val="5EE24974"/>
    <w:rsid w:val="5EE25490"/>
    <w:rsid w:val="5EE25574"/>
    <w:rsid w:val="5EE27322"/>
    <w:rsid w:val="5EE27405"/>
    <w:rsid w:val="5EE27FBB"/>
    <w:rsid w:val="5EE32794"/>
    <w:rsid w:val="5EE33A4C"/>
    <w:rsid w:val="5EE344A4"/>
    <w:rsid w:val="5EE421F7"/>
    <w:rsid w:val="5EE4309A"/>
    <w:rsid w:val="5EE44E48"/>
    <w:rsid w:val="5EE4753E"/>
    <w:rsid w:val="5EE57FA4"/>
    <w:rsid w:val="5EE616CA"/>
    <w:rsid w:val="5EE664D7"/>
    <w:rsid w:val="5EE66E12"/>
    <w:rsid w:val="5EE67FFE"/>
    <w:rsid w:val="5EE70DDC"/>
    <w:rsid w:val="5EE726D2"/>
    <w:rsid w:val="5EE72B8A"/>
    <w:rsid w:val="5EE74938"/>
    <w:rsid w:val="5EE7529D"/>
    <w:rsid w:val="5EE807FA"/>
    <w:rsid w:val="5EE85858"/>
    <w:rsid w:val="5EE906B0"/>
    <w:rsid w:val="5EE910D6"/>
    <w:rsid w:val="5EE94B54"/>
    <w:rsid w:val="5EE9551E"/>
    <w:rsid w:val="5EE96902"/>
    <w:rsid w:val="5EEA30DB"/>
    <w:rsid w:val="5EEA61D6"/>
    <w:rsid w:val="5EEB1FF6"/>
    <w:rsid w:val="5EEB4428"/>
    <w:rsid w:val="5EEB6327"/>
    <w:rsid w:val="5EEC01A1"/>
    <w:rsid w:val="5EEC1F4F"/>
    <w:rsid w:val="5EEC23C7"/>
    <w:rsid w:val="5EEC5095"/>
    <w:rsid w:val="5EED0143"/>
    <w:rsid w:val="5EED557D"/>
    <w:rsid w:val="5EED73BA"/>
    <w:rsid w:val="5EEE2886"/>
    <w:rsid w:val="5EEF2417"/>
    <w:rsid w:val="5EEF4D7A"/>
    <w:rsid w:val="5EF00C63"/>
    <w:rsid w:val="5EF01A3F"/>
    <w:rsid w:val="5EF07C91"/>
    <w:rsid w:val="5EF07EF4"/>
    <w:rsid w:val="5EF13A09"/>
    <w:rsid w:val="5EF145FA"/>
    <w:rsid w:val="5EF15F30"/>
    <w:rsid w:val="5EF17565"/>
    <w:rsid w:val="5EF1765D"/>
    <w:rsid w:val="5EF25664"/>
    <w:rsid w:val="5EF30CFF"/>
    <w:rsid w:val="5EF3152F"/>
    <w:rsid w:val="5EF32D59"/>
    <w:rsid w:val="5EF332DD"/>
    <w:rsid w:val="5EF33755"/>
    <w:rsid w:val="5EF33B9E"/>
    <w:rsid w:val="5EF37781"/>
    <w:rsid w:val="5EF534F9"/>
    <w:rsid w:val="5EF53AE7"/>
    <w:rsid w:val="5EF55B4C"/>
    <w:rsid w:val="5EF57055"/>
    <w:rsid w:val="5EF64B7B"/>
    <w:rsid w:val="5EF7101F"/>
    <w:rsid w:val="5EF71BAD"/>
    <w:rsid w:val="5EF72E6A"/>
    <w:rsid w:val="5EF756B2"/>
    <w:rsid w:val="5EF77387"/>
    <w:rsid w:val="5EF77CBC"/>
    <w:rsid w:val="5EF808F3"/>
    <w:rsid w:val="5EF80929"/>
    <w:rsid w:val="5EF8303D"/>
    <w:rsid w:val="5EF87DF8"/>
    <w:rsid w:val="5EF932DE"/>
    <w:rsid w:val="5EF944CD"/>
    <w:rsid w:val="5EF94B68"/>
    <w:rsid w:val="5EF94CA0"/>
    <w:rsid w:val="5EF97364"/>
    <w:rsid w:val="5EF973EA"/>
    <w:rsid w:val="5EFA052E"/>
    <w:rsid w:val="5EFA0B0F"/>
    <w:rsid w:val="5EFA2236"/>
    <w:rsid w:val="5EFA28BD"/>
    <w:rsid w:val="5EFA466C"/>
    <w:rsid w:val="5EFA7A48"/>
    <w:rsid w:val="5EFB03E4"/>
    <w:rsid w:val="5EFB4076"/>
    <w:rsid w:val="5EFB56D7"/>
    <w:rsid w:val="5EFC5B24"/>
    <w:rsid w:val="5EFD1D5F"/>
    <w:rsid w:val="5EFD23AE"/>
    <w:rsid w:val="5EFD415C"/>
    <w:rsid w:val="5EFD42DE"/>
    <w:rsid w:val="5EFD5F0A"/>
    <w:rsid w:val="5EFE2307"/>
    <w:rsid w:val="5EFF55BF"/>
    <w:rsid w:val="5EFF5A32"/>
    <w:rsid w:val="5EFF6BFE"/>
    <w:rsid w:val="5F0017F8"/>
    <w:rsid w:val="5F0059FA"/>
    <w:rsid w:val="5F007AFC"/>
    <w:rsid w:val="5F011C07"/>
    <w:rsid w:val="5F011F4D"/>
    <w:rsid w:val="5F013A8A"/>
    <w:rsid w:val="5F013C4C"/>
    <w:rsid w:val="5F015E14"/>
    <w:rsid w:val="5F021772"/>
    <w:rsid w:val="5F02470D"/>
    <w:rsid w:val="5F024863"/>
    <w:rsid w:val="5F025706"/>
    <w:rsid w:val="5F025C16"/>
    <w:rsid w:val="5F026CC0"/>
    <w:rsid w:val="5F0279C4"/>
    <w:rsid w:val="5F030150"/>
    <w:rsid w:val="5F0313B7"/>
    <w:rsid w:val="5F031A2F"/>
    <w:rsid w:val="5F034C6F"/>
    <w:rsid w:val="5F04373C"/>
    <w:rsid w:val="5F043DC9"/>
    <w:rsid w:val="5F0441B1"/>
    <w:rsid w:val="5F04585D"/>
    <w:rsid w:val="5F045EB0"/>
    <w:rsid w:val="5F047298"/>
    <w:rsid w:val="5F0502CD"/>
    <w:rsid w:val="5F053F00"/>
    <w:rsid w:val="5F055641"/>
    <w:rsid w:val="5F055D5D"/>
    <w:rsid w:val="5F061262"/>
    <w:rsid w:val="5F064C0A"/>
    <w:rsid w:val="5F066694"/>
    <w:rsid w:val="5F066FD0"/>
    <w:rsid w:val="5F0720C7"/>
    <w:rsid w:val="5F0722EB"/>
    <w:rsid w:val="5F073334"/>
    <w:rsid w:val="5F073DA7"/>
    <w:rsid w:val="5F074FDA"/>
    <w:rsid w:val="5F075251"/>
    <w:rsid w:val="5F0766D4"/>
    <w:rsid w:val="5F076875"/>
    <w:rsid w:val="5F076D88"/>
    <w:rsid w:val="5F082B32"/>
    <w:rsid w:val="5F085021"/>
    <w:rsid w:val="5F090814"/>
    <w:rsid w:val="5F09188C"/>
    <w:rsid w:val="5F092B01"/>
    <w:rsid w:val="5F096184"/>
    <w:rsid w:val="5F096FA4"/>
    <w:rsid w:val="5F0A095D"/>
    <w:rsid w:val="5F0A1402"/>
    <w:rsid w:val="5F0A2DCC"/>
    <w:rsid w:val="5F0A4587"/>
    <w:rsid w:val="5F0A4B93"/>
    <w:rsid w:val="5F0B05B1"/>
    <w:rsid w:val="5F0B0627"/>
    <w:rsid w:val="5F0B1038"/>
    <w:rsid w:val="5F0B14B3"/>
    <w:rsid w:val="5F0B326B"/>
    <w:rsid w:val="5F0B4960"/>
    <w:rsid w:val="5F0B4ACB"/>
    <w:rsid w:val="5F0B56FE"/>
    <w:rsid w:val="5F0B5CF5"/>
    <w:rsid w:val="5F0B6879"/>
    <w:rsid w:val="5F0C1F19"/>
    <w:rsid w:val="5F0C439F"/>
    <w:rsid w:val="5F0C446A"/>
    <w:rsid w:val="5F0D0843"/>
    <w:rsid w:val="5F0D3768"/>
    <w:rsid w:val="5F0D4F95"/>
    <w:rsid w:val="5F0D542C"/>
    <w:rsid w:val="5F0D6EDA"/>
    <w:rsid w:val="5F0E43F3"/>
    <w:rsid w:val="5F0E6369"/>
    <w:rsid w:val="5F0E7E34"/>
    <w:rsid w:val="5F0F08E7"/>
    <w:rsid w:val="5F0F12C4"/>
    <w:rsid w:val="5F0F2F6B"/>
    <w:rsid w:val="5F0F3BB0"/>
    <w:rsid w:val="5F100333"/>
    <w:rsid w:val="5F1020E1"/>
    <w:rsid w:val="5F102754"/>
    <w:rsid w:val="5F103E8F"/>
    <w:rsid w:val="5F104507"/>
    <w:rsid w:val="5F105C3D"/>
    <w:rsid w:val="5F106888"/>
    <w:rsid w:val="5F110709"/>
    <w:rsid w:val="5F1121E0"/>
    <w:rsid w:val="5F113BE4"/>
    <w:rsid w:val="5F117C07"/>
    <w:rsid w:val="5F12119D"/>
    <w:rsid w:val="5F1229CA"/>
    <w:rsid w:val="5F12497B"/>
    <w:rsid w:val="5F125E59"/>
    <w:rsid w:val="5F1267B5"/>
    <w:rsid w:val="5F1278EA"/>
    <w:rsid w:val="5F131BD1"/>
    <w:rsid w:val="5F13397F"/>
    <w:rsid w:val="5F13572D"/>
    <w:rsid w:val="5F14045A"/>
    <w:rsid w:val="5F15379A"/>
    <w:rsid w:val="5F155949"/>
    <w:rsid w:val="5F1576F7"/>
    <w:rsid w:val="5F16521D"/>
    <w:rsid w:val="5F165D03"/>
    <w:rsid w:val="5F170E14"/>
    <w:rsid w:val="5F170F81"/>
    <w:rsid w:val="5F172392"/>
    <w:rsid w:val="5F17346F"/>
    <w:rsid w:val="5F17422E"/>
    <w:rsid w:val="5F182F4E"/>
    <w:rsid w:val="5F183AB6"/>
    <w:rsid w:val="5F184590"/>
    <w:rsid w:val="5F1867C1"/>
    <w:rsid w:val="5F192253"/>
    <w:rsid w:val="5F1930FE"/>
    <w:rsid w:val="5F1A0D4A"/>
    <w:rsid w:val="5F1A21F3"/>
    <w:rsid w:val="5F1A2B43"/>
    <w:rsid w:val="5F1A2C05"/>
    <w:rsid w:val="5F1A4D0E"/>
    <w:rsid w:val="5F1B7866"/>
    <w:rsid w:val="5F1C0816"/>
    <w:rsid w:val="5F1C0A86"/>
    <w:rsid w:val="5F1C3D9D"/>
    <w:rsid w:val="5F1C5883"/>
    <w:rsid w:val="5F1C6CD8"/>
    <w:rsid w:val="5F1C7479"/>
    <w:rsid w:val="5F1D47FE"/>
    <w:rsid w:val="5F1D5866"/>
    <w:rsid w:val="5F1D5E35"/>
    <w:rsid w:val="5F1D65AC"/>
    <w:rsid w:val="5F1D730C"/>
    <w:rsid w:val="5F1F0576"/>
    <w:rsid w:val="5F1F2324"/>
    <w:rsid w:val="5F1F40D2"/>
    <w:rsid w:val="5F202248"/>
    <w:rsid w:val="5F2142EE"/>
    <w:rsid w:val="5F2166C6"/>
    <w:rsid w:val="5F217E4A"/>
    <w:rsid w:val="5F222DF0"/>
    <w:rsid w:val="5F225970"/>
    <w:rsid w:val="5F227739"/>
    <w:rsid w:val="5F235FF8"/>
    <w:rsid w:val="5F2416E8"/>
    <w:rsid w:val="5F2416FD"/>
    <w:rsid w:val="5F241760"/>
    <w:rsid w:val="5F242A12"/>
    <w:rsid w:val="5F2458C9"/>
    <w:rsid w:val="5F245B8C"/>
    <w:rsid w:val="5F247488"/>
    <w:rsid w:val="5F2573DC"/>
    <w:rsid w:val="5F2636B2"/>
    <w:rsid w:val="5F264AF7"/>
    <w:rsid w:val="5F265461"/>
    <w:rsid w:val="5F2711D9"/>
    <w:rsid w:val="5F27742B"/>
    <w:rsid w:val="5F2809DA"/>
    <w:rsid w:val="5F2843F3"/>
    <w:rsid w:val="5F286923"/>
    <w:rsid w:val="5F2913F5"/>
    <w:rsid w:val="5F292BD8"/>
    <w:rsid w:val="5F2931A3"/>
    <w:rsid w:val="5F293B33"/>
    <w:rsid w:val="5F294F51"/>
    <w:rsid w:val="5F296CFF"/>
    <w:rsid w:val="5F2A32FA"/>
    <w:rsid w:val="5F2A3D98"/>
    <w:rsid w:val="5F2A3F1D"/>
    <w:rsid w:val="5F2A70CC"/>
    <w:rsid w:val="5F2B1225"/>
    <w:rsid w:val="5F2B257B"/>
    <w:rsid w:val="5F2B2A77"/>
    <w:rsid w:val="5F2B6F1B"/>
    <w:rsid w:val="5F2C2AA5"/>
    <w:rsid w:val="5F2C67EF"/>
    <w:rsid w:val="5F2D00D5"/>
    <w:rsid w:val="5F2D2C93"/>
    <w:rsid w:val="5F2D2F6C"/>
    <w:rsid w:val="5F2D33BC"/>
    <w:rsid w:val="5F2E07B9"/>
    <w:rsid w:val="5F2E2567"/>
    <w:rsid w:val="5F2E310B"/>
    <w:rsid w:val="5F2E4743"/>
    <w:rsid w:val="5F2E6A0B"/>
    <w:rsid w:val="5F2E7113"/>
    <w:rsid w:val="5F2E774E"/>
    <w:rsid w:val="5F2E7DA2"/>
    <w:rsid w:val="5F2F1646"/>
    <w:rsid w:val="5F2F1DB5"/>
    <w:rsid w:val="5F2F716C"/>
    <w:rsid w:val="5F301A85"/>
    <w:rsid w:val="5F3062DF"/>
    <w:rsid w:val="5F311A8C"/>
    <w:rsid w:val="5F312F3C"/>
    <w:rsid w:val="5F313E05"/>
    <w:rsid w:val="5F321771"/>
    <w:rsid w:val="5F3240EA"/>
    <w:rsid w:val="5F324694"/>
    <w:rsid w:val="5F326B0D"/>
    <w:rsid w:val="5F327234"/>
    <w:rsid w:val="5F3306BE"/>
    <w:rsid w:val="5F330F86"/>
    <w:rsid w:val="5F334021"/>
    <w:rsid w:val="5F335AED"/>
    <w:rsid w:val="5F335B62"/>
    <w:rsid w:val="5F337B7D"/>
    <w:rsid w:val="5F3411D1"/>
    <w:rsid w:val="5F343FED"/>
    <w:rsid w:val="5F3502E9"/>
    <w:rsid w:val="5F35040D"/>
    <w:rsid w:val="5F351B48"/>
    <w:rsid w:val="5F353BE9"/>
    <w:rsid w:val="5F354DD5"/>
    <w:rsid w:val="5F357D99"/>
    <w:rsid w:val="5F36141C"/>
    <w:rsid w:val="5F3636B8"/>
    <w:rsid w:val="5F3758FE"/>
    <w:rsid w:val="5F376278"/>
    <w:rsid w:val="5F38023A"/>
    <w:rsid w:val="5F3804CF"/>
    <w:rsid w:val="5F380709"/>
    <w:rsid w:val="5F381638"/>
    <w:rsid w:val="5F385194"/>
    <w:rsid w:val="5F386D8E"/>
    <w:rsid w:val="5F39021E"/>
    <w:rsid w:val="5F390831"/>
    <w:rsid w:val="5F392547"/>
    <w:rsid w:val="5F3929E2"/>
    <w:rsid w:val="5F392B86"/>
    <w:rsid w:val="5F3A0820"/>
    <w:rsid w:val="5F3A0F0C"/>
    <w:rsid w:val="5F3A427F"/>
    <w:rsid w:val="5F3A53B0"/>
    <w:rsid w:val="5F3B570F"/>
    <w:rsid w:val="5F3B6A32"/>
    <w:rsid w:val="5F3C02E0"/>
    <w:rsid w:val="5F3C1C69"/>
    <w:rsid w:val="5F3C2ED6"/>
    <w:rsid w:val="5F3C4C84"/>
    <w:rsid w:val="5F3C640C"/>
    <w:rsid w:val="5F3C6B9F"/>
    <w:rsid w:val="5F3D09FC"/>
    <w:rsid w:val="5F3D1770"/>
    <w:rsid w:val="5F3D246E"/>
    <w:rsid w:val="5F3D27AA"/>
    <w:rsid w:val="5F3D5208"/>
    <w:rsid w:val="5F3E567C"/>
    <w:rsid w:val="5F3E569B"/>
    <w:rsid w:val="5F3E584B"/>
    <w:rsid w:val="5F3E6C4E"/>
    <w:rsid w:val="5F3F4774"/>
    <w:rsid w:val="5F3F5BFF"/>
    <w:rsid w:val="5F3F5E4E"/>
    <w:rsid w:val="5F402C26"/>
    <w:rsid w:val="5F405520"/>
    <w:rsid w:val="5F4104EC"/>
    <w:rsid w:val="5F41229A"/>
    <w:rsid w:val="5F41673E"/>
    <w:rsid w:val="5F4169D5"/>
    <w:rsid w:val="5F42010A"/>
    <w:rsid w:val="5F424B33"/>
    <w:rsid w:val="5F425D2A"/>
    <w:rsid w:val="5F434264"/>
    <w:rsid w:val="5F440DAF"/>
    <w:rsid w:val="5F442840"/>
    <w:rsid w:val="5F443A2A"/>
    <w:rsid w:val="5F447F56"/>
    <w:rsid w:val="5F447FDD"/>
    <w:rsid w:val="5F4563B3"/>
    <w:rsid w:val="5F4611D3"/>
    <w:rsid w:val="5F462AB0"/>
    <w:rsid w:val="5F463D55"/>
    <w:rsid w:val="5F463F63"/>
    <w:rsid w:val="5F465B03"/>
    <w:rsid w:val="5F4678B1"/>
    <w:rsid w:val="5F473629"/>
    <w:rsid w:val="5F476D70"/>
    <w:rsid w:val="5F48187B"/>
    <w:rsid w:val="5F483B48"/>
    <w:rsid w:val="5F49114F"/>
    <w:rsid w:val="5F4912B5"/>
    <w:rsid w:val="5F4955F3"/>
    <w:rsid w:val="5F4973A1"/>
    <w:rsid w:val="5F497D13"/>
    <w:rsid w:val="5F4A0903"/>
    <w:rsid w:val="5F4A1345"/>
    <w:rsid w:val="5F4A141D"/>
    <w:rsid w:val="5F4A3402"/>
    <w:rsid w:val="5F4A75BD"/>
    <w:rsid w:val="5F4B136B"/>
    <w:rsid w:val="5F4B3119"/>
    <w:rsid w:val="5F4B4EC7"/>
    <w:rsid w:val="5F4B5204"/>
    <w:rsid w:val="5F4B70D9"/>
    <w:rsid w:val="5F4C0C3F"/>
    <w:rsid w:val="5F4C248B"/>
    <w:rsid w:val="5F4C40B1"/>
    <w:rsid w:val="5F4C421E"/>
    <w:rsid w:val="5F4C56AF"/>
    <w:rsid w:val="5F4C7DD5"/>
    <w:rsid w:val="5F4D50E3"/>
    <w:rsid w:val="5F4D6610"/>
    <w:rsid w:val="5F4D6E91"/>
    <w:rsid w:val="5F4D7619"/>
    <w:rsid w:val="5F4E336D"/>
    <w:rsid w:val="5F4E491B"/>
    <w:rsid w:val="5F4E5419"/>
    <w:rsid w:val="5F4E6765"/>
    <w:rsid w:val="5F4F0E5B"/>
    <w:rsid w:val="5F50072F"/>
    <w:rsid w:val="5F501111"/>
    <w:rsid w:val="5F5024DD"/>
    <w:rsid w:val="5F506981"/>
    <w:rsid w:val="5F506F51"/>
    <w:rsid w:val="5F507610"/>
    <w:rsid w:val="5F51229A"/>
    <w:rsid w:val="5F513431"/>
    <w:rsid w:val="5F5160BD"/>
    <w:rsid w:val="5F520C2D"/>
    <w:rsid w:val="5F52238D"/>
    <w:rsid w:val="5F5226F9"/>
    <w:rsid w:val="5F5244A8"/>
    <w:rsid w:val="5F52518D"/>
    <w:rsid w:val="5F5267FD"/>
    <w:rsid w:val="5F526AA7"/>
    <w:rsid w:val="5F535BFA"/>
    <w:rsid w:val="5F536152"/>
    <w:rsid w:val="5F544E26"/>
    <w:rsid w:val="5F5471CD"/>
    <w:rsid w:val="5F547467"/>
    <w:rsid w:val="5F5479F7"/>
    <w:rsid w:val="5F550B2E"/>
    <w:rsid w:val="5F551D74"/>
    <w:rsid w:val="5F5528E0"/>
    <w:rsid w:val="5F553F98"/>
    <w:rsid w:val="5F557AF4"/>
    <w:rsid w:val="5F565AB3"/>
    <w:rsid w:val="5F57386C"/>
    <w:rsid w:val="5F574E91"/>
    <w:rsid w:val="5F577D10"/>
    <w:rsid w:val="5F581C5C"/>
    <w:rsid w:val="5F583033"/>
    <w:rsid w:val="5F583F37"/>
    <w:rsid w:val="5F585836"/>
    <w:rsid w:val="5F586378"/>
    <w:rsid w:val="5F58732E"/>
    <w:rsid w:val="5F5875E4"/>
    <w:rsid w:val="5F5917A7"/>
    <w:rsid w:val="5F591B7C"/>
    <w:rsid w:val="5F593A88"/>
    <w:rsid w:val="5F5A08A9"/>
    <w:rsid w:val="5F5A15AE"/>
    <w:rsid w:val="5F5A270B"/>
    <w:rsid w:val="5F5A335C"/>
    <w:rsid w:val="5F5B5967"/>
    <w:rsid w:val="5F5B6C88"/>
    <w:rsid w:val="5F5C01D6"/>
    <w:rsid w:val="5F5D147D"/>
    <w:rsid w:val="5F5D1E22"/>
    <w:rsid w:val="5F5D22E6"/>
    <w:rsid w:val="5F5D2E4C"/>
    <w:rsid w:val="5F5D4BFA"/>
    <w:rsid w:val="5F5D62EB"/>
    <w:rsid w:val="5F5E0AA9"/>
    <w:rsid w:val="5F5E215F"/>
    <w:rsid w:val="5F5E5780"/>
    <w:rsid w:val="5F5E65E2"/>
    <w:rsid w:val="5F5E71D5"/>
    <w:rsid w:val="5F5F0972"/>
    <w:rsid w:val="5F5F1052"/>
    <w:rsid w:val="5F5F3310"/>
    <w:rsid w:val="5F5F41F2"/>
    <w:rsid w:val="5F5F4B0A"/>
    <w:rsid w:val="5F5F4D68"/>
    <w:rsid w:val="5F5F4E16"/>
    <w:rsid w:val="5F5F6BC4"/>
    <w:rsid w:val="5F600E84"/>
    <w:rsid w:val="5F604A67"/>
    <w:rsid w:val="5F6056AA"/>
    <w:rsid w:val="5F6060D2"/>
    <w:rsid w:val="5F606F74"/>
    <w:rsid w:val="5F611700"/>
    <w:rsid w:val="5F61293D"/>
    <w:rsid w:val="5F613448"/>
    <w:rsid w:val="5F6134BC"/>
    <w:rsid w:val="5F613AD9"/>
    <w:rsid w:val="5F6142AC"/>
    <w:rsid w:val="5F622211"/>
    <w:rsid w:val="5F630D70"/>
    <w:rsid w:val="5F63605C"/>
    <w:rsid w:val="5F636DB1"/>
    <w:rsid w:val="5F641F4D"/>
    <w:rsid w:val="5F64242D"/>
    <w:rsid w:val="5F643E1A"/>
    <w:rsid w:val="5F6441DB"/>
    <w:rsid w:val="5F644418"/>
    <w:rsid w:val="5F6474EC"/>
    <w:rsid w:val="5F652B85"/>
    <w:rsid w:val="5F65471B"/>
    <w:rsid w:val="5F654A3B"/>
    <w:rsid w:val="5F655DAB"/>
    <w:rsid w:val="5F661D01"/>
    <w:rsid w:val="5F6649D0"/>
    <w:rsid w:val="5F6678AD"/>
    <w:rsid w:val="5F67508F"/>
    <w:rsid w:val="5F6758BD"/>
    <w:rsid w:val="5F675EC1"/>
    <w:rsid w:val="5F6771E5"/>
    <w:rsid w:val="5F677827"/>
    <w:rsid w:val="5F681F1D"/>
    <w:rsid w:val="5F683CCB"/>
    <w:rsid w:val="5F6849E3"/>
    <w:rsid w:val="5F684BAA"/>
    <w:rsid w:val="5F685A79"/>
    <w:rsid w:val="5F6917F1"/>
    <w:rsid w:val="5F692271"/>
    <w:rsid w:val="5F69359F"/>
    <w:rsid w:val="5F6A335E"/>
    <w:rsid w:val="5F6B3399"/>
    <w:rsid w:val="5F6B47EE"/>
    <w:rsid w:val="5F6B5281"/>
    <w:rsid w:val="5F6B5569"/>
    <w:rsid w:val="5F6B7317"/>
    <w:rsid w:val="5F6C171E"/>
    <w:rsid w:val="5F6C74B4"/>
    <w:rsid w:val="5F6D12E1"/>
    <w:rsid w:val="5F6D7533"/>
    <w:rsid w:val="5F6E2102"/>
    <w:rsid w:val="5F6E316F"/>
    <w:rsid w:val="5F6E5059"/>
    <w:rsid w:val="5F6E6B3C"/>
    <w:rsid w:val="5F6E6E08"/>
    <w:rsid w:val="5F6F45FF"/>
    <w:rsid w:val="5F6F60D7"/>
    <w:rsid w:val="5F702B80"/>
    <w:rsid w:val="5F705A8F"/>
    <w:rsid w:val="5F706AF9"/>
    <w:rsid w:val="5F710660"/>
    <w:rsid w:val="5F7146AA"/>
    <w:rsid w:val="5F7203AF"/>
    <w:rsid w:val="5F7206A6"/>
    <w:rsid w:val="5F722D1C"/>
    <w:rsid w:val="5F723A2A"/>
    <w:rsid w:val="5F724B4A"/>
    <w:rsid w:val="5F7408C2"/>
    <w:rsid w:val="5F74227E"/>
    <w:rsid w:val="5F742670"/>
    <w:rsid w:val="5F7446F7"/>
    <w:rsid w:val="5F745D18"/>
    <w:rsid w:val="5F747927"/>
    <w:rsid w:val="5F750196"/>
    <w:rsid w:val="5F751094"/>
    <w:rsid w:val="5F751F44"/>
    <w:rsid w:val="5F754E2E"/>
    <w:rsid w:val="5F76011A"/>
    <w:rsid w:val="5F761901"/>
    <w:rsid w:val="5F762093"/>
    <w:rsid w:val="5F767411"/>
    <w:rsid w:val="5F770048"/>
    <w:rsid w:val="5F772160"/>
    <w:rsid w:val="5F775CBC"/>
    <w:rsid w:val="5F776C90"/>
    <w:rsid w:val="5F781A34"/>
    <w:rsid w:val="5F787E59"/>
    <w:rsid w:val="5F791132"/>
    <w:rsid w:val="5F7923C6"/>
    <w:rsid w:val="5F795ED8"/>
    <w:rsid w:val="5F7A00AE"/>
    <w:rsid w:val="5F7A0282"/>
    <w:rsid w:val="5F7A1C50"/>
    <w:rsid w:val="5F7A39FE"/>
    <w:rsid w:val="5F7A755A"/>
    <w:rsid w:val="5F7B2BA2"/>
    <w:rsid w:val="5F7B42E3"/>
    <w:rsid w:val="5F7B6E87"/>
    <w:rsid w:val="5F7C1C35"/>
    <w:rsid w:val="5F7C3A26"/>
    <w:rsid w:val="5F7C4032"/>
    <w:rsid w:val="5F7D0A85"/>
    <w:rsid w:val="5F7D0D70"/>
    <w:rsid w:val="5F7D704B"/>
    <w:rsid w:val="5F7E0093"/>
    <w:rsid w:val="5F7E0680"/>
    <w:rsid w:val="5F7E2C64"/>
    <w:rsid w:val="5F7E6055"/>
    <w:rsid w:val="5F7E7B72"/>
    <w:rsid w:val="5F7F1015"/>
    <w:rsid w:val="5F7F2DC3"/>
    <w:rsid w:val="5F7F7267"/>
    <w:rsid w:val="5F8057DF"/>
    <w:rsid w:val="5F806B81"/>
    <w:rsid w:val="5F8108E9"/>
    <w:rsid w:val="5F8148D1"/>
    <w:rsid w:val="5F814D8D"/>
    <w:rsid w:val="5F816B3B"/>
    <w:rsid w:val="5F824CD8"/>
    <w:rsid w:val="5F827EA4"/>
    <w:rsid w:val="5F830B05"/>
    <w:rsid w:val="5F831334"/>
    <w:rsid w:val="5F8328B3"/>
    <w:rsid w:val="5F841E36"/>
    <w:rsid w:val="5F8430FE"/>
    <w:rsid w:val="5F843F05"/>
    <w:rsid w:val="5F844466"/>
    <w:rsid w:val="5F84662B"/>
    <w:rsid w:val="5F855395"/>
    <w:rsid w:val="5F856825"/>
    <w:rsid w:val="5F857093"/>
    <w:rsid w:val="5F857331"/>
    <w:rsid w:val="5F860448"/>
    <w:rsid w:val="5F861AB1"/>
    <w:rsid w:val="5F8623A3"/>
    <w:rsid w:val="5F867A84"/>
    <w:rsid w:val="5F867CB5"/>
    <w:rsid w:val="5F87348C"/>
    <w:rsid w:val="5F875435"/>
    <w:rsid w:val="5F876D53"/>
    <w:rsid w:val="5F8806D7"/>
    <w:rsid w:val="5F881C77"/>
    <w:rsid w:val="5F883D16"/>
    <w:rsid w:val="5F887EC9"/>
    <w:rsid w:val="5F891EBB"/>
    <w:rsid w:val="5F893C41"/>
    <w:rsid w:val="5F8959EF"/>
    <w:rsid w:val="5F8A09FF"/>
    <w:rsid w:val="5F8A1E93"/>
    <w:rsid w:val="5F8A6636"/>
    <w:rsid w:val="5F8B1768"/>
    <w:rsid w:val="5F8B1A27"/>
    <w:rsid w:val="5F8B5FE8"/>
    <w:rsid w:val="5F8B6E5C"/>
    <w:rsid w:val="5F8C2C68"/>
    <w:rsid w:val="5F8C45E2"/>
    <w:rsid w:val="5F8C712D"/>
    <w:rsid w:val="5F8D18E8"/>
    <w:rsid w:val="5F8D1972"/>
    <w:rsid w:val="5F8D1984"/>
    <w:rsid w:val="5F8E05B4"/>
    <w:rsid w:val="5F8E2104"/>
    <w:rsid w:val="5F8E3006"/>
    <w:rsid w:val="5F8E4D72"/>
    <w:rsid w:val="5F8E7A52"/>
    <w:rsid w:val="5F8F3BE9"/>
    <w:rsid w:val="5F8F74AA"/>
    <w:rsid w:val="5F9024A8"/>
    <w:rsid w:val="5F903222"/>
    <w:rsid w:val="5F903DA8"/>
    <w:rsid w:val="5F905079"/>
    <w:rsid w:val="5F911F8F"/>
    <w:rsid w:val="5F9128AE"/>
    <w:rsid w:val="5F913AA4"/>
    <w:rsid w:val="5F913B35"/>
    <w:rsid w:val="5F920D48"/>
    <w:rsid w:val="5F922AF6"/>
    <w:rsid w:val="5F926F9A"/>
    <w:rsid w:val="5F93061C"/>
    <w:rsid w:val="5F93256A"/>
    <w:rsid w:val="5F933EDA"/>
    <w:rsid w:val="5F9342D3"/>
    <w:rsid w:val="5F93632D"/>
    <w:rsid w:val="5F93686E"/>
    <w:rsid w:val="5F9368D1"/>
    <w:rsid w:val="5F942D12"/>
    <w:rsid w:val="5F9434FB"/>
    <w:rsid w:val="5F94609C"/>
    <w:rsid w:val="5F95052E"/>
    <w:rsid w:val="5F950838"/>
    <w:rsid w:val="5F9525E6"/>
    <w:rsid w:val="5F954394"/>
    <w:rsid w:val="5F9575E2"/>
    <w:rsid w:val="5F966400"/>
    <w:rsid w:val="5F97010C"/>
    <w:rsid w:val="5F970C3A"/>
    <w:rsid w:val="5F971F3C"/>
    <w:rsid w:val="5F9745B0"/>
    <w:rsid w:val="5F975C34"/>
    <w:rsid w:val="5F97635E"/>
    <w:rsid w:val="5F976D51"/>
    <w:rsid w:val="5F98227E"/>
    <w:rsid w:val="5F987EBA"/>
    <w:rsid w:val="5F990328"/>
    <w:rsid w:val="5F9920D6"/>
    <w:rsid w:val="5F99786C"/>
    <w:rsid w:val="5F9A19AB"/>
    <w:rsid w:val="5F9A5E4E"/>
    <w:rsid w:val="5F9A7BFD"/>
    <w:rsid w:val="5F9C303A"/>
    <w:rsid w:val="5F9C3975"/>
    <w:rsid w:val="5F9C5723"/>
    <w:rsid w:val="5F9C6C04"/>
    <w:rsid w:val="5F9C78F5"/>
    <w:rsid w:val="5F9D1B2C"/>
    <w:rsid w:val="5F9D2979"/>
    <w:rsid w:val="5F9D4AAC"/>
    <w:rsid w:val="5F9E149B"/>
    <w:rsid w:val="5F9E3772"/>
    <w:rsid w:val="5F9E593F"/>
    <w:rsid w:val="5F9F0DE5"/>
    <w:rsid w:val="5F9F3465"/>
    <w:rsid w:val="5FA01F9D"/>
    <w:rsid w:val="5FA0536D"/>
    <w:rsid w:val="5FA07358"/>
    <w:rsid w:val="5FA14874"/>
    <w:rsid w:val="5FA15FFE"/>
    <w:rsid w:val="5FA171DD"/>
    <w:rsid w:val="5FA17DC3"/>
    <w:rsid w:val="5FA2671A"/>
    <w:rsid w:val="5FA26B43"/>
    <w:rsid w:val="5FA271DE"/>
    <w:rsid w:val="5FA3091E"/>
    <w:rsid w:val="5FA34D03"/>
    <w:rsid w:val="5FA36AB1"/>
    <w:rsid w:val="5FA36C54"/>
    <w:rsid w:val="5FA37C40"/>
    <w:rsid w:val="5FA37E8E"/>
    <w:rsid w:val="5FA40660"/>
    <w:rsid w:val="5FA41DAE"/>
    <w:rsid w:val="5FA43A47"/>
    <w:rsid w:val="5FA51D48"/>
    <w:rsid w:val="5FA55D24"/>
    <w:rsid w:val="5FA6034F"/>
    <w:rsid w:val="5FA63778"/>
    <w:rsid w:val="5FA647F3"/>
    <w:rsid w:val="5FA665A1"/>
    <w:rsid w:val="5FA71E70"/>
    <w:rsid w:val="5FA7490E"/>
    <w:rsid w:val="5FA8056B"/>
    <w:rsid w:val="5FA806F1"/>
    <w:rsid w:val="5FA82319"/>
    <w:rsid w:val="5FA83300"/>
    <w:rsid w:val="5FA840C8"/>
    <w:rsid w:val="5FA94EE4"/>
    <w:rsid w:val="5FA97224"/>
    <w:rsid w:val="5FA97E40"/>
    <w:rsid w:val="5FAA7382"/>
    <w:rsid w:val="5FAB005C"/>
    <w:rsid w:val="5FAB0CC9"/>
    <w:rsid w:val="5FAB1E0A"/>
    <w:rsid w:val="5FAB2AE4"/>
    <w:rsid w:val="5FAB70B0"/>
    <w:rsid w:val="5FAC6E83"/>
    <w:rsid w:val="5FAD16DE"/>
    <w:rsid w:val="5FAD45A1"/>
    <w:rsid w:val="5FAD5B82"/>
    <w:rsid w:val="5FAD6818"/>
    <w:rsid w:val="5FAD7930"/>
    <w:rsid w:val="5FAF29D0"/>
    <w:rsid w:val="5FAF6EC1"/>
    <w:rsid w:val="5FB011CE"/>
    <w:rsid w:val="5FB02BD3"/>
    <w:rsid w:val="5FB0504C"/>
    <w:rsid w:val="5FB06DFC"/>
    <w:rsid w:val="5FB06F24"/>
    <w:rsid w:val="5FB07420"/>
    <w:rsid w:val="5FB1014A"/>
    <w:rsid w:val="5FB112FA"/>
    <w:rsid w:val="5FB15AF3"/>
    <w:rsid w:val="5FB178BE"/>
    <w:rsid w:val="5FB20A5E"/>
    <w:rsid w:val="5FB20C8A"/>
    <w:rsid w:val="5FB213EA"/>
    <w:rsid w:val="5FB23198"/>
    <w:rsid w:val="5FB24F46"/>
    <w:rsid w:val="5FB300D5"/>
    <w:rsid w:val="5FB30413"/>
    <w:rsid w:val="5FB32A6C"/>
    <w:rsid w:val="5FB37165"/>
    <w:rsid w:val="5FB40CBE"/>
    <w:rsid w:val="5FB40D7F"/>
    <w:rsid w:val="5FB415AB"/>
    <w:rsid w:val="5FB43246"/>
    <w:rsid w:val="5FB43BF2"/>
    <w:rsid w:val="5FB52740"/>
    <w:rsid w:val="5FB52C88"/>
    <w:rsid w:val="5FB54A36"/>
    <w:rsid w:val="5FB55904"/>
    <w:rsid w:val="5FB567E4"/>
    <w:rsid w:val="5FB66D94"/>
    <w:rsid w:val="5FB67912"/>
    <w:rsid w:val="5FB7255D"/>
    <w:rsid w:val="5FB75653"/>
    <w:rsid w:val="5FB75FD7"/>
    <w:rsid w:val="5FB806C6"/>
    <w:rsid w:val="5FB817E0"/>
    <w:rsid w:val="5FB82DF5"/>
    <w:rsid w:val="5FB837BB"/>
    <w:rsid w:val="5FB87366"/>
    <w:rsid w:val="5FB87C1B"/>
    <w:rsid w:val="5FB91EA8"/>
    <w:rsid w:val="5FB9227A"/>
    <w:rsid w:val="5FB92779"/>
    <w:rsid w:val="5FB92B44"/>
    <w:rsid w:val="5FB95739"/>
    <w:rsid w:val="5FB9731C"/>
    <w:rsid w:val="5FB97663"/>
    <w:rsid w:val="5FBA034F"/>
    <w:rsid w:val="5FBA204D"/>
    <w:rsid w:val="5FBA3DFB"/>
    <w:rsid w:val="5FBA3FD4"/>
    <w:rsid w:val="5FBA5903"/>
    <w:rsid w:val="5FBA63E8"/>
    <w:rsid w:val="5FBA6BA5"/>
    <w:rsid w:val="5FBB135F"/>
    <w:rsid w:val="5FBC1B20"/>
    <w:rsid w:val="5FBC4017"/>
    <w:rsid w:val="5FBC5DC5"/>
    <w:rsid w:val="5FBC7B73"/>
    <w:rsid w:val="5FBE15B0"/>
    <w:rsid w:val="5FBE1B3D"/>
    <w:rsid w:val="5FBE38EB"/>
    <w:rsid w:val="5FBE5526"/>
    <w:rsid w:val="5FBE6CBA"/>
    <w:rsid w:val="5FBE7D8F"/>
    <w:rsid w:val="5FBF0D56"/>
    <w:rsid w:val="5FBF6806"/>
    <w:rsid w:val="5FC00C22"/>
    <w:rsid w:val="5FC01DA8"/>
    <w:rsid w:val="5FC02A17"/>
    <w:rsid w:val="5FC03B07"/>
    <w:rsid w:val="5FC112D6"/>
    <w:rsid w:val="5FC1162D"/>
    <w:rsid w:val="5FC1264B"/>
    <w:rsid w:val="5FC133DB"/>
    <w:rsid w:val="5FC15189"/>
    <w:rsid w:val="5FC213FE"/>
    <w:rsid w:val="5FC23BC4"/>
    <w:rsid w:val="5FC25281"/>
    <w:rsid w:val="5FC31A26"/>
    <w:rsid w:val="5FC375DF"/>
    <w:rsid w:val="5FC37F08"/>
    <w:rsid w:val="5FC41398"/>
    <w:rsid w:val="5FC43DE5"/>
    <w:rsid w:val="5FC44C79"/>
    <w:rsid w:val="5FC47C57"/>
    <w:rsid w:val="5FC51698"/>
    <w:rsid w:val="5FC53665"/>
    <w:rsid w:val="5FC53AF5"/>
    <w:rsid w:val="5FC54A9A"/>
    <w:rsid w:val="5FC61376"/>
    <w:rsid w:val="5FC627A0"/>
    <w:rsid w:val="5FC63166"/>
    <w:rsid w:val="5FC63CB8"/>
    <w:rsid w:val="5FC645A9"/>
    <w:rsid w:val="5FC64B39"/>
    <w:rsid w:val="5FC64DDD"/>
    <w:rsid w:val="5FC65386"/>
    <w:rsid w:val="5FC66C44"/>
    <w:rsid w:val="5FC77002"/>
    <w:rsid w:val="5FC80F6F"/>
    <w:rsid w:val="5FC8147B"/>
    <w:rsid w:val="5FC829BC"/>
    <w:rsid w:val="5FC8476A"/>
    <w:rsid w:val="5FC85D8B"/>
    <w:rsid w:val="5FC861FC"/>
    <w:rsid w:val="5FC86518"/>
    <w:rsid w:val="5FCA669A"/>
    <w:rsid w:val="5FCB425A"/>
    <w:rsid w:val="5FCB6008"/>
    <w:rsid w:val="5FCB7846"/>
    <w:rsid w:val="5FCC0FBA"/>
    <w:rsid w:val="5FCC24AC"/>
    <w:rsid w:val="5FCC6AA8"/>
    <w:rsid w:val="5FCC7229"/>
    <w:rsid w:val="5FCD1D80"/>
    <w:rsid w:val="5FCD3B2E"/>
    <w:rsid w:val="5FCD5B46"/>
    <w:rsid w:val="5FCD6066"/>
    <w:rsid w:val="5FCE1877"/>
    <w:rsid w:val="5FCE3E5E"/>
    <w:rsid w:val="5FCE501B"/>
    <w:rsid w:val="5FCF2B9E"/>
    <w:rsid w:val="5FCF5AF8"/>
    <w:rsid w:val="5FCF78A6"/>
    <w:rsid w:val="5FCF7D0E"/>
    <w:rsid w:val="5FD01870"/>
    <w:rsid w:val="5FD01DB1"/>
    <w:rsid w:val="5FD0793B"/>
    <w:rsid w:val="5FD17AC2"/>
    <w:rsid w:val="5FD21144"/>
    <w:rsid w:val="5FD25B63"/>
    <w:rsid w:val="5FD27396"/>
    <w:rsid w:val="5FD33831"/>
    <w:rsid w:val="5FD362BC"/>
    <w:rsid w:val="5FD40E0A"/>
    <w:rsid w:val="5FD4235B"/>
    <w:rsid w:val="5FD4310E"/>
    <w:rsid w:val="5FD4359B"/>
    <w:rsid w:val="5FD50BDC"/>
    <w:rsid w:val="5FD50C35"/>
    <w:rsid w:val="5FD62FC2"/>
    <w:rsid w:val="5FD6479B"/>
    <w:rsid w:val="5FD650D9"/>
    <w:rsid w:val="5FD65CC0"/>
    <w:rsid w:val="5FD72BFF"/>
    <w:rsid w:val="5FD745BE"/>
    <w:rsid w:val="5FD749AD"/>
    <w:rsid w:val="5FD74A79"/>
    <w:rsid w:val="5FD76942"/>
    <w:rsid w:val="5FD82511"/>
    <w:rsid w:val="5FD82805"/>
    <w:rsid w:val="5FD87BEB"/>
    <w:rsid w:val="5FD902E5"/>
    <w:rsid w:val="5FD90725"/>
    <w:rsid w:val="5FD92098"/>
    <w:rsid w:val="5FD9212E"/>
    <w:rsid w:val="5FD92EA7"/>
    <w:rsid w:val="5FDA35BE"/>
    <w:rsid w:val="5FDA624B"/>
    <w:rsid w:val="5FDB6F62"/>
    <w:rsid w:val="5FDC1FC3"/>
    <w:rsid w:val="5FDC2A2C"/>
    <w:rsid w:val="5FDC6467"/>
    <w:rsid w:val="5FDD1B83"/>
    <w:rsid w:val="5FDD570E"/>
    <w:rsid w:val="5FDE3539"/>
    <w:rsid w:val="5FDE3F8D"/>
    <w:rsid w:val="5FDE4793"/>
    <w:rsid w:val="5FDE4B10"/>
    <w:rsid w:val="5FDE5D3B"/>
    <w:rsid w:val="5FDF447A"/>
    <w:rsid w:val="5FDF741C"/>
    <w:rsid w:val="5FDF7968"/>
    <w:rsid w:val="5FDF7A51"/>
    <w:rsid w:val="5FE008C0"/>
    <w:rsid w:val="5FE00D6D"/>
    <w:rsid w:val="5FE00DBF"/>
    <w:rsid w:val="5FE05E10"/>
    <w:rsid w:val="5FE11BB4"/>
    <w:rsid w:val="5FE11D50"/>
    <w:rsid w:val="5FE12802"/>
    <w:rsid w:val="5FE13A7D"/>
    <w:rsid w:val="5FE1582B"/>
    <w:rsid w:val="5FE175D9"/>
    <w:rsid w:val="5FE17AB4"/>
    <w:rsid w:val="5FE22CC2"/>
    <w:rsid w:val="5FE33352"/>
    <w:rsid w:val="5FE377F5"/>
    <w:rsid w:val="5FE43A1F"/>
    <w:rsid w:val="5FE45E99"/>
    <w:rsid w:val="5FE47241"/>
    <w:rsid w:val="5FE5356E"/>
    <w:rsid w:val="5FE53BC9"/>
    <w:rsid w:val="5FE570CA"/>
    <w:rsid w:val="5FE57A29"/>
    <w:rsid w:val="5FE61094"/>
    <w:rsid w:val="5FE626E7"/>
    <w:rsid w:val="5FE64BF0"/>
    <w:rsid w:val="5FE700E0"/>
    <w:rsid w:val="5FE80793"/>
    <w:rsid w:val="5FE80968"/>
    <w:rsid w:val="5FE84E0C"/>
    <w:rsid w:val="5FE95750"/>
    <w:rsid w:val="5FE9663B"/>
    <w:rsid w:val="5FEA12FA"/>
    <w:rsid w:val="5FEA2184"/>
    <w:rsid w:val="5FEA2274"/>
    <w:rsid w:val="5FEA2932"/>
    <w:rsid w:val="5FEA6F81"/>
    <w:rsid w:val="5FEB0458"/>
    <w:rsid w:val="5FEB14C7"/>
    <w:rsid w:val="5FEB2206"/>
    <w:rsid w:val="5FEB66AA"/>
    <w:rsid w:val="5FEB7114"/>
    <w:rsid w:val="5FEC00BD"/>
    <w:rsid w:val="5FEC05A4"/>
    <w:rsid w:val="5FEC21E6"/>
    <w:rsid w:val="5FEC48FC"/>
    <w:rsid w:val="5FED1A34"/>
    <w:rsid w:val="5FED22F2"/>
    <w:rsid w:val="5FED2422"/>
    <w:rsid w:val="5FED762F"/>
    <w:rsid w:val="5FEE2C38"/>
    <w:rsid w:val="5FEE3FDA"/>
    <w:rsid w:val="5FEF5A95"/>
    <w:rsid w:val="5FF05552"/>
    <w:rsid w:val="5FF05A6E"/>
    <w:rsid w:val="5FF1132B"/>
    <w:rsid w:val="5FF13CC0"/>
    <w:rsid w:val="5FF210B5"/>
    <w:rsid w:val="5FF3293C"/>
    <w:rsid w:val="5FF41624"/>
    <w:rsid w:val="5FF41DC1"/>
    <w:rsid w:val="5FF437B1"/>
    <w:rsid w:val="5FF4555F"/>
    <w:rsid w:val="5FF52D97"/>
    <w:rsid w:val="5FF53085"/>
    <w:rsid w:val="5FF612D7"/>
    <w:rsid w:val="5FF636EE"/>
    <w:rsid w:val="5FF64227"/>
    <w:rsid w:val="5FF67529"/>
    <w:rsid w:val="5FF6759A"/>
    <w:rsid w:val="5FF72AE6"/>
    <w:rsid w:val="5FF732A1"/>
    <w:rsid w:val="5FF843E0"/>
    <w:rsid w:val="5FF855BF"/>
    <w:rsid w:val="5FF8574A"/>
    <w:rsid w:val="5FF85DDC"/>
    <w:rsid w:val="5FF90DC7"/>
    <w:rsid w:val="5FF91577"/>
    <w:rsid w:val="5FF94923"/>
    <w:rsid w:val="5FFA069B"/>
    <w:rsid w:val="5FFA32C8"/>
    <w:rsid w:val="5FFA4DA1"/>
    <w:rsid w:val="5FFB0776"/>
    <w:rsid w:val="5FFB17CF"/>
    <w:rsid w:val="5FFB68ED"/>
    <w:rsid w:val="5FFC0099"/>
    <w:rsid w:val="5FFC08B7"/>
    <w:rsid w:val="5FFC2665"/>
    <w:rsid w:val="5FFC4413"/>
    <w:rsid w:val="5FFC6958"/>
    <w:rsid w:val="5FFD0829"/>
    <w:rsid w:val="5FFD1688"/>
    <w:rsid w:val="5FFD3C4A"/>
    <w:rsid w:val="5FFE018B"/>
    <w:rsid w:val="5FFE1F39"/>
    <w:rsid w:val="5FFE462F"/>
    <w:rsid w:val="5FFE63DD"/>
    <w:rsid w:val="5FFE70EC"/>
    <w:rsid w:val="5FFF5CB2"/>
    <w:rsid w:val="60002155"/>
    <w:rsid w:val="60002CB9"/>
    <w:rsid w:val="600052D9"/>
    <w:rsid w:val="60007EAA"/>
    <w:rsid w:val="60010CF2"/>
    <w:rsid w:val="60011A2A"/>
    <w:rsid w:val="600227CA"/>
    <w:rsid w:val="60025ECE"/>
    <w:rsid w:val="60031327"/>
    <w:rsid w:val="600339F4"/>
    <w:rsid w:val="60033C5A"/>
    <w:rsid w:val="6003539B"/>
    <w:rsid w:val="60036265"/>
    <w:rsid w:val="60037524"/>
    <w:rsid w:val="6005151A"/>
    <w:rsid w:val="600523E9"/>
    <w:rsid w:val="600532C8"/>
    <w:rsid w:val="6005776C"/>
    <w:rsid w:val="60065292"/>
    <w:rsid w:val="60067040"/>
    <w:rsid w:val="60073A6B"/>
    <w:rsid w:val="60075313"/>
    <w:rsid w:val="60076625"/>
    <w:rsid w:val="60076DA2"/>
    <w:rsid w:val="600807F3"/>
    <w:rsid w:val="6008194B"/>
    <w:rsid w:val="6008663C"/>
    <w:rsid w:val="60091E1E"/>
    <w:rsid w:val="6009588A"/>
    <w:rsid w:val="600A2FD4"/>
    <w:rsid w:val="600A4D82"/>
    <w:rsid w:val="600A6B30"/>
    <w:rsid w:val="600B04A8"/>
    <w:rsid w:val="600B12DB"/>
    <w:rsid w:val="600B28A8"/>
    <w:rsid w:val="600B4656"/>
    <w:rsid w:val="600B4FBD"/>
    <w:rsid w:val="600B63C8"/>
    <w:rsid w:val="600C0AFA"/>
    <w:rsid w:val="600C4F71"/>
    <w:rsid w:val="600C5134"/>
    <w:rsid w:val="600D03CE"/>
    <w:rsid w:val="600D2E68"/>
    <w:rsid w:val="600D75AD"/>
    <w:rsid w:val="600E388E"/>
    <w:rsid w:val="600E3CC0"/>
    <w:rsid w:val="600E4FC7"/>
    <w:rsid w:val="600F05EB"/>
    <w:rsid w:val="600F393E"/>
    <w:rsid w:val="600F4147"/>
    <w:rsid w:val="600F51A1"/>
    <w:rsid w:val="600F615C"/>
    <w:rsid w:val="600F690F"/>
    <w:rsid w:val="600F797D"/>
    <w:rsid w:val="60102E7C"/>
    <w:rsid w:val="6010799F"/>
    <w:rsid w:val="60107EBF"/>
    <w:rsid w:val="60116111"/>
    <w:rsid w:val="601170CA"/>
    <w:rsid w:val="60117463"/>
    <w:rsid w:val="60121E89"/>
    <w:rsid w:val="6012222A"/>
    <w:rsid w:val="601222BF"/>
    <w:rsid w:val="60123798"/>
    <w:rsid w:val="60123C37"/>
    <w:rsid w:val="601242CB"/>
    <w:rsid w:val="601243E7"/>
    <w:rsid w:val="601259E5"/>
    <w:rsid w:val="60126860"/>
    <w:rsid w:val="60126C71"/>
    <w:rsid w:val="60130CD9"/>
    <w:rsid w:val="60135574"/>
    <w:rsid w:val="6014175D"/>
    <w:rsid w:val="60145C01"/>
    <w:rsid w:val="601479AF"/>
    <w:rsid w:val="60160219"/>
    <w:rsid w:val="60160AA9"/>
    <w:rsid w:val="60161979"/>
    <w:rsid w:val="60163727"/>
    <w:rsid w:val="60165A76"/>
    <w:rsid w:val="6017113C"/>
    <w:rsid w:val="6017124D"/>
    <w:rsid w:val="601721F9"/>
    <w:rsid w:val="6017749F"/>
    <w:rsid w:val="6017753B"/>
    <w:rsid w:val="601851FB"/>
    <w:rsid w:val="601918C7"/>
    <w:rsid w:val="6019286A"/>
    <w:rsid w:val="60193217"/>
    <w:rsid w:val="60194FC5"/>
    <w:rsid w:val="60195438"/>
    <w:rsid w:val="60196D73"/>
    <w:rsid w:val="60197544"/>
    <w:rsid w:val="601975C1"/>
    <w:rsid w:val="601A3BE2"/>
    <w:rsid w:val="601B0D3D"/>
    <w:rsid w:val="601B2AEB"/>
    <w:rsid w:val="601C3030"/>
    <w:rsid w:val="601C5F42"/>
    <w:rsid w:val="601C63BD"/>
    <w:rsid w:val="601C6864"/>
    <w:rsid w:val="601D2D07"/>
    <w:rsid w:val="601D7A8D"/>
    <w:rsid w:val="601E438A"/>
    <w:rsid w:val="601E44FA"/>
    <w:rsid w:val="601F12F0"/>
    <w:rsid w:val="601F1CF2"/>
    <w:rsid w:val="601F2A04"/>
    <w:rsid w:val="601F633C"/>
    <w:rsid w:val="60200102"/>
    <w:rsid w:val="60200738"/>
    <w:rsid w:val="60203A5F"/>
    <w:rsid w:val="602045A6"/>
    <w:rsid w:val="60205D9F"/>
    <w:rsid w:val="60206354"/>
    <w:rsid w:val="602108FC"/>
    <w:rsid w:val="60210924"/>
    <w:rsid w:val="60211B97"/>
    <w:rsid w:val="602120CC"/>
    <w:rsid w:val="602128D8"/>
    <w:rsid w:val="60213E7A"/>
    <w:rsid w:val="6022031E"/>
    <w:rsid w:val="60220673"/>
    <w:rsid w:val="60222667"/>
    <w:rsid w:val="60233244"/>
    <w:rsid w:val="60237BF2"/>
    <w:rsid w:val="60241192"/>
    <w:rsid w:val="60242AFC"/>
    <w:rsid w:val="60243309"/>
    <w:rsid w:val="60244356"/>
    <w:rsid w:val="60255718"/>
    <w:rsid w:val="60256EC1"/>
    <w:rsid w:val="60261BC5"/>
    <w:rsid w:val="60264CC4"/>
    <w:rsid w:val="60275934"/>
    <w:rsid w:val="60276087"/>
    <w:rsid w:val="602776E2"/>
    <w:rsid w:val="602816AC"/>
    <w:rsid w:val="602820DB"/>
    <w:rsid w:val="60290D41"/>
    <w:rsid w:val="6029733F"/>
    <w:rsid w:val="6029789A"/>
    <w:rsid w:val="602A0546"/>
    <w:rsid w:val="602A2D2E"/>
    <w:rsid w:val="602A71D2"/>
    <w:rsid w:val="602B01DA"/>
    <w:rsid w:val="602B194E"/>
    <w:rsid w:val="602B19D6"/>
    <w:rsid w:val="602B3C1B"/>
    <w:rsid w:val="602B6AA7"/>
    <w:rsid w:val="602B7D47"/>
    <w:rsid w:val="602C2E66"/>
    <w:rsid w:val="602C2F4B"/>
    <w:rsid w:val="602C3463"/>
    <w:rsid w:val="602C4CF9"/>
    <w:rsid w:val="602C60E9"/>
    <w:rsid w:val="602D0A71"/>
    <w:rsid w:val="602D6CC3"/>
    <w:rsid w:val="602E02DB"/>
    <w:rsid w:val="602E0357"/>
    <w:rsid w:val="602F2A3B"/>
    <w:rsid w:val="602F6597"/>
    <w:rsid w:val="60302C77"/>
    <w:rsid w:val="60302D59"/>
    <w:rsid w:val="603043B8"/>
    <w:rsid w:val="603103D8"/>
    <w:rsid w:val="60310561"/>
    <w:rsid w:val="603113C8"/>
    <w:rsid w:val="6031230F"/>
    <w:rsid w:val="60320168"/>
    <w:rsid w:val="60320310"/>
    <w:rsid w:val="60321C50"/>
    <w:rsid w:val="60321F3D"/>
    <w:rsid w:val="60322627"/>
    <w:rsid w:val="603259FB"/>
    <w:rsid w:val="60326810"/>
    <w:rsid w:val="603307F1"/>
    <w:rsid w:val="603323C3"/>
    <w:rsid w:val="60340051"/>
    <w:rsid w:val="60341DFF"/>
    <w:rsid w:val="60343BAD"/>
    <w:rsid w:val="603441FC"/>
    <w:rsid w:val="603451D7"/>
    <w:rsid w:val="6035022A"/>
    <w:rsid w:val="603514B1"/>
    <w:rsid w:val="603552AE"/>
    <w:rsid w:val="603578A4"/>
    <w:rsid w:val="603616BA"/>
    <w:rsid w:val="60362700"/>
    <w:rsid w:val="60365E9C"/>
    <w:rsid w:val="60367925"/>
    <w:rsid w:val="60371312"/>
    <w:rsid w:val="60372B4A"/>
    <w:rsid w:val="6037369D"/>
    <w:rsid w:val="60376493"/>
    <w:rsid w:val="60377279"/>
    <w:rsid w:val="603820C1"/>
    <w:rsid w:val="60382E46"/>
    <w:rsid w:val="60384811"/>
    <w:rsid w:val="603948F1"/>
    <w:rsid w:val="60395667"/>
    <w:rsid w:val="60395964"/>
    <w:rsid w:val="603962A1"/>
    <w:rsid w:val="603A1A0D"/>
    <w:rsid w:val="603A3D75"/>
    <w:rsid w:val="603A5DA5"/>
    <w:rsid w:val="603B0F14"/>
    <w:rsid w:val="603B13E0"/>
    <w:rsid w:val="603B4F3C"/>
    <w:rsid w:val="603C0CB4"/>
    <w:rsid w:val="603C552C"/>
    <w:rsid w:val="603C5EA0"/>
    <w:rsid w:val="603C6CB2"/>
    <w:rsid w:val="603D3C05"/>
    <w:rsid w:val="603D5158"/>
    <w:rsid w:val="603E0A66"/>
    <w:rsid w:val="603E2C7E"/>
    <w:rsid w:val="603E670B"/>
    <w:rsid w:val="603F692C"/>
    <w:rsid w:val="604007A4"/>
    <w:rsid w:val="60402552"/>
    <w:rsid w:val="60404FE1"/>
    <w:rsid w:val="604069F6"/>
    <w:rsid w:val="60413BFC"/>
    <w:rsid w:val="604162CA"/>
    <w:rsid w:val="6042508C"/>
    <w:rsid w:val="60425D9E"/>
    <w:rsid w:val="60430294"/>
    <w:rsid w:val="60430C9F"/>
    <w:rsid w:val="604310ED"/>
    <w:rsid w:val="6043202A"/>
    <w:rsid w:val="6043282E"/>
    <w:rsid w:val="60433DF0"/>
    <w:rsid w:val="604359C9"/>
    <w:rsid w:val="604364E6"/>
    <w:rsid w:val="6044257D"/>
    <w:rsid w:val="6044650F"/>
    <w:rsid w:val="604472A7"/>
    <w:rsid w:val="604511C2"/>
    <w:rsid w:val="6045400C"/>
    <w:rsid w:val="6045514E"/>
    <w:rsid w:val="60455DBA"/>
    <w:rsid w:val="604568F3"/>
    <w:rsid w:val="60457B68"/>
    <w:rsid w:val="604611AF"/>
    <w:rsid w:val="604638E0"/>
    <w:rsid w:val="60471B32"/>
    <w:rsid w:val="604817B1"/>
    <w:rsid w:val="60483AFC"/>
    <w:rsid w:val="60484E08"/>
    <w:rsid w:val="604850D1"/>
    <w:rsid w:val="60486C22"/>
    <w:rsid w:val="60487659"/>
    <w:rsid w:val="60495B9B"/>
    <w:rsid w:val="604A041B"/>
    <w:rsid w:val="604A1623"/>
    <w:rsid w:val="604A2238"/>
    <w:rsid w:val="604A33D1"/>
    <w:rsid w:val="604B4B42"/>
    <w:rsid w:val="604B787F"/>
    <w:rsid w:val="604C539B"/>
    <w:rsid w:val="604C7401"/>
    <w:rsid w:val="604C787F"/>
    <w:rsid w:val="604D2A75"/>
    <w:rsid w:val="604D4C6F"/>
    <w:rsid w:val="604E18A6"/>
    <w:rsid w:val="604E5F51"/>
    <w:rsid w:val="604F09E7"/>
    <w:rsid w:val="604F4E8B"/>
    <w:rsid w:val="604F5CFA"/>
    <w:rsid w:val="604F6C39"/>
    <w:rsid w:val="604F7690"/>
    <w:rsid w:val="60504E32"/>
    <w:rsid w:val="6051475F"/>
    <w:rsid w:val="605149B5"/>
    <w:rsid w:val="6051650D"/>
    <w:rsid w:val="60517079"/>
    <w:rsid w:val="60520005"/>
    <w:rsid w:val="605204D7"/>
    <w:rsid w:val="60522285"/>
    <w:rsid w:val="60523D2F"/>
    <w:rsid w:val="60527752"/>
    <w:rsid w:val="60527815"/>
    <w:rsid w:val="60536729"/>
    <w:rsid w:val="60540907"/>
    <w:rsid w:val="60542072"/>
    <w:rsid w:val="6055023C"/>
    <w:rsid w:val="605548AF"/>
    <w:rsid w:val="605553B8"/>
    <w:rsid w:val="60561D75"/>
    <w:rsid w:val="60563B24"/>
    <w:rsid w:val="6056657B"/>
    <w:rsid w:val="60567FC7"/>
    <w:rsid w:val="60570CCE"/>
    <w:rsid w:val="60572681"/>
    <w:rsid w:val="6057730F"/>
    <w:rsid w:val="6057789C"/>
    <w:rsid w:val="60583D40"/>
    <w:rsid w:val="60591866"/>
    <w:rsid w:val="60592711"/>
    <w:rsid w:val="60593614"/>
    <w:rsid w:val="60594A54"/>
    <w:rsid w:val="60597AB8"/>
    <w:rsid w:val="605A7EC0"/>
    <w:rsid w:val="605B3830"/>
    <w:rsid w:val="605B3AF8"/>
    <w:rsid w:val="605B55DE"/>
    <w:rsid w:val="605B6670"/>
    <w:rsid w:val="605B738C"/>
    <w:rsid w:val="605C33D5"/>
    <w:rsid w:val="605C4EB2"/>
    <w:rsid w:val="605D1356"/>
    <w:rsid w:val="605D1C94"/>
    <w:rsid w:val="605D3104"/>
    <w:rsid w:val="605D6168"/>
    <w:rsid w:val="605D72A0"/>
    <w:rsid w:val="605E3101"/>
    <w:rsid w:val="605E4430"/>
    <w:rsid w:val="605E50CE"/>
    <w:rsid w:val="605E6E7C"/>
    <w:rsid w:val="605F08C6"/>
    <w:rsid w:val="605F64EC"/>
    <w:rsid w:val="60600615"/>
    <w:rsid w:val="60600E46"/>
    <w:rsid w:val="60602BF4"/>
    <w:rsid w:val="606049A2"/>
    <w:rsid w:val="6060660E"/>
    <w:rsid w:val="60606C05"/>
    <w:rsid w:val="60612574"/>
    <w:rsid w:val="6061321E"/>
    <w:rsid w:val="606134F8"/>
    <w:rsid w:val="6061537A"/>
    <w:rsid w:val="60624BBE"/>
    <w:rsid w:val="606250D4"/>
    <w:rsid w:val="6062696C"/>
    <w:rsid w:val="606303E1"/>
    <w:rsid w:val="606326E4"/>
    <w:rsid w:val="606330C7"/>
    <w:rsid w:val="60634711"/>
    <w:rsid w:val="60636240"/>
    <w:rsid w:val="6063655F"/>
    <w:rsid w:val="60637952"/>
    <w:rsid w:val="606379A9"/>
    <w:rsid w:val="60642D4C"/>
    <w:rsid w:val="60651FB9"/>
    <w:rsid w:val="606523A5"/>
    <w:rsid w:val="606621B4"/>
    <w:rsid w:val="60664487"/>
    <w:rsid w:val="60667E01"/>
    <w:rsid w:val="606721D5"/>
    <w:rsid w:val="60673F83"/>
    <w:rsid w:val="60675D31"/>
    <w:rsid w:val="6067679E"/>
    <w:rsid w:val="606807F2"/>
    <w:rsid w:val="60681D25"/>
    <w:rsid w:val="606841E1"/>
    <w:rsid w:val="60692A07"/>
    <w:rsid w:val="60694D96"/>
    <w:rsid w:val="60695E68"/>
    <w:rsid w:val="6069663A"/>
    <w:rsid w:val="606A2BE1"/>
    <w:rsid w:val="606A3A73"/>
    <w:rsid w:val="606A4A81"/>
    <w:rsid w:val="606A5821"/>
    <w:rsid w:val="606A59D9"/>
    <w:rsid w:val="606A64B5"/>
    <w:rsid w:val="606A75CF"/>
    <w:rsid w:val="606B04BE"/>
    <w:rsid w:val="606B1106"/>
    <w:rsid w:val="606B4F11"/>
    <w:rsid w:val="606C1599"/>
    <w:rsid w:val="606C2260"/>
    <w:rsid w:val="606C3EED"/>
    <w:rsid w:val="606C77EB"/>
    <w:rsid w:val="606D4402"/>
    <w:rsid w:val="606D4BCA"/>
    <w:rsid w:val="606D70BF"/>
    <w:rsid w:val="606E3563"/>
    <w:rsid w:val="606E3E56"/>
    <w:rsid w:val="606F03C5"/>
    <w:rsid w:val="606F1089"/>
    <w:rsid w:val="606F2250"/>
    <w:rsid w:val="606F4BE5"/>
    <w:rsid w:val="606F72DB"/>
    <w:rsid w:val="607068C1"/>
    <w:rsid w:val="6071095D"/>
    <w:rsid w:val="6071159A"/>
    <w:rsid w:val="607130EF"/>
    <w:rsid w:val="60714E01"/>
    <w:rsid w:val="6071673C"/>
    <w:rsid w:val="60717428"/>
    <w:rsid w:val="6072384D"/>
    <w:rsid w:val="607246D5"/>
    <w:rsid w:val="60726D18"/>
    <w:rsid w:val="60730B79"/>
    <w:rsid w:val="60731389"/>
    <w:rsid w:val="60732927"/>
    <w:rsid w:val="607356A3"/>
    <w:rsid w:val="6074044E"/>
    <w:rsid w:val="60741882"/>
    <w:rsid w:val="607466A0"/>
    <w:rsid w:val="60747F1B"/>
    <w:rsid w:val="6075288F"/>
    <w:rsid w:val="60755CD4"/>
    <w:rsid w:val="607572F6"/>
    <w:rsid w:val="60757C8A"/>
    <w:rsid w:val="60762418"/>
    <w:rsid w:val="60765F74"/>
    <w:rsid w:val="60771604"/>
    <w:rsid w:val="60771ED2"/>
    <w:rsid w:val="60776672"/>
    <w:rsid w:val="6078146D"/>
    <w:rsid w:val="60786190"/>
    <w:rsid w:val="60786C49"/>
    <w:rsid w:val="60787F3E"/>
    <w:rsid w:val="60791CF4"/>
    <w:rsid w:val="60791F08"/>
    <w:rsid w:val="60795A64"/>
    <w:rsid w:val="607A217D"/>
    <w:rsid w:val="607B1E49"/>
    <w:rsid w:val="607B5C80"/>
    <w:rsid w:val="607B695E"/>
    <w:rsid w:val="607B7A2E"/>
    <w:rsid w:val="607B7ED3"/>
    <w:rsid w:val="607C7302"/>
    <w:rsid w:val="607D37A6"/>
    <w:rsid w:val="607D3E4F"/>
    <w:rsid w:val="607D5554"/>
    <w:rsid w:val="607D7ABB"/>
    <w:rsid w:val="607D7CE3"/>
    <w:rsid w:val="607E1196"/>
    <w:rsid w:val="607E12CC"/>
    <w:rsid w:val="607E307A"/>
    <w:rsid w:val="607E751E"/>
    <w:rsid w:val="607E75A5"/>
    <w:rsid w:val="607F676F"/>
    <w:rsid w:val="6080050E"/>
    <w:rsid w:val="608021B7"/>
    <w:rsid w:val="60803296"/>
    <w:rsid w:val="6080362F"/>
    <w:rsid w:val="6080389B"/>
    <w:rsid w:val="60803BB5"/>
    <w:rsid w:val="6080630D"/>
    <w:rsid w:val="6081108F"/>
    <w:rsid w:val="6081177F"/>
    <w:rsid w:val="60813170"/>
    <w:rsid w:val="6082251F"/>
    <w:rsid w:val="60823374"/>
    <w:rsid w:val="608250F0"/>
    <w:rsid w:val="6082598F"/>
    <w:rsid w:val="6082700E"/>
    <w:rsid w:val="608303E1"/>
    <w:rsid w:val="60830691"/>
    <w:rsid w:val="60831ABD"/>
    <w:rsid w:val="60844B35"/>
    <w:rsid w:val="60847F04"/>
    <w:rsid w:val="608508AD"/>
    <w:rsid w:val="6085252C"/>
    <w:rsid w:val="60854409"/>
    <w:rsid w:val="60856608"/>
    <w:rsid w:val="60856C7A"/>
    <w:rsid w:val="6086585B"/>
    <w:rsid w:val="6087032B"/>
    <w:rsid w:val="6087217C"/>
    <w:rsid w:val="60872860"/>
    <w:rsid w:val="60874625"/>
    <w:rsid w:val="60874E8B"/>
    <w:rsid w:val="60874F14"/>
    <w:rsid w:val="60877315"/>
    <w:rsid w:val="60877AD2"/>
    <w:rsid w:val="6088624C"/>
    <w:rsid w:val="60887821"/>
    <w:rsid w:val="60894626"/>
    <w:rsid w:val="60895CFE"/>
    <w:rsid w:val="60897CDB"/>
    <w:rsid w:val="608A06BD"/>
    <w:rsid w:val="608A11F9"/>
    <w:rsid w:val="608A1A1F"/>
    <w:rsid w:val="608A3672"/>
    <w:rsid w:val="608A36C4"/>
    <w:rsid w:val="608A4D36"/>
    <w:rsid w:val="608A5121"/>
    <w:rsid w:val="608A5EC3"/>
    <w:rsid w:val="608A67AE"/>
    <w:rsid w:val="608B1DE7"/>
    <w:rsid w:val="608B7265"/>
    <w:rsid w:val="608B78E2"/>
    <w:rsid w:val="608C055C"/>
    <w:rsid w:val="608C0D72"/>
    <w:rsid w:val="608C1F1A"/>
    <w:rsid w:val="608C39E9"/>
    <w:rsid w:val="608C61A1"/>
    <w:rsid w:val="608C78E9"/>
    <w:rsid w:val="608C7AE2"/>
    <w:rsid w:val="608D04CC"/>
    <w:rsid w:val="608D150F"/>
    <w:rsid w:val="608D4E4E"/>
    <w:rsid w:val="608E1741"/>
    <w:rsid w:val="608E59B3"/>
    <w:rsid w:val="608E7761"/>
    <w:rsid w:val="608F12CA"/>
    <w:rsid w:val="608F232F"/>
    <w:rsid w:val="608F3337"/>
    <w:rsid w:val="608F34D9"/>
    <w:rsid w:val="608F4B22"/>
    <w:rsid w:val="608F5287"/>
    <w:rsid w:val="608F599A"/>
    <w:rsid w:val="608F7035"/>
    <w:rsid w:val="60902926"/>
    <w:rsid w:val="60905A22"/>
    <w:rsid w:val="60912DAE"/>
    <w:rsid w:val="60913806"/>
    <w:rsid w:val="60915396"/>
    <w:rsid w:val="60917218"/>
    <w:rsid w:val="60917251"/>
    <w:rsid w:val="60932FCA"/>
    <w:rsid w:val="60936074"/>
    <w:rsid w:val="60936B26"/>
    <w:rsid w:val="60941221"/>
    <w:rsid w:val="60942984"/>
    <w:rsid w:val="60951F5B"/>
    <w:rsid w:val="60953464"/>
    <w:rsid w:val="60956B25"/>
    <w:rsid w:val="609603C4"/>
    <w:rsid w:val="60961329"/>
    <w:rsid w:val="60963565"/>
    <w:rsid w:val="60964868"/>
    <w:rsid w:val="60966616"/>
    <w:rsid w:val="60967ACB"/>
    <w:rsid w:val="60970049"/>
    <w:rsid w:val="60972238"/>
    <w:rsid w:val="60980395"/>
    <w:rsid w:val="609824F2"/>
    <w:rsid w:val="60983F8C"/>
    <w:rsid w:val="6098413C"/>
    <w:rsid w:val="60991F8F"/>
    <w:rsid w:val="60993CF7"/>
    <w:rsid w:val="60994A28"/>
    <w:rsid w:val="60996106"/>
    <w:rsid w:val="609B1E7E"/>
    <w:rsid w:val="609B3C2C"/>
    <w:rsid w:val="609B5927"/>
    <w:rsid w:val="609B59DA"/>
    <w:rsid w:val="609B6EBE"/>
    <w:rsid w:val="609B73D7"/>
    <w:rsid w:val="609B7BC3"/>
    <w:rsid w:val="609C29CE"/>
    <w:rsid w:val="609C5C96"/>
    <w:rsid w:val="609D4491"/>
    <w:rsid w:val="609D5BF6"/>
    <w:rsid w:val="609D5CEE"/>
    <w:rsid w:val="609D6F86"/>
    <w:rsid w:val="609D7126"/>
    <w:rsid w:val="609E371C"/>
    <w:rsid w:val="609E4D34"/>
    <w:rsid w:val="609E54CA"/>
    <w:rsid w:val="609E5775"/>
    <w:rsid w:val="609F196E"/>
    <w:rsid w:val="60A056E7"/>
    <w:rsid w:val="60A16871"/>
    <w:rsid w:val="60A17B22"/>
    <w:rsid w:val="60A21910"/>
    <w:rsid w:val="60A21B08"/>
    <w:rsid w:val="60A246D9"/>
    <w:rsid w:val="60A24FBB"/>
    <w:rsid w:val="60A26D69"/>
    <w:rsid w:val="60A2793F"/>
    <w:rsid w:val="60A324CF"/>
    <w:rsid w:val="60A32AE1"/>
    <w:rsid w:val="60A330B5"/>
    <w:rsid w:val="60A35B69"/>
    <w:rsid w:val="60A37532"/>
    <w:rsid w:val="60A45BEC"/>
    <w:rsid w:val="60A45D59"/>
    <w:rsid w:val="60A45FF5"/>
    <w:rsid w:val="60A51E8D"/>
    <w:rsid w:val="60A5232A"/>
    <w:rsid w:val="60A56859"/>
    <w:rsid w:val="60A61275"/>
    <w:rsid w:val="60A644EA"/>
    <w:rsid w:val="60A67800"/>
    <w:rsid w:val="60A709E9"/>
    <w:rsid w:val="60A725D1"/>
    <w:rsid w:val="60A743D0"/>
    <w:rsid w:val="60A800F7"/>
    <w:rsid w:val="60A857AA"/>
    <w:rsid w:val="60A9117C"/>
    <w:rsid w:val="60A919DB"/>
    <w:rsid w:val="60AA0313"/>
    <w:rsid w:val="60AA0F20"/>
    <w:rsid w:val="60AA20C1"/>
    <w:rsid w:val="60AA2E6B"/>
    <w:rsid w:val="60AA3B27"/>
    <w:rsid w:val="60AB0835"/>
    <w:rsid w:val="60AB322B"/>
    <w:rsid w:val="60AB34EB"/>
    <w:rsid w:val="60AB3537"/>
    <w:rsid w:val="60AB68B3"/>
    <w:rsid w:val="60AB7BA9"/>
    <w:rsid w:val="60AC2024"/>
    <w:rsid w:val="60AC4F3E"/>
    <w:rsid w:val="60AC7BE7"/>
    <w:rsid w:val="60AD570E"/>
    <w:rsid w:val="60AD6C1B"/>
    <w:rsid w:val="60AE0C40"/>
    <w:rsid w:val="60AE1BB1"/>
    <w:rsid w:val="60AE3960"/>
    <w:rsid w:val="60AE6D7B"/>
    <w:rsid w:val="60AF1486"/>
    <w:rsid w:val="60AF67DA"/>
    <w:rsid w:val="60AF76D8"/>
    <w:rsid w:val="60B002F2"/>
    <w:rsid w:val="60B01413"/>
    <w:rsid w:val="60B03E3E"/>
    <w:rsid w:val="60B04831"/>
    <w:rsid w:val="60B10DEB"/>
    <w:rsid w:val="60B115FD"/>
    <w:rsid w:val="60B116A2"/>
    <w:rsid w:val="60B13450"/>
    <w:rsid w:val="60B151FE"/>
    <w:rsid w:val="60B20813"/>
    <w:rsid w:val="60B348E1"/>
    <w:rsid w:val="60B3541A"/>
    <w:rsid w:val="60B371C8"/>
    <w:rsid w:val="60B43920"/>
    <w:rsid w:val="60B46A9C"/>
    <w:rsid w:val="60B46AEE"/>
    <w:rsid w:val="60B476A4"/>
    <w:rsid w:val="60B50CCE"/>
    <w:rsid w:val="60B51CBB"/>
    <w:rsid w:val="60B52E19"/>
    <w:rsid w:val="60B62814"/>
    <w:rsid w:val="60B63FDF"/>
    <w:rsid w:val="60B71EB3"/>
    <w:rsid w:val="60B73D35"/>
    <w:rsid w:val="60B84923"/>
    <w:rsid w:val="60B8658C"/>
    <w:rsid w:val="60B92AA1"/>
    <w:rsid w:val="60BA0443"/>
    <w:rsid w:val="60BA12F1"/>
    <w:rsid w:val="60BA2960"/>
    <w:rsid w:val="60BA67A8"/>
    <w:rsid w:val="60BB26AF"/>
    <w:rsid w:val="60BB3DF0"/>
    <w:rsid w:val="60BB42CE"/>
    <w:rsid w:val="60BB4C2A"/>
    <w:rsid w:val="60BB607C"/>
    <w:rsid w:val="60BB7D05"/>
    <w:rsid w:val="60BB7F81"/>
    <w:rsid w:val="60BC0578"/>
    <w:rsid w:val="60BC4A8E"/>
    <w:rsid w:val="60BC7A6F"/>
    <w:rsid w:val="60BD3399"/>
    <w:rsid w:val="60BE78DB"/>
    <w:rsid w:val="60BE791B"/>
    <w:rsid w:val="60BE7ED2"/>
    <w:rsid w:val="60BF3191"/>
    <w:rsid w:val="60BF3DBF"/>
    <w:rsid w:val="60BF5B6D"/>
    <w:rsid w:val="60BF5F24"/>
    <w:rsid w:val="60C004A0"/>
    <w:rsid w:val="60C03693"/>
    <w:rsid w:val="60C05441"/>
    <w:rsid w:val="60C0680C"/>
    <w:rsid w:val="60C07B37"/>
    <w:rsid w:val="60C07C62"/>
    <w:rsid w:val="60C110F2"/>
    <w:rsid w:val="60C1510E"/>
    <w:rsid w:val="60C216B7"/>
    <w:rsid w:val="60C2740B"/>
    <w:rsid w:val="60C279B1"/>
    <w:rsid w:val="60C34F31"/>
    <w:rsid w:val="60C43183"/>
    <w:rsid w:val="60C500DE"/>
    <w:rsid w:val="60C50CA9"/>
    <w:rsid w:val="60C55510"/>
    <w:rsid w:val="60C56EFB"/>
    <w:rsid w:val="60C571DC"/>
    <w:rsid w:val="60C6701F"/>
    <w:rsid w:val="60C677C2"/>
    <w:rsid w:val="60C70EC5"/>
    <w:rsid w:val="60C767CF"/>
    <w:rsid w:val="60C82547"/>
    <w:rsid w:val="60C83358"/>
    <w:rsid w:val="60C87362"/>
    <w:rsid w:val="60C9048C"/>
    <w:rsid w:val="60C90799"/>
    <w:rsid w:val="60C944CF"/>
    <w:rsid w:val="60C97884"/>
    <w:rsid w:val="60CA4511"/>
    <w:rsid w:val="60CA62C0"/>
    <w:rsid w:val="60CB110D"/>
    <w:rsid w:val="60CB17EC"/>
    <w:rsid w:val="60CB6CDC"/>
    <w:rsid w:val="60CC028A"/>
    <w:rsid w:val="60CC1962"/>
    <w:rsid w:val="60CC2038"/>
    <w:rsid w:val="60CC405A"/>
    <w:rsid w:val="60CC64DC"/>
    <w:rsid w:val="60CD0216"/>
    <w:rsid w:val="60CD1251"/>
    <w:rsid w:val="60CD14FF"/>
    <w:rsid w:val="60CD5F46"/>
    <w:rsid w:val="60CE0901"/>
    <w:rsid w:val="60CE3CF1"/>
    <w:rsid w:val="60CE4002"/>
    <w:rsid w:val="60CE4EFC"/>
    <w:rsid w:val="60CE5DB0"/>
    <w:rsid w:val="60CE7540"/>
    <w:rsid w:val="60CE7B5E"/>
    <w:rsid w:val="60CF0CBA"/>
    <w:rsid w:val="60CF0F9E"/>
    <w:rsid w:val="60CF14B0"/>
    <w:rsid w:val="60CF1899"/>
    <w:rsid w:val="60CF2ACE"/>
    <w:rsid w:val="60CF38D6"/>
    <w:rsid w:val="60CF5519"/>
    <w:rsid w:val="60D07D7A"/>
    <w:rsid w:val="60D1170B"/>
    <w:rsid w:val="60D13AF2"/>
    <w:rsid w:val="60D158A0"/>
    <w:rsid w:val="60D175F9"/>
    <w:rsid w:val="60D20336"/>
    <w:rsid w:val="60D22077"/>
    <w:rsid w:val="60D31618"/>
    <w:rsid w:val="60D31DAF"/>
    <w:rsid w:val="60D32BE4"/>
    <w:rsid w:val="60D331E1"/>
    <w:rsid w:val="60D33AFC"/>
    <w:rsid w:val="60D40EEC"/>
    <w:rsid w:val="60D4395A"/>
    <w:rsid w:val="60D45B6B"/>
    <w:rsid w:val="60D467DC"/>
    <w:rsid w:val="60D4713E"/>
    <w:rsid w:val="60D55390"/>
    <w:rsid w:val="60D5662D"/>
    <w:rsid w:val="60D61108"/>
    <w:rsid w:val="60D62EB6"/>
    <w:rsid w:val="60D811A7"/>
    <w:rsid w:val="60D847A8"/>
    <w:rsid w:val="60D85C0F"/>
    <w:rsid w:val="60D85EE9"/>
    <w:rsid w:val="60D864CF"/>
    <w:rsid w:val="60D872C5"/>
    <w:rsid w:val="60D951CD"/>
    <w:rsid w:val="60D96503"/>
    <w:rsid w:val="60DA0809"/>
    <w:rsid w:val="60DA6424"/>
    <w:rsid w:val="60DA70C8"/>
    <w:rsid w:val="60DB04CD"/>
    <w:rsid w:val="60DB1C99"/>
    <w:rsid w:val="60DB227B"/>
    <w:rsid w:val="60DB661A"/>
    <w:rsid w:val="60DB671F"/>
    <w:rsid w:val="60DC0995"/>
    <w:rsid w:val="60DC3129"/>
    <w:rsid w:val="60DC5CFA"/>
    <w:rsid w:val="60DD16C4"/>
    <w:rsid w:val="60DD2497"/>
    <w:rsid w:val="60DD3FFC"/>
    <w:rsid w:val="60DD4245"/>
    <w:rsid w:val="60DD78F6"/>
    <w:rsid w:val="60DE12A9"/>
    <w:rsid w:val="60DE18D8"/>
    <w:rsid w:val="60DE61D1"/>
    <w:rsid w:val="60DF1D6B"/>
    <w:rsid w:val="60DF43B8"/>
    <w:rsid w:val="60DF4F95"/>
    <w:rsid w:val="60DF620F"/>
    <w:rsid w:val="60DF7018"/>
    <w:rsid w:val="60E02F3A"/>
    <w:rsid w:val="60E03D35"/>
    <w:rsid w:val="60E0467B"/>
    <w:rsid w:val="60E05509"/>
    <w:rsid w:val="60E07891"/>
    <w:rsid w:val="60E13BE5"/>
    <w:rsid w:val="60E13F9A"/>
    <w:rsid w:val="60E2185B"/>
    <w:rsid w:val="60E23609"/>
    <w:rsid w:val="60E26F17"/>
    <w:rsid w:val="60E318BB"/>
    <w:rsid w:val="60E3435C"/>
    <w:rsid w:val="60E35C83"/>
    <w:rsid w:val="60E366F7"/>
    <w:rsid w:val="60E41F7E"/>
    <w:rsid w:val="60E42D4B"/>
    <w:rsid w:val="60E44798"/>
    <w:rsid w:val="60E455D3"/>
    <w:rsid w:val="60E47381"/>
    <w:rsid w:val="60E50CEA"/>
    <w:rsid w:val="60E5134B"/>
    <w:rsid w:val="60E611A1"/>
    <w:rsid w:val="60E641FB"/>
    <w:rsid w:val="60E655DC"/>
    <w:rsid w:val="60E6759D"/>
    <w:rsid w:val="60E70C20"/>
    <w:rsid w:val="60E71C3C"/>
    <w:rsid w:val="60E7320C"/>
    <w:rsid w:val="60E750C3"/>
    <w:rsid w:val="60E76E71"/>
    <w:rsid w:val="60E77AF3"/>
    <w:rsid w:val="60E828BF"/>
    <w:rsid w:val="60E8429D"/>
    <w:rsid w:val="60E91231"/>
    <w:rsid w:val="60E92BEA"/>
    <w:rsid w:val="60E9374C"/>
    <w:rsid w:val="60E9572D"/>
    <w:rsid w:val="60E97472"/>
    <w:rsid w:val="60E9785E"/>
    <w:rsid w:val="60EA02FE"/>
    <w:rsid w:val="60EA0710"/>
    <w:rsid w:val="60EA47E6"/>
    <w:rsid w:val="60EA6962"/>
    <w:rsid w:val="60EA6B31"/>
    <w:rsid w:val="60EA6C76"/>
    <w:rsid w:val="60EB4299"/>
    <w:rsid w:val="60EB4BB4"/>
    <w:rsid w:val="60EC05A3"/>
    <w:rsid w:val="60EC26DA"/>
    <w:rsid w:val="60EC4488"/>
    <w:rsid w:val="60EC4E87"/>
    <w:rsid w:val="60ED0103"/>
    <w:rsid w:val="60ED39F7"/>
    <w:rsid w:val="60ED40AE"/>
    <w:rsid w:val="60EE010F"/>
    <w:rsid w:val="60EE0200"/>
    <w:rsid w:val="60EE1FAE"/>
    <w:rsid w:val="60EE6452"/>
    <w:rsid w:val="60EE69CE"/>
    <w:rsid w:val="60EF159F"/>
    <w:rsid w:val="60EF1651"/>
    <w:rsid w:val="60F02006"/>
    <w:rsid w:val="60F021CA"/>
    <w:rsid w:val="60F03F78"/>
    <w:rsid w:val="60F11A9E"/>
    <w:rsid w:val="60F13EBF"/>
    <w:rsid w:val="60F15600"/>
    <w:rsid w:val="60F15F42"/>
    <w:rsid w:val="60F22ECF"/>
    <w:rsid w:val="60F31CBA"/>
    <w:rsid w:val="60F33813"/>
    <w:rsid w:val="60F33A68"/>
    <w:rsid w:val="60F35816"/>
    <w:rsid w:val="60F35CDF"/>
    <w:rsid w:val="60F361DE"/>
    <w:rsid w:val="60F375C4"/>
    <w:rsid w:val="60F37A28"/>
    <w:rsid w:val="60F4061E"/>
    <w:rsid w:val="60F42840"/>
    <w:rsid w:val="60F43718"/>
    <w:rsid w:val="60F451ED"/>
    <w:rsid w:val="60F46C91"/>
    <w:rsid w:val="60F5158E"/>
    <w:rsid w:val="60F554D2"/>
    <w:rsid w:val="60F55653"/>
    <w:rsid w:val="60F577E0"/>
    <w:rsid w:val="60F60B3E"/>
    <w:rsid w:val="60F614FE"/>
    <w:rsid w:val="60F6318B"/>
    <w:rsid w:val="60F63558"/>
    <w:rsid w:val="60F670B5"/>
    <w:rsid w:val="60F72902"/>
    <w:rsid w:val="60F8107F"/>
    <w:rsid w:val="60F82E2D"/>
    <w:rsid w:val="60F83C67"/>
    <w:rsid w:val="60F83D92"/>
    <w:rsid w:val="60F872D1"/>
    <w:rsid w:val="60F91BD1"/>
    <w:rsid w:val="60F92280"/>
    <w:rsid w:val="60F92651"/>
    <w:rsid w:val="60F9429D"/>
    <w:rsid w:val="60F97775"/>
    <w:rsid w:val="60FA0FCC"/>
    <w:rsid w:val="60FA4DF7"/>
    <w:rsid w:val="60FB46CB"/>
    <w:rsid w:val="60FB4FE0"/>
    <w:rsid w:val="60FB5B7C"/>
    <w:rsid w:val="60FB5FDE"/>
    <w:rsid w:val="60FC0FD2"/>
    <w:rsid w:val="60FC1A77"/>
    <w:rsid w:val="60FC2713"/>
    <w:rsid w:val="60FD5033"/>
    <w:rsid w:val="60FD5FFB"/>
    <w:rsid w:val="60FD60CB"/>
    <w:rsid w:val="60FD6695"/>
    <w:rsid w:val="60FE0503"/>
    <w:rsid w:val="60FE2B92"/>
    <w:rsid w:val="60FE4A9B"/>
    <w:rsid w:val="60FE7C04"/>
    <w:rsid w:val="60FF065F"/>
    <w:rsid w:val="60FF1094"/>
    <w:rsid w:val="60FF18EE"/>
    <w:rsid w:val="60FF41BB"/>
    <w:rsid w:val="60FF5F91"/>
    <w:rsid w:val="60FF692F"/>
    <w:rsid w:val="60FF7953"/>
    <w:rsid w:val="61001CE1"/>
    <w:rsid w:val="61002524"/>
    <w:rsid w:val="61002E67"/>
    <w:rsid w:val="61004584"/>
    <w:rsid w:val="61007F33"/>
    <w:rsid w:val="610110B7"/>
    <w:rsid w:val="61016185"/>
    <w:rsid w:val="61017934"/>
    <w:rsid w:val="61020728"/>
    <w:rsid w:val="6102084C"/>
    <w:rsid w:val="61021EFD"/>
    <w:rsid w:val="610253B6"/>
    <w:rsid w:val="61025A59"/>
    <w:rsid w:val="61027A15"/>
    <w:rsid w:val="61030EA5"/>
    <w:rsid w:val="61031E51"/>
    <w:rsid w:val="610354DA"/>
    <w:rsid w:val="610362D4"/>
    <w:rsid w:val="610417D1"/>
    <w:rsid w:val="610429D0"/>
    <w:rsid w:val="61053DFB"/>
    <w:rsid w:val="610545E4"/>
    <w:rsid w:val="61054F06"/>
    <w:rsid w:val="6105554A"/>
    <w:rsid w:val="61055A91"/>
    <w:rsid w:val="610572F8"/>
    <w:rsid w:val="61060DAA"/>
    <w:rsid w:val="610619ED"/>
    <w:rsid w:val="61064C55"/>
    <w:rsid w:val="610712C2"/>
    <w:rsid w:val="610728D9"/>
    <w:rsid w:val="61076A9C"/>
    <w:rsid w:val="610935D6"/>
    <w:rsid w:val="6109503A"/>
    <w:rsid w:val="6109530D"/>
    <w:rsid w:val="61096DE8"/>
    <w:rsid w:val="610A2B60"/>
    <w:rsid w:val="610A4081"/>
    <w:rsid w:val="610A7F77"/>
    <w:rsid w:val="610B122E"/>
    <w:rsid w:val="610B22DF"/>
    <w:rsid w:val="610B6C13"/>
    <w:rsid w:val="610B71AD"/>
    <w:rsid w:val="610C0686"/>
    <w:rsid w:val="610C0AC7"/>
    <w:rsid w:val="610C0AD6"/>
    <w:rsid w:val="610C2208"/>
    <w:rsid w:val="610C68D8"/>
    <w:rsid w:val="610D4B28"/>
    <w:rsid w:val="610D4BAF"/>
    <w:rsid w:val="610D69EB"/>
    <w:rsid w:val="610E0EE3"/>
    <w:rsid w:val="610E2650"/>
    <w:rsid w:val="610E43FE"/>
    <w:rsid w:val="610E4B69"/>
    <w:rsid w:val="610F0097"/>
    <w:rsid w:val="610F0176"/>
    <w:rsid w:val="610F29FC"/>
    <w:rsid w:val="61102019"/>
    <w:rsid w:val="6110284E"/>
    <w:rsid w:val="6110291F"/>
    <w:rsid w:val="6110461A"/>
    <w:rsid w:val="611063C8"/>
    <w:rsid w:val="61111E90"/>
    <w:rsid w:val="61112140"/>
    <w:rsid w:val="61114C61"/>
    <w:rsid w:val="611160B7"/>
    <w:rsid w:val="6111672B"/>
    <w:rsid w:val="6111693C"/>
    <w:rsid w:val="61120BCE"/>
    <w:rsid w:val="61124A78"/>
    <w:rsid w:val="61126F33"/>
    <w:rsid w:val="61127F42"/>
    <w:rsid w:val="611301C4"/>
    <w:rsid w:val="61131A15"/>
    <w:rsid w:val="61134E3C"/>
    <w:rsid w:val="611375EC"/>
    <w:rsid w:val="61151C31"/>
    <w:rsid w:val="6115578D"/>
    <w:rsid w:val="61156B33"/>
    <w:rsid w:val="611618F4"/>
    <w:rsid w:val="61163AEC"/>
    <w:rsid w:val="61167757"/>
    <w:rsid w:val="61167A72"/>
    <w:rsid w:val="61172404"/>
    <w:rsid w:val="611759A9"/>
    <w:rsid w:val="611804EF"/>
    <w:rsid w:val="61180660"/>
    <w:rsid w:val="61182C11"/>
    <w:rsid w:val="61182CAE"/>
    <w:rsid w:val="611834CF"/>
    <w:rsid w:val="6118527D"/>
    <w:rsid w:val="61190EFE"/>
    <w:rsid w:val="61191741"/>
    <w:rsid w:val="6119261D"/>
    <w:rsid w:val="611937A1"/>
    <w:rsid w:val="61193917"/>
    <w:rsid w:val="6119480C"/>
    <w:rsid w:val="611A0FF5"/>
    <w:rsid w:val="611A2DA3"/>
    <w:rsid w:val="611A7247"/>
    <w:rsid w:val="611A72B8"/>
    <w:rsid w:val="611A79C2"/>
    <w:rsid w:val="611B4D6D"/>
    <w:rsid w:val="611C2FBF"/>
    <w:rsid w:val="611C4413"/>
    <w:rsid w:val="611C62AF"/>
    <w:rsid w:val="611D0AE5"/>
    <w:rsid w:val="611D461D"/>
    <w:rsid w:val="611D64FB"/>
    <w:rsid w:val="611D6D37"/>
    <w:rsid w:val="611E2EDC"/>
    <w:rsid w:val="611E3D1A"/>
    <w:rsid w:val="611F1E75"/>
    <w:rsid w:val="611F2AAF"/>
    <w:rsid w:val="611F485D"/>
    <w:rsid w:val="611F660B"/>
    <w:rsid w:val="61202383"/>
    <w:rsid w:val="612105D5"/>
    <w:rsid w:val="612131FF"/>
    <w:rsid w:val="612257F7"/>
    <w:rsid w:val="612260FC"/>
    <w:rsid w:val="6123048F"/>
    <w:rsid w:val="61233DAC"/>
    <w:rsid w:val="612400C6"/>
    <w:rsid w:val="612410B1"/>
    <w:rsid w:val="61241E74"/>
    <w:rsid w:val="61243C22"/>
    <w:rsid w:val="612449F9"/>
    <w:rsid w:val="61244B31"/>
    <w:rsid w:val="612544C0"/>
    <w:rsid w:val="61261FD1"/>
    <w:rsid w:val="61265BEC"/>
    <w:rsid w:val="61271964"/>
    <w:rsid w:val="61272359"/>
    <w:rsid w:val="61273712"/>
    <w:rsid w:val="61277B74"/>
    <w:rsid w:val="61286B5F"/>
    <w:rsid w:val="6129460F"/>
    <w:rsid w:val="612A1FD4"/>
    <w:rsid w:val="612A3989"/>
    <w:rsid w:val="612A47A4"/>
    <w:rsid w:val="612A4D78"/>
    <w:rsid w:val="612A517C"/>
    <w:rsid w:val="612B2283"/>
    <w:rsid w:val="612B3202"/>
    <w:rsid w:val="612B4E7F"/>
    <w:rsid w:val="612B6C21"/>
    <w:rsid w:val="612C00B1"/>
    <w:rsid w:val="612C0778"/>
    <w:rsid w:val="612C0D28"/>
    <w:rsid w:val="612C2AD6"/>
    <w:rsid w:val="612D0138"/>
    <w:rsid w:val="612D4112"/>
    <w:rsid w:val="612D4ED2"/>
    <w:rsid w:val="612D60B2"/>
    <w:rsid w:val="612E2CF2"/>
    <w:rsid w:val="612E4AA0"/>
    <w:rsid w:val="612E5558"/>
    <w:rsid w:val="612E62A0"/>
    <w:rsid w:val="612E684E"/>
    <w:rsid w:val="612E71A2"/>
    <w:rsid w:val="612F4DDB"/>
    <w:rsid w:val="61300818"/>
    <w:rsid w:val="613020AA"/>
    <w:rsid w:val="61303A8D"/>
    <w:rsid w:val="61305B3E"/>
    <w:rsid w:val="61306A6A"/>
    <w:rsid w:val="61307EC2"/>
    <w:rsid w:val="613100ED"/>
    <w:rsid w:val="613113D7"/>
    <w:rsid w:val="61314591"/>
    <w:rsid w:val="6131633F"/>
    <w:rsid w:val="613253B3"/>
    <w:rsid w:val="61326FFC"/>
    <w:rsid w:val="61330309"/>
    <w:rsid w:val="61330A1D"/>
    <w:rsid w:val="613320B7"/>
    <w:rsid w:val="61332EDE"/>
    <w:rsid w:val="61332F5F"/>
    <w:rsid w:val="61333621"/>
    <w:rsid w:val="61340B38"/>
    <w:rsid w:val="61343CE2"/>
    <w:rsid w:val="61353AE8"/>
    <w:rsid w:val="61357BDD"/>
    <w:rsid w:val="6136158E"/>
    <w:rsid w:val="61365DA9"/>
    <w:rsid w:val="61370A9E"/>
    <w:rsid w:val="61371BA7"/>
    <w:rsid w:val="613743AE"/>
    <w:rsid w:val="613744C2"/>
    <w:rsid w:val="61377D95"/>
    <w:rsid w:val="61377DF9"/>
    <w:rsid w:val="61380774"/>
    <w:rsid w:val="6138147B"/>
    <w:rsid w:val="6138591F"/>
    <w:rsid w:val="613876CD"/>
    <w:rsid w:val="61390342"/>
    <w:rsid w:val="613926B5"/>
    <w:rsid w:val="6139475A"/>
    <w:rsid w:val="613A1697"/>
    <w:rsid w:val="613A222C"/>
    <w:rsid w:val="613A3445"/>
    <w:rsid w:val="613A51F3"/>
    <w:rsid w:val="613A57CD"/>
    <w:rsid w:val="613A6A65"/>
    <w:rsid w:val="613B0F6B"/>
    <w:rsid w:val="613B6716"/>
    <w:rsid w:val="613C2FAA"/>
    <w:rsid w:val="613C540F"/>
    <w:rsid w:val="613C71BD"/>
    <w:rsid w:val="613C7C9C"/>
    <w:rsid w:val="613D0967"/>
    <w:rsid w:val="613E3956"/>
    <w:rsid w:val="613E5097"/>
    <w:rsid w:val="613F280A"/>
    <w:rsid w:val="613F3E7B"/>
    <w:rsid w:val="613F6527"/>
    <w:rsid w:val="613F6BCF"/>
    <w:rsid w:val="613F6CAD"/>
    <w:rsid w:val="613F72A1"/>
    <w:rsid w:val="614001E3"/>
    <w:rsid w:val="61401C26"/>
    <w:rsid w:val="61406582"/>
    <w:rsid w:val="61407937"/>
    <w:rsid w:val="61410E47"/>
    <w:rsid w:val="61412A26"/>
    <w:rsid w:val="61412D1A"/>
    <w:rsid w:val="61413A18"/>
    <w:rsid w:val="6142054C"/>
    <w:rsid w:val="614211A7"/>
    <w:rsid w:val="61421ECC"/>
    <w:rsid w:val="614220AB"/>
    <w:rsid w:val="614222FA"/>
    <w:rsid w:val="614232B9"/>
    <w:rsid w:val="6142679E"/>
    <w:rsid w:val="61430D8B"/>
    <w:rsid w:val="61435CBB"/>
    <w:rsid w:val="61440035"/>
    <w:rsid w:val="61442276"/>
    <w:rsid w:val="61442516"/>
    <w:rsid w:val="614432E9"/>
    <w:rsid w:val="61445987"/>
    <w:rsid w:val="61446072"/>
    <w:rsid w:val="61450C58"/>
    <w:rsid w:val="61451C22"/>
    <w:rsid w:val="61453B98"/>
    <w:rsid w:val="61454EF5"/>
    <w:rsid w:val="61456EA0"/>
    <w:rsid w:val="61461DEA"/>
    <w:rsid w:val="614620E8"/>
    <w:rsid w:val="61463005"/>
    <w:rsid w:val="61465440"/>
    <w:rsid w:val="61467B38"/>
    <w:rsid w:val="6147343A"/>
    <w:rsid w:val="614744E8"/>
    <w:rsid w:val="61474CB9"/>
    <w:rsid w:val="6147537E"/>
    <w:rsid w:val="61475B62"/>
    <w:rsid w:val="61477910"/>
    <w:rsid w:val="61483D5A"/>
    <w:rsid w:val="61483DB4"/>
    <w:rsid w:val="61490499"/>
    <w:rsid w:val="614921AA"/>
    <w:rsid w:val="6149320C"/>
    <w:rsid w:val="61493688"/>
    <w:rsid w:val="61495DB3"/>
    <w:rsid w:val="6149614D"/>
    <w:rsid w:val="61497B2C"/>
    <w:rsid w:val="614A01C3"/>
    <w:rsid w:val="614A11D9"/>
    <w:rsid w:val="614A1FE2"/>
    <w:rsid w:val="614A20A0"/>
    <w:rsid w:val="614A6B53"/>
    <w:rsid w:val="614B11AE"/>
    <w:rsid w:val="614B4ACA"/>
    <w:rsid w:val="614B7400"/>
    <w:rsid w:val="614C0FFA"/>
    <w:rsid w:val="614C1E03"/>
    <w:rsid w:val="614C290C"/>
    <w:rsid w:val="614C3178"/>
    <w:rsid w:val="614C3510"/>
    <w:rsid w:val="614C4F26"/>
    <w:rsid w:val="614D13CA"/>
    <w:rsid w:val="614D1FBB"/>
    <w:rsid w:val="614E0C9F"/>
    <w:rsid w:val="614E6EF1"/>
    <w:rsid w:val="614F0C4D"/>
    <w:rsid w:val="61500EBB"/>
    <w:rsid w:val="615014A2"/>
    <w:rsid w:val="61501762"/>
    <w:rsid w:val="61501C59"/>
    <w:rsid w:val="61502C69"/>
    <w:rsid w:val="61503C15"/>
    <w:rsid w:val="61504A17"/>
    <w:rsid w:val="61510813"/>
    <w:rsid w:val="61516932"/>
    <w:rsid w:val="61520D43"/>
    <w:rsid w:val="6152499D"/>
    <w:rsid w:val="615269E1"/>
    <w:rsid w:val="615275C0"/>
    <w:rsid w:val="61531554"/>
    <w:rsid w:val="61532759"/>
    <w:rsid w:val="6153325C"/>
    <w:rsid w:val="61534507"/>
    <w:rsid w:val="615362B5"/>
    <w:rsid w:val="615458EC"/>
    <w:rsid w:val="6155027F"/>
    <w:rsid w:val="6155202D"/>
    <w:rsid w:val="615525E0"/>
    <w:rsid w:val="61555B7C"/>
    <w:rsid w:val="615564D1"/>
    <w:rsid w:val="615606BA"/>
    <w:rsid w:val="61560BC3"/>
    <w:rsid w:val="61565A3F"/>
    <w:rsid w:val="61565DA5"/>
    <w:rsid w:val="61567A71"/>
    <w:rsid w:val="61573869"/>
    <w:rsid w:val="61573FF7"/>
    <w:rsid w:val="615747AE"/>
    <w:rsid w:val="61581B1D"/>
    <w:rsid w:val="615838CB"/>
    <w:rsid w:val="6158477C"/>
    <w:rsid w:val="61586D69"/>
    <w:rsid w:val="615A0B52"/>
    <w:rsid w:val="615A11B0"/>
    <w:rsid w:val="615A3846"/>
    <w:rsid w:val="615A5895"/>
    <w:rsid w:val="615A7643"/>
    <w:rsid w:val="615A76FC"/>
    <w:rsid w:val="615B0137"/>
    <w:rsid w:val="615B2E7E"/>
    <w:rsid w:val="615B3887"/>
    <w:rsid w:val="615B45BF"/>
    <w:rsid w:val="615C160D"/>
    <w:rsid w:val="615C33BC"/>
    <w:rsid w:val="615C4E29"/>
    <w:rsid w:val="615C5723"/>
    <w:rsid w:val="615C6E9A"/>
    <w:rsid w:val="615C785F"/>
    <w:rsid w:val="615D0EE2"/>
    <w:rsid w:val="615E30E7"/>
    <w:rsid w:val="615E35D8"/>
    <w:rsid w:val="615F10FE"/>
    <w:rsid w:val="615F17FF"/>
    <w:rsid w:val="615F2EAC"/>
    <w:rsid w:val="615F4C5A"/>
    <w:rsid w:val="61602A7E"/>
    <w:rsid w:val="61602E34"/>
    <w:rsid w:val="61610431"/>
    <w:rsid w:val="616109D2"/>
    <w:rsid w:val="61614E76"/>
    <w:rsid w:val="616163FE"/>
    <w:rsid w:val="61616C24"/>
    <w:rsid w:val="61621152"/>
    <w:rsid w:val="616218C1"/>
    <w:rsid w:val="6162299C"/>
    <w:rsid w:val="6162474A"/>
    <w:rsid w:val="6163002B"/>
    <w:rsid w:val="616404C2"/>
    <w:rsid w:val="6164138B"/>
    <w:rsid w:val="61642270"/>
    <w:rsid w:val="61642626"/>
    <w:rsid w:val="61643B1B"/>
    <w:rsid w:val="61645FDA"/>
    <w:rsid w:val="6165040E"/>
    <w:rsid w:val="61656B01"/>
    <w:rsid w:val="61660FFC"/>
    <w:rsid w:val="616616D2"/>
    <w:rsid w:val="61661884"/>
    <w:rsid w:val="6166248C"/>
    <w:rsid w:val="6166423A"/>
    <w:rsid w:val="61664D00"/>
    <w:rsid w:val="61665FE8"/>
    <w:rsid w:val="61666B6D"/>
    <w:rsid w:val="61671D60"/>
    <w:rsid w:val="616752F7"/>
    <w:rsid w:val="61675733"/>
    <w:rsid w:val="6167636B"/>
    <w:rsid w:val="61677FB2"/>
    <w:rsid w:val="61681BEA"/>
    <w:rsid w:val="61686204"/>
    <w:rsid w:val="61686746"/>
    <w:rsid w:val="616926D2"/>
    <w:rsid w:val="616934AB"/>
    <w:rsid w:val="616946B4"/>
    <w:rsid w:val="61695482"/>
    <w:rsid w:val="61696AD3"/>
    <w:rsid w:val="61696AF2"/>
    <w:rsid w:val="616B1851"/>
    <w:rsid w:val="616B35FF"/>
    <w:rsid w:val="616B39BC"/>
    <w:rsid w:val="616B76C1"/>
    <w:rsid w:val="616C01D1"/>
    <w:rsid w:val="616C090E"/>
    <w:rsid w:val="616C15E1"/>
    <w:rsid w:val="616C5544"/>
    <w:rsid w:val="616C65B8"/>
    <w:rsid w:val="616C6E0A"/>
    <w:rsid w:val="616C7377"/>
    <w:rsid w:val="616D381B"/>
    <w:rsid w:val="616D630B"/>
    <w:rsid w:val="616D69D4"/>
    <w:rsid w:val="616D6A24"/>
    <w:rsid w:val="616D6C84"/>
    <w:rsid w:val="616E0512"/>
    <w:rsid w:val="616E0A2F"/>
    <w:rsid w:val="616E1341"/>
    <w:rsid w:val="616E1494"/>
    <w:rsid w:val="616E30EF"/>
    <w:rsid w:val="616E36C3"/>
    <w:rsid w:val="616E701B"/>
    <w:rsid w:val="616E7593"/>
    <w:rsid w:val="616F1A8B"/>
    <w:rsid w:val="616F7C09"/>
    <w:rsid w:val="61702784"/>
    <w:rsid w:val="6170330B"/>
    <w:rsid w:val="617050B9"/>
    <w:rsid w:val="6171498D"/>
    <w:rsid w:val="617167E5"/>
    <w:rsid w:val="61720E31"/>
    <w:rsid w:val="617225D3"/>
    <w:rsid w:val="6172300E"/>
    <w:rsid w:val="6172738C"/>
    <w:rsid w:val="61730705"/>
    <w:rsid w:val="61731105"/>
    <w:rsid w:val="61734BA9"/>
    <w:rsid w:val="61736957"/>
    <w:rsid w:val="61750921"/>
    <w:rsid w:val="61750BDB"/>
    <w:rsid w:val="617526CF"/>
    <w:rsid w:val="61752DEE"/>
    <w:rsid w:val="617577CA"/>
    <w:rsid w:val="61761FA3"/>
    <w:rsid w:val="617701F5"/>
    <w:rsid w:val="6177242E"/>
    <w:rsid w:val="61774699"/>
    <w:rsid w:val="617815C5"/>
    <w:rsid w:val="617821BF"/>
    <w:rsid w:val="61783F6D"/>
    <w:rsid w:val="61791382"/>
    <w:rsid w:val="61792AB6"/>
    <w:rsid w:val="6179398D"/>
    <w:rsid w:val="61796622"/>
    <w:rsid w:val="61797187"/>
    <w:rsid w:val="61797B48"/>
    <w:rsid w:val="617A0FD8"/>
    <w:rsid w:val="617A3C18"/>
    <w:rsid w:val="617A5F38"/>
    <w:rsid w:val="617A6251"/>
    <w:rsid w:val="617A7CE6"/>
    <w:rsid w:val="617B1738"/>
    <w:rsid w:val="617B2468"/>
    <w:rsid w:val="617B40F4"/>
    <w:rsid w:val="617B49BB"/>
    <w:rsid w:val="617B5BB3"/>
    <w:rsid w:val="617C38F8"/>
    <w:rsid w:val="617C3A5E"/>
    <w:rsid w:val="617C3C84"/>
    <w:rsid w:val="617C5EAF"/>
    <w:rsid w:val="617D1584"/>
    <w:rsid w:val="617D3319"/>
    <w:rsid w:val="617D3332"/>
    <w:rsid w:val="617D4D88"/>
    <w:rsid w:val="617D5FC6"/>
    <w:rsid w:val="617D64C9"/>
    <w:rsid w:val="617E1239"/>
    <w:rsid w:val="617E5994"/>
    <w:rsid w:val="617F065B"/>
    <w:rsid w:val="617F354E"/>
    <w:rsid w:val="617F39BA"/>
    <w:rsid w:val="617F49AB"/>
    <w:rsid w:val="617F70AA"/>
    <w:rsid w:val="6180184A"/>
    <w:rsid w:val="61803709"/>
    <w:rsid w:val="61810A39"/>
    <w:rsid w:val="61811074"/>
    <w:rsid w:val="61812E22"/>
    <w:rsid w:val="618162DA"/>
    <w:rsid w:val="61824E34"/>
    <w:rsid w:val="61826FA0"/>
    <w:rsid w:val="618317B8"/>
    <w:rsid w:val="61834DEC"/>
    <w:rsid w:val="61837713"/>
    <w:rsid w:val="61840B64"/>
    <w:rsid w:val="618428D5"/>
    <w:rsid w:val="618446C0"/>
    <w:rsid w:val="61844D26"/>
    <w:rsid w:val="61854F26"/>
    <w:rsid w:val="61855328"/>
    <w:rsid w:val="61863437"/>
    <w:rsid w:val="61864D31"/>
    <w:rsid w:val="6186668A"/>
    <w:rsid w:val="618728DF"/>
    <w:rsid w:val="61872E3A"/>
    <w:rsid w:val="618741B1"/>
    <w:rsid w:val="61874995"/>
    <w:rsid w:val="61880654"/>
    <w:rsid w:val="61882403"/>
    <w:rsid w:val="618835DC"/>
    <w:rsid w:val="618943CD"/>
    <w:rsid w:val="61894A6C"/>
    <w:rsid w:val="61897F29"/>
    <w:rsid w:val="618A0309"/>
    <w:rsid w:val="618A0ACD"/>
    <w:rsid w:val="618A1160"/>
    <w:rsid w:val="618A42C4"/>
    <w:rsid w:val="618A7B7E"/>
    <w:rsid w:val="618B1F5D"/>
    <w:rsid w:val="618B50F5"/>
    <w:rsid w:val="618B5848"/>
    <w:rsid w:val="618B5A4F"/>
    <w:rsid w:val="618C51BC"/>
    <w:rsid w:val="618D5FBE"/>
    <w:rsid w:val="618E070F"/>
    <w:rsid w:val="618E08DE"/>
    <w:rsid w:val="618E3791"/>
    <w:rsid w:val="618F19E3"/>
    <w:rsid w:val="618F5992"/>
    <w:rsid w:val="6190176D"/>
    <w:rsid w:val="61903065"/>
    <w:rsid w:val="61906283"/>
    <w:rsid w:val="61906D29"/>
    <w:rsid w:val="61914040"/>
    <w:rsid w:val="61914972"/>
    <w:rsid w:val="61922952"/>
    <w:rsid w:val="61923281"/>
    <w:rsid w:val="6192502F"/>
    <w:rsid w:val="61926DDD"/>
    <w:rsid w:val="6193125E"/>
    <w:rsid w:val="61932B55"/>
    <w:rsid w:val="61934F21"/>
    <w:rsid w:val="61944750"/>
    <w:rsid w:val="61945FB0"/>
    <w:rsid w:val="619460CD"/>
    <w:rsid w:val="61952D71"/>
    <w:rsid w:val="61954B1F"/>
    <w:rsid w:val="619563F8"/>
    <w:rsid w:val="619568CD"/>
    <w:rsid w:val="61962CDB"/>
    <w:rsid w:val="619743F4"/>
    <w:rsid w:val="6198016C"/>
    <w:rsid w:val="61981FAA"/>
    <w:rsid w:val="6198407F"/>
    <w:rsid w:val="6198473D"/>
    <w:rsid w:val="619863BE"/>
    <w:rsid w:val="61986E48"/>
    <w:rsid w:val="61990971"/>
    <w:rsid w:val="61992DEB"/>
    <w:rsid w:val="61994610"/>
    <w:rsid w:val="61997B04"/>
    <w:rsid w:val="619A05C2"/>
    <w:rsid w:val="619A189C"/>
    <w:rsid w:val="619A292A"/>
    <w:rsid w:val="619A3EE4"/>
    <w:rsid w:val="619A698A"/>
    <w:rsid w:val="619A6E81"/>
    <w:rsid w:val="619A72D7"/>
    <w:rsid w:val="619B5E52"/>
    <w:rsid w:val="619B79A5"/>
    <w:rsid w:val="619C1A0A"/>
    <w:rsid w:val="619C3574"/>
    <w:rsid w:val="619C5EAE"/>
    <w:rsid w:val="619C7C5C"/>
    <w:rsid w:val="619E01E9"/>
    <w:rsid w:val="619E1282"/>
    <w:rsid w:val="619E1C26"/>
    <w:rsid w:val="619E5234"/>
    <w:rsid w:val="619F14FA"/>
    <w:rsid w:val="619F2197"/>
    <w:rsid w:val="619F599E"/>
    <w:rsid w:val="619F774C"/>
    <w:rsid w:val="61A02CF3"/>
    <w:rsid w:val="61A07E69"/>
    <w:rsid w:val="61A134C4"/>
    <w:rsid w:val="61A15272"/>
    <w:rsid w:val="61A22192"/>
    <w:rsid w:val="61A22D98"/>
    <w:rsid w:val="61A30156"/>
    <w:rsid w:val="61A30FEA"/>
    <w:rsid w:val="61A317D2"/>
    <w:rsid w:val="61A3351F"/>
    <w:rsid w:val="61A3723C"/>
    <w:rsid w:val="61A42FB4"/>
    <w:rsid w:val="61A437AF"/>
    <w:rsid w:val="61A45EA8"/>
    <w:rsid w:val="61A46B11"/>
    <w:rsid w:val="61A52B04"/>
    <w:rsid w:val="61A5537A"/>
    <w:rsid w:val="61A556D5"/>
    <w:rsid w:val="61A57B04"/>
    <w:rsid w:val="61A616B1"/>
    <w:rsid w:val="61A61C0B"/>
    <w:rsid w:val="61A620A0"/>
    <w:rsid w:val="61A62889"/>
    <w:rsid w:val="61A66D2D"/>
    <w:rsid w:val="61A67C66"/>
    <w:rsid w:val="61A72B98"/>
    <w:rsid w:val="61A759CB"/>
    <w:rsid w:val="61A82AA5"/>
    <w:rsid w:val="61A84853"/>
    <w:rsid w:val="61A84C3A"/>
    <w:rsid w:val="61A905CB"/>
    <w:rsid w:val="61A94127"/>
    <w:rsid w:val="61AA42A2"/>
    <w:rsid w:val="61AB122F"/>
    <w:rsid w:val="61AB211F"/>
    <w:rsid w:val="61AB3BD5"/>
    <w:rsid w:val="61AB4343"/>
    <w:rsid w:val="61AC3AC3"/>
    <w:rsid w:val="61AC4029"/>
    <w:rsid w:val="61AC54B5"/>
    <w:rsid w:val="61AC5DF7"/>
    <w:rsid w:val="61AC733C"/>
    <w:rsid w:val="61AC7CD3"/>
    <w:rsid w:val="61AC7ED6"/>
    <w:rsid w:val="61AD0ECA"/>
    <w:rsid w:val="61AD1E69"/>
    <w:rsid w:val="61AD3F63"/>
    <w:rsid w:val="61AD5629"/>
    <w:rsid w:val="61AE19EB"/>
    <w:rsid w:val="61AE1C70"/>
    <w:rsid w:val="61AE2AE1"/>
    <w:rsid w:val="61AE2CEA"/>
    <w:rsid w:val="61AE52F7"/>
    <w:rsid w:val="61AE5BE1"/>
    <w:rsid w:val="61AE798F"/>
    <w:rsid w:val="61AF3E33"/>
    <w:rsid w:val="61AF4217"/>
    <w:rsid w:val="61AF723C"/>
    <w:rsid w:val="61B01959"/>
    <w:rsid w:val="61B027E8"/>
    <w:rsid w:val="61B03707"/>
    <w:rsid w:val="61B04DD8"/>
    <w:rsid w:val="61B10243"/>
    <w:rsid w:val="61B13C78"/>
    <w:rsid w:val="61B14E95"/>
    <w:rsid w:val="61B2122D"/>
    <w:rsid w:val="61B25108"/>
    <w:rsid w:val="61B256D1"/>
    <w:rsid w:val="61B26849"/>
    <w:rsid w:val="61B33346"/>
    <w:rsid w:val="61B37CD9"/>
    <w:rsid w:val="61B416DD"/>
    <w:rsid w:val="61B425F9"/>
    <w:rsid w:val="61B431F8"/>
    <w:rsid w:val="61B50D1E"/>
    <w:rsid w:val="61B52ACC"/>
    <w:rsid w:val="61B52D47"/>
    <w:rsid w:val="61B551C2"/>
    <w:rsid w:val="61B56192"/>
    <w:rsid w:val="61B56F70"/>
    <w:rsid w:val="61B63CC9"/>
    <w:rsid w:val="61B70C1F"/>
    <w:rsid w:val="61B72CE8"/>
    <w:rsid w:val="61B7412F"/>
    <w:rsid w:val="61B741C4"/>
    <w:rsid w:val="61B74A96"/>
    <w:rsid w:val="61B76844"/>
    <w:rsid w:val="61B825BC"/>
    <w:rsid w:val="61B86174"/>
    <w:rsid w:val="61B873E5"/>
    <w:rsid w:val="61B9080E"/>
    <w:rsid w:val="61B94B9C"/>
    <w:rsid w:val="61B96A60"/>
    <w:rsid w:val="61BA27D8"/>
    <w:rsid w:val="61BA389A"/>
    <w:rsid w:val="61BA4586"/>
    <w:rsid w:val="61BA6334"/>
    <w:rsid w:val="61BB25FA"/>
    <w:rsid w:val="61BB4AC5"/>
    <w:rsid w:val="61BB4C0A"/>
    <w:rsid w:val="61BC043B"/>
    <w:rsid w:val="61BC04B7"/>
    <w:rsid w:val="61BC0D8B"/>
    <w:rsid w:val="61BC1242"/>
    <w:rsid w:val="61BC20AC"/>
    <w:rsid w:val="61BC3E5A"/>
    <w:rsid w:val="61BD221B"/>
    <w:rsid w:val="61BD395C"/>
    <w:rsid w:val="61BD4B29"/>
    <w:rsid w:val="61BD7BD2"/>
    <w:rsid w:val="61BE2E31"/>
    <w:rsid w:val="61BE4076"/>
    <w:rsid w:val="61BE5C50"/>
    <w:rsid w:val="61BE5E24"/>
    <w:rsid w:val="61BE6D19"/>
    <w:rsid w:val="61BF1C34"/>
    <w:rsid w:val="61BF2475"/>
    <w:rsid w:val="61BF548E"/>
    <w:rsid w:val="61BF627C"/>
    <w:rsid w:val="61BF7310"/>
    <w:rsid w:val="61BF7DEE"/>
    <w:rsid w:val="61C02EC0"/>
    <w:rsid w:val="61C1376D"/>
    <w:rsid w:val="61C13B66"/>
    <w:rsid w:val="61C15914"/>
    <w:rsid w:val="61C1622C"/>
    <w:rsid w:val="61C176C2"/>
    <w:rsid w:val="61C20AEC"/>
    <w:rsid w:val="61C20E01"/>
    <w:rsid w:val="61C2296E"/>
    <w:rsid w:val="61C24BFD"/>
    <w:rsid w:val="61C24C36"/>
    <w:rsid w:val="61C251E9"/>
    <w:rsid w:val="61C25D8B"/>
    <w:rsid w:val="61C26C6A"/>
    <w:rsid w:val="61C270B8"/>
    <w:rsid w:val="61C3168D"/>
    <w:rsid w:val="61C316DA"/>
    <w:rsid w:val="61C3608D"/>
    <w:rsid w:val="61C41D2A"/>
    <w:rsid w:val="61C420EE"/>
    <w:rsid w:val="61C46181"/>
    <w:rsid w:val="61C471B3"/>
    <w:rsid w:val="61C47E4F"/>
    <w:rsid w:val="61C50446"/>
    <w:rsid w:val="61C50532"/>
    <w:rsid w:val="61C53169"/>
    <w:rsid w:val="61C55405"/>
    <w:rsid w:val="61C56BBB"/>
    <w:rsid w:val="61C60E4D"/>
    <w:rsid w:val="61C6117D"/>
    <w:rsid w:val="61C64A0E"/>
    <w:rsid w:val="61C64CD9"/>
    <w:rsid w:val="61C7294C"/>
    <w:rsid w:val="61C75E9E"/>
    <w:rsid w:val="61C775DF"/>
    <w:rsid w:val="61C8064C"/>
    <w:rsid w:val="61C80A51"/>
    <w:rsid w:val="61C827FF"/>
    <w:rsid w:val="61C83897"/>
    <w:rsid w:val="61C86CA3"/>
    <w:rsid w:val="61C947C9"/>
    <w:rsid w:val="61CA2A1B"/>
    <w:rsid w:val="61CB22EF"/>
    <w:rsid w:val="61CB4448"/>
    <w:rsid w:val="61CB6793"/>
    <w:rsid w:val="61CD0301"/>
    <w:rsid w:val="61CD0C41"/>
    <w:rsid w:val="61CD250B"/>
    <w:rsid w:val="61CD3451"/>
    <w:rsid w:val="61CD42B9"/>
    <w:rsid w:val="61CD6067"/>
    <w:rsid w:val="61CE1DDF"/>
    <w:rsid w:val="61CE3B8D"/>
    <w:rsid w:val="61CF0031"/>
    <w:rsid w:val="61CF5A62"/>
    <w:rsid w:val="61D03DA9"/>
    <w:rsid w:val="61D04B09"/>
    <w:rsid w:val="61D062E5"/>
    <w:rsid w:val="61D109A2"/>
    <w:rsid w:val="61D11B21"/>
    <w:rsid w:val="61D11C4D"/>
    <w:rsid w:val="61D218D0"/>
    <w:rsid w:val="61D2367E"/>
    <w:rsid w:val="61D27EB7"/>
    <w:rsid w:val="61D31E9F"/>
    <w:rsid w:val="61D336F1"/>
    <w:rsid w:val="61D35B82"/>
    <w:rsid w:val="61D373F6"/>
    <w:rsid w:val="61D37FB7"/>
    <w:rsid w:val="61D45648"/>
    <w:rsid w:val="61D47D25"/>
    <w:rsid w:val="61D53073"/>
    <w:rsid w:val="61D5317B"/>
    <w:rsid w:val="61D54F1C"/>
    <w:rsid w:val="61D57ACF"/>
    <w:rsid w:val="61D6323C"/>
    <w:rsid w:val="61D64503"/>
    <w:rsid w:val="61D70C94"/>
    <w:rsid w:val="61D72388"/>
    <w:rsid w:val="61D75138"/>
    <w:rsid w:val="61D77DCA"/>
    <w:rsid w:val="61D86E23"/>
    <w:rsid w:val="61D902B3"/>
    <w:rsid w:val="61D90EB0"/>
    <w:rsid w:val="61D96521"/>
    <w:rsid w:val="61DA69D6"/>
    <w:rsid w:val="61DB4C28"/>
    <w:rsid w:val="61DB4C61"/>
    <w:rsid w:val="61DB6EE5"/>
    <w:rsid w:val="61DC62AA"/>
    <w:rsid w:val="61DC7EB8"/>
    <w:rsid w:val="61DD24BD"/>
    <w:rsid w:val="61DE0274"/>
    <w:rsid w:val="61DE2022"/>
    <w:rsid w:val="61DE2900"/>
    <w:rsid w:val="61DE2C95"/>
    <w:rsid w:val="61DE53B4"/>
    <w:rsid w:val="61DE5866"/>
    <w:rsid w:val="61DF3FED"/>
    <w:rsid w:val="61DF4182"/>
    <w:rsid w:val="61DF58C6"/>
    <w:rsid w:val="61E00186"/>
    <w:rsid w:val="61E0223F"/>
    <w:rsid w:val="61E055B5"/>
    <w:rsid w:val="61E11B13"/>
    <w:rsid w:val="61E138C1"/>
    <w:rsid w:val="61E14399"/>
    <w:rsid w:val="61E15FB7"/>
    <w:rsid w:val="61E17D65"/>
    <w:rsid w:val="61E20F62"/>
    <w:rsid w:val="61E215D8"/>
    <w:rsid w:val="61E33ADD"/>
    <w:rsid w:val="61E33F36"/>
    <w:rsid w:val="61E433B1"/>
    <w:rsid w:val="61E52B68"/>
    <w:rsid w:val="61E57855"/>
    <w:rsid w:val="61E60279"/>
    <w:rsid w:val="61E62043"/>
    <w:rsid w:val="61E62B18"/>
    <w:rsid w:val="61E635CD"/>
    <w:rsid w:val="61E641BA"/>
    <w:rsid w:val="61E64557"/>
    <w:rsid w:val="61E6537B"/>
    <w:rsid w:val="61E67129"/>
    <w:rsid w:val="61E7182D"/>
    <w:rsid w:val="61E80059"/>
    <w:rsid w:val="61E82EA1"/>
    <w:rsid w:val="61E84C4F"/>
    <w:rsid w:val="61E84EAC"/>
    <w:rsid w:val="61E87343"/>
    <w:rsid w:val="61E91EFB"/>
    <w:rsid w:val="61E93D7E"/>
    <w:rsid w:val="61E956CC"/>
    <w:rsid w:val="61EA1238"/>
    <w:rsid w:val="61EA389F"/>
    <w:rsid w:val="61EA4E6B"/>
    <w:rsid w:val="61EA6C19"/>
    <w:rsid w:val="61EB2991"/>
    <w:rsid w:val="61EB43F8"/>
    <w:rsid w:val="61EB473F"/>
    <w:rsid w:val="61EC2C7D"/>
    <w:rsid w:val="61EC3613"/>
    <w:rsid w:val="61EC517E"/>
    <w:rsid w:val="61EC61C3"/>
    <w:rsid w:val="61EC79D3"/>
    <w:rsid w:val="61EC7E6A"/>
    <w:rsid w:val="61ED12FA"/>
    <w:rsid w:val="61ED24E8"/>
    <w:rsid w:val="61ED495B"/>
    <w:rsid w:val="61ED6709"/>
    <w:rsid w:val="61EE122D"/>
    <w:rsid w:val="61EE62B8"/>
    <w:rsid w:val="61EE6D35"/>
    <w:rsid w:val="61EF130A"/>
    <w:rsid w:val="61EF17A6"/>
    <w:rsid w:val="61EF4230"/>
    <w:rsid w:val="61EF54AA"/>
    <w:rsid w:val="61EF550E"/>
    <w:rsid w:val="61EF7CBE"/>
    <w:rsid w:val="61F01D56"/>
    <w:rsid w:val="61F03178"/>
    <w:rsid w:val="61F050AA"/>
    <w:rsid w:val="61F061FA"/>
    <w:rsid w:val="61F07FA8"/>
    <w:rsid w:val="61F10556"/>
    <w:rsid w:val="61F1110B"/>
    <w:rsid w:val="61F11EE2"/>
    <w:rsid w:val="61F126CE"/>
    <w:rsid w:val="61F135BD"/>
    <w:rsid w:val="61F14216"/>
    <w:rsid w:val="61F142CE"/>
    <w:rsid w:val="61F14975"/>
    <w:rsid w:val="61F1653A"/>
    <w:rsid w:val="61F21F72"/>
    <w:rsid w:val="61F2259B"/>
    <w:rsid w:val="61F23D20"/>
    <w:rsid w:val="61F24E04"/>
    <w:rsid w:val="61F25ACE"/>
    <w:rsid w:val="61F33D11"/>
    <w:rsid w:val="61F34405"/>
    <w:rsid w:val="61F36661"/>
    <w:rsid w:val="61F40325"/>
    <w:rsid w:val="61F41846"/>
    <w:rsid w:val="61F44167"/>
    <w:rsid w:val="61F47A98"/>
    <w:rsid w:val="61F53810"/>
    <w:rsid w:val="61F63676"/>
    <w:rsid w:val="61F7043E"/>
    <w:rsid w:val="61F730E4"/>
    <w:rsid w:val="61F77588"/>
    <w:rsid w:val="61F8543F"/>
    <w:rsid w:val="61F9246E"/>
    <w:rsid w:val="61F93300"/>
    <w:rsid w:val="61F950AE"/>
    <w:rsid w:val="61F96E5C"/>
    <w:rsid w:val="61FA23CF"/>
    <w:rsid w:val="61FA38FE"/>
    <w:rsid w:val="61FA403B"/>
    <w:rsid w:val="61FA7E59"/>
    <w:rsid w:val="61FB0E26"/>
    <w:rsid w:val="61FB1BC6"/>
    <w:rsid w:val="61FB21BD"/>
    <w:rsid w:val="61FC06FB"/>
    <w:rsid w:val="61FC4B9F"/>
    <w:rsid w:val="61FC694D"/>
    <w:rsid w:val="61FD0BB4"/>
    <w:rsid w:val="61FD21B6"/>
    <w:rsid w:val="61FD76AE"/>
    <w:rsid w:val="61FE0917"/>
    <w:rsid w:val="61FE0B3E"/>
    <w:rsid w:val="61FE2528"/>
    <w:rsid w:val="61FE65BB"/>
    <w:rsid w:val="61FE6888"/>
    <w:rsid w:val="61FF01EB"/>
    <w:rsid w:val="61FF24F8"/>
    <w:rsid w:val="61FF63B2"/>
    <w:rsid w:val="61FF668E"/>
    <w:rsid w:val="61FF748B"/>
    <w:rsid w:val="62000C34"/>
    <w:rsid w:val="6200468F"/>
    <w:rsid w:val="62004B9F"/>
    <w:rsid w:val="6200602F"/>
    <w:rsid w:val="6200643D"/>
    <w:rsid w:val="62006B2F"/>
    <w:rsid w:val="620121B5"/>
    <w:rsid w:val="62013F63"/>
    <w:rsid w:val="62015F82"/>
    <w:rsid w:val="620242A7"/>
    <w:rsid w:val="62031A89"/>
    <w:rsid w:val="62035F2D"/>
    <w:rsid w:val="6203647C"/>
    <w:rsid w:val="62037CDB"/>
    <w:rsid w:val="620418F9"/>
    <w:rsid w:val="62050858"/>
    <w:rsid w:val="62051E28"/>
    <w:rsid w:val="62056AA8"/>
    <w:rsid w:val="62057A04"/>
    <w:rsid w:val="62060558"/>
    <w:rsid w:val="62061579"/>
    <w:rsid w:val="62061EA0"/>
    <w:rsid w:val="62065A1D"/>
    <w:rsid w:val="620677CB"/>
    <w:rsid w:val="620702DF"/>
    <w:rsid w:val="6208709F"/>
    <w:rsid w:val="62092E18"/>
    <w:rsid w:val="62095CF4"/>
    <w:rsid w:val="620A33F2"/>
    <w:rsid w:val="620A72BB"/>
    <w:rsid w:val="620B0059"/>
    <w:rsid w:val="620B125E"/>
    <w:rsid w:val="620B4B04"/>
    <w:rsid w:val="620B6B90"/>
    <w:rsid w:val="620C3034"/>
    <w:rsid w:val="620C3D7F"/>
    <w:rsid w:val="620C799F"/>
    <w:rsid w:val="620D1DEE"/>
    <w:rsid w:val="620D2908"/>
    <w:rsid w:val="620D3E77"/>
    <w:rsid w:val="620D5301"/>
    <w:rsid w:val="620D61F3"/>
    <w:rsid w:val="620D6DAC"/>
    <w:rsid w:val="620D71A2"/>
    <w:rsid w:val="620E18D5"/>
    <w:rsid w:val="620E34CD"/>
    <w:rsid w:val="620F1AC2"/>
    <w:rsid w:val="620F2616"/>
    <w:rsid w:val="620F6680"/>
    <w:rsid w:val="621023F8"/>
    <w:rsid w:val="621041A6"/>
    <w:rsid w:val="6211064A"/>
    <w:rsid w:val="621106F4"/>
    <w:rsid w:val="621138D1"/>
    <w:rsid w:val="621153E0"/>
    <w:rsid w:val="62121B84"/>
    <w:rsid w:val="621243C2"/>
    <w:rsid w:val="62126170"/>
    <w:rsid w:val="62127F1E"/>
    <w:rsid w:val="62130075"/>
    <w:rsid w:val="62130A38"/>
    <w:rsid w:val="62130DE2"/>
    <w:rsid w:val="62131322"/>
    <w:rsid w:val="6213286B"/>
    <w:rsid w:val="62133014"/>
    <w:rsid w:val="62134761"/>
    <w:rsid w:val="6213634B"/>
    <w:rsid w:val="62141EE8"/>
    <w:rsid w:val="62144863"/>
    <w:rsid w:val="62145A44"/>
    <w:rsid w:val="621517BC"/>
    <w:rsid w:val="62161995"/>
    <w:rsid w:val="62161D4D"/>
    <w:rsid w:val="62162057"/>
    <w:rsid w:val="62165C60"/>
    <w:rsid w:val="6217112C"/>
    <w:rsid w:val="621719D8"/>
    <w:rsid w:val="621731AC"/>
    <w:rsid w:val="6217491F"/>
    <w:rsid w:val="62175534"/>
    <w:rsid w:val="62185625"/>
    <w:rsid w:val="6218588A"/>
    <w:rsid w:val="621876E4"/>
    <w:rsid w:val="62187A9E"/>
    <w:rsid w:val="621912AD"/>
    <w:rsid w:val="6219297F"/>
    <w:rsid w:val="621930F1"/>
    <w:rsid w:val="62195750"/>
    <w:rsid w:val="62195FA2"/>
    <w:rsid w:val="62196213"/>
    <w:rsid w:val="621A17A6"/>
    <w:rsid w:val="621A1D8B"/>
    <w:rsid w:val="621A5025"/>
    <w:rsid w:val="621A5185"/>
    <w:rsid w:val="621A6DD3"/>
    <w:rsid w:val="621A7A46"/>
    <w:rsid w:val="621B2375"/>
    <w:rsid w:val="621B3775"/>
    <w:rsid w:val="621B460E"/>
    <w:rsid w:val="621B4BF2"/>
    <w:rsid w:val="621B4CA0"/>
    <w:rsid w:val="621C238F"/>
    <w:rsid w:val="621C2B4B"/>
    <w:rsid w:val="621C40C6"/>
    <w:rsid w:val="621C41CF"/>
    <w:rsid w:val="621C5807"/>
    <w:rsid w:val="621C72A8"/>
    <w:rsid w:val="621D31D5"/>
    <w:rsid w:val="621D6164"/>
    <w:rsid w:val="621D7C2B"/>
    <w:rsid w:val="621E0127"/>
    <w:rsid w:val="621E0BD4"/>
    <w:rsid w:val="621E2D67"/>
    <w:rsid w:val="621E4F75"/>
    <w:rsid w:val="621E5F08"/>
    <w:rsid w:val="621E68C3"/>
    <w:rsid w:val="621F0284"/>
    <w:rsid w:val="621F15B7"/>
    <w:rsid w:val="621F43E9"/>
    <w:rsid w:val="621F4BAA"/>
    <w:rsid w:val="621F7349"/>
    <w:rsid w:val="621F7E52"/>
    <w:rsid w:val="6220088D"/>
    <w:rsid w:val="6220263B"/>
    <w:rsid w:val="622031EE"/>
    <w:rsid w:val="62206ADF"/>
    <w:rsid w:val="62210161"/>
    <w:rsid w:val="622107CD"/>
    <w:rsid w:val="62213805"/>
    <w:rsid w:val="62214CA7"/>
    <w:rsid w:val="62216061"/>
    <w:rsid w:val="622163B3"/>
    <w:rsid w:val="62217E3D"/>
    <w:rsid w:val="62227F38"/>
    <w:rsid w:val="6223037D"/>
    <w:rsid w:val="6223212B"/>
    <w:rsid w:val="622336A4"/>
    <w:rsid w:val="6223501F"/>
    <w:rsid w:val="622377CD"/>
    <w:rsid w:val="622540F5"/>
    <w:rsid w:val="62255429"/>
    <w:rsid w:val="62255EA3"/>
    <w:rsid w:val="62257C51"/>
    <w:rsid w:val="62261303"/>
    <w:rsid w:val="622639C9"/>
    <w:rsid w:val="62264C7F"/>
    <w:rsid w:val="62265778"/>
    <w:rsid w:val="62267D49"/>
    <w:rsid w:val="6227291A"/>
    <w:rsid w:val="62273BD2"/>
    <w:rsid w:val="62273DA7"/>
    <w:rsid w:val="622814F0"/>
    <w:rsid w:val="62283DAA"/>
    <w:rsid w:val="62285994"/>
    <w:rsid w:val="62286381"/>
    <w:rsid w:val="62287742"/>
    <w:rsid w:val="622901D1"/>
    <w:rsid w:val="622939CF"/>
    <w:rsid w:val="622A0588"/>
    <w:rsid w:val="622A129B"/>
    <w:rsid w:val="622A34BA"/>
    <w:rsid w:val="622A5268"/>
    <w:rsid w:val="622A66CA"/>
    <w:rsid w:val="622A6A5A"/>
    <w:rsid w:val="622B0FE0"/>
    <w:rsid w:val="622B272B"/>
    <w:rsid w:val="622B7232"/>
    <w:rsid w:val="622B7A2C"/>
    <w:rsid w:val="622C233E"/>
    <w:rsid w:val="622C3F7D"/>
    <w:rsid w:val="622C52FC"/>
    <w:rsid w:val="622C5484"/>
    <w:rsid w:val="622C6936"/>
    <w:rsid w:val="622C6D77"/>
    <w:rsid w:val="622D2FAA"/>
    <w:rsid w:val="622D4D58"/>
    <w:rsid w:val="622D678C"/>
    <w:rsid w:val="622E19B6"/>
    <w:rsid w:val="622E5525"/>
    <w:rsid w:val="622E7C1C"/>
    <w:rsid w:val="622F0AD0"/>
    <w:rsid w:val="622F3C7D"/>
    <w:rsid w:val="6230128B"/>
    <w:rsid w:val="623021C1"/>
    <w:rsid w:val="623065F6"/>
    <w:rsid w:val="623074DA"/>
    <w:rsid w:val="623123DD"/>
    <w:rsid w:val="62312A9A"/>
    <w:rsid w:val="62312EED"/>
    <w:rsid w:val="623135A8"/>
    <w:rsid w:val="62314848"/>
    <w:rsid w:val="6231659D"/>
    <w:rsid w:val="6232236E"/>
    <w:rsid w:val="62326812"/>
    <w:rsid w:val="623274EA"/>
    <w:rsid w:val="62327A2D"/>
    <w:rsid w:val="6233115E"/>
    <w:rsid w:val="62331635"/>
    <w:rsid w:val="623325FE"/>
    <w:rsid w:val="62347E94"/>
    <w:rsid w:val="62350240"/>
    <w:rsid w:val="623534E8"/>
    <w:rsid w:val="62360451"/>
    <w:rsid w:val="6236092E"/>
    <w:rsid w:val="6236436B"/>
    <w:rsid w:val="62364782"/>
    <w:rsid w:val="62365E81"/>
    <w:rsid w:val="6236783E"/>
    <w:rsid w:val="6237240F"/>
    <w:rsid w:val="62373E29"/>
    <w:rsid w:val="62375BD7"/>
    <w:rsid w:val="62377985"/>
    <w:rsid w:val="623941D1"/>
    <w:rsid w:val="623954AB"/>
    <w:rsid w:val="62397900"/>
    <w:rsid w:val="623B0B3E"/>
    <w:rsid w:val="623B56C7"/>
    <w:rsid w:val="623B7475"/>
    <w:rsid w:val="623C1F64"/>
    <w:rsid w:val="623C4C6F"/>
    <w:rsid w:val="623D3AD2"/>
    <w:rsid w:val="623D431D"/>
    <w:rsid w:val="623D61BE"/>
    <w:rsid w:val="623D7558"/>
    <w:rsid w:val="623E13B8"/>
    <w:rsid w:val="623E236D"/>
    <w:rsid w:val="623E5155"/>
    <w:rsid w:val="623E51B7"/>
    <w:rsid w:val="623E7086"/>
    <w:rsid w:val="623E7A46"/>
    <w:rsid w:val="623F04E1"/>
    <w:rsid w:val="623F1255"/>
    <w:rsid w:val="623F5AE4"/>
    <w:rsid w:val="623F6839"/>
    <w:rsid w:val="624014A4"/>
    <w:rsid w:val="6240283F"/>
    <w:rsid w:val="62402CDD"/>
    <w:rsid w:val="62404A8B"/>
    <w:rsid w:val="624060C2"/>
    <w:rsid w:val="62407591"/>
    <w:rsid w:val="62411ECB"/>
    <w:rsid w:val="624125B1"/>
    <w:rsid w:val="6241391E"/>
    <w:rsid w:val="62414951"/>
    <w:rsid w:val="624157A0"/>
    <w:rsid w:val="62416092"/>
    <w:rsid w:val="62422029"/>
    <w:rsid w:val="6243457B"/>
    <w:rsid w:val="62435F22"/>
    <w:rsid w:val="624468E7"/>
    <w:rsid w:val="624502F4"/>
    <w:rsid w:val="62451B7B"/>
    <w:rsid w:val="624520A2"/>
    <w:rsid w:val="624532D2"/>
    <w:rsid w:val="62453860"/>
    <w:rsid w:val="6245482A"/>
    <w:rsid w:val="62455CE7"/>
    <w:rsid w:val="62456545"/>
    <w:rsid w:val="62461A4A"/>
    <w:rsid w:val="62462BD1"/>
    <w:rsid w:val="6246445C"/>
    <w:rsid w:val="62465009"/>
    <w:rsid w:val="62467BC8"/>
    <w:rsid w:val="62470444"/>
    <w:rsid w:val="62471F04"/>
    <w:rsid w:val="62473B63"/>
    <w:rsid w:val="6247406C"/>
    <w:rsid w:val="6247504A"/>
    <w:rsid w:val="624801C9"/>
    <w:rsid w:val="62480B32"/>
    <w:rsid w:val="6248340F"/>
    <w:rsid w:val="624835A5"/>
    <w:rsid w:val="62483940"/>
    <w:rsid w:val="62487DE4"/>
    <w:rsid w:val="62490946"/>
    <w:rsid w:val="62491F34"/>
    <w:rsid w:val="624943AD"/>
    <w:rsid w:val="62494FB4"/>
    <w:rsid w:val="6249566B"/>
    <w:rsid w:val="6249669D"/>
    <w:rsid w:val="624A4E4E"/>
    <w:rsid w:val="624A590A"/>
    <w:rsid w:val="624B1D15"/>
    <w:rsid w:val="624B3430"/>
    <w:rsid w:val="624B368F"/>
    <w:rsid w:val="624B4007"/>
    <w:rsid w:val="624C1682"/>
    <w:rsid w:val="624C4995"/>
    <w:rsid w:val="624D0F56"/>
    <w:rsid w:val="624D387D"/>
    <w:rsid w:val="624D4635"/>
    <w:rsid w:val="624D49DE"/>
    <w:rsid w:val="624D53FA"/>
    <w:rsid w:val="624D5980"/>
    <w:rsid w:val="624D71A8"/>
    <w:rsid w:val="624E19E9"/>
    <w:rsid w:val="624F2F20"/>
    <w:rsid w:val="62500A46"/>
    <w:rsid w:val="62502FB6"/>
    <w:rsid w:val="62514446"/>
    <w:rsid w:val="62514EEA"/>
    <w:rsid w:val="62515565"/>
    <w:rsid w:val="62517525"/>
    <w:rsid w:val="6252467C"/>
    <w:rsid w:val="625247BE"/>
    <w:rsid w:val="625258D6"/>
    <w:rsid w:val="6252656D"/>
    <w:rsid w:val="625422E5"/>
    <w:rsid w:val="62544508"/>
    <w:rsid w:val="62545823"/>
    <w:rsid w:val="62555998"/>
    <w:rsid w:val="62562501"/>
    <w:rsid w:val="62563E98"/>
    <w:rsid w:val="625642AF"/>
    <w:rsid w:val="62570027"/>
    <w:rsid w:val="625716FC"/>
    <w:rsid w:val="6258314E"/>
    <w:rsid w:val="62586279"/>
    <w:rsid w:val="625964BC"/>
    <w:rsid w:val="625A2A7D"/>
    <w:rsid w:val="625A488E"/>
    <w:rsid w:val="625A57A9"/>
    <w:rsid w:val="625B0BCE"/>
    <w:rsid w:val="625B7B17"/>
    <w:rsid w:val="625C1559"/>
    <w:rsid w:val="625C563D"/>
    <w:rsid w:val="625C5CF8"/>
    <w:rsid w:val="625C6F49"/>
    <w:rsid w:val="625C73EB"/>
    <w:rsid w:val="625D388F"/>
    <w:rsid w:val="625D6E7D"/>
    <w:rsid w:val="625D7AFC"/>
    <w:rsid w:val="625E018B"/>
    <w:rsid w:val="625E13B5"/>
    <w:rsid w:val="625E3163"/>
    <w:rsid w:val="625E56B2"/>
    <w:rsid w:val="625F161B"/>
    <w:rsid w:val="625F6324"/>
    <w:rsid w:val="62600C89"/>
    <w:rsid w:val="6260166C"/>
    <w:rsid w:val="62602940"/>
    <w:rsid w:val="62602AAB"/>
    <w:rsid w:val="6260512D"/>
    <w:rsid w:val="62613A54"/>
    <w:rsid w:val="62613F3B"/>
    <w:rsid w:val="62614A02"/>
    <w:rsid w:val="62620735"/>
    <w:rsid w:val="62620EA5"/>
    <w:rsid w:val="62622788"/>
    <w:rsid w:val="62622C39"/>
    <w:rsid w:val="62623858"/>
    <w:rsid w:val="626246A9"/>
    <w:rsid w:val="6263077A"/>
    <w:rsid w:val="62634C1E"/>
    <w:rsid w:val="626369CC"/>
    <w:rsid w:val="6264142C"/>
    <w:rsid w:val="62650996"/>
    <w:rsid w:val="62652744"/>
    <w:rsid w:val="626544F2"/>
    <w:rsid w:val="6265548D"/>
    <w:rsid w:val="626562A0"/>
    <w:rsid w:val="626611A0"/>
    <w:rsid w:val="62662018"/>
    <w:rsid w:val="62662D41"/>
    <w:rsid w:val="62663C4F"/>
    <w:rsid w:val="62671DAA"/>
    <w:rsid w:val="62680B2A"/>
    <w:rsid w:val="62682234"/>
    <w:rsid w:val="62685D90"/>
    <w:rsid w:val="62687E3A"/>
    <w:rsid w:val="626926CD"/>
    <w:rsid w:val="626A0D58"/>
    <w:rsid w:val="626A1B08"/>
    <w:rsid w:val="626A5FAC"/>
    <w:rsid w:val="626B020D"/>
    <w:rsid w:val="626B3065"/>
    <w:rsid w:val="626B6509"/>
    <w:rsid w:val="626B762E"/>
    <w:rsid w:val="626C5880"/>
    <w:rsid w:val="626D3930"/>
    <w:rsid w:val="626D4F49"/>
    <w:rsid w:val="626D76EE"/>
    <w:rsid w:val="626E0591"/>
    <w:rsid w:val="626E3F34"/>
    <w:rsid w:val="626E50AF"/>
    <w:rsid w:val="626E5909"/>
    <w:rsid w:val="626E609B"/>
    <w:rsid w:val="626F1110"/>
    <w:rsid w:val="626F25DB"/>
    <w:rsid w:val="626F3587"/>
    <w:rsid w:val="626F35C2"/>
    <w:rsid w:val="626F4B7D"/>
    <w:rsid w:val="626F5370"/>
    <w:rsid w:val="626F5D49"/>
    <w:rsid w:val="626F6DDA"/>
    <w:rsid w:val="626F711E"/>
    <w:rsid w:val="626F7870"/>
    <w:rsid w:val="627025A0"/>
    <w:rsid w:val="627043A1"/>
    <w:rsid w:val="627079CF"/>
    <w:rsid w:val="62711AC5"/>
    <w:rsid w:val="62713A30"/>
    <w:rsid w:val="6272022C"/>
    <w:rsid w:val="627209BD"/>
    <w:rsid w:val="627222EF"/>
    <w:rsid w:val="62730E1A"/>
    <w:rsid w:val="62733293"/>
    <w:rsid w:val="627347CA"/>
    <w:rsid w:val="62735116"/>
    <w:rsid w:val="62740BD9"/>
    <w:rsid w:val="62742987"/>
    <w:rsid w:val="62746EB4"/>
    <w:rsid w:val="62751FFF"/>
    <w:rsid w:val="62753523"/>
    <w:rsid w:val="627543D9"/>
    <w:rsid w:val="62760032"/>
    <w:rsid w:val="627604AD"/>
    <w:rsid w:val="62762C81"/>
    <w:rsid w:val="62764951"/>
    <w:rsid w:val="62764CD1"/>
    <w:rsid w:val="627666FF"/>
    <w:rsid w:val="62774225"/>
    <w:rsid w:val="6277440F"/>
    <w:rsid w:val="62775FD3"/>
    <w:rsid w:val="627806C9"/>
    <w:rsid w:val="62782477"/>
    <w:rsid w:val="62783C0B"/>
    <w:rsid w:val="62785379"/>
    <w:rsid w:val="627874CA"/>
    <w:rsid w:val="627875F1"/>
    <w:rsid w:val="62787BAE"/>
    <w:rsid w:val="62791D4B"/>
    <w:rsid w:val="627921C2"/>
    <w:rsid w:val="627A375B"/>
    <w:rsid w:val="627A7977"/>
    <w:rsid w:val="627B1F67"/>
    <w:rsid w:val="627B2308"/>
    <w:rsid w:val="627B76B3"/>
    <w:rsid w:val="627C3930"/>
    <w:rsid w:val="627D1E2A"/>
    <w:rsid w:val="627D4393"/>
    <w:rsid w:val="627D5CDF"/>
    <w:rsid w:val="627D7A8D"/>
    <w:rsid w:val="627E55B4"/>
    <w:rsid w:val="627E67FA"/>
    <w:rsid w:val="627E7362"/>
    <w:rsid w:val="627F2323"/>
    <w:rsid w:val="627F33F6"/>
    <w:rsid w:val="627F48F3"/>
    <w:rsid w:val="627F7A9F"/>
    <w:rsid w:val="62806A1B"/>
    <w:rsid w:val="62810954"/>
    <w:rsid w:val="628232AE"/>
    <w:rsid w:val="628232F6"/>
    <w:rsid w:val="62823614"/>
    <w:rsid w:val="62826216"/>
    <w:rsid w:val="62830E1C"/>
    <w:rsid w:val="62831757"/>
    <w:rsid w:val="62831F13"/>
    <w:rsid w:val="62832185"/>
    <w:rsid w:val="62832BCA"/>
    <w:rsid w:val="6283443C"/>
    <w:rsid w:val="62835E45"/>
    <w:rsid w:val="6283706E"/>
    <w:rsid w:val="6284633D"/>
    <w:rsid w:val="628472D5"/>
    <w:rsid w:val="628506F0"/>
    <w:rsid w:val="62851D59"/>
    <w:rsid w:val="62852243"/>
    <w:rsid w:val="62853336"/>
    <w:rsid w:val="62853E86"/>
    <w:rsid w:val="628541F2"/>
    <w:rsid w:val="62854B94"/>
    <w:rsid w:val="62856942"/>
    <w:rsid w:val="62856D9F"/>
    <w:rsid w:val="62861BE5"/>
    <w:rsid w:val="62864468"/>
    <w:rsid w:val="628647C6"/>
    <w:rsid w:val="628665D1"/>
    <w:rsid w:val="628703AD"/>
    <w:rsid w:val="6287090C"/>
    <w:rsid w:val="62871A36"/>
    <w:rsid w:val="628726BA"/>
    <w:rsid w:val="62882256"/>
    <w:rsid w:val="62886432"/>
    <w:rsid w:val="62894684"/>
    <w:rsid w:val="628953AB"/>
    <w:rsid w:val="62896A82"/>
    <w:rsid w:val="628A3147"/>
    <w:rsid w:val="628A3F58"/>
    <w:rsid w:val="628A737B"/>
    <w:rsid w:val="628B1104"/>
    <w:rsid w:val="628B15D4"/>
    <w:rsid w:val="628B3DEA"/>
    <w:rsid w:val="628B45D7"/>
    <w:rsid w:val="628B7288"/>
    <w:rsid w:val="628C0538"/>
    <w:rsid w:val="628C1A7E"/>
    <w:rsid w:val="628C511D"/>
    <w:rsid w:val="628C7CD0"/>
    <w:rsid w:val="628D3737"/>
    <w:rsid w:val="628D3A49"/>
    <w:rsid w:val="628D57F7"/>
    <w:rsid w:val="628D5BE1"/>
    <w:rsid w:val="628E1C9B"/>
    <w:rsid w:val="628F156F"/>
    <w:rsid w:val="628F5A13"/>
    <w:rsid w:val="62900078"/>
    <w:rsid w:val="62903704"/>
    <w:rsid w:val="62906FB9"/>
    <w:rsid w:val="62913539"/>
    <w:rsid w:val="629152E7"/>
    <w:rsid w:val="62916B94"/>
    <w:rsid w:val="6292105F"/>
    <w:rsid w:val="62922F91"/>
    <w:rsid w:val="62923D77"/>
    <w:rsid w:val="62932168"/>
    <w:rsid w:val="6293361B"/>
    <w:rsid w:val="629337DA"/>
    <w:rsid w:val="62933BFD"/>
    <w:rsid w:val="629341F9"/>
    <w:rsid w:val="629372B1"/>
    <w:rsid w:val="62941BB3"/>
    <w:rsid w:val="629427F0"/>
    <w:rsid w:val="62943029"/>
    <w:rsid w:val="62944DD7"/>
    <w:rsid w:val="62946B85"/>
    <w:rsid w:val="62950FB1"/>
    <w:rsid w:val="629524E1"/>
    <w:rsid w:val="6295273B"/>
    <w:rsid w:val="62952E2B"/>
    <w:rsid w:val="6295419A"/>
    <w:rsid w:val="629559F9"/>
    <w:rsid w:val="62960B4F"/>
    <w:rsid w:val="62961753"/>
    <w:rsid w:val="629628FD"/>
    <w:rsid w:val="629673B3"/>
    <w:rsid w:val="62967742"/>
    <w:rsid w:val="62970423"/>
    <w:rsid w:val="629713CF"/>
    <w:rsid w:val="62974075"/>
    <w:rsid w:val="62977D69"/>
    <w:rsid w:val="62983094"/>
    <w:rsid w:val="62986BDB"/>
    <w:rsid w:val="62987525"/>
    <w:rsid w:val="6299063F"/>
    <w:rsid w:val="629917AC"/>
    <w:rsid w:val="629934BE"/>
    <w:rsid w:val="6299419B"/>
    <w:rsid w:val="629A1773"/>
    <w:rsid w:val="629B7F14"/>
    <w:rsid w:val="629C69EC"/>
    <w:rsid w:val="629C7DB8"/>
    <w:rsid w:val="629D0130"/>
    <w:rsid w:val="629D15BD"/>
    <w:rsid w:val="629D2462"/>
    <w:rsid w:val="629D3C8C"/>
    <w:rsid w:val="629D4877"/>
    <w:rsid w:val="629D7C50"/>
    <w:rsid w:val="629E17B2"/>
    <w:rsid w:val="629E291D"/>
    <w:rsid w:val="629E7A04"/>
    <w:rsid w:val="629F0EE6"/>
    <w:rsid w:val="629F4090"/>
    <w:rsid w:val="62A02221"/>
    <w:rsid w:val="62A03106"/>
    <w:rsid w:val="62A0377C"/>
    <w:rsid w:val="62A0536D"/>
    <w:rsid w:val="62A0552A"/>
    <w:rsid w:val="62A0686D"/>
    <w:rsid w:val="62A0765A"/>
    <w:rsid w:val="62A15CFF"/>
    <w:rsid w:val="62A163C6"/>
    <w:rsid w:val="62A167FD"/>
    <w:rsid w:val="62A212A2"/>
    <w:rsid w:val="62A21A48"/>
    <w:rsid w:val="62A2285E"/>
    <w:rsid w:val="62A2498A"/>
    <w:rsid w:val="62A25746"/>
    <w:rsid w:val="62A274F4"/>
    <w:rsid w:val="62A34943"/>
    <w:rsid w:val="62A3501A"/>
    <w:rsid w:val="62A3542F"/>
    <w:rsid w:val="62A36DC8"/>
    <w:rsid w:val="62A377DA"/>
    <w:rsid w:val="62A414BE"/>
    <w:rsid w:val="62A4218A"/>
    <w:rsid w:val="62A42563"/>
    <w:rsid w:val="62A44272"/>
    <w:rsid w:val="62A52B40"/>
    <w:rsid w:val="62A56FE4"/>
    <w:rsid w:val="62A577A2"/>
    <w:rsid w:val="62A620AE"/>
    <w:rsid w:val="62A6468F"/>
    <w:rsid w:val="62A67099"/>
    <w:rsid w:val="62A679A7"/>
    <w:rsid w:val="62A7266F"/>
    <w:rsid w:val="62A72D5C"/>
    <w:rsid w:val="62A768B8"/>
    <w:rsid w:val="62A80882"/>
    <w:rsid w:val="62A8489C"/>
    <w:rsid w:val="62A866DF"/>
    <w:rsid w:val="62A87505"/>
    <w:rsid w:val="62AA45FB"/>
    <w:rsid w:val="62AB43FD"/>
    <w:rsid w:val="62AB5051"/>
    <w:rsid w:val="62AB7243"/>
    <w:rsid w:val="62AC0373"/>
    <w:rsid w:val="62AC2121"/>
    <w:rsid w:val="62AC218F"/>
    <w:rsid w:val="62AC3ECF"/>
    <w:rsid w:val="62AC64E1"/>
    <w:rsid w:val="62AD4BC1"/>
    <w:rsid w:val="62AE3FDB"/>
    <w:rsid w:val="62AE40EB"/>
    <w:rsid w:val="62AE5204"/>
    <w:rsid w:val="62AE5943"/>
    <w:rsid w:val="62AE5E99"/>
    <w:rsid w:val="62AF1013"/>
    <w:rsid w:val="62AF39BF"/>
    <w:rsid w:val="62AF39D2"/>
    <w:rsid w:val="62B0245C"/>
    <w:rsid w:val="62B1035E"/>
    <w:rsid w:val="62B103C8"/>
    <w:rsid w:val="62B114E5"/>
    <w:rsid w:val="62B15989"/>
    <w:rsid w:val="62B15C0F"/>
    <w:rsid w:val="62B162F2"/>
    <w:rsid w:val="62B1668B"/>
    <w:rsid w:val="62B22353"/>
    <w:rsid w:val="62B2525D"/>
    <w:rsid w:val="62B25325"/>
    <w:rsid w:val="62B25E81"/>
    <w:rsid w:val="62B31701"/>
    <w:rsid w:val="62B35D29"/>
    <w:rsid w:val="62B37FD7"/>
    <w:rsid w:val="62B45479"/>
    <w:rsid w:val="62B47227"/>
    <w:rsid w:val="62B56081"/>
    <w:rsid w:val="62B56103"/>
    <w:rsid w:val="62B56ACB"/>
    <w:rsid w:val="62B60CD4"/>
    <w:rsid w:val="62B611F1"/>
    <w:rsid w:val="62B62164"/>
    <w:rsid w:val="62B62F9F"/>
    <w:rsid w:val="62B64D4D"/>
    <w:rsid w:val="62B66AFB"/>
    <w:rsid w:val="62B67795"/>
    <w:rsid w:val="62B72874"/>
    <w:rsid w:val="62B80AC5"/>
    <w:rsid w:val="62B81F9F"/>
    <w:rsid w:val="62B848B8"/>
    <w:rsid w:val="62B84A84"/>
    <w:rsid w:val="62B84BE9"/>
    <w:rsid w:val="62B86105"/>
    <w:rsid w:val="62B86D17"/>
    <w:rsid w:val="62B92A90"/>
    <w:rsid w:val="62B94212"/>
    <w:rsid w:val="62B9483E"/>
    <w:rsid w:val="62B97472"/>
    <w:rsid w:val="62B975B9"/>
    <w:rsid w:val="62BA2C49"/>
    <w:rsid w:val="62BB05B6"/>
    <w:rsid w:val="62BB0F40"/>
    <w:rsid w:val="62BB2364"/>
    <w:rsid w:val="62BC146B"/>
    <w:rsid w:val="62BC3405"/>
    <w:rsid w:val="62BC5FD6"/>
    <w:rsid w:val="62BC7E8A"/>
    <w:rsid w:val="62BD2580"/>
    <w:rsid w:val="62BD2F93"/>
    <w:rsid w:val="62BD60DC"/>
    <w:rsid w:val="62BE2037"/>
    <w:rsid w:val="62BE2A81"/>
    <w:rsid w:val="62BE44B8"/>
    <w:rsid w:val="62BF00A6"/>
    <w:rsid w:val="62BF3C6B"/>
    <w:rsid w:val="62C04957"/>
    <w:rsid w:val="62C05712"/>
    <w:rsid w:val="62C11478"/>
    <w:rsid w:val="62C1376F"/>
    <w:rsid w:val="62C15509"/>
    <w:rsid w:val="62C21944"/>
    <w:rsid w:val="62C21E48"/>
    <w:rsid w:val="62C236F2"/>
    <w:rsid w:val="62C25380"/>
    <w:rsid w:val="62C25AB2"/>
    <w:rsid w:val="62C27934"/>
    <w:rsid w:val="62C30481"/>
    <w:rsid w:val="62C31218"/>
    <w:rsid w:val="62C332D8"/>
    <w:rsid w:val="62C34EBD"/>
    <w:rsid w:val="62C35E50"/>
    <w:rsid w:val="62C4052C"/>
    <w:rsid w:val="62C43229"/>
    <w:rsid w:val="62C456BC"/>
    <w:rsid w:val="62C51434"/>
    <w:rsid w:val="62C51C5D"/>
    <w:rsid w:val="62C531E2"/>
    <w:rsid w:val="62C54DE6"/>
    <w:rsid w:val="62C55BF8"/>
    <w:rsid w:val="62C57A5A"/>
    <w:rsid w:val="62C6187F"/>
    <w:rsid w:val="62C622F5"/>
    <w:rsid w:val="62C630EB"/>
    <w:rsid w:val="62C638BF"/>
    <w:rsid w:val="62C63975"/>
    <w:rsid w:val="62C67088"/>
    <w:rsid w:val="62C70D09"/>
    <w:rsid w:val="62C71F29"/>
    <w:rsid w:val="62C730E9"/>
    <w:rsid w:val="62C83AAD"/>
    <w:rsid w:val="62C84A81"/>
    <w:rsid w:val="62C85820"/>
    <w:rsid w:val="62C917F8"/>
    <w:rsid w:val="62C91C4E"/>
    <w:rsid w:val="62C92297"/>
    <w:rsid w:val="62C95953"/>
    <w:rsid w:val="62CA07F9"/>
    <w:rsid w:val="62CA25A7"/>
    <w:rsid w:val="62CA6A4B"/>
    <w:rsid w:val="62CB09BA"/>
    <w:rsid w:val="62CC3E08"/>
    <w:rsid w:val="62CC4C1D"/>
    <w:rsid w:val="62CC5ACB"/>
    <w:rsid w:val="62CC631F"/>
    <w:rsid w:val="62CD155E"/>
    <w:rsid w:val="62CD37C2"/>
    <w:rsid w:val="62CE02E9"/>
    <w:rsid w:val="62CE653B"/>
    <w:rsid w:val="62CF10E8"/>
    <w:rsid w:val="62CF3178"/>
    <w:rsid w:val="62CF5E0F"/>
    <w:rsid w:val="62CF747E"/>
    <w:rsid w:val="62CF7BBD"/>
    <w:rsid w:val="62D02D0B"/>
    <w:rsid w:val="62D10644"/>
    <w:rsid w:val="62D17DD9"/>
    <w:rsid w:val="62D21E6C"/>
    <w:rsid w:val="62D27A51"/>
    <w:rsid w:val="62D313B4"/>
    <w:rsid w:val="62D32392"/>
    <w:rsid w:val="62D3245E"/>
    <w:rsid w:val="62D33B51"/>
    <w:rsid w:val="62D3616A"/>
    <w:rsid w:val="62D376AD"/>
    <w:rsid w:val="62D41677"/>
    <w:rsid w:val="62D43425"/>
    <w:rsid w:val="62D4425D"/>
    <w:rsid w:val="62D4590C"/>
    <w:rsid w:val="62D4701C"/>
    <w:rsid w:val="62D529F4"/>
    <w:rsid w:val="62D578C9"/>
    <w:rsid w:val="62D62432"/>
    <w:rsid w:val="62D66B7D"/>
    <w:rsid w:val="62D6719E"/>
    <w:rsid w:val="62D72BDE"/>
    <w:rsid w:val="62D82F16"/>
    <w:rsid w:val="62D83C1B"/>
    <w:rsid w:val="62D8406E"/>
    <w:rsid w:val="62D85613"/>
    <w:rsid w:val="62D90535"/>
    <w:rsid w:val="62D90A3C"/>
    <w:rsid w:val="62D90DBE"/>
    <w:rsid w:val="62D96C8E"/>
    <w:rsid w:val="62DA0DD6"/>
    <w:rsid w:val="62DA4EE0"/>
    <w:rsid w:val="62DA4FF2"/>
    <w:rsid w:val="62DA698E"/>
    <w:rsid w:val="62DA71D4"/>
    <w:rsid w:val="62DB0C58"/>
    <w:rsid w:val="62DB155F"/>
    <w:rsid w:val="62DB230A"/>
    <w:rsid w:val="62DB2A06"/>
    <w:rsid w:val="62DB3ADA"/>
    <w:rsid w:val="62DB73EA"/>
    <w:rsid w:val="62DC29EF"/>
    <w:rsid w:val="62DC55C0"/>
    <w:rsid w:val="62DD0994"/>
    <w:rsid w:val="62DD22DA"/>
    <w:rsid w:val="62DD39AE"/>
    <w:rsid w:val="62DD530F"/>
    <w:rsid w:val="62DD677E"/>
    <w:rsid w:val="62DD74C7"/>
    <w:rsid w:val="62DE42A4"/>
    <w:rsid w:val="62DE49FD"/>
    <w:rsid w:val="62DE559F"/>
    <w:rsid w:val="62DE7EA1"/>
    <w:rsid w:val="62DF1370"/>
    <w:rsid w:val="62DF24F6"/>
    <w:rsid w:val="62E01DCA"/>
    <w:rsid w:val="62E036FC"/>
    <w:rsid w:val="62E053D1"/>
    <w:rsid w:val="62E13C90"/>
    <w:rsid w:val="62E1583B"/>
    <w:rsid w:val="62E20295"/>
    <w:rsid w:val="62E21966"/>
    <w:rsid w:val="62E21FE6"/>
    <w:rsid w:val="62E25B42"/>
    <w:rsid w:val="62E278F0"/>
    <w:rsid w:val="62E27A4D"/>
    <w:rsid w:val="62E334F4"/>
    <w:rsid w:val="62E40895"/>
    <w:rsid w:val="62E418BB"/>
    <w:rsid w:val="62E42611"/>
    <w:rsid w:val="62E4418A"/>
    <w:rsid w:val="62E44BA9"/>
    <w:rsid w:val="62E464DA"/>
    <w:rsid w:val="62E466BB"/>
    <w:rsid w:val="62E53885"/>
    <w:rsid w:val="62E53AA1"/>
    <w:rsid w:val="62E5478B"/>
    <w:rsid w:val="62E55633"/>
    <w:rsid w:val="62E573E1"/>
    <w:rsid w:val="62E67686"/>
    <w:rsid w:val="62E73159"/>
    <w:rsid w:val="62E739E8"/>
    <w:rsid w:val="62E821E8"/>
    <w:rsid w:val="62E82DDD"/>
    <w:rsid w:val="62E83B63"/>
    <w:rsid w:val="62E870B8"/>
    <w:rsid w:val="62E95123"/>
    <w:rsid w:val="62E96ED1"/>
    <w:rsid w:val="62EA0E9B"/>
    <w:rsid w:val="62EA1E06"/>
    <w:rsid w:val="62EA44F9"/>
    <w:rsid w:val="62EA49F7"/>
    <w:rsid w:val="62EB25A5"/>
    <w:rsid w:val="62EB35BA"/>
    <w:rsid w:val="62EC076F"/>
    <w:rsid w:val="62EC38D6"/>
    <w:rsid w:val="62EC4C13"/>
    <w:rsid w:val="62EC5DE5"/>
    <w:rsid w:val="62EC72EE"/>
    <w:rsid w:val="62ED06F3"/>
    <w:rsid w:val="62ED7EEF"/>
    <w:rsid w:val="62EE44E7"/>
    <w:rsid w:val="62EF025F"/>
    <w:rsid w:val="62EF0E65"/>
    <w:rsid w:val="62EF1129"/>
    <w:rsid w:val="62EF64B1"/>
    <w:rsid w:val="62F004BC"/>
    <w:rsid w:val="62F01A35"/>
    <w:rsid w:val="62F02490"/>
    <w:rsid w:val="62F12229"/>
    <w:rsid w:val="62F13785"/>
    <w:rsid w:val="62F15D85"/>
    <w:rsid w:val="62F162BF"/>
    <w:rsid w:val="62F2363D"/>
    <w:rsid w:val="62F25ACE"/>
    <w:rsid w:val="62F27950"/>
    <w:rsid w:val="62F35FA1"/>
    <w:rsid w:val="62F360A5"/>
    <w:rsid w:val="62F40D9C"/>
    <w:rsid w:val="62F45876"/>
    <w:rsid w:val="62F53B9C"/>
    <w:rsid w:val="62F54CD7"/>
    <w:rsid w:val="62F6093E"/>
    <w:rsid w:val="62F615EE"/>
    <w:rsid w:val="62F62311"/>
    <w:rsid w:val="62F6339C"/>
    <w:rsid w:val="62F64A26"/>
    <w:rsid w:val="62F675F7"/>
    <w:rsid w:val="62F70B09"/>
    <w:rsid w:val="62F83658"/>
    <w:rsid w:val="62F85366"/>
    <w:rsid w:val="62F85378"/>
    <w:rsid w:val="62F8789B"/>
    <w:rsid w:val="62F931D3"/>
    <w:rsid w:val="62F933A7"/>
    <w:rsid w:val="62F94818"/>
    <w:rsid w:val="62F94AE8"/>
    <w:rsid w:val="62FA10DE"/>
    <w:rsid w:val="62FA2859"/>
    <w:rsid w:val="62FA7330"/>
    <w:rsid w:val="62FA7D96"/>
    <w:rsid w:val="62FB09B2"/>
    <w:rsid w:val="62FB298B"/>
    <w:rsid w:val="62FB2B43"/>
    <w:rsid w:val="62FB6C04"/>
    <w:rsid w:val="62FB7408"/>
    <w:rsid w:val="62FC2AC5"/>
    <w:rsid w:val="62FC31DF"/>
    <w:rsid w:val="62FC3330"/>
    <w:rsid w:val="62FD239D"/>
    <w:rsid w:val="62FD35AF"/>
    <w:rsid w:val="62FD472A"/>
    <w:rsid w:val="62FD630C"/>
    <w:rsid w:val="62FD6A68"/>
    <w:rsid w:val="62FD749B"/>
    <w:rsid w:val="62FD78EA"/>
    <w:rsid w:val="62FE04A2"/>
    <w:rsid w:val="62FE3F28"/>
    <w:rsid w:val="62FE5D89"/>
    <w:rsid w:val="62FF034E"/>
    <w:rsid w:val="62FF66F4"/>
    <w:rsid w:val="6300039E"/>
    <w:rsid w:val="630006BE"/>
    <w:rsid w:val="6300421A"/>
    <w:rsid w:val="630219C2"/>
    <w:rsid w:val="63021D41"/>
    <w:rsid w:val="63022111"/>
    <w:rsid w:val="630261E5"/>
    <w:rsid w:val="63030411"/>
    <w:rsid w:val="63043D0B"/>
    <w:rsid w:val="63051A28"/>
    <w:rsid w:val="63055A67"/>
    <w:rsid w:val="63065CD5"/>
    <w:rsid w:val="63071A4D"/>
    <w:rsid w:val="630737FB"/>
    <w:rsid w:val="63073C66"/>
    <w:rsid w:val="630755A9"/>
    <w:rsid w:val="63076AED"/>
    <w:rsid w:val="630815B6"/>
    <w:rsid w:val="63082288"/>
    <w:rsid w:val="630833AD"/>
    <w:rsid w:val="630839CA"/>
    <w:rsid w:val="63083ADC"/>
    <w:rsid w:val="63086388"/>
    <w:rsid w:val="63092E9C"/>
    <w:rsid w:val="63093D37"/>
    <w:rsid w:val="630951DF"/>
    <w:rsid w:val="63096ABB"/>
    <w:rsid w:val="63096F44"/>
    <w:rsid w:val="63097573"/>
    <w:rsid w:val="630A432C"/>
    <w:rsid w:val="630A5099"/>
    <w:rsid w:val="630A5710"/>
    <w:rsid w:val="630A5A6D"/>
    <w:rsid w:val="630A6E47"/>
    <w:rsid w:val="630B13FB"/>
    <w:rsid w:val="630B32EB"/>
    <w:rsid w:val="630B40E8"/>
    <w:rsid w:val="630B7877"/>
    <w:rsid w:val="630C2F5E"/>
    <w:rsid w:val="630C7063"/>
    <w:rsid w:val="630D43EE"/>
    <w:rsid w:val="630D5048"/>
    <w:rsid w:val="630D56A5"/>
    <w:rsid w:val="630E06E5"/>
    <w:rsid w:val="630E4B89"/>
    <w:rsid w:val="630E561D"/>
    <w:rsid w:val="630F24AC"/>
    <w:rsid w:val="630F445E"/>
    <w:rsid w:val="630F60B1"/>
    <w:rsid w:val="630F6D0E"/>
    <w:rsid w:val="6310019E"/>
    <w:rsid w:val="63100901"/>
    <w:rsid w:val="631101D6"/>
    <w:rsid w:val="63111F3C"/>
    <w:rsid w:val="631141FF"/>
    <w:rsid w:val="6311467A"/>
    <w:rsid w:val="631303F2"/>
    <w:rsid w:val="631305E5"/>
    <w:rsid w:val="631321A0"/>
    <w:rsid w:val="63132898"/>
    <w:rsid w:val="63133F4E"/>
    <w:rsid w:val="63134002"/>
    <w:rsid w:val="63134AF3"/>
    <w:rsid w:val="63141A74"/>
    <w:rsid w:val="63144205"/>
    <w:rsid w:val="63147715"/>
    <w:rsid w:val="63147CC6"/>
    <w:rsid w:val="63155F18"/>
    <w:rsid w:val="63156017"/>
    <w:rsid w:val="63156E29"/>
    <w:rsid w:val="63161C90"/>
    <w:rsid w:val="63163DFC"/>
    <w:rsid w:val="631663EA"/>
    <w:rsid w:val="63166BE1"/>
    <w:rsid w:val="63167311"/>
    <w:rsid w:val="631754A0"/>
    <w:rsid w:val="63180CB3"/>
    <w:rsid w:val="6318238A"/>
    <w:rsid w:val="63185A08"/>
    <w:rsid w:val="631877B6"/>
    <w:rsid w:val="631A16A8"/>
    <w:rsid w:val="631A1D2F"/>
    <w:rsid w:val="631A352E"/>
    <w:rsid w:val="631A74D4"/>
    <w:rsid w:val="631B2E02"/>
    <w:rsid w:val="631B3FB7"/>
    <w:rsid w:val="631B52B1"/>
    <w:rsid w:val="631C1312"/>
    <w:rsid w:val="631C5AAC"/>
    <w:rsid w:val="631D02EA"/>
    <w:rsid w:val="631D301E"/>
    <w:rsid w:val="631D4DCC"/>
    <w:rsid w:val="631D6B7A"/>
    <w:rsid w:val="631E3962"/>
    <w:rsid w:val="631F076C"/>
    <w:rsid w:val="631F0B45"/>
    <w:rsid w:val="631F28F3"/>
    <w:rsid w:val="631F6D97"/>
    <w:rsid w:val="6320199E"/>
    <w:rsid w:val="63202A83"/>
    <w:rsid w:val="63202E3E"/>
    <w:rsid w:val="63204CA4"/>
    <w:rsid w:val="6320666B"/>
    <w:rsid w:val="63212D25"/>
    <w:rsid w:val="6321489A"/>
    <w:rsid w:val="63215454"/>
    <w:rsid w:val="63220635"/>
    <w:rsid w:val="632223DC"/>
    <w:rsid w:val="632223E3"/>
    <w:rsid w:val="632225B3"/>
    <w:rsid w:val="63223418"/>
    <w:rsid w:val="63224191"/>
    <w:rsid w:val="632308AC"/>
    <w:rsid w:val="632443AD"/>
    <w:rsid w:val="63245444"/>
    <w:rsid w:val="6324615B"/>
    <w:rsid w:val="63246830"/>
    <w:rsid w:val="63247CB2"/>
    <w:rsid w:val="63247E77"/>
    <w:rsid w:val="63251ED3"/>
    <w:rsid w:val="63253C81"/>
    <w:rsid w:val="63260125"/>
    <w:rsid w:val="63265E1A"/>
    <w:rsid w:val="63270CF3"/>
    <w:rsid w:val="632717A7"/>
    <w:rsid w:val="63273E9D"/>
    <w:rsid w:val="6327469E"/>
    <w:rsid w:val="632755BC"/>
    <w:rsid w:val="63275C4B"/>
    <w:rsid w:val="63277162"/>
    <w:rsid w:val="632779F9"/>
    <w:rsid w:val="632860CE"/>
    <w:rsid w:val="632919C3"/>
    <w:rsid w:val="63293360"/>
    <w:rsid w:val="63293771"/>
    <w:rsid w:val="63294394"/>
    <w:rsid w:val="6329551F"/>
    <w:rsid w:val="63296ABC"/>
    <w:rsid w:val="632A0520"/>
    <w:rsid w:val="632A1297"/>
    <w:rsid w:val="632A1B43"/>
    <w:rsid w:val="632A47D0"/>
    <w:rsid w:val="632B573B"/>
    <w:rsid w:val="632B74E9"/>
    <w:rsid w:val="632C1CD4"/>
    <w:rsid w:val="632C47B1"/>
    <w:rsid w:val="632C5010"/>
    <w:rsid w:val="632C670F"/>
    <w:rsid w:val="632D3AD0"/>
    <w:rsid w:val="632E0D88"/>
    <w:rsid w:val="632E6BAD"/>
    <w:rsid w:val="632F4BB7"/>
    <w:rsid w:val="632F62F8"/>
    <w:rsid w:val="632F68AE"/>
    <w:rsid w:val="63302D52"/>
    <w:rsid w:val="63310878"/>
    <w:rsid w:val="63312626"/>
    <w:rsid w:val="6332421C"/>
    <w:rsid w:val="63332842"/>
    <w:rsid w:val="633345F0"/>
    <w:rsid w:val="63335ABB"/>
    <w:rsid w:val="6333639E"/>
    <w:rsid w:val="63345B4A"/>
    <w:rsid w:val="63350368"/>
    <w:rsid w:val="6335193F"/>
    <w:rsid w:val="63351F2A"/>
    <w:rsid w:val="63352116"/>
    <w:rsid w:val="6335216A"/>
    <w:rsid w:val="63352B76"/>
    <w:rsid w:val="63361EB9"/>
    <w:rsid w:val="633640E0"/>
    <w:rsid w:val="63365E8E"/>
    <w:rsid w:val="63367C3C"/>
    <w:rsid w:val="63371B28"/>
    <w:rsid w:val="63374A8A"/>
    <w:rsid w:val="63376B6D"/>
    <w:rsid w:val="633839B4"/>
    <w:rsid w:val="633873D0"/>
    <w:rsid w:val="6339083A"/>
    <w:rsid w:val="633914DA"/>
    <w:rsid w:val="63395D46"/>
    <w:rsid w:val="633964B6"/>
    <w:rsid w:val="633973A8"/>
    <w:rsid w:val="633A010B"/>
    <w:rsid w:val="633A3BD0"/>
    <w:rsid w:val="633A3E98"/>
    <w:rsid w:val="633A5116"/>
    <w:rsid w:val="633A597E"/>
    <w:rsid w:val="633A772C"/>
    <w:rsid w:val="633B16F7"/>
    <w:rsid w:val="633B34A5"/>
    <w:rsid w:val="633B3B41"/>
    <w:rsid w:val="633B5253"/>
    <w:rsid w:val="633D0FCB"/>
    <w:rsid w:val="633D23E9"/>
    <w:rsid w:val="633D71A0"/>
    <w:rsid w:val="633D721D"/>
    <w:rsid w:val="633D7244"/>
    <w:rsid w:val="633E321C"/>
    <w:rsid w:val="633F11E7"/>
    <w:rsid w:val="633F2F95"/>
    <w:rsid w:val="633F5BF7"/>
    <w:rsid w:val="63400ABB"/>
    <w:rsid w:val="63402869"/>
    <w:rsid w:val="6340727D"/>
    <w:rsid w:val="63414F5F"/>
    <w:rsid w:val="63416D0D"/>
    <w:rsid w:val="63422A85"/>
    <w:rsid w:val="6342476E"/>
    <w:rsid w:val="63424833"/>
    <w:rsid w:val="634265E1"/>
    <w:rsid w:val="634266A3"/>
    <w:rsid w:val="6343302D"/>
    <w:rsid w:val="634364A3"/>
    <w:rsid w:val="63436BE6"/>
    <w:rsid w:val="63437559"/>
    <w:rsid w:val="63442359"/>
    <w:rsid w:val="63443890"/>
    <w:rsid w:val="6344708E"/>
    <w:rsid w:val="634560D1"/>
    <w:rsid w:val="63462575"/>
    <w:rsid w:val="63464323"/>
    <w:rsid w:val="634654A8"/>
    <w:rsid w:val="63466BD6"/>
    <w:rsid w:val="63472E3E"/>
    <w:rsid w:val="63473A5C"/>
    <w:rsid w:val="63473BF7"/>
    <w:rsid w:val="63475A0F"/>
    <w:rsid w:val="63482FD5"/>
    <w:rsid w:val="63490AF3"/>
    <w:rsid w:val="63493E13"/>
    <w:rsid w:val="63494BBB"/>
    <w:rsid w:val="634974EA"/>
    <w:rsid w:val="634A2F00"/>
    <w:rsid w:val="634A36E8"/>
    <w:rsid w:val="634A566E"/>
    <w:rsid w:val="634A63B9"/>
    <w:rsid w:val="634B193A"/>
    <w:rsid w:val="634B7220"/>
    <w:rsid w:val="634B7B8C"/>
    <w:rsid w:val="634C29BE"/>
    <w:rsid w:val="634C3EB6"/>
    <w:rsid w:val="634C56B2"/>
    <w:rsid w:val="634D0987"/>
    <w:rsid w:val="634D18BA"/>
    <w:rsid w:val="634D3C0F"/>
    <w:rsid w:val="634D793D"/>
    <w:rsid w:val="634E142A"/>
    <w:rsid w:val="634E31D8"/>
    <w:rsid w:val="634E5BB5"/>
    <w:rsid w:val="634E7A38"/>
    <w:rsid w:val="634F432A"/>
    <w:rsid w:val="634F4C3B"/>
    <w:rsid w:val="634F531E"/>
    <w:rsid w:val="634F7668"/>
    <w:rsid w:val="63500CFE"/>
    <w:rsid w:val="63501214"/>
    <w:rsid w:val="635038A5"/>
    <w:rsid w:val="63504048"/>
    <w:rsid w:val="63504F18"/>
    <w:rsid w:val="635051A2"/>
    <w:rsid w:val="63505631"/>
    <w:rsid w:val="63506D72"/>
    <w:rsid w:val="63512CC8"/>
    <w:rsid w:val="635135F2"/>
    <w:rsid w:val="63514A76"/>
    <w:rsid w:val="63520F1A"/>
    <w:rsid w:val="635307EE"/>
    <w:rsid w:val="6353259C"/>
    <w:rsid w:val="63534C92"/>
    <w:rsid w:val="635356F3"/>
    <w:rsid w:val="63536475"/>
    <w:rsid w:val="63541245"/>
    <w:rsid w:val="63550A49"/>
    <w:rsid w:val="6355231A"/>
    <w:rsid w:val="63554566"/>
    <w:rsid w:val="63554989"/>
    <w:rsid w:val="63557368"/>
    <w:rsid w:val="635602DE"/>
    <w:rsid w:val="6356208C"/>
    <w:rsid w:val="63565B89"/>
    <w:rsid w:val="63580EBA"/>
    <w:rsid w:val="635822A8"/>
    <w:rsid w:val="63583214"/>
    <w:rsid w:val="63584057"/>
    <w:rsid w:val="63595A08"/>
    <w:rsid w:val="635976C3"/>
    <w:rsid w:val="635A0C3C"/>
    <w:rsid w:val="635A12B4"/>
    <w:rsid w:val="635A7DCF"/>
    <w:rsid w:val="635B0592"/>
    <w:rsid w:val="635B1F4B"/>
    <w:rsid w:val="635B2744"/>
    <w:rsid w:val="635B3E85"/>
    <w:rsid w:val="635B450F"/>
    <w:rsid w:val="635B4AEC"/>
    <w:rsid w:val="635B76A3"/>
    <w:rsid w:val="635C1FCB"/>
    <w:rsid w:val="635C3C2B"/>
    <w:rsid w:val="635C5315"/>
    <w:rsid w:val="635D21B2"/>
    <w:rsid w:val="635D3662"/>
    <w:rsid w:val="635D67A5"/>
    <w:rsid w:val="635D78BF"/>
    <w:rsid w:val="635D7C35"/>
    <w:rsid w:val="635D7C38"/>
    <w:rsid w:val="635E4D67"/>
    <w:rsid w:val="635F1C73"/>
    <w:rsid w:val="635F3637"/>
    <w:rsid w:val="635F3C96"/>
    <w:rsid w:val="63602AA9"/>
    <w:rsid w:val="63603AA8"/>
    <w:rsid w:val="63604CB9"/>
    <w:rsid w:val="6361115D"/>
    <w:rsid w:val="63612F0B"/>
    <w:rsid w:val="6361369C"/>
    <w:rsid w:val="63616FD8"/>
    <w:rsid w:val="63620A31"/>
    <w:rsid w:val="63626C83"/>
    <w:rsid w:val="63626E22"/>
    <w:rsid w:val="63631239"/>
    <w:rsid w:val="63633A21"/>
    <w:rsid w:val="63640C4D"/>
    <w:rsid w:val="636429FB"/>
    <w:rsid w:val="6364339C"/>
    <w:rsid w:val="636447A9"/>
    <w:rsid w:val="6364688B"/>
    <w:rsid w:val="63657A94"/>
    <w:rsid w:val="63660521"/>
    <w:rsid w:val="636649C5"/>
    <w:rsid w:val="63666C32"/>
    <w:rsid w:val="636724EC"/>
    <w:rsid w:val="6367429A"/>
    <w:rsid w:val="63675F9F"/>
    <w:rsid w:val="636813A7"/>
    <w:rsid w:val="63681574"/>
    <w:rsid w:val="63682FEE"/>
    <w:rsid w:val="636830A1"/>
    <w:rsid w:val="63686489"/>
    <w:rsid w:val="63687DF0"/>
    <w:rsid w:val="63687E63"/>
    <w:rsid w:val="63690012"/>
    <w:rsid w:val="63690958"/>
    <w:rsid w:val="636A3A3A"/>
    <w:rsid w:val="636B1FDC"/>
    <w:rsid w:val="636B3D8A"/>
    <w:rsid w:val="636B5B38"/>
    <w:rsid w:val="636C18B0"/>
    <w:rsid w:val="636C365E"/>
    <w:rsid w:val="636C36C9"/>
    <w:rsid w:val="636C4E0A"/>
    <w:rsid w:val="636C629A"/>
    <w:rsid w:val="636C7B02"/>
    <w:rsid w:val="636D006B"/>
    <w:rsid w:val="636D4B59"/>
    <w:rsid w:val="636D772A"/>
    <w:rsid w:val="636E5628"/>
    <w:rsid w:val="636E73D6"/>
    <w:rsid w:val="636E73DB"/>
    <w:rsid w:val="636F204A"/>
    <w:rsid w:val="636F62F9"/>
    <w:rsid w:val="636F6C04"/>
    <w:rsid w:val="63702430"/>
    <w:rsid w:val="6370314E"/>
    <w:rsid w:val="63710654"/>
    <w:rsid w:val="63712292"/>
    <w:rsid w:val="63714BFB"/>
    <w:rsid w:val="63715118"/>
    <w:rsid w:val="63717671"/>
    <w:rsid w:val="6372210C"/>
    <w:rsid w:val="6372336A"/>
    <w:rsid w:val="6372753B"/>
    <w:rsid w:val="637278F8"/>
    <w:rsid w:val="63730E90"/>
    <w:rsid w:val="637314B4"/>
    <w:rsid w:val="63731937"/>
    <w:rsid w:val="63732C3E"/>
    <w:rsid w:val="637349EC"/>
    <w:rsid w:val="6373701D"/>
    <w:rsid w:val="63740259"/>
    <w:rsid w:val="637502EA"/>
    <w:rsid w:val="637569B7"/>
    <w:rsid w:val="63763992"/>
    <w:rsid w:val="63767BB2"/>
    <w:rsid w:val="637707DC"/>
    <w:rsid w:val="63770981"/>
    <w:rsid w:val="637710D9"/>
    <w:rsid w:val="6377202C"/>
    <w:rsid w:val="637744A5"/>
    <w:rsid w:val="637750E0"/>
    <w:rsid w:val="63780255"/>
    <w:rsid w:val="637846F9"/>
    <w:rsid w:val="6378478A"/>
    <w:rsid w:val="63784A9C"/>
    <w:rsid w:val="63785F7E"/>
    <w:rsid w:val="63794E02"/>
    <w:rsid w:val="6379568A"/>
    <w:rsid w:val="637A1985"/>
    <w:rsid w:val="637A3FCD"/>
    <w:rsid w:val="637A5D7B"/>
    <w:rsid w:val="637B1D2E"/>
    <w:rsid w:val="637B3D02"/>
    <w:rsid w:val="637C5F97"/>
    <w:rsid w:val="637D17FC"/>
    <w:rsid w:val="637D3758"/>
    <w:rsid w:val="637D3ABD"/>
    <w:rsid w:val="637D464D"/>
    <w:rsid w:val="637D586B"/>
    <w:rsid w:val="637E524A"/>
    <w:rsid w:val="637E5ADD"/>
    <w:rsid w:val="637F15E3"/>
    <w:rsid w:val="637F1B3E"/>
    <w:rsid w:val="637F3391"/>
    <w:rsid w:val="637F5362"/>
    <w:rsid w:val="637F5A87"/>
    <w:rsid w:val="637F7835"/>
    <w:rsid w:val="638018DF"/>
    <w:rsid w:val="63801AD9"/>
    <w:rsid w:val="63806119"/>
    <w:rsid w:val="63807109"/>
    <w:rsid w:val="638110C6"/>
    <w:rsid w:val="638135AD"/>
    <w:rsid w:val="638210D3"/>
    <w:rsid w:val="638212EC"/>
    <w:rsid w:val="63822E81"/>
    <w:rsid w:val="63824145"/>
    <w:rsid w:val="6382702F"/>
    <w:rsid w:val="638271BE"/>
    <w:rsid w:val="638304BF"/>
    <w:rsid w:val="6383194F"/>
    <w:rsid w:val="63831DC1"/>
    <w:rsid w:val="63834150"/>
    <w:rsid w:val="6383639C"/>
    <w:rsid w:val="63844520"/>
    <w:rsid w:val="63846BFA"/>
    <w:rsid w:val="63847A6C"/>
    <w:rsid w:val="63853B98"/>
    <w:rsid w:val="63864720"/>
    <w:rsid w:val="638702D0"/>
    <w:rsid w:val="63874C22"/>
    <w:rsid w:val="63875CB7"/>
    <w:rsid w:val="63880ADD"/>
    <w:rsid w:val="63884331"/>
    <w:rsid w:val="6388493C"/>
    <w:rsid w:val="638906B4"/>
    <w:rsid w:val="638927FA"/>
    <w:rsid w:val="63892CD6"/>
    <w:rsid w:val="63893C86"/>
    <w:rsid w:val="63894210"/>
    <w:rsid w:val="63895F8A"/>
    <w:rsid w:val="638A6C51"/>
    <w:rsid w:val="638B6FDE"/>
    <w:rsid w:val="638B7F88"/>
    <w:rsid w:val="638C3517"/>
    <w:rsid w:val="638C5AAE"/>
    <w:rsid w:val="638C7940"/>
    <w:rsid w:val="638D1F52"/>
    <w:rsid w:val="638D3447"/>
    <w:rsid w:val="638D4142"/>
    <w:rsid w:val="638E1826"/>
    <w:rsid w:val="638E237F"/>
    <w:rsid w:val="638E2526"/>
    <w:rsid w:val="638E46AD"/>
    <w:rsid w:val="638E7A78"/>
    <w:rsid w:val="638F3CC8"/>
    <w:rsid w:val="638F60F5"/>
    <w:rsid w:val="638F6767"/>
    <w:rsid w:val="63901A42"/>
    <w:rsid w:val="639037F0"/>
    <w:rsid w:val="63904138"/>
    <w:rsid w:val="639041BF"/>
    <w:rsid w:val="6390447E"/>
    <w:rsid w:val="6390559E"/>
    <w:rsid w:val="6390606B"/>
    <w:rsid w:val="63912E94"/>
    <w:rsid w:val="639130C5"/>
    <w:rsid w:val="6391448C"/>
    <w:rsid w:val="63915694"/>
    <w:rsid w:val="63927568"/>
    <w:rsid w:val="63931444"/>
    <w:rsid w:val="63932EEA"/>
    <w:rsid w:val="639332E1"/>
    <w:rsid w:val="63934D50"/>
    <w:rsid w:val="6393508F"/>
    <w:rsid w:val="63935FC0"/>
    <w:rsid w:val="63936B01"/>
    <w:rsid w:val="6394356A"/>
    <w:rsid w:val="63944673"/>
    <w:rsid w:val="63950E07"/>
    <w:rsid w:val="63956F8D"/>
    <w:rsid w:val="63957059"/>
    <w:rsid w:val="63963E12"/>
    <w:rsid w:val="639711CB"/>
    <w:rsid w:val="63972996"/>
    <w:rsid w:val="63974B7F"/>
    <w:rsid w:val="639775D1"/>
    <w:rsid w:val="639808F7"/>
    <w:rsid w:val="639826A5"/>
    <w:rsid w:val="63983E26"/>
    <w:rsid w:val="63990BB0"/>
    <w:rsid w:val="639943D9"/>
    <w:rsid w:val="63996E71"/>
    <w:rsid w:val="639A01CB"/>
    <w:rsid w:val="639A466F"/>
    <w:rsid w:val="639A641D"/>
    <w:rsid w:val="639A6746"/>
    <w:rsid w:val="639B0BC9"/>
    <w:rsid w:val="639B0D87"/>
    <w:rsid w:val="639C03E7"/>
    <w:rsid w:val="639C3F43"/>
    <w:rsid w:val="639C6DF5"/>
    <w:rsid w:val="639D5F0D"/>
    <w:rsid w:val="639E415F"/>
    <w:rsid w:val="639E662F"/>
    <w:rsid w:val="639F05C5"/>
    <w:rsid w:val="639F1C85"/>
    <w:rsid w:val="639F238C"/>
    <w:rsid w:val="639F3A32"/>
    <w:rsid w:val="639F3A33"/>
    <w:rsid w:val="639F400B"/>
    <w:rsid w:val="639F4DC4"/>
    <w:rsid w:val="63A03DC9"/>
    <w:rsid w:val="63A04029"/>
    <w:rsid w:val="63A1155A"/>
    <w:rsid w:val="63A13A48"/>
    <w:rsid w:val="63A13E11"/>
    <w:rsid w:val="63A14014"/>
    <w:rsid w:val="63A1576A"/>
    <w:rsid w:val="63A159FD"/>
    <w:rsid w:val="63A16619"/>
    <w:rsid w:val="63A177AC"/>
    <w:rsid w:val="63A21487"/>
    <w:rsid w:val="63A2338B"/>
    <w:rsid w:val="63A23524"/>
    <w:rsid w:val="63A252D2"/>
    <w:rsid w:val="63A30A4A"/>
    <w:rsid w:val="63A33C86"/>
    <w:rsid w:val="63A34582"/>
    <w:rsid w:val="63A4104A"/>
    <w:rsid w:val="63A412A8"/>
    <w:rsid w:val="63A454EE"/>
    <w:rsid w:val="63A457AC"/>
    <w:rsid w:val="63A4729C"/>
    <w:rsid w:val="63A5631A"/>
    <w:rsid w:val="63A56B77"/>
    <w:rsid w:val="63A56FE1"/>
    <w:rsid w:val="63A62985"/>
    <w:rsid w:val="63A634F7"/>
    <w:rsid w:val="63A64DC2"/>
    <w:rsid w:val="63A66B70"/>
    <w:rsid w:val="63A72048"/>
    <w:rsid w:val="63A728E8"/>
    <w:rsid w:val="63A76420"/>
    <w:rsid w:val="63A77DC2"/>
    <w:rsid w:val="63A8065D"/>
    <w:rsid w:val="63A8391B"/>
    <w:rsid w:val="63A84427"/>
    <w:rsid w:val="63A845E8"/>
    <w:rsid w:val="63A8655E"/>
    <w:rsid w:val="63A86D8C"/>
    <w:rsid w:val="63A86F31"/>
    <w:rsid w:val="63A921DA"/>
    <w:rsid w:val="63A94DAB"/>
    <w:rsid w:val="63A95FE5"/>
    <w:rsid w:val="63A96660"/>
    <w:rsid w:val="63A97528"/>
    <w:rsid w:val="63A97EF5"/>
    <w:rsid w:val="63AA76C4"/>
    <w:rsid w:val="63AB23D8"/>
    <w:rsid w:val="63AB4186"/>
    <w:rsid w:val="63AB45E2"/>
    <w:rsid w:val="63AB5B32"/>
    <w:rsid w:val="63AB687C"/>
    <w:rsid w:val="63AB77C4"/>
    <w:rsid w:val="63AC229C"/>
    <w:rsid w:val="63AC5238"/>
    <w:rsid w:val="63AD43A2"/>
    <w:rsid w:val="63AE1EC8"/>
    <w:rsid w:val="63AE5D14"/>
    <w:rsid w:val="63AE604C"/>
    <w:rsid w:val="63AF041B"/>
    <w:rsid w:val="63AF106E"/>
    <w:rsid w:val="63AF2F54"/>
    <w:rsid w:val="63AF3F9F"/>
    <w:rsid w:val="63B03E93"/>
    <w:rsid w:val="63B07155"/>
    <w:rsid w:val="63B11BBD"/>
    <w:rsid w:val="63B15228"/>
    <w:rsid w:val="63B1569C"/>
    <w:rsid w:val="63B219B9"/>
    <w:rsid w:val="63B21C13"/>
    <w:rsid w:val="63B26E0F"/>
    <w:rsid w:val="63B27A52"/>
    <w:rsid w:val="63B27CD2"/>
    <w:rsid w:val="63B3602F"/>
    <w:rsid w:val="63B45BFE"/>
    <w:rsid w:val="63B50B61"/>
    <w:rsid w:val="63B514A9"/>
    <w:rsid w:val="63B53257"/>
    <w:rsid w:val="63B55005"/>
    <w:rsid w:val="63B62FF8"/>
    <w:rsid w:val="63B647DE"/>
    <w:rsid w:val="63B70D7D"/>
    <w:rsid w:val="63B72FBB"/>
    <w:rsid w:val="63B74AF8"/>
    <w:rsid w:val="63B75221"/>
    <w:rsid w:val="63B75C6E"/>
    <w:rsid w:val="63B773AF"/>
    <w:rsid w:val="63B81CCF"/>
    <w:rsid w:val="63B82D47"/>
    <w:rsid w:val="63B84AF5"/>
    <w:rsid w:val="63B85CF5"/>
    <w:rsid w:val="63B868A3"/>
    <w:rsid w:val="63B913AC"/>
    <w:rsid w:val="63B92C64"/>
    <w:rsid w:val="63B93FAB"/>
    <w:rsid w:val="63B95340"/>
    <w:rsid w:val="63B95C1F"/>
    <w:rsid w:val="63BA086D"/>
    <w:rsid w:val="63BA1377"/>
    <w:rsid w:val="63BA261B"/>
    <w:rsid w:val="63BA3B5E"/>
    <w:rsid w:val="63BA45EF"/>
    <w:rsid w:val="63BA4C01"/>
    <w:rsid w:val="63BA5108"/>
    <w:rsid w:val="63BA5D30"/>
    <w:rsid w:val="63BA6ABF"/>
    <w:rsid w:val="63BC0B42"/>
    <w:rsid w:val="63BC18BA"/>
    <w:rsid w:val="63BC2837"/>
    <w:rsid w:val="63BC45E5"/>
    <w:rsid w:val="63BC5D29"/>
    <w:rsid w:val="63BC6393"/>
    <w:rsid w:val="63BD3EBA"/>
    <w:rsid w:val="63BD4AAC"/>
    <w:rsid w:val="63BE1423"/>
    <w:rsid w:val="63BE65AF"/>
    <w:rsid w:val="63BF40D6"/>
    <w:rsid w:val="63BF5E84"/>
    <w:rsid w:val="63C00085"/>
    <w:rsid w:val="63C00461"/>
    <w:rsid w:val="63C118F1"/>
    <w:rsid w:val="63C12B4F"/>
    <w:rsid w:val="63C139AA"/>
    <w:rsid w:val="63C17E4E"/>
    <w:rsid w:val="63C30523"/>
    <w:rsid w:val="63C33BC6"/>
    <w:rsid w:val="63C419B3"/>
    <w:rsid w:val="63C42488"/>
    <w:rsid w:val="63C447EB"/>
    <w:rsid w:val="63C45248"/>
    <w:rsid w:val="63C4630B"/>
    <w:rsid w:val="63C46E55"/>
    <w:rsid w:val="63C5799F"/>
    <w:rsid w:val="63C60FC0"/>
    <w:rsid w:val="63C61B2C"/>
    <w:rsid w:val="63C621DC"/>
    <w:rsid w:val="63C65464"/>
    <w:rsid w:val="63C67212"/>
    <w:rsid w:val="63C7091D"/>
    <w:rsid w:val="63C71798"/>
    <w:rsid w:val="63C74D38"/>
    <w:rsid w:val="63C75763"/>
    <w:rsid w:val="63C824AE"/>
    <w:rsid w:val="63C8252E"/>
    <w:rsid w:val="63C82F8A"/>
    <w:rsid w:val="63C8796E"/>
    <w:rsid w:val="63C90AB0"/>
    <w:rsid w:val="63C92C54"/>
    <w:rsid w:val="63C9479B"/>
    <w:rsid w:val="63C94F54"/>
    <w:rsid w:val="63C95D8A"/>
    <w:rsid w:val="63C96D02"/>
    <w:rsid w:val="63CA09D8"/>
    <w:rsid w:val="63CA552E"/>
    <w:rsid w:val="63CA67D1"/>
    <w:rsid w:val="63CB4828"/>
    <w:rsid w:val="63CC15D6"/>
    <w:rsid w:val="63CC1966"/>
    <w:rsid w:val="63CC234F"/>
    <w:rsid w:val="63CC3B27"/>
    <w:rsid w:val="63CC46EB"/>
    <w:rsid w:val="63CC5B3F"/>
    <w:rsid w:val="63CD05A1"/>
    <w:rsid w:val="63CD3C00"/>
    <w:rsid w:val="63CD4CE2"/>
    <w:rsid w:val="63CD67F3"/>
    <w:rsid w:val="63CE4319"/>
    <w:rsid w:val="63CE60C7"/>
    <w:rsid w:val="63CF256B"/>
    <w:rsid w:val="63CF5724"/>
    <w:rsid w:val="63CF7D49"/>
    <w:rsid w:val="63D00091"/>
    <w:rsid w:val="63D02666"/>
    <w:rsid w:val="63D062E3"/>
    <w:rsid w:val="63D07F56"/>
    <w:rsid w:val="63D23E09"/>
    <w:rsid w:val="63D27965"/>
    <w:rsid w:val="63D3192F"/>
    <w:rsid w:val="63D32113"/>
    <w:rsid w:val="63D3458D"/>
    <w:rsid w:val="63D35E3B"/>
    <w:rsid w:val="63D407E9"/>
    <w:rsid w:val="63D40BE9"/>
    <w:rsid w:val="63D42D01"/>
    <w:rsid w:val="63D47B81"/>
    <w:rsid w:val="63D47D67"/>
    <w:rsid w:val="63D511F7"/>
    <w:rsid w:val="63D52938"/>
    <w:rsid w:val="63D538F9"/>
    <w:rsid w:val="63D5495B"/>
    <w:rsid w:val="63D556A7"/>
    <w:rsid w:val="63D55F45"/>
    <w:rsid w:val="63D616AC"/>
    <w:rsid w:val="63D62F17"/>
    <w:rsid w:val="63D72AAD"/>
    <w:rsid w:val="63D731CD"/>
    <w:rsid w:val="63D74F7B"/>
    <w:rsid w:val="63D75030"/>
    <w:rsid w:val="63D77671"/>
    <w:rsid w:val="63D8165B"/>
    <w:rsid w:val="63D84371"/>
    <w:rsid w:val="63D866E8"/>
    <w:rsid w:val="63D8685A"/>
    <w:rsid w:val="63D86F45"/>
    <w:rsid w:val="63D911CF"/>
    <w:rsid w:val="63D9257E"/>
    <w:rsid w:val="63D92749"/>
    <w:rsid w:val="63D95197"/>
    <w:rsid w:val="63DA0F0F"/>
    <w:rsid w:val="63DA2CBD"/>
    <w:rsid w:val="63DA3BD9"/>
    <w:rsid w:val="63DA4A6C"/>
    <w:rsid w:val="63DA4B94"/>
    <w:rsid w:val="63DA4FBB"/>
    <w:rsid w:val="63DA5E45"/>
    <w:rsid w:val="63DA7914"/>
    <w:rsid w:val="63DB0E76"/>
    <w:rsid w:val="63DC07E4"/>
    <w:rsid w:val="63DC4C88"/>
    <w:rsid w:val="63DC5AC7"/>
    <w:rsid w:val="63DC6A36"/>
    <w:rsid w:val="63DC7C3A"/>
    <w:rsid w:val="63DD3AE4"/>
    <w:rsid w:val="63DD3DB1"/>
    <w:rsid w:val="63DD630A"/>
    <w:rsid w:val="63DE27AE"/>
    <w:rsid w:val="63DE395A"/>
    <w:rsid w:val="63DE3D4B"/>
    <w:rsid w:val="63DE428C"/>
    <w:rsid w:val="63DF61C4"/>
    <w:rsid w:val="63DF6526"/>
    <w:rsid w:val="63E0233E"/>
    <w:rsid w:val="63E04F10"/>
    <w:rsid w:val="63E072AA"/>
    <w:rsid w:val="63E07673"/>
    <w:rsid w:val="63E10EDB"/>
    <w:rsid w:val="63E112CE"/>
    <w:rsid w:val="63E1229E"/>
    <w:rsid w:val="63E13B2C"/>
    <w:rsid w:val="63E1404C"/>
    <w:rsid w:val="63E15138"/>
    <w:rsid w:val="63E15DFA"/>
    <w:rsid w:val="63E24985"/>
    <w:rsid w:val="63E24F3C"/>
    <w:rsid w:val="63E26D94"/>
    <w:rsid w:val="63E36016"/>
    <w:rsid w:val="63E37DC4"/>
    <w:rsid w:val="63E43B3C"/>
    <w:rsid w:val="63E44975"/>
    <w:rsid w:val="63E458EA"/>
    <w:rsid w:val="63E4785C"/>
    <w:rsid w:val="63E547BF"/>
    <w:rsid w:val="63E57BB9"/>
    <w:rsid w:val="63E57F48"/>
    <w:rsid w:val="63E61662"/>
    <w:rsid w:val="63E63410"/>
    <w:rsid w:val="63E71ADF"/>
    <w:rsid w:val="63E72C29"/>
    <w:rsid w:val="63E77BC1"/>
    <w:rsid w:val="63E83E60"/>
    <w:rsid w:val="63E853DA"/>
    <w:rsid w:val="63E87F10"/>
    <w:rsid w:val="63E90F19"/>
    <w:rsid w:val="63E92877"/>
    <w:rsid w:val="63E92F01"/>
    <w:rsid w:val="63E94CAF"/>
    <w:rsid w:val="63E9766D"/>
    <w:rsid w:val="63EA3CF9"/>
    <w:rsid w:val="63EA76F9"/>
    <w:rsid w:val="63EB0A27"/>
    <w:rsid w:val="63EB2BEC"/>
    <w:rsid w:val="63EB4B5E"/>
    <w:rsid w:val="63EB4ECB"/>
    <w:rsid w:val="63EB7D48"/>
    <w:rsid w:val="63EC02FC"/>
    <w:rsid w:val="63EC6DDA"/>
    <w:rsid w:val="63ED0BBF"/>
    <w:rsid w:val="63ED0C43"/>
    <w:rsid w:val="63ED1C6E"/>
    <w:rsid w:val="63ED1F3E"/>
    <w:rsid w:val="63ED29F1"/>
    <w:rsid w:val="63ED4609"/>
    <w:rsid w:val="63ED479F"/>
    <w:rsid w:val="63ED4C17"/>
    <w:rsid w:val="63EE0517"/>
    <w:rsid w:val="63EE4AF7"/>
    <w:rsid w:val="63EE6769"/>
    <w:rsid w:val="63EE7C86"/>
    <w:rsid w:val="63EF5EE8"/>
    <w:rsid w:val="63EF79C8"/>
    <w:rsid w:val="63F024E1"/>
    <w:rsid w:val="63F0354C"/>
    <w:rsid w:val="63F0428F"/>
    <w:rsid w:val="63F05DFF"/>
    <w:rsid w:val="63F0603D"/>
    <w:rsid w:val="63F07540"/>
    <w:rsid w:val="63F15C79"/>
    <w:rsid w:val="63F21824"/>
    <w:rsid w:val="63F21DB5"/>
    <w:rsid w:val="63F22BDE"/>
    <w:rsid w:val="63F23722"/>
    <w:rsid w:val="63F24DE2"/>
    <w:rsid w:val="63F36B6B"/>
    <w:rsid w:val="63F405B5"/>
    <w:rsid w:val="63F42B94"/>
    <w:rsid w:val="63F43C78"/>
    <w:rsid w:val="63F4797D"/>
    <w:rsid w:val="63F518A5"/>
    <w:rsid w:val="63F5426F"/>
    <w:rsid w:val="63F57E7F"/>
    <w:rsid w:val="63F6018E"/>
    <w:rsid w:val="63F61158"/>
    <w:rsid w:val="63F634EE"/>
    <w:rsid w:val="63F72284"/>
    <w:rsid w:val="63F73101"/>
    <w:rsid w:val="63F7561D"/>
    <w:rsid w:val="63F773CC"/>
    <w:rsid w:val="63F81502"/>
    <w:rsid w:val="63F83144"/>
    <w:rsid w:val="63F85CD2"/>
    <w:rsid w:val="63F860DF"/>
    <w:rsid w:val="63F905F2"/>
    <w:rsid w:val="63F93351"/>
    <w:rsid w:val="63F96C6F"/>
    <w:rsid w:val="63FA16A0"/>
    <w:rsid w:val="63FA1F92"/>
    <w:rsid w:val="63FA2442"/>
    <w:rsid w:val="63FA31C3"/>
    <w:rsid w:val="63FA3360"/>
    <w:rsid w:val="63FA4DA2"/>
    <w:rsid w:val="63FA510E"/>
    <w:rsid w:val="63FB20E7"/>
    <w:rsid w:val="63FB2F12"/>
    <w:rsid w:val="63FB4653"/>
    <w:rsid w:val="63FB599C"/>
    <w:rsid w:val="63FB5A2B"/>
    <w:rsid w:val="63FC2C34"/>
    <w:rsid w:val="63FC3ADC"/>
    <w:rsid w:val="63FC4707"/>
    <w:rsid w:val="63FC5AE3"/>
    <w:rsid w:val="63FC68A5"/>
    <w:rsid w:val="63FC6C25"/>
    <w:rsid w:val="63FD075A"/>
    <w:rsid w:val="63FD7B2C"/>
    <w:rsid w:val="63FE2FD4"/>
    <w:rsid w:val="63FE3473"/>
    <w:rsid w:val="63FE69AC"/>
    <w:rsid w:val="63FF2724"/>
    <w:rsid w:val="64004F8F"/>
    <w:rsid w:val="64007035"/>
    <w:rsid w:val="6401024A"/>
    <w:rsid w:val="640146EE"/>
    <w:rsid w:val="64014D97"/>
    <w:rsid w:val="6401649C"/>
    <w:rsid w:val="64020214"/>
    <w:rsid w:val="64020752"/>
    <w:rsid w:val="64021C57"/>
    <w:rsid w:val="640242D6"/>
    <w:rsid w:val="64026477"/>
    <w:rsid w:val="64033FC2"/>
    <w:rsid w:val="640352EA"/>
    <w:rsid w:val="640359B6"/>
    <w:rsid w:val="64041AE8"/>
    <w:rsid w:val="64041C35"/>
    <w:rsid w:val="64050E5B"/>
    <w:rsid w:val="64053424"/>
    <w:rsid w:val="64055F8C"/>
    <w:rsid w:val="64063AB3"/>
    <w:rsid w:val="640642A1"/>
    <w:rsid w:val="64065861"/>
    <w:rsid w:val="6406789D"/>
    <w:rsid w:val="640727F5"/>
    <w:rsid w:val="64073003"/>
    <w:rsid w:val="64074337"/>
    <w:rsid w:val="640779B7"/>
    <w:rsid w:val="64077D02"/>
    <w:rsid w:val="64085A7D"/>
    <w:rsid w:val="640877E7"/>
    <w:rsid w:val="6408782B"/>
    <w:rsid w:val="6409352E"/>
    <w:rsid w:val="64095351"/>
    <w:rsid w:val="640970FF"/>
    <w:rsid w:val="640A0EA8"/>
    <w:rsid w:val="640A0F29"/>
    <w:rsid w:val="640A312F"/>
    <w:rsid w:val="640A35A3"/>
    <w:rsid w:val="640B10C9"/>
    <w:rsid w:val="640B15B8"/>
    <w:rsid w:val="640B1AE9"/>
    <w:rsid w:val="640B2E77"/>
    <w:rsid w:val="640B4148"/>
    <w:rsid w:val="640B54DA"/>
    <w:rsid w:val="640C55D8"/>
    <w:rsid w:val="640D2481"/>
    <w:rsid w:val="640D3970"/>
    <w:rsid w:val="640D4E41"/>
    <w:rsid w:val="640E26C8"/>
    <w:rsid w:val="640E2AC9"/>
    <w:rsid w:val="640E3D34"/>
    <w:rsid w:val="640E43A7"/>
    <w:rsid w:val="640F17B3"/>
    <w:rsid w:val="640F3F59"/>
    <w:rsid w:val="640F6E0B"/>
    <w:rsid w:val="64100492"/>
    <w:rsid w:val="64102431"/>
    <w:rsid w:val="64104931"/>
    <w:rsid w:val="641053E9"/>
    <w:rsid w:val="641066DF"/>
    <w:rsid w:val="64116879"/>
    <w:rsid w:val="64116F63"/>
    <w:rsid w:val="641206A9"/>
    <w:rsid w:val="6412222E"/>
    <w:rsid w:val="64124205"/>
    <w:rsid w:val="64125B99"/>
    <w:rsid w:val="641273EB"/>
    <w:rsid w:val="641309B4"/>
    <w:rsid w:val="641328DA"/>
    <w:rsid w:val="64134503"/>
    <w:rsid w:val="6413711C"/>
    <w:rsid w:val="64137F7D"/>
    <w:rsid w:val="6414275C"/>
    <w:rsid w:val="641440F0"/>
    <w:rsid w:val="64144421"/>
    <w:rsid w:val="64145841"/>
    <w:rsid w:val="641461CF"/>
    <w:rsid w:val="64152349"/>
    <w:rsid w:val="64153CF6"/>
    <w:rsid w:val="641544DC"/>
    <w:rsid w:val="64155441"/>
    <w:rsid w:val="64155AA4"/>
    <w:rsid w:val="6415668A"/>
    <w:rsid w:val="64157DCB"/>
    <w:rsid w:val="6416019A"/>
    <w:rsid w:val="641626D8"/>
    <w:rsid w:val="64162E7C"/>
    <w:rsid w:val="64164340"/>
    <w:rsid w:val="641679A8"/>
    <w:rsid w:val="6417181C"/>
    <w:rsid w:val="64175CC0"/>
    <w:rsid w:val="64177A6E"/>
    <w:rsid w:val="64182D0A"/>
    <w:rsid w:val="64183B7B"/>
    <w:rsid w:val="64184643"/>
    <w:rsid w:val="64191A38"/>
    <w:rsid w:val="64193185"/>
    <w:rsid w:val="641937E6"/>
    <w:rsid w:val="6419500B"/>
    <w:rsid w:val="64195594"/>
    <w:rsid w:val="641A1101"/>
    <w:rsid w:val="641A4479"/>
    <w:rsid w:val="641A755E"/>
    <w:rsid w:val="641B24FC"/>
    <w:rsid w:val="641B7397"/>
    <w:rsid w:val="641C03D5"/>
    <w:rsid w:val="641C32D6"/>
    <w:rsid w:val="641C5084"/>
    <w:rsid w:val="641C50CD"/>
    <w:rsid w:val="641D4AE3"/>
    <w:rsid w:val="641E0DFC"/>
    <w:rsid w:val="641E2BAA"/>
    <w:rsid w:val="641E6C54"/>
    <w:rsid w:val="641E6E0A"/>
    <w:rsid w:val="641E704E"/>
    <w:rsid w:val="641F0E7D"/>
    <w:rsid w:val="641F4B74"/>
    <w:rsid w:val="641F4E9A"/>
    <w:rsid w:val="641F6AA1"/>
    <w:rsid w:val="642018CA"/>
    <w:rsid w:val="6420220E"/>
    <w:rsid w:val="64202DC6"/>
    <w:rsid w:val="6421003F"/>
    <w:rsid w:val="642108EC"/>
    <w:rsid w:val="64211833"/>
    <w:rsid w:val="642124B8"/>
    <w:rsid w:val="6421269A"/>
    <w:rsid w:val="642133A1"/>
    <w:rsid w:val="64213BF9"/>
    <w:rsid w:val="64213E86"/>
    <w:rsid w:val="64214699"/>
    <w:rsid w:val="642161BD"/>
    <w:rsid w:val="64216B3E"/>
    <w:rsid w:val="64217961"/>
    <w:rsid w:val="64220C2D"/>
    <w:rsid w:val="642223CF"/>
    <w:rsid w:val="64224931"/>
    <w:rsid w:val="64226DAB"/>
    <w:rsid w:val="64230A26"/>
    <w:rsid w:val="64236413"/>
    <w:rsid w:val="64236E8E"/>
    <w:rsid w:val="6424218B"/>
    <w:rsid w:val="642503DD"/>
    <w:rsid w:val="64251AA0"/>
    <w:rsid w:val="6425617F"/>
    <w:rsid w:val="642566DD"/>
    <w:rsid w:val="64260977"/>
    <w:rsid w:val="64262B52"/>
    <w:rsid w:val="64264155"/>
    <w:rsid w:val="64265F03"/>
    <w:rsid w:val="64267CB1"/>
    <w:rsid w:val="64271D63"/>
    <w:rsid w:val="642721E0"/>
    <w:rsid w:val="64281C7B"/>
    <w:rsid w:val="64282923"/>
    <w:rsid w:val="64283670"/>
    <w:rsid w:val="64283A29"/>
    <w:rsid w:val="64283A91"/>
    <w:rsid w:val="642902A6"/>
    <w:rsid w:val="6429154F"/>
    <w:rsid w:val="64292F48"/>
    <w:rsid w:val="642942C5"/>
    <w:rsid w:val="64294B00"/>
    <w:rsid w:val="642976D1"/>
    <w:rsid w:val="642A0FA4"/>
    <w:rsid w:val="642A1E67"/>
    <w:rsid w:val="642A1F39"/>
    <w:rsid w:val="642A4B42"/>
    <w:rsid w:val="642B01FE"/>
    <w:rsid w:val="642B176B"/>
    <w:rsid w:val="642B1CB3"/>
    <w:rsid w:val="642B3664"/>
    <w:rsid w:val="642B52C7"/>
    <w:rsid w:val="642B5D8D"/>
    <w:rsid w:val="642B5FAF"/>
    <w:rsid w:val="642B7E31"/>
    <w:rsid w:val="642C3B65"/>
    <w:rsid w:val="642C41FC"/>
    <w:rsid w:val="642C54CE"/>
    <w:rsid w:val="642C5EEC"/>
    <w:rsid w:val="642C68C2"/>
    <w:rsid w:val="642C78B8"/>
    <w:rsid w:val="642D103F"/>
    <w:rsid w:val="642D1A73"/>
    <w:rsid w:val="642D73E3"/>
    <w:rsid w:val="642E63E0"/>
    <w:rsid w:val="642E74E2"/>
    <w:rsid w:val="642F125B"/>
    <w:rsid w:val="642F1E02"/>
    <w:rsid w:val="642F7BED"/>
    <w:rsid w:val="643028DD"/>
    <w:rsid w:val="643049D3"/>
    <w:rsid w:val="64305579"/>
    <w:rsid w:val="64306D81"/>
    <w:rsid w:val="64311048"/>
    <w:rsid w:val="64314722"/>
    <w:rsid w:val="64317910"/>
    <w:rsid w:val="64324F11"/>
    <w:rsid w:val="64333354"/>
    <w:rsid w:val="64334F3E"/>
    <w:rsid w:val="643405E3"/>
    <w:rsid w:val="643423CE"/>
    <w:rsid w:val="64343C94"/>
    <w:rsid w:val="6435343A"/>
    <w:rsid w:val="64354398"/>
    <w:rsid w:val="64357AD2"/>
    <w:rsid w:val="64357EF4"/>
    <w:rsid w:val="64362B00"/>
    <w:rsid w:val="64367C08"/>
    <w:rsid w:val="64370110"/>
    <w:rsid w:val="64370594"/>
    <w:rsid w:val="64371CD5"/>
    <w:rsid w:val="64371EBE"/>
    <w:rsid w:val="64373C6C"/>
    <w:rsid w:val="6437542F"/>
    <w:rsid w:val="643757AC"/>
    <w:rsid w:val="64385BD1"/>
    <w:rsid w:val="6438796F"/>
    <w:rsid w:val="64391971"/>
    <w:rsid w:val="64393E88"/>
    <w:rsid w:val="64394550"/>
    <w:rsid w:val="643945F5"/>
    <w:rsid w:val="64395A85"/>
    <w:rsid w:val="64395C36"/>
    <w:rsid w:val="643A0656"/>
    <w:rsid w:val="643A375C"/>
    <w:rsid w:val="643A71AD"/>
    <w:rsid w:val="643B2921"/>
    <w:rsid w:val="643B73AB"/>
    <w:rsid w:val="643C1282"/>
    <w:rsid w:val="643C14DD"/>
    <w:rsid w:val="643C2420"/>
    <w:rsid w:val="643C28B4"/>
    <w:rsid w:val="643C5726"/>
    <w:rsid w:val="643C6DA3"/>
    <w:rsid w:val="643D1829"/>
    <w:rsid w:val="643D3320"/>
    <w:rsid w:val="643D6E2D"/>
    <w:rsid w:val="643E0106"/>
    <w:rsid w:val="643E149E"/>
    <w:rsid w:val="643E219A"/>
    <w:rsid w:val="643E324C"/>
    <w:rsid w:val="643E4FFA"/>
    <w:rsid w:val="643E5D87"/>
    <w:rsid w:val="643E76BF"/>
    <w:rsid w:val="643F08D6"/>
    <w:rsid w:val="643F0C33"/>
    <w:rsid w:val="643F0D73"/>
    <w:rsid w:val="643F2C1D"/>
    <w:rsid w:val="643F365D"/>
    <w:rsid w:val="643F631D"/>
    <w:rsid w:val="6441039D"/>
    <w:rsid w:val="64410F8F"/>
    <w:rsid w:val="64412941"/>
    <w:rsid w:val="64414217"/>
    <w:rsid w:val="64416899"/>
    <w:rsid w:val="644227A4"/>
    <w:rsid w:val="64430863"/>
    <w:rsid w:val="64432611"/>
    <w:rsid w:val="644441DE"/>
    <w:rsid w:val="64446389"/>
    <w:rsid w:val="64451F2A"/>
    <w:rsid w:val="6445282D"/>
    <w:rsid w:val="64456DCE"/>
    <w:rsid w:val="64460353"/>
    <w:rsid w:val="64462101"/>
    <w:rsid w:val="644665A5"/>
    <w:rsid w:val="64467A73"/>
    <w:rsid w:val="644840CB"/>
    <w:rsid w:val="644920C9"/>
    <w:rsid w:val="6449313A"/>
    <w:rsid w:val="644943C6"/>
    <w:rsid w:val="644A1E4E"/>
    <w:rsid w:val="644A615E"/>
    <w:rsid w:val="644A6A0A"/>
    <w:rsid w:val="644A6B73"/>
    <w:rsid w:val="644A6C01"/>
    <w:rsid w:val="644A7E43"/>
    <w:rsid w:val="644B15DB"/>
    <w:rsid w:val="644B4B96"/>
    <w:rsid w:val="644C132A"/>
    <w:rsid w:val="644C1996"/>
    <w:rsid w:val="644C3BBB"/>
    <w:rsid w:val="644C7B14"/>
    <w:rsid w:val="644E538B"/>
    <w:rsid w:val="644E6134"/>
    <w:rsid w:val="644F0FB6"/>
    <w:rsid w:val="644F362F"/>
    <w:rsid w:val="644F3956"/>
    <w:rsid w:val="644F5459"/>
    <w:rsid w:val="644F681B"/>
    <w:rsid w:val="64500072"/>
    <w:rsid w:val="645016EF"/>
    <w:rsid w:val="645018E6"/>
    <w:rsid w:val="64502F80"/>
    <w:rsid w:val="64507CAB"/>
    <w:rsid w:val="645102AF"/>
    <w:rsid w:val="64513D0C"/>
    <w:rsid w:val="645171E7"/>
    <w:rsid w:val="64524F4A"/>
    <w:rsid w:val="6452519C"/>
    <w:rsid w:val="64525C09"/>
    <w:rsid w:val="645262F3"/>
    <w:rsid w:val="64526CF8"/>
    <w:rsid w:val="64526DC8"/>
    <w:rsid w:val="6453190A"/>
    <w:rsid w:val="64535B33"/>
    <w:rsid w:val="6453662C"/>
    <w:rsid w:val="64537F48"/>
    <w:rsid w:val="64540CC2"/>
    <w:rsid w:val="64545B37"/>
    <w:rsid w:val="6454612A"/>
    <w:rsid w:val="64547FAC"/>
    <w:rsid w:val="64550596"/>
    <w:rsid w:val="64550B9A"/>
    <w:rsid w:val="64561A99"/>
    <w:rsid w:val="6456200E"/>
    <w:rsid w:val="645639F0"/>
    <w:rsid w:val="645666EE"/>
    <w:rsid w:val="64571C8B"/>
    <w:rsid w:val="64572560"/>
    <w:rsid w:val="64573C01"/>
    <w:rsid w:val="6457430E"/>
    <w:rsid w:val="6457607A"/>
    <w:rsid w:val="6458042E"/>
    <w:rsid w:val="6458100E"/>
    <w:rsid w:val="645830D2"/>
    <w:rsid w:val="6458344A"/>
    <w:rsid w:val="64590086"/>
    <w:rsid w:val="64593A33"/>
    <w:rsid w:val="6459506F"/>
    <w:rsid w:val="645962D8"/>
    <w:rsid w:val="645966CA"/>
    <w:rsid w:val="645A5A3A"/>
    <w:rsid w:val="645A64FF"/>
    <w:rsid w:val="645B159D"/>
    <w:rsid w:val="645B3DFE"/>
    <w:rsid w:val="645B45D0"/>
    <w:rsid w:val="645B5161"/>
    <w:rsid w:val="645B6166"/>
    <w:rsid w:val="645C36D2"/>
    <w:rsid w:val="645C42C0"/>
    <w:rsid w:val="645C7B76"/>
    <w:rsid w:val="645D6801"/>
    <w:rsid w:val="645D7776"/>
    <w:rsid w:val="645E1621"/>
    <w:rsid w:val="645E1CF7"/>
    <w:rsid w:val="645E25EF"/>
    <w:rsid w:val="645E4E80"/>
    <w:rsid w:val="645E69C9"/>
    <w:rsid w:val="645F5392"/>
    <w:rsid w:val="645F6B45"/>
    <w:rsid w:val="645F7E0A"/>
    <w:rsid w:val="646007EB"/>
    <w:rsid w:val="64601415"/>
    <w:rsid w:val="646031C3"/>
    <w:rsid w:val="64607667"/>
    <w:rsid w:val="64613801"/>
    <w:rsid w:val="6461518D"/>
    <w:rsid w:val="64630F05"/>
    <w:rsid w:val="6463171A"/>
    <w:rsid w:val="64632CB3"/>
    <w:rsid w:val="64641727"/>
    <w:rsid w:val="6464464F"/>
    <w:rsid w:val="6464663E"/>
    <w:rsid w:val="646507D9"/>
    <w:rsid w:val="64654C7D"/>
    <w:rsid w:val="64656ED0"/>
    <w:rsid w:val="64664551"/>
    <w:rsid w:val="646709F5"/>
    <w:rsid w:val="64680B03"/>
    <w:rsid w:val="64682077"/>
    <w:rsid w:val="6468630B"/>
    <w:rsid w:val="6468651B"/>
    <w:rsid w:val="64694B64"/>
    <w:rsid w:val="646A4041"/>
    <w:rsid w:val="646A5DEF"/>
    <w:rsid w:val="646B1FA0"/>
    <w:rsid w:val="646B7DB9"/>
    <w:rsid w:val="646C600B"/>
    <w:rsid w:val="646D261F"/>
    <w:rsid w:val="646D34E5"/>
    <w:rsid w:val="646D3B32"/>
    <w:rsid w:val="646D3D82"/>
    <w:rsid w:val="646D768E"/>
    <w:rsid w:val="646E290D"/>
    <w:rsid w:val="646E5E05"/>
    <w:rsid w:val="646E6ED2"/>
    <w:rsid w:val="646F08D5"/>
    <w:rsid w:val="646F3406"/>
    <w:rsid w:val="646F5D5E"/>
    <w:rsid w:val="646F6EC3"/>
    <w:rsid w:val="646F78AA"/>
    <w:rsid w:val="64701E66"/>
    <w:rsid w:val="64701ECC"/>
    <w:rsid w:val="64713DD5"/>
    <w:rsid w:val="64717164"/>
    <w:rsid w:val="64721148"/>
    <w:rsid w:val="64722EF6"/>
    <w:rsid w:val="64723494"/>
    <w:rsid w:val="6472401C"/>
    <w:rsid w:val="6472739A"/>
    <w:rsid w:val="647307E7"/>
    <w:rsid w:val="64730C41"/>
    <w:rsid w:val="64731F9B"/>
    <w:rsid w:val="64733D0A"/>
    <w:rsid w:val="64740360"/>
    <w:rsid w:val="647434B5"/>
    <w:rsid w:val="64744EC0"/>
    <w:rsid w:val="6474549B"/>
    <w:rsid w:val="64746C6E"/>
    <w:rsid w:val="64752797"/>
    <w:rsid w:val="64754794"/>
    <w:rsid w:val="64756893"/>
    <w:rsid w:val="64761C34"/>
    <w:rsid w:val="647629E6"/>
    <w:rsid w:val="6477050C"/>
    <w:rsid w:val="64770E73"/>
    <w:rsid w:val="647732ED"/>
    <w:rsid w:val="647749B0"/>
    <w:rsid w:val="6477675E"/>
    <w:rsid w:val="64776FF1"/>
    <w:rsid w:val="64777C29"/>
    <w:rsid w:val="64786EB7"/>
    <w:rsid w:val="647874BC"/>
    <w:rsid w:val="64790728"/>
    <w:rsid w:val="64791478"/>
    <w:rsid w:val="64791A88"/>
    <w:rsid w:val="647924D6"/>
    <w:rsid w:val="647933E3"/>
    <w:rsid w:val="64793A74"/>
    <w:rsid w:val="647A0DC4"/>
    <w:rsid w:val="647A1DAB"/>
    <w:rsid w:val="647A43A8"/>
    <w:rsid w:val="647B4E17"/>
    <w:rsid w:val="647B5838"/>
    <w:rsid w:val="647B624F"/>
    <w:rsid w:val="647B6F79"/>
    <w:rsid w:val="647B7FFD"/>
    <w:rsid w:val="647C001E"/>
    <w:rsid w:val="647C300F"/>
    <w:rsid w:val="647C3D75"/>
    <w:rsid w:val="647C5B23"/>
    <w:rsid w:val="647C5EBE"/>
    <w:rsid w:val="647D6C20"/>
    <w:rsid w:val="647E0D15"/>
    <w:rsid w:val="647E1F79"/>
    <w:rsid w:val="647E270F"/>
    <w:rsid w:val="647E2D29"/>
    <w:rsid w:val="647E30EE"/>
    <w:rsid w:val="647E3DF3"/>
    <w:rsid w:val="647E4A19"/>
    <w:rsid w:val="647E5D3F"/>
    <w:rsid w:val="647E7622"/>
    <w:rsid w:val="647F15F1"/>
    <w:rsid w:val="647F3785"/>
    <w:rsid w:val="64800F8E"/>
    <w:rsid w:val="648033C0"/>
    <w:rsid w:val="648036D8"/>
    <w:rsid w:val="64805613"/>
    <w:rsid w:val="64810247"/>
    <w:rsid w:val="64810779"/>
    <w:rsid w:val="64811D7A"/>
    <w:rsid w:val="64814073"/>
    <w:rsid w:val="64814A2B"/>
    <w:rsid w:val="648167EC"/>
    <w:rsid w:val="6482057F"/>
    <w:rsid w:val="648228D9"/>
    <w:rsid w:val="648275DD"/>
    <w:rsid w:val="64827D86"/>
    <w:rsid w:val="64832F8E"/>
    <w:rsid w:val="64835103"/>
    <w:rsid w:val="6484176C"/>
    <w:rsid w:val="64844409"/>
    <w:rsid w:val="648478D7"/>
    <w:rsid w:val="64852BFC"/>
    <w:rsid w:val="64852C29"/>
    <w:rsid w:val="648570CD"/>
    <w:rsid w:val="6486074F"/>
    <w:rsid w:val="64863DEE"/>
    <w:rsid w:val="6486408C"/>
    <w:rsid w:val="64870176"/>
    <w:rsid w:val="648706AB"/>
    <w:rsid w:val="64872E45"/>
    <w:rsid w:val="64874BF3"/>
    <w:rsid w:val="6487551C"/>
    <w:rsid w:val="64875A85"/>
    <w:rsid w:val="648800ED"/>
    <w:rsid w:val="6488174E"/>
    <w:rsid w:val="64882719"/>
    <w:rsid w:val="648844C8"/>
    <w:rsid w:val="64884A90"/>
    <w:rsid w:val="648869AC"/>
    <w:rsid w:val="6489157D"/>
    <w:rsid w:val="64892316"/>
    <w:rsid w:val="64892AFE"/>
    <w:rsid w:val="648A0240"/>
    <w:rsid w:val="648A12CC"/>
    <w:rsid w:val="648A6492"/>
    <w:rsid w:val="648B1ED0"/>
    <w:rsid w:val="648B532D"/>
    <w:rsid w:val="648B7F50"/>
    <w:rsid w:val="648C045C"/>
    <w:rsid w:val="648C220A"/>
    <w:rsid w:val="648C6A1E"/>
    <w:rsid w:val="648D1ADE"/>
    <w:rsid w:val="648D275F"/>
    <w:rsid w:val="648D36A0"/>
    <w:rsid w:val="648D3899"/>
    <w:rsid w:val="648D7C4D"/>
    <w:rsid w:val="648D7D30"/>
    <w:rsid w:val="648E2558"/>
    <w:rsid w:val="648E2A12"/>
    <w:rsid w:val="648E3FA5"/>
    <w:rsid w:val="648E6FCD"/>
    <w:rsid w:val="648F1CFA"/>
    <w:rsid w:val="648F2528"/>
    <w:rsid w:val="648F44FC"/>
    <w:rsid w:val="648F5856"/>
    <w:rsid w:val="648F687F"/>
    <w:rsid w:val="64900237"/>
    <w:rsid w:val="64901440"/>
    <w:rsid w:val="649015CE"/>
    <w:rsid w:val="64907D0F"/>
    <w:rsid w:val="64915F46"/>
    <w:rsid w:val="6492052F"/>
    <w:rsid w:val="64921504"/>
    <w:rsid w:val="6492262F"/>
    <w:rsid w:val="649235CD"/>
    <w:rsid w:val="64925346"/>
    <w:rsid w:val="649317EA"/>
    <w:rsid w:val="649345D3"/>
    <w:rsid w:val="64935200"/>
    <w:rsid w:val="64937B8F"/>
    <w:rsid w:val="64942E6C"/>
    <w:rsid w:val="64944F4F"/>
    <w:rsid w:val="6494687B"/>
    <w:rsid w:val="64951394"/>
    <w:rsid w:val="649602A9"/>
    <w:rsid w:val="64960658"/>
    <w:rsid w:val="64962F53"/>
    <w:rsid w:val="649643FF"/>
    <w:rsid w:val="64964E36"/>
    <w:rsid w:val="64966BE4"/>
    <w:rsid w:val="649714F1"/>
    <w:rsid w:val="64973D08"/>
    <w:rsid w:val="64974DFC"/>
    <w:rsid w:val="6498064B"/>
    <w:rsid w:val="6498672C"/>
    <w:rsid w:val="64986C22"/>
    <w:rsid w:val="64986E00"/>
    <w:rsid w:val="64990483"/>
    <w:rsid w:val="64992B79"/>
    <w:rsid w:val="649937E2"/>
    <w:rsid w:val="64994CFB"/>
    <w:rsid w:val="649966D5"/>
    <w:rsid w:val="64997931"/>
    <w:rsid w:val="649A0DC1"/>
    <w:rsid w:val="649A3146"/>
    <w:rsid w:val="649A318E"/>
    <w:rsid w:val="649A5D56"/>
    <w:rsid w:val="649A7E4B"/>
    <w:rsid w:val="649B069F"/>
    <w:rsid w:val="649B244D"/>
    <w:rsid w:val="649B24AB"/>
    <w:rsid w:val="649B41FB"/>
    <w:rsid w:val="649C208A"/>
    <w:rsid w:val="649C3E0B"/>
    <w:rsid w:val="649C4C9A"/>
    <w:rsid w:val="649C61C5"/>
    <w:rsid w:val="649C74E0"/>
    <w:rsid w:val="649C7D16"/>
    <w:rsid w:val="649D0BDB"/>
    <w:rsid w:val="649D0E83"/>
    <w:rsid w:val="649D397A"/>
    <w:rsid w:val="649D4417"/>
    <w:rsid w:val="649D6209"/>
    <w:rsid w:val="649E018F"/>
    <w:rsid w:val="649E0BD2"/>
    <w:rsid w:val="649E3CEB"/>
    <w:rsid w:val="649F3347"/>
    <w:rsid w:val="649F7F21"/>
    <w:rsid w:val="64A04C33"/>
    <w:rsid w:val="64A04F67"/>
    <w:rsid w:val="64A05CB5"/>
    <w:rsid w:val="64A07389"/>
    <w:rsid w:val="64A07A63"/>
    <w:rsid w:val="64A10C94"/>
    <w:rsid w:val="64A1338B"/>
    <w:rsid w:val="64A137DB"/>
    <w:rsid w:val="64A15589"/>
    <w:rsid w:val="64A17553"/>
    <w:rsid w:val="64A17B10"/>
    <w:rsid w:val="64A227CA"/>
    <w:rsid w:val="64A301FC"/>
    <w:rsid w:val="64A30948"/>
    <w:rsid w:val="64A335B4"/>
    <w:rsid w:val="64A357A5"/>
    <w:rsid w:val="64A358AC"/>
    <w:rsid w:val="64A37553"/>
    <w:rsid w:val="64A40C28"/>
    <w:rsid w:val="64A4221F"/>
    <w:rsid w:val="64A454D2"/>
    <w:rsid w:val="64A455D5"/>
    <w:rsid w:val="64A51B2D"/>
    <w:rsid w:val="64A5243A"/>
    <w:rsid w:val="64A53269"/>
    <w:rsid w:val="64A532CB"/>
    <w:rsid w:val="64A57CAA"/>
    <w:rsid w:val="64A608C7"/>
    <w:rsid w:val="64A6459D"/>
    <w:rsid w:val="64A7091F"/>
    <w:rsid w:val="64A70DF2"/>
    <w:rsid w:val="64A82DBC"/>
    <w:rsid w:val="64A82F69"/>
    <w:rsid w:val="64A8300B"/>
    <w:rsid w:val="64A83900"/>
    <w:rsid w:val="64A931DE"/>
    <w:rsid w:val="64A96E62"/>
    <w:rsid w:val="64AA07E9"/>
    <w:rsid w:val="64AA08E2"/>
    <w:rsid w:val="64AA2690"/>
    <w:rsid w:val="64AA764B"/>
    <w:rsid w:val="64AB1D46"/>
    <w:rsid w:val="64AB23C1"/>
    <w:rsid w:val="64AB3259"/>
    <w:rsid w:val="64AB624D"/>
    <w:rsid w:val="64AB7435"/>
    <w:rsid w:val="64AC0143"/>
    <w:rsid w:val="64AC5DA7"/>
    <w:rsid w:val="64AD03D2"/>
    <w:rsid w:val="64AD2180"/>
    <w:rsid w:val="64AD27BF"/>
    <w:rsid w:val="64AD3F2E"/>
    <w:rsid w:val="64AF4728"/>
    <w:rsid w:val="64AF5054"/>
    <w:rsid w:val="64AF7CA6"/>
    <w:rsid w:val="64AF7D20"/>
    <w:rsid w:val="64B00387"/>
    <w:rsid w:val="64B07DCC"/>
    <w:rsid w:val="64B10789"/>
    <w:rsid w:val="64B117D3"/>
    <w:rsid w:val="64B11C70"/>
    <w:rsid w:val="64B148E9"/>
    <w:rsid w:val="64B17EC2"/>
    <w:rsid w:val="64B204D8"/>
    <w:rsid w:val="64B21206"/>
    <w:rsid w:val="64B21544"/>
    <w:rsid w:val="64B21C19"/>
    <w:rsid w:val="64B23FA3"/>
    <w:rsid w:val="64B259E8"/>
    <w:rsid w:val="64B27BA1"/>
    <w:rsid w:val="64B27DC1"/>
    <w:rsid w:val="64B329DC"/>
    <w:rsid w:val="64B330A9"/>
    <w:rsid w:val="64B33C3A"/>
    <w:rsid w:val="64B361C9"/>
    <w:rsid w:val="64B41760"/>
    <w:rsid w:val="64B42823"/>
    <w:rsid w:val="64B4350F"/>
    <w:rsid w:val="64B452BD"/>
    <w:rsid w:val="64B4688F"/>
    <w:rsid w:val="64B472D0"/>
    <w:rsid w:val="64B5059A"/>
    <w:rsid w:val="64B5324F"/>
    <w:rsid w:val="64B559C9"/>
    <w:rsid w:val="64B61035"/>
    <w:rsid w:val="64B624A1"/>
    <w:rsid w:val="64B6461D"/>
    <w:rsid w:val="64B654D9"/>
    <w:rsid w:val="64B66E59"/>
    <w:rsid w:val="64B71B8C"/>
    <w:rsid w:val="64B72EBA"/>
    <w:rsid w:val="64B74DAD"/>
    <w:rsid w:val="64B75762"/>
    <w:rsid w:val="64B81251"/>
    <w:rsid w:val="64B819BB"/>
    <w:rsid w:val="64B82FFF"/>
    <w:rsid w:val="64B876D3"/>
    <w:rsid w:val="64B90B25"/>
    <w:rsid w:val="64B965E2"/>
    <w:rsid w:val="64BA03AB"/>
    <w:rsid w:val="64BA4054"/>
    <w:rsid w:val="64BB183B"/>
    <w:rsid w:val="64BB2CCB"/>
    <w:rsid w:val="64BB2F53"/>
    <w:rsid w:val="64BB39A2"/>
    <w:rsid w:val="64BB489D"/>
    <w:rsid w:val="64BC2393"/>
    <w:rsid w:val="64BC23C3"/>
    <w:rsid w:val="64BC415B"/>
    <w:rsid w:val="64BC4A4A"/>
    <w:rsid w:val="64BD0615"/>
    <w:rsid w:val="64BD405B"/>
    <w:rsid w:val="64BD6E63"/>
    <w:rsid w:val="64BD767D"/>
    <w:rsid w:val="64BE01BC"/>
    <w:rsid w:val="64BE2B05"/>
    <w:rsid w:val="64BE438D"/>
    <w:rsid w:val="64BE4E50"/>
    <w:rsid w:val="64BF421D"/>
    <w:rsid w:val="64C00105"/>
    <w:rsid w:val="64C0032C"/>
    <w:rsid w:val="64C0526C"/>
    <w:rsid w:val="64C10821"/>
    <w:rsid w:val="64C10C94"/>
    <w:rsid w:val="64C12591"/>
    <w:rsid w:val="64C179D9"/>
    <w:rsid w:val="64C228DE"/>
    <w:rsid w:val="64C23E7D"/>
    <w:rsid w:val="64C27FCD"/>
    <w:rsid w:val="64C32654"/>
    <w:rsid w:val="64C33752"/>
    <w:rsid w:val="64C3537E"/>
    <w:rsid w:val="64C37D8C"/>
    <w:rsid w:val="64C4402E"/>
    <w:rsid w:val="64C45DE1"/>
    <w:rsid w:val="64C47FDF"/>
    <w:rsid w:val="64C51278"/>
    <w:rsid w:val="64C5396E"/>
    <w:rsid w:val="64C5571C"/>
    <w:rsid w:val="64C60430"/>
    <w:rsid w:val="64C6151F"/>
    <w:rsid w:val="64C67DDE"/>
    <w:rsid w:val="64C719C8"/>
    <w:rsid w:val="64C73242"/>
    <w:rsid w:val="64C774DA"/>
    <w:rsid w:val="64C80D68"/>
    <w:rsid w:val="64C86FBA"/>
    <w:rsid w:val="64C936A0"/>
    <w:rsid w:val="64C9494D"/>
    <w:rsid w:val="64C952CF"/>
    <w:rsid w:val="64C95D08"/>
    <w:rsid w:val="64CA0C27"/>
    <w:rsid w:val="64CA0F84"/>
    <w:rsid w:val="64CA2D32"/>
    <w:rsid w:val="64CA4AE0"/>
    <w:rsid w:val="64CA5C1F"/>
    <w:rsid w:val="64CA675F"/>
    <w:rsid w:val="64CA7303"/>
    <w:rsid w:val="64CB61D7"/>
    <w:rsid w:val="64CC0858"/>
    <w:rsid w:val="64CC26CC"/>
    <w:rsid w:val="64CC3C50"/>
    <w:rsid w:val="64CD637E"/>
    <w:rsid w:val="64CE03CB"/>
    <w:rsid w:val="64CE0BC3"/>
    <w:rsid w:val="64CE1030"/>
    <w:rsid w:val="64CE2822"/>
    <w:rsid w:val="64CE76E8"/>
    <w:rsid w:val="64CE7CB1"/>
    <w:rsid w:val="64CF0348"/>
    <w:rsid w:val="64CF3AB2"/>
    <w:rsid w:val="64CF6B60"/>
    <w:rsid w:val="64D01D0F"/>
    <w:rsid w:val="64D07188"/>
    <w:rsid w:val="64D11EF6"/>
    <w:rsid w:val="64D126C0"/>
    <w:rsid w:val="64D140C0"/>
    <w:rsid w:val="64D15E6F"/>
    <w:rsid w:val="64D164EB"/>
    <w:rsid w:val="64D1758F"/>
    <w:rsid w:val="64D21BE7"/>
    <w:rsid w:val="64D2333F"/>
    <w:rsid w:val="64D25750"/>
    <w:rsid w:val="64D264EB"/>
    <w:rsid w:val="64D35A36"/>
    <w:rsid w:val="64D361F5"/>
    <w:rsid w:val="64D41447"/>
    <w:rsid w:val="64D445BC"/>
    <w:rsid w:val="64D46DD5"/>
    <w:rsid w:val="64D47158"/>
    <w:rsid w:val="64D47324"/>
    <w:rsid w:val="64D4770D"/>
    <w:rsid w:val="64D47CC7"/>
    <w:rsid w:val="64D502BE"/>
    <w:rsid w:val="64D63485"/>
    <w:rsid w:val="64D65EDB"/>
    <w:rsid w:val="64D66A32"/>
    <w:rsid w:val="64D678D3"/>
    <w:rsid w:val="64D67929"/>
    <w:rsid w:val="64D77D82"/>
    <w:rsid w:val="64D836A1"/>
    <w:rsid w:val="64D83934"/>
    <w:rsid w:val="64D85D95"/>
    <w:rsid w:val="64D8772E"/>
    <w:rsid w:val="64D911C7"/>
    <w:rsid w:val="64D91692"/>
    <w:rsid w:val="64D92F75"/>
    <w:rsid w:val="64D94D23"/>
    <w:rsid w:val="64DA03F1"/>
    <w:rsid w:val="64DA6F7A"/>
    <w:rsid w:val="64DB0325"/>
    <w:rsid w:val="64DB0A9B"/>
    <w:rsid w:val="64DB2745"/>
    <w:rsid w:val="64DB37D2"/>
    <w:rsid w:val="64DB4F3F"/>
    <w:rsid w:val="64DB6CED"/>
    <w:rsid w:val="64DD0A04"/>
    <w:rsid w:val="64DD0CB7"/>
    <w:rsid w:val="64DD4BD5"/>
    <w:rsid w:val="64DD4EB4"/>
    <w:rsid w:val="64DE2339"/>
    <w:rsid w:val="64DE4548"/>
    <w:rsid w:val="64DE67DD"/>
    <w:rsid w:val="64DF2F0A"/>
    <w:rsid w:val="64DF46E4"/>
    <w:rsid w:val="64DF4A2F"/>
    <w:rsid w:val="64E01116"/>
    <w:rsid w:val="64E04304"/>
    <w:rsid w:val="64E060B2"/>
    <w:rsid w:val="64E10EA1"/>
    <w:rsid w:val="64E11B0D"/>
    <w:rsid w:val="64E13556"/>
    <w:rsid w:val="64E16127"/>
    <w:rsid w:val="64E2007C"/>
    <w:rsid w:val="64E20ACF"/>
    <w:rsid w:val="64E21E2A"/>
    <w:rsid w:val="64E262CE"/>
    <w:rsid w:val="64E275B7"/>
    <w:rsid w:val="64E3220C"/>
    <w:rsid w:val="64E32E12"/>
    <w:rsid w:val="64E35BA2"/>
    <w:rsid w:val="64E41490"/>
    <w:rsid w:val="64E42046"/>
    <w:rsid w:val="64E43A78"/>
    <w:rsid w:val="64E536C8"/>
    <w:rsid w:val="64E57B6C"/>
    <w:rsid w:val="64E70858"/>
    <w:rsid w:val="64E71F99"/>
    <w:rsid w:val="64E7239C"/>
    <w:rsid w:val="64E738E4"/>
    <w:rsid w:val="64E75490"/>
    <w:rsid w:val="64E75692"/>
    <w:rsid w:val="64E77440"/>
    <w:rsid w:val="64E82714"/>
    <w:rsid w:val="64E831B8"/>
    <w:rsid w:val="64E83429"/>
    <w:rsid w:val="64E87604"/>
    <w:rsid w:val="64E916E4"/>
    <w:rsid w:val="64EA170E"/>
    <w:rsid w:val="64EA33D4"/>
    <w:rsid w:val="64EA5182"/>
    <w:rsid w:val="64EA63B8"/>
    <w:rsid w:val="64EA6F30"/>
    <w:rsid w:val="64EA6F7A"/>
    <w:rsid w:val="64EB00FD"/>
    <w:rsid w:val="64EB185C"/>
    <w:rsid w:val="64EB23E5"/>
    <w:rsid w:val="64EB5D26"/>
    <w:rsid w:val="64EC0669"/>
    <w:rsid w:val="64EC0EFA"/>
    <w:rsid w:val="64EC2CA8"/>
    <w:rsid w:val="64EC323A"/>
    <w:rsid w:val="64ED07CF"/>
    <w:rsid w:val="64ED73DD"/>
    <w:rsid w:val="64EE1A9D"/>
    <w:rsid w:val="64EE229F"/>
    <w:rsid w:val="64EE258A"/>
    <w:rsid w:val="64EE6887"/>
    <w:rsid w:val="64EE6A20"/>
    <w:rsid w:val="64EE7D66"/>
    <w:rsid w:val="64EF072B"/>
    <w:rsid w:val="64EF09EB"/>
    <w:rsid w:val="64EF18C2"/>
    <w:rsid w:val="64EF2799"/>
    <w:rsid w:val="64EF4547"/>
    <w:rsid w:val="64F07780"/>
    <w:rsid w:val="64F102BF"/>
    <w:rsid w:val="64F1046E"/>
    <w:rsid w:val="64F1206D"/>
    <w:rsid w:val="64F14325"/>
    <w:rsid w:val="64F144DB"/>
    <w:rsid w:val="64F14763"/>
    <w:rsid w:val="64F16511"/>
    <w:rsid w:val="64F2562B"/>
    <w:rsid w:val="64F2596B"/>
    <w:rsid w:val="64F25DE5"/>
    <w:rsid w:val="64F270AC"/>
    <w:rsid w:val="64F32289"/>
    <w:rsid w:val="64F34606"/>
    <w:rsid w:val="64F3678D"/>
    <w:rsid w:val="64F45202"/>
    <w:rsid w:val="64F47DAF"/>
    <w:rsid w:val="64F47F2D"/>
    <w:rsid w:val="64F527DB"/>
    <w:rsid w:val="64F531DE"/>
    <w:rsid w:val="64F55A5F"/>
    <w:rsid w:val="64F61D79"/>
    <w:rsid w:val="64F63B27"/>
    <w:rsid w:val="64F65870"/>
    <w:rsid w:val="64F658D5"/>
    <w:rsid w:val="64F66EBC"/>
    <w:rsid w:val="64F71AB3"/>
    <w:rsid w:val="64F71B0F"/>
    <w:rsid w:val="64F733FB"/>
    <w:rsid w:val="64F74CF1"/>
    <w:rsid w:val="64F75897"/>
    <w:rsid w:val="64F8204B"/>
    <w:rsid w:val="64F91452"/>
    <w:rsid w:val="64F93617"/>
    <w:rsid w:val="64F947D0"/>
    <w:rsid w:val="64F953C5"/>
    <w:rsid w:val="64F97173"/>
    <w:rsid w:val="64FA1280"/>
    <w:rsid w:val="64FA1F39"/>
    <w:rsid w:val="64FA3254"/>
    <w:rsid w:val="64FA583D"/>
    <w:rsid w:val="64FB015D"/>
    <w:rsid w:val="64FB0175"/>
    <w:rsid w:val="64FB030F"/>
    <w:rsid w:val="64FB113D"/>
    <w:rsid w:val="64FB189E"/>
    <w:rsid w:val="64FB2EEB"/>
    <w:rsid w:val="64FB4660"/>
    <w:rsid w:val="64FB47E3"/>
    <w:rsid w:val="64FB6356"/>
    <w:rsid w:val="64FB6CCD"/>
    <w:rsid w:val="64FC2D2E"/>
    <w:rsid w:val="64FC39E3"/>
    <w:rsid w:val="64FC63FB"/>
    <w:rsid w:val="64FD1CC4"/>
    <w:rsid w:val="64FD3107"/>
    <w:rsid w:val="64FD6C64"/>
    <w:rsid w:val="64FD6D3E"/>
    <w:rsid w:val="64FE413D"/>
    <w:rsid w:val="64FE478A"/>
    <w:rsid w:val="64FF12A9"/>
    <w:rsid w:val="64FF2A7F"/>
    <w:rsid w:val="65001BA1"/>
    <w:rsid w:val="65002B3F"/>
    <w:rsid w:val="650030F4"/>
    <w:rsid w:val="650049A6"/>
    <w:rsid w:val="65005919"/>
    <w:rsid w:val="65006754"/>
    <w:rsid w:val="6501067A"/>
    <w:rsid w:val="65016E63"/>
    <w:rsid w:val="65020980"/>
    <w:rsid w:val="650224CC"/>
    <w:rsid w:val="6502427A"/>
    <w:rsid w:val="6502545F"/>
    <w:rsid w:val="65025F60"/>
    <w:rsid w:val="650261AD"/>
    <w:rsid w:val="65035273"/>
    <w:rsid w:val="65037FF2"/>
    <w:rsid w:val="65041B65"/>
    <w:rsid w:val="65044496"/>
    <w:rsid w:val="65051FBC"/>
    <w:rsid w:val="65053D6A"/>
    <w:rsid w:val="650545D5"/>
    <w:rsid w:val="65054DB7"/>
    <w:rsid w:val="65055521"/>
    <w:rsid w:val="650603A5"/>
    <w:rsid w:val="650637AD"/>
    <w:rsid w:val="65063DE0"/>
    <w:rsid w:val="6506590F"/>
    <w:rsid w:val="65067B4F"/>
    <w:rsid w:val="65071890"/>
    <w:rsid w:val="650748B6"/>
    <w:rsid w:val="65075270"/>
    <w:rsid w:val="65075D34"/>
    <w:rsid w:val="65076D69"/>
    <w:rsid w:val="65077AE2"/>
    <w:rsid w:val="65081561"/>
    <w:rsid w:val="65084E72"/>
    <w:rsid w:val="6509385A"/>
    <w:rsid w:val="650A131C"/>
    <w:rsid w:val="650A1380"/>
    <w:rsid w:val="650A312E"/>
    <w:rsid w:val="650A3BF1"/>
    <w:rsid w:val="650A5824"/>
    <w:rsid w:val="650A591E"/>
    <w:rsid w:val="650A6582"/>
    <w:rsid w:val="650B4E7A"/>
    <w:rsid w:val="650B58CE"/>
    <w:rsid w:val="650C04E3"/>
    <w:rsid w:val="650C4D8A"/>
    <w:rsid w:val="650C6EA7"/>
    <w:rsid w:val="650D12A5"/>
    <w:rsid w:val="650D2C1F"/>
    <w:rsid w:val="650D3CB3"/>
    <w:rsid w:val="650E0E71"/>
    <w:rsid w:val="650E29EA"/>
    <w:rsid w:val="650E3A02"/>
    <w:rsid w:val="650E70C3"/>
    <w:rsid w:val="650E7865"/>
    <w:rsid w:val="650F11A4"/>
    <w:rsid w:val="650F1CA5"/>
    <w:rsid w:val="650F65D3"/>
    <w:rsid w:val="65102E3B"/>
    <w:rsid w:val="65110961"/>
    <w:rsid w:val="65110EF3"/>
    <w:rsid w:val="651144BD"/>
    <w:rsid w:val="6512303B"/>
    <w:rsid w:val="65130235"/>
    <w:rsid w:val="65130B02"/>
    <w:rsid w:val="651346D9"/>
    <w:rsid w:val="65136487"/>
    <w:rsid w:val="65143FAD"/>
    <w:rsid w:val="65144583"/>
    <w:rsid w:val="65144B87"/>
    <w:rsid w:val="65146F24"/>
    <w:rsid w:val="65146F64"/>
    <w:rsid w:val="65150451"/>
    <w:rsid w:val="65155D8A"/>
    <w:rsid w:val="65156791"/>
    <w:rsid w:val="65165E6D"/>
    <w:rsid w:val="65167D25"/>
    <w:rsid w:val="65171122"/>
    <w:rsid w:val="65175A45"/>
    <w:rsid w:val="65180DC6"/>
    <w:rsid w:val="65181CEF"/>
    <w:rsid w:val="65183A9D"/>
    <w:rsid w:val="6518584B"/>
    <w:rsid w:val="65185A4E"/>
    <w:rsid w:val="65186406"/>
    <w:rsid w:val="65186B63"/>
    <w:rsid w:val="651902DE"/>
    <w:rsid w:val="65192256"/>
    <w:rsid w:val="651932EC"/>
    <w:rsid w:val="651947B7"/>
    <w:rsid w:val="65196259"/>
    <w:rsid w:val="651972B3"/>
    <w:rsid w:val="65197815"/>
    <w:rsid w:val="651A36E6"/>
    <w:rsid w:val="651A75E6"/>
    <w:rsid w:val="651B17E0"/>
    <w:rsid w:val="651B3B2E"/>
    <w:rsid w:val="651B533C"/>
    <w:rsid w:val="651D27F2"/>
    <w:rsid w:val="651D2E62"/>
    <w:rsid w:val="651D5558"/>
    <w:rsid w:val="651D7306"/>
    <w:rsid w:val="651E2555"/>
    <w:rsid w:val="651E6BDA"/>
    <w:rsid w:val="651F1C70"/>
    <w:rsid w:val="651F4912"/>
    <w:rsid w:val="65200BA4"/>
    <w:rsid w:val="65202952"/>
    <w:rsid w:val="65203A07"/>
    <w:rsid w:val="65206DF6"/>
    <w:rsid w:val="65222141"/>
    <w:rsid w:val="6522491C"/>
    <w:rsid w:val="65241F3A"/>
    <w:rsid w:val="65245FCE"/>
    <w:rsid w:val="65247369"/>
    <w:rsid w:val="6525440C"/>
    <w:rsid w:val="65261D41"/>
    <w:rsid w:val="652634CB"/>
    <w:rsid w:val="65271F32"/>
    <w:rsid w:val="65273EF4"/>
    <w:rsid w:val="652775B4"/>
    <w:rsid w:val="65283799"/>
    <w:rsid w:val="65284C99"/>
    <w:rsid w:val="6528549D"/>
    <w:rsid w:val="65291798"/>
    <w:rsid w:val="652933C7"/>
    <w:rsid w:val="65297A59"/>
    <w:rsid w:val="652A2386"/>
    <w:rsid w:val="652A37D1"/>
    <w:rsid w:val="652A557F"/>
    <w:rsid w:val="652B5F19"/>
    <w:rsid w:val="652C1518"/>
    <w:rsid w:val="652C356B"/>
    <w:rsid w:val="652C579B"/>
    <w:rsid w:val="652D19B6"/>
    <w:rsid w:val="652D1B5C"/>
    <w:rsid w:val="652D4159"/>
    <w:rsid w:val="652D6F8B"/>
    <w:rsid w:val="652E0455"/>
    <w:rsid w:val="652E1513"/>
    <w:rsid w:val="652E32C1"/>
    <w:rsid w:val="652E506F"/>
    <w:rsid w:val="652F0510"/>
    <w:rsid w:val="652F0DE7"/>
    <w:rsid w:val="652F1043"/>
    <w:rsid w:val="652F2AD2"/>
    <w:rsid w:val="652F5CA0"/>
    <w:rsid w:val="652F7039"/>
    <w:rsid w:val="65302769"/>
    <w:rsid w:val="65304DD8"/>
    <w:rsid w:val="6530590C"/>
    <w:rsid w:val="653103A5"/>
    <w:rsid w:val="65312228"/>
    <w:rsid w:val="653124E1"/>
    <w:rsid w:val="65312DB1"/>
    <w:rsid w:val="65316523"/>
    <w:rsid w:val="6531690D"/>
    <w:rsid w:val="65316DAD"/>
    <w:rsid w:val="65317DAE"/>
    <w:rsid w:val="65320613"/>
    <w:rsid w:val="6532453E"/>
    <w:rsid w:val="65324892"/>
    <w:rsid w:val="653308D7"/>
    <w:rsid w:val="65332685"/>
    <w:rsid w:val="65335C7E"/>
    <w:rsid w:val="6533615D"/>
    <w:rsid w:val="65336B29"/>
    <w:rsid w:val="65340C45"/>
    <w:rsid w:val="65341918"/>
    <w:rsid w:val="65346E5E"/>
    <w:rsid w:val="65350E0A"/>
    <w:rsid w:val="653528A1"/>
    <w:rsid w:val="653531CF"/>
    <w:rsid w:val="6535464F"/>
    <w:rsid w:val="653603C7"/>
    <w:rsid w:val="65362175"/>
    <w:rsid w:val="65363F24"/>
    <w:rsid w:val="6536434F"/>
    <w:rsid w:val="65366619"/>
    <w:rsid w:val="65367019"/>
    <w:rsid w:val="65373578"/>
    <w:rsid w:val="65380C12"/>
    <w:rsid w:val="653839FE"/>
    <w:rsid w:val="65384140"/>
    <w:rsid w:val="65385EEE"/>
    <w:rsid w:val="65387C9C"/>
    <w:rsid w:val="653900FF"/>
    <w:rsid w:val="653909C3"/>
    <w:rsid w:val="65391817"/>
    <w:rsid w:val="65391840"/>
    <w:rsid w:val="65393A14"/>
    <w:rsid w:val="65393D33"/>
    <w:rsid w:val="65394BB2"/>
    <w:rsid w:val="653A0C93"/>
    <w:rsid w:val="653A158F"/>
    <w:rsid w:val="653A1C66"/>
    <w:rsid w:val="653B0DF0"/>
    <w:rsid w:val="653B296B"/>
    <w:rsid w:val="653B4160"/>
    <w:rsid w:val="653B59DE"/>
    <w:rsid w:val="653B7019"/>
    <w:rsid w:val="653B778C"/>
    <w:rsid w:val="653C1922"/>
    <w:rsid w:val="653C1D4B"/>
    <w:rsid w:val="653D1756"/>
    <w:rsid w:val="653D3504"/>
    <w:rsid w:val="653D52B2"/>
    <w:rsid w:val="653E0615"/>
    <w:rsid w:val="653E2AE1"/>
    <w:rsid w:val="653F0327"/>
    <w:rsid w:val="653F54CE"/>
    <w:rsid w:val="653F727C"/>
    <w:rsid w:val="65402FF4"/>
    <w:rsid w:val="654031AC"/>
    <w:rsid w:val="65406CBC"/>
    <w:rsid w:val="654070B3"/>
    <w:rsid w:val="65411B50"/>
    <w:rsid w:val="65412AC0"/>
    <w:rsid w:val="654208F2"/>
    <w:rsid w:val="65420B1A"/>
    <w:rsid w:val="654228F2"/>
    <w:rsid w:val="65424FBE"/>
    <w:rsid w:val="65426D6C"/>
    <w:rsid w:val="65442AE4"/>
    <w:rsid w:val="65444892"/>
    <w:rsid w:val="65445212"/>
    <w:rsid w:val="6545060B"/>
    <w:rsid w:val="6545273C"/>
    <w:rsid w:val="65453D4A"/>
    <w:rsid w:val="65454A2A"/>
    <w:rsid w:val="65456205"/>
    <w:rsid w:val="654662A2"/>
    <w:rsid w:val="65470E6F"/>
    <w:rsid w:val="654725D5"/>
    <w:rsid w:val="65472703"/>
    <w:rsid w:val="65473B93"/>
    <w:rsid w:val="65476131"/>
    <w:rsid w:val="65490FFC"/>
    <w:rsid w:val="65493C57"/>
    <w:rsid w:val="6549634D"/>
    <w:rsid w:val="65497BF6"/>
    <w:rsid w:val="654A1084"/>
    <w:rsid w:val="654A5B0A"/>
    <w:rsid w:val="654A5C21"/>
    <w:rsid w:val="654A79CF"/>
    <w:rsid w:val="654B2A7B"/>
    <w:rsid w:val="654B3E73"/>
    <w:rsid w:val="654B50E5"/>
    <w:rsid w:val="654B5E55"/>
    <w:rsid w:val="654C1999"/>
    <w:rsid w:val="654C3747"/>
    <w:rsid w:val="654C467F"/>
    <w:rsid w:val="654C7BEB"/>
    <w:rsid w:val="654D0376"/>
    <w:rsid w:val="654D1146"/>
    <w:rsid w:val="654F3A66"/>
    <w:rsid w:val="654F4FE5"/>
    <w:rsid w:val="65501489"/>
    <w:rsid w:val="65504EF6"/>
    <w:rsid w:val="65507504"/>
    <w:rsid w:val="65507B38"/>
    <w:rsid w:val="65513795"/>
    <w:rsid w:val="655145F6"/>
    <w:rsid w:val="65515201"/>
    <w:rsid w:val="65516BDF"/>
    <w:rsid w:val="65516FAF"/>
    <w:rsid w:val="6552190A"/>
    <w:rsid w:val="65527A91"/>
    <w:rsid w:val="65530F79"/>
    <w:rsid w:val="65532228"/>
    <w:rsid w:val="65532D27"/>
    <w:rsid w:val="6554084E"/>
    <w:rsid w:val="65541807"/>
    <w:rsid w:val="65545F85"/>
    <w:rsid w:val="655463A6"/>
    <w:rsid w:val="65550066"/>
    <w:rsid w:val="655508D0"/>
    <w:rsid w:val="65551864"/>
    <w:rsid w:val="65556AA0"/>
    <w:rsid w:val="65562241"/>
    <w:rsid w:val="65562818"/>
    <w:rsid w:val="655645C6"/>
    <w:rsid w:val="65566374"/>
    <w:rsid w:val="65573A11"/>
    <w:rsid w:val="655748CB"/>
    <w:rsid w:val="6557674D"/>
    <w:rsid w:val="65576D44"/>
    <w:rsid w:val="6558033E"/>
    <w:rsid w:val="65581833"/>
    <w:rsid w:val="65581BF3"/>
    <w:rsid w:val="65581E8F"/>
    <w:rsid w:val="65584B18"/>
    <w:rsid w:val="65585E22"/>
    <w:rsid w:val="65590F59"/>
    <w:rsid w:val="65594859"/>
    <w:rsid w:val="655A0B79"/>
    <w:rsid w:val="655A143A"/>
    <w:rsid w:val="655A2308"/>
    <w:rsid w:val="655A40B6"/>
    <w:rsid w:val="655A67CD"/>
    <w:rsid w:val="655B070D"/>
    <w:rsid w:val="655B1BDC"/>
    <w:rsid w:val="655B2009"/>
    <w:rsid w:val="655B276F"/>
    <w:rsid w:val="655B4BDA"/>
    <w:rsid w:val="655B7E2E"/>
    <w:rsid w:val="655C3499"/>
    <w:rsid w:val="655C3D15"/>
    <w:rsid w:val="655C3FED"/>
    <w:rsid w:val="655C5C4B"/>
    <w:rsid w:val="655C606A"/>
    <w:rsid w:val="655C6080"/>
    <w:rsid w:val="655D2676"/>
    <w:rsid w:val="655D5954"/>
    <w:rsid w:val="655D7702"/>
    <w:rsid w:val="655E098A"/>
    <w:rsid w:val="655E476C"/>
    <w:rsid w:val="655E713F"/>
    <w:rsid w:val="655F1C41"/>
    <w:rsid w:val="655F1E1A"/>
    <w:rsid w:val="655F2BF6"/>
    <w:rsid w:val="655F33E3"/>
    <w:rsid w:val="655F347A"/>
    <w:rsid w:val="655F791E"/>
    <w:rsid w:val="656071F2"/>
    <w:rsid w:val="65613696"/>
    <w:rsid w:val="6561637C"/>
    <w:rsid w:val="656211BC"/>
    <w:rsid w:val="65622B56"/>
    <w:rsid w:val="65622F6B"/>
    <w:rsid w:val="65623BD0"/>
    <w:rsid w:val="6562740E"/>
    <w:rsid w:val="6563336C"/>
    <w:rsid w:val="65633D3E"/>
    <w:rsid w:val="656354F8"/>
    <w:rsid w:val="65646CE3"/>
    <w:rsid w:val="65647FDB"/>
    <w:rsid w:val="6565085D"/>
    <w:rsid w:val="65650C3F"/>
    <w:rsid w:val="6565227D"/>
    <w:rsid w:val="65652A5B"/>
    <w:rsid w:val="65654809"/>
    <w:rsid w:val="65655C8C"/>
    <w:rsid w:val="656654CC"/>
    <w:rsid w:val="65674A25"/>
    <w:rsid w:val="656767D3"/>
    <w:rsid w:val="65682179"/>
    <w:rsid w:val="6568460D"/>
    <w:rsid w:val="6569254B"/>
    <w:rsid w:val="656942F9"/>
    <w:rsid w:val="656960A7"/>
    <w:rsid w:val="656A1E1F"/>
    <w:rsid w:val="656A23B6"/>
    <w:rsid w:val="656A3D49"/>
    <w:rsid w:val="656A5D45"/>
    <w:rsid w:val="656A61E5"/>
    <w:rsid w:val="656A7DBA"/>
    <w:rsid w:val="656B1821"/>
    <w:rsid w:val="656B65FE"/>
    <w:rsid w:val="656B7256"/>
    <w:rsid w:val="656C1BB6"/>
    <w:rsid w:val="656C5B97"/>
    <w:rsid w:val="656C64A8"/>
    <w:rsid w:val="656D5917"/>
    <w:rsid w:val="656D60BD"/>
    <w:rsid w:val="656D6FEF"/>
    <w:rsid w:val="656E3956"/>
    <w:rsid w:val="656E5DB3"/>
    <w:rsid w:val="656E7B61"/>
    <w:rsid w:val="656F190F"/>
    <w:rsid w:val="656F3050"/>
    <w:rsid w:val="656F66BC"/>
    <w:rsid w:val="657038D9"/>
    <w:rsid w:val="65705687"/>
    <w:rsid w:val="65706EEC"/>
    <w:rsid w:val="657131AE"/>
    <w:rsid w:val="65717652"/>
    <w:rsid w:val="657333CA"/>
    <w:rsid w:val="65733B32"/>
    <w:rsid w:val="65735178"/>
    <w:rsid w:val="65742DCD"/>
    <w:rsid w:val="65743778"/>
    <w:rsid w:val="65750EF0"/>
    <w:rsid w:val="657520FC"/>
    <w:rsid w:val="65752C9E"/>
    <w:rsid w:val="657533B6"/>
    <w:rsid w:val="65753ABE"/>
    <w:rsid w:val="65755781"/>
    <w:rsid w:val="65757142"/>
    <w:rsid w:val="657607C4"/>
    <w:rsid w:val="657617E2"/>
    <w:rsid w:val="65764C68"/>
    <w:rsid w:val="657766EB"/>
    <w:rsid w:val="657809E0"/>
    <w:rsid w:val="6578278E"/>
    <w:rsid w:val="657834F6"/>
    <w:rsid w:val="65784102"/>
    <w:rsid w:val="65784910"/>
    <w:rsid w:val="65790DF6"/>
    <w:rsid w:val="65793723"/>
    <w:rsid w:val="657A02B4"/>
    <w:rsid w:val="657A2E23"/>
    <w:rsid w:val="657A4758"/>
    <w:rsid w:val="657A6506"/>
    <w:rsid w:val="657A7E75"/>
    <w:rsid w:val="657B15F3"/>
    <w:rsid w:val="657B5DDA"/>
    <w:rsid w:val="657C0722"/>
    <w:rsid w:val="657C227E"/>
    <w:rsid w:val="657C6803"/>
    <w:rsid w:val="657C6E00"/>
    <w:rsid w:val="657C7B9E"/>
    <w:rsid w:val="657C7C42"/>
    <w:rsid w:val="657D13E8"/>
    <w:rsid w:val="657D1B52"/>
    <w:rsid w:val="657D5FF6"/>
    <w:rsid w:val="657D7565"/>
    <w:rsid w:val="657E3861"/>
    <w:rsid w:val="657E7466"/>
    <w:rsid w:val="657F2B37"/>
    <w:rsid w:val="657F363A"/>
    <w:rsid w:val="657F3B1C"/>
    <w:rsid w:val="657F4BE1"/>
    <w:rsid w:val="657F58CB"/>
    <w:rsid w:val="65802894"/>
    <w:rsid w:val="6580503D"/>
    <w:rsid w:val="65807F5A"/>
    <w:rsid w:val="6581192F"/>
    <w:rsid w:val="65813D24"/>
    <w:rsid w:val="65814EA2"/>
    <w:rsid w:val="65814F65"/>
    <w:rsid w:val="65815AE7"/>
    <w:rsid w:val="658168F5"/>
    <w:rsid w:val="65817AAD"/>
    <w:rsid w:val="65823885"/>
    <w:rsid w:val="65824ABE"/>
    <w:rsid w:val="65824DE8"/>
    <w:rsid w:val="658253BB"/>
    <w:rsid w:val="65827169"/>
    <w:rsid w:val="65827D85"/>
    <w:rsid w:val="65831215"/>
    <w:rsid w:val="6583435E"/>
    <w:rsid w:val="65841133"/>
    <w:rsid w:val="65841BE9"/>
    <w:rsid w:val="658430E2"/>
    <w:rsid w:val="65847779"/>
    <w:rsid w:val="6585041D"/>
    <w:rsid w:val="65852D20"/>
    <w:rsid w:val="6585425C"/>
    <w:rsid w:val="65855276"/>
    <w:rsid w:val="65856C59"/>
    <w:rsid w:val="65857680"/>
    <w:rsid w:val="65857F66"/>
    <w:rsid w:val="6586208C"/>
    <w:rsid w:val="658630FD"/>
    <w:rsid w:val="65864EAB"/>
    <w:rsid w:val="65866706"/>
    <w:rsid w:val="65866769"/>
    <w:rsid w:val="6586689B"/>
    <w:rsid w:val="658729D1"/>
    <w:rsid w:val="65876E75"/>
    <w:rsid w:val="65880EB8"/>
    <w:rsid w:val="65881026"/>
    <w:rsid w:val="6588329D"/>
    <w:rsid w:val="65890D89"/>
    <w:rsid w:val="65891518"/>
    <w:rsid w:val="65893776"/>
    <w:rsid w:val="6589499B"/>
    <w:rsid w:val="65896749"/>
    <w:rsid w:val="658A6AA3"/>
    <w:rsid w:val="658B0713"/>
    <w:rsid w:val="658B10E8"/>
    <w:rsid w:val="658B4D6B"/>
    <w:rsid w:val="658B5327"/>
    <w:rsid w:val="658B7717"/>
    <w:rsid w:val="658C28A5"/>
    <w:rsid w:val="658C5CC8"/>
    <w:rsid w:val="658C6239"/>
    <w:rsid w:val="658C7FE7"/>
    <w:rsid w:val="658D3753"/>
    <w:rsid w:val="658D5FEE"/>
    <w:rsid w:val="658D78E4"/>
    <w:rsid w:val="658E1FB1"/>
    <w:rsid w:val="658E3D60"/>
    <w:rsid w:val="658E48CA"/>
    <w:rsid w:val="658E5B0E"/>
    <w:rsid w:val="658E7A69"/>
    <w:rsid w:val="658F0EF9"/>
    <w:rsid w:val="658F2F2B"/>
    <w:rsid w:val="658F77B8"/>
    <w:rsid w:val="658F7E9B"/>
    <w:rsid w:val="65904F5A"/>
    <w:rsid w:val="65907AD8"/>
    <w:rsid w:val="6591063F"/>
    <w:rsid w:val="65913850"/>
    <w:rsid w:val="65913F60"/>
    <w:rsid w:val="659153DB"/>
    <w:rsid w:val="659155FE"/>
    <w:rsid w:val="659163EA"/>
    <w:rsid w:val="6592311C"/>
    <w:rsid w:val="65923124"/>
    <w:rsid w:val="65923FDD"/>
    <w:rsid w:val="6593083E"/>
    <w:rsid w:val="65930D0A"/>
    <w:rsid w:val="65931376"/>
    <w:rsid w:val="65934190"/>
    <w:rsid w:val="659344B1"/>
    <w:rsid w:val="6594219A"/>
    <w:rsid w:val="65944ACD"/>
    <w:rsid w:val="6594526C"/>
    <w:rsid w:val="65950916"/>
    <w:rsid w:val="65950F90"/>
    <w:rsid w:val="659547A6"/>
    <w:rsid w:val="659550EE"/>
    <w:rsid w:val="65960E66"/>
    <w:rsid w:val="65961AE8"/>
    <w:rsid w:val="65965302"/>
    <w:rsid w:val="659661FB"/>
    <w:rsid w:val="6597225C"/>
    <w:rsid w:val="65972EF6"/>
    <w:rsid w:val="65973490"/>
    <w:rsid w:val="659770B8"/>
    <w:rsid w:val="65982E30"/>
    <w:rsid w:val="659850A5"/>
    <w:rsid w:val="65985212"/>
    <w:rsid w:val="65985CB5"/>
    <w:rsid w:val="6598698C"/>
    <w:rsid w:val="6599343B"/>
    <w:rsid w:val="65994B7C"/>
    <w:rsid w:val="659A2704"/>
    <w:rsid w:val="659A6818"/>
    <w:rsid w:val="659B194F"/>
    <w:rsid w:val="659B2CA2"/>
    <w:rsid w:val="659B647C"/>
    <w:rsid w:val="659C092C"/>
    <w:rsid w:val="659D0447"/>
    <w:rsid w:val="659D1A95"/>
    <w:rsid w:val="659D21F5"/>
    <w:rsid w:val="659D3FA3"/>
    <w:rsid w:val="659D4AEF"/>
    <w:rsid w:val="659E4A80"/>
    <w:rsid w:val="659F5F6D"/>
    <w:rsid w:val="65A05197"/>
    <w:rsid w:val="65A05841"/>
    <w:rsid w:val="65A1269B"/>
    <w:rsid w:val="65A14011"/>
    <w:rsid w:val="65A14CD9"/>
    <w:rsid w:val="65A15BC1"/>
    <w:rsid w:val="65A17BEB"/>
    <w:rsid w:val="65A17F37"/>
    <w:rsid w:val="65A215B9"/>
    <w:rsid w:val="65A22940"/>
    <w:rsid w:val="65A24EF8"/>
    <w:rsid w:val="65A25C2E"/>
    <w:rsid w:val="65A2760C"/>
    <w:rsid w:val="65A2780B"/>
    <w:rsid w:val="65A3544F"/>
    <w:rsid w:val="65A44914"/>
    <w:rsid w:val="65A475AF"/>
    <w:rsid w:val="65A5311F"/>
    <w:rsid w:val="65A55E84"/>
    <w:rsid w:val="65A6554D"/>
    <w:rsid w:val="65A66112"/>
    <w:rsid w:val="65A672FB"/>
    <w:rsid w:val="65A73073"/>
    <w:rsid w:val="65A74E21"/>
    <w:rsid w:val="65A81AA0"/>
    <w:rsid w:val="65A87B2D"/>
    <w:rsid w:val="65A915E6"/>
    <w:rsid w:val="65A94671"/>
    <w:rsid w:val="65A951B7"/>
    <w:rsid w:val="65A962D2"/>
    <w:rsid w:val="65A96DEB"/>
    <w:rsid w:val="65A973F1"/>
    <w:rsid w:val="65AA1AAA"/>
    <w:rsid w:val="65AA3913"/>
    <w:rsid w:val="65AA4330"/>
    <w:rsid w:val="65AA60B9"/>
    <w:rsid w:val="65AB4911"/>
    <w:rsid w:val="65AB66C0"/>
    <w:rsid w:val="65AB6F91"/>
    <w:rsid w:val="65AC0421"/>
    <w:rsid w:val="65AC068A"/>
    <w:rsid w:val="65AC2438"/>
    <w:rsid w:val="65AC5C4C"/>
    <w:rsid w:val="65AD0D24"/>
    <w:rsid w:val="65AD56FF"/>
    <w:rsid w:val="65AD68DC"/>
    <w:rsid w:val="65AE1E15"/>
    <w:rsid w:val="65AE4402"/>
    <w:rsid w:val="65AE5912"/>
    <w:rsid w:val="65AF3D9E"/>
    <w:rsid w:val="65AF7BDC"/>
    <w:rsid w:val="65B0017A"/>
    <w:rsid w:val="65B01354"/>
    <w:rsid w:val="65B017F2"/>
    <w:rsid w:val="65B01F28"/>
    <w:rsid w:val="65B028CF"/>
    <w:rsid w:val="65B03CD6"/>
    <w:rsid w:val="65B0624D"/>
    <w:rsid w:val="65B06EDB"/>
    <w:rsid w:val="65B1194B"/>
    <w:rsid w:val="65B14293"/>
    <w:rsid w:val="65B174D2"/>
    <w:rsid w:val="65B17A4E"/>
    <w:rsid w:val="65B23EF2"/>
    <w:rsid w:val="65B25723"/>
    <w:rsid w:val="65B25CA0"/>
    <w:rsid w:val="65B31A18"/>
    <w:rsid w:val="65B337C6"/>
    <w:rsid w:val="65B35574"/>
    <w:rsid w:val="65B37C6A"/>
    <w:rsid w:val="65B42B69"/>
    <w:rsid w:val="65B5189C"/>
    <w:rsid w:val="65B54E1A"/>
    <w:rsid w:val="65B55592"/>
    <w:rsid w:val="65B55790"/>
    <w:rsid w:val="65B5753E"/>
    <w:rsid w:val="65B578E4"/>
    <w:rsid w:val="65B60B5E"/>
    <w:rsid w:val="65B66C75"/>
    <w:rsid w:val="65B70150"/>
    <w:rsid w:val="65B732B6"/>
    <w:rsid w:val="65B74E33"/>
    <w:rsid w:val="65B75139"/>
    <w:rsid w:val="65B81595"/>
    <w:rsid w:val="65B82217"/>
    <w:rsid w:val="65B83B70"/>
    <w:rsid w:val="65B842EF"/>
    <w:rsid w:val="65B8472C"/>
    <w:rsid w:val="65B85280"/>
    <w:rsid w:val="65B92A25"/>
    <w:rsid w:val="65B9337D"/>
    <w:rsid w:val="65B9530D"/>
    <w:rsid w:val="65B96466"/>
    <w:rsid w:val="65B97414"/>
    <w:rsid w:val="65BA0C37"/>
    <w:rsid w:val="65BA26DC"/>
    <w:rsid w:val="65BA29E3"/>
    <w:rsid w:val="65BA2DA7"/>
    <w:rsid w:val="65BA3BE1"/>
    <w:rsid w:val="65BA3EB5"/>
    <w:rsid w:val="65BA4B55"/>
    <w:rsid w:val="65BA55F6"/>
    <w:rsid w:val="65BB1B1C"/>
    <w:rsid w:val="65BB5345"/>
    <w:rsid w:val="65BC08CD"/>
    <w:rsid w:val="65BC2446"/>
    <w:rsid w:val="65BC7F16"/>
    <w:rsid w:val="65BD11E2"/>
    <w:rsid w:val="65BD13A6"/>
    <w:rsid w:val="65BD2897"/>
    <w:rsid w:val="65BD4645"/>
    <w:rsid w:val="65BD63F3"/>
    <w:rsid w:val="65BE3CC6"/>
    <w:rsid w:val="65BE7ECC"/>
    <w:rsid w:val="65BF03BD"/>
    <w:rsid w:val="65BF216B"/>
    <w:rsid w:val="65BF3146"/>
    <w:rsid w:val="65BF4B59"/>
    <w:rsid w:val="65C01768"/>
    <w:rsid w:val="65C0401D"/>
    <w:rsid w:val="65C06580"/>
    <w:rsid w:val="65C07C91"/>
    <w:rsid w:val="65C1156E"/>
    <w:rsid w:val="65C13D88"/>
    <w:rsid w:val="65C14135"/>
    <w:rsid w:val="65C175AD"/>
    <w:rsid w:val="65C17F2A"/>
    <w:rsid w:val="65C21C5B"/>
    <w:rsid w:val="65C21F8A"/>
    <w:rsid w:val="65C22647"/>
    <w:rsid w:val="65C23A09"/>
    <w:rsid w:val="65C23A5D"/>
    <w:rsid w:val="65C36F42"/>
    <w:rsid w:val="65C37EAD"/>
    <w:rsid w:val="65C43C25"/>
    <w:rsid w:val="65C46CD4"/>
    <w:rsid w:val="65C512E0"/>
    <w:rsid w:val="65C6174B"/>
    <w:rsid w:val="65C626D8"/>
    <w:rsid w:val="65C634F9"/>
    <w:rsid w:val="65C67BA8"/>
    <w:rsid w:val="65C71020"/>
    <w:rsid w:val="65C71810"/>
    <w:rsid w:val="65C75029"/>
    <w:rsid w:val="65C77BFA"/>
    <w:rsid w:val="65C8108A"/>
    <w:rsid w:val="65C83BE6"/>
    <w:rsid w:val="65C854C3"/>
    <w:rsid w:val="65C87563"/>
    <w:rsid w:val="65C9123C"/>
    <w:rsid w:val="65C92FEA"/>
    <w:rsid w:val="65C94D98"/>
    <w:rsid w:val="65CA59DF"/>
    <w:rsid w:val="65CA5F22"/>
    <w:rsid w:val="65CA788D"/>
    <w:rsid w:val="65CB0B10"/>
    <w:rsid w:val="65CB5FED"/>
    <w:rsid w:val="65CB62FC"/>
    <w:rsid w:val="65CB6D62"/>
    <w:rsid w:val="65CC4888"/>
    <w:rsid w:val="65CC6636"/>
    <w:rsid w:val="65CC7A0B"/>
    <w:rsid w:val="65CD0D2C"/>
    <w:rsid w:val="65CD2ADA"/>
    <w:rsid w:val="65CE0600"/>
    <w:rsid w:val="65CE23AE"/>
    <w:rsid w:val="65CF4C88"/>
    <w:rsid w:val="65D00F7F"/>
    <w:rsid w:val="65D03889"/>
    <w:rsid w:val="65D0781C"/>
    <w:rsid w:val="65D11E9E"/>
    <w:rsid w:val="65D1387D"/>
    <w:rsid w:val="65D226F6"/>
    <w:rsid w:val="65D26342"/>
    <w:rsid w:val="65D37340"/>
    <w:rsid w:val="65D379C4"/>
    <w:rsid w:val="65D50ABD"/>
    <w:rsid w:val="65D5198E"/>
    <w:rsid w:val="65D5373C"/>
    <w:rsid w:val="65D558F4"/>
    <w:rsid w:val="65D61644"/>
    <w:rsid w:val="65D61D3D"/>
    <w:rsid w:val="65D66573"/>
    <w:rsid w:val="65D71D19"/>
    <w:rsid w:val="65D73958"/>
    <w:rsid w:val="65D73FEF"/>
    <w:rsid w:val="65D75707"/>
    <w:rsid w:val="65D774B5"/>
    <w:rsid w:val="65D77897"/>
    <w:rsid w:val="65D80B7F"/>
    <w:rsid w:val="65D8147F"/>
    <w:rsid w:val="65D84BDD"/>
    <w:rsid w:val="65D8701B"/>
    <w:rsid w:val="65D915F5"/>
    <w:rsid w:val="65D9333F"/>
    <w:rsid w:val="65D93351"/>
    <w:rsid w:val="65DA0D53"/>
    <w:rsid w:val="65DA1AC6"/>
    <w:rsid w:val="65DA51F7"/>
    <w:rsid w:val="65DA6FA5"/>
    <w:rsid w:val="65DB1D44"/>
    <w:rsid w:val="65DC2CAB"/>
    <w:rsid w:val="65DC4ACB"/>
    <w:rsid w:val="65DC5823"/>
    <w:rsid w:val="65DC69B0"/>
    <w:rsid w:val="65DD0843"/>
    <w:rsid w:val="65DD1E20"/>
    <w:rsid w:val="65DD3E8F"/>
    <w:rsid w:val="65DD55A2"/>
    <w:rsid w:val="65DD571B"/>
    <w:rsid w:val="65DD6A95"/>
    <w:rsid w:val="65DD7EA6"/>
    <w:rsid w:val="65DE06FF"/>
    <w:rsid w:val="65DE4CE7"/>
    <w:rsid w:val="65DF0A5F"/>
    <w:rsid w:val="65DF45BB"/>
    <w:rsid w:val="65DF5E81"/>
    <w:rsid w:val="65DF6369"/>
    <w:rsid w:val="65E025D2"/>
    <w:rsid w:val="65E02D53"/>
    <w:rsid w:val="65E031F3"/>
    <w:rsid w:val="65E10333"/>
    <w:rsid w:val="65E106DD"/>
    <w:rsid w:val="65E10986"/>
    <w:rsid w:val="65E120E1"/>
    <w:rsid w:val="65E15C63"/>
    <w:rsid w:val="65E16585"/>
    <w:rsid w:val="65E16A5E"/>
    <w:rsid w:val="65E21C31"/>
    <w:rsid w:val="65E24802"/>
    <w:rsid w:val="65E257D5"/>
    <w:rsid w:val="65E322FD"/>
    <w:rsid w:val="65E330C1"/>
    <w:rsid w:val="65E34090"/>
    <w:rsid w:val="65E4038D"/>
    <w:rsid w:val="65E41BD1"/>
    <w:rsid w:val="65E46072"/>
    <w:rsid w:val="65E46075"/>
    <w:rsid w:val="65E47E23"/>
    <w:rsid w:val="65E50D69"/>
    <w:rsid w:val="65E5210F"/>
    <w:rsid w:val="65E52B41"/>
    <w:rsid w:val="65E54254"/>
    <w:rsid w:val="65E639F1"/>
    <w:rsid w:val="65E63B9C"/>
    <w:rsid w:val="65E64613"/>
    <w:rsid w:val="65E6505A"/>
    <w:rsid w:val="65E72ED2"/>
    <w:rsid w:val="65E75AA3"/>
    <w:rsid w:val="65E769E6"/>
    <w:rsid w:val="65E837D7"/>
    <w:rsid w:val="65E86F33"/>
    <w:rsid w:val="65E87914"/>
    <w:rsid w:val="65E90B64"/>
    <w:rsid w:val="65E90CF9"/>
    <w:rsid w:val="65E92340"/>
    <w:rsid w:val="65E92768"/>
    <w:rsid w:val="65E92835"/>
    <w:rsid w:val="65E92BDC"/>
    <w:rsid w:val="65E9368C"/>
    <w:rsid w:val="65E93B0A"/>
    <w:rsid w:val="65E93B42"/>
    <w:rsid w:val="65E9543A"/>
    <w:rsid w:val="65E971E8"/>
    <w:rsid w:val="65EA12B2"/>
    <w:rsid w:val="65EB11B2"/>
    <w:rsid w:val="65EC57AF"/>
    <w:rsid w:val="65EC58B4"/>
    <w:rsid w:val="65ED4F2A"/>
    <w:rsid w:val="65ED6CD8"/>
    <w:rsid w:val="65EE01D4"/>
    <w:rsid w:val="65EE0CA2"/>
    <w:rsid w:val="65EE18F4"/>
    <w:rsid w:val="65EE1E0C"/>
    <w:rsid w:val="65EE2A50"/>
    <w:rsid w:val="65EE3B00"/>
    <w:rsid w:val="65EE5B76"/>
    <w:rsid w:val="65EF15EA"/>
    <w:rsid w:val="65EF2647"/>
    <w:rsid w:val="65EF6A51"/>
    <w:rsid w:val="65F00576"/>
    <w:rsid w:val="65F056C5"/>
    <w:rsid w:val="65F2114B"/>
    <w:rsid w:val="65F21726"/>
    <w:rsid w:val="65F21966"/>
    <w:rsid w:val="65F22540"/>
    <w:rsid w:val="65F22E5E"/>
    <w:rsid w:val="65F33506"/>
    <w:rsid w:val="65F34046"/>
    <w:rsid w:val="65F512FC"/>
    <w:rsid w:val="65F52031"/>
    <w:rsid w:val="65F52FFF"/>
    <w:rsid w:val="65F708CD"/>
    <w:rsid w:val="65F71905"/>
    <w:rsid w:val="65F74478"/>
    <w:rsid w:val="65F74F06"/>
    <w:rsid w:val="65F77B57"/>
    <w:rsid w:val="65F80484"/>
    <w:rsid w:val="65F829AF"/>
    <w:rsid w:val="65F8567D"/>
    <w:rsid w:val="65F8742B"/>
    <w:rsid w:val="65F9070A"/>
    <w:rsid w:val="65F91B21"/>
    <w:rsid w:val="65F92844"/>
    <w:rsid w:val="65F938CF"/>
    <w:rsid w:val="65FA1348"/>
    <w:rsid w:val="65FA13F5"/>
    <w:rsid w:val="65FA2A89"/>
    <w:rsid w:val="65FA31A3"/>
    <w:rsid w:val="65FB127E"/>
    <w:rsid w:val="65FB4BCC"/>
    <w:rsid w:val="65FB56F2"/>
    <w:rsid w:val="65FC17A6"/>
    <w:rsid w:val="65FC1B2F"/>
    <w:rsid w:val="65FC2323"/>
    <w:rsid w:val="65FC33BF"/>
    <w:rsid w:val="65FC4EC6"/>
    <w:rsid w:val="65FC516D"/>
    <w:rsid w:val="65FC6F1B"/>
    <w:rsid w:val="65FC75B6"/>
    <w:rsid w:val="65FD140A"/>
    <w:rsid w:val="65FD2C93"/>
    <w:rsid w:val="65FD6839"/>
    <w:rsid w:val="65FD6E6E"/>
    <w:rsid w:val="65FE0EE5"/>
    <w:rsid w:val="65FE0FE0"/>
    <w:rsid w:val="65FE674C"/>
    <w:rsid w:val="65FE7137"/>
    <w:rsid w:val="65FF1D4D"/>
    <w:rsid w:val="65FF4C5D"/>
    <w:rsid w:val="660051BA"/>
    <w:rsid w:val="66011053"/>
    <w:rsid w:val="6601258C"/>
    <w:rsid w:val="6601473C"/>
    <w:rsid w:val="660150A2"/>
    <w:rsid w:val="660179E7"/>
    <w:rsid w:val="6602017B"/>
    <w:rsid w:val="6602164A"/>
    <w:rsid w:val="66033E5C"/>
    <w:rsid w:val="6603474E"/>
    <w:rsid w:val="660364FC"/>
    <w:rsid w:val="66042274"/>
    <w:rsid w:val="66044022"/>
    <w:rsid w:val="660450F7"/>
    <w:rsid w:val="6604670C"/>
    <w:rsid w:val="66046B6C"/>
    <w:rsid w:val="6605645B"/>
    <w:rsid w:val="66056E07"/>
    <w:rsid w:val="66060433"/>
    <w:rsid w:val="66061B48"/>
    <w:rsid w:val="66062B75"/>
    <w:rsid w:val="660631F7"/>
    <w:rsid w:val="66064317"/>
    <w:rsid w:val="66064A69"/>
    <w:rsid w:val="66065D0B"/>
    <w:rsid w:val="66065FEC"/>
    <w:rsid w:val="66067D9A"/>
    <w:rsid w:val="66070263"/>
    <w:rsid w:val="660724BC"/>
    <w:rsid w:val="66072A2A"/>
    <w:rsid w:val="66074602"/>
    <w:rsid w:val="660758C0"/>
    <w:rsid w:val="66081B38"/>
    <w:rsid w:val="66081D0A"/>
    <w:rsid w:val="66081D64"/>
    <w:rsid w:val="66082B94"/>
    <w:rsid w:val="66082D77"/>
    <w:rsid w:val="66083ABC"/>
    <w:rsid w:val="66086B58"/>
    <w:rsid w:val="6608762D"/>
    <w:rsid w:val="66091052"/>
    <w:rsid w:val="66091638"/>
    <w:rsid w:val="66096B26"/>
    <w:rsid w:val="6609788A"/>
    <w:rsid w:val="660A0E3D"/>
    <w:rsid w:val="660A33D9"/>
    <w:rsid w:val="660A5ADC"/>
    <w:rsid w:val="660A5DDE"/>
    <w:rsid w:val="660B1854"/>
    <w:rsid w:val="660B3602"/>
    <w:rsid w:val="660B4B4A"/>
    <w:rsid w:val="660B715E"/>
    <w:rsid w:val="660C0B68"/>
    <w:rsid w:val="660C6FC3"/>
    <w:rsid w:val="660D1BFD"/>
    <w:rsid w:val="660D5738"/>
    <w:rsid w:val="660E4EA0"/>
    <w:rsid w:val="660F30F2"/>
    <w:rsid w:val="660F381F"/>
    <w:rsid w:val="660F3F41"/>
    <w:rsid w:val="660F4EEC"/>
    <w:rsid w:val="660F6F8F"/>
    <w:rsid w:val="66101C65"/>
    <w:rsid w:val="661029C7"/>
    <w:rsid w:val="66106E6A"/>
    <w:rsid w:val="66115A83"/>
    <w:rsid w:val="661204ED"/>
    <w:rsid w:val="6612061A"/>
    <w:rsid w:val="661225E7"/>
    <w:rsid w:val="6613130D"/>
    <w:rsid w:val="661324B7"/>
    <w:rsid w:val="661339EA"/>
    <w:rsid w:val="66134265"/>
    <w:rsid w:val="66140709"/>
    <w:rsid w:val="66140A40"/>
    <w:rsid w:val="66144AC0"/>
    <w:rsid w:val="66144F66"/>
    <w:rsid w:val="6614653D"/>
    <w:rsid w:val="66150061"/>
    <w:rsid w:val="66151F5D"/>
    <w:rsid w:val="66153145"/>
    <w:rsid w:val="66154481"/>
    <w:rsid w:val="6615622F"/>
    <w:rsid w:val="66157FDD"/>
    <w:rsid w:val="66166008"/>
    <w:rsid w:val="661673E0"/>
    <w:rsid w:val="661701F9"/>
    <w:rsid w:val="66170870"/>
    <w:rsid w:val="6617798C"/>
    <w:rsid w:val="66187ACD"/>
    <w:rsid w:val="66187AED"/>
    <w:rsid w:val="66195D1F"/>
    <w:rsid w:val="661A375B"/>
    <w:rsid w:val="661A3845"/>
    <w:rsid w:val="661A55F3"/>
    <w:rsid w:val="661A60EA"/>
    <w:rsid w:val="661A7DDD"/>
    <w:rsid w:val="661B3EAB"/>
    <w:rsid w:val="661B4993"/>
    <w:rsid w:val="661B7A7B"/>
    <w:rsid w:val="661C580F"/>
    <w:rsid w:val="661C6D07"/>
    <w:rsid w:val="661C73BB"/>
    <w:rsid w:val="661C75BD"/>
    <w:rsid w:val="661D0BBE"/>
    <w:rsid w:val="661D10E3"/>
    <w:rsid w:val="661D1A29"/>
    <w:rsid w:val="661D46E2"/>
    <w:rsid w:val="661D647B"/>
    <w:rsid w:val="661D71B5"/>
    <w:rsid w:val="661E1EFD"/>
    <w:rsid w:val="661F1BD3"/>
    <w:rsid w:val="661F70AE"/>
    <w:rsid w:val="6620164F"/>
    <w:rsid w:val="662047A4"/>
    <w:rsid w:val="66207AEE"/>
    <w:rsid w:val="66212E26"/>
    <w:rsid w:val="66214BD4"/>
    <w:rsid w:val="66216982"/>
    <w:rsid w:val="66217E43"/>
    <w:rsid w:val="66221C95"/>
    <w:rsid w:val="66225C7F"/>
    <w:rsid w:val="662266AC"/>
    <w:rsid w:val="66235C56"/>
    <w:rsid w:val="66237D86"/>
    <w:rsid w:val="66240220"/>
    <w:rsid w:val="66242232"/>
    <w:rsid w:val="66242E74"/>
    <w:rsid w:val="662446C4"/>
    <w:rsid w:val="66245E6A"/>
    <w:rsid w:val="66246472"/>
    <w:rsid w:val="66252916"/>
    <w:rsid w:val="66257E67"/>
    <w:rsid w:val="6626043C"/>
    <w:rsid w:val="662621EA"/>
    <w:rsid w:val="66273E18"/>
    <w:rsid w:val="66274313"/>
    <w:rsid w:val="6628127E"/>
    <w:rsid w:val="662817F5"/>
    <w:rsid w:val="66285F62"/>
    <w:rsid w:val="66291019"/>
    <w:rsid w:val="66292E88"/>
    <w:rsid w:val="66293A88"/>
    <w:rsid w:val="6629599D"/>
    <w:rsid w:val="66296A6D"/>
    <w:rsid w:val="662A461C"/>
    <w:rsid w:val="662A6CE6"/>
    <w:rsid w:val="662A7F2C"/>
    <w:rsid w:val="662B0176"/>
    <w:rsid w:val="662B15AE"/>
    <w:rsid w:val="662B444E"/>
    <w:rsid w:val="662B7800"/>
    <w:rsid w:val="662C337E"/>
    <w:rsid w:val="662C3EEF"/>
    <w:rsid w:val="662C6E53"/>
    <w:rsid w:val="662D5327"/>
    <w:rsid w:val="662E0695"/>
    <w:rsid w:val="662E109F"/>
    <w:rsid w:val="662E3598"/>
    <w:rsid w:val="662E5D3E"/>
    <w:rsid w:val="662F16C8"/>
    <w:rsid w:val="662F3B8F"/>
    <w:rsid w:val="662F5543"/>
    <w:rsid w:val="66300A97"/>
    <w:rsid w:val="663012BB"/>
    <w:rsid w:val="66303069"/>
    <w:rsid w:val="66304E17"/>
    <w:rsid w:val="66311F3B"/>
    <w:rsid w:val="66313DF4"/>
    <w:rsid w:val="66314D74"/>
    <w:rsid w:val="66320EB5"/>
    <w:rsid w:val="66323834"/>
    <w:rsid w:val="66325478"/>
    <w:rsid w:val="66325E20"/>
    <w:rsid w:val="66326430"/>
    <w:rsid w:val="66326BB9"/>
    <w:rsid w:val="66326DE1"/>
    <w:rsid w:val="663340D6"/>
    <w:rsid w:val="663366B5"/>
    <w:rsid w:val="6634284B"/>
    <w:rsid w:val="66342B59"/>
    <w:rsid w:val="663440AA"/>
    <w:rsid w:val="66344907"/>
    <w:rsid w:val="66344CC4"/>
    <w:rsid w:val="6635067F"/>
    <w:rsid w:val="66352E4B"/>
    <w:rsid w:val="663568D1"/>
    <w:rsid w:val="6636339A"/>
    <w:rsid w:val="66363D29"/>
    <w:rsid w:val="663652B8"/>
    <w:rsid w:val="66365D4E"/>
    <w:rsid w:val="66372ADD"/>
    <w:rsid w:val="663743F7"/>
    <w:rsid w:val="663761A5"/>
    <w:rsid w:val="66377E5A"/>
    <w:rsid w:val="66377F12"/>
    <w:rsid w:val="66377F53"/>
    <w:rsid w:val="66383CCB"/>
    <w:rsid w:val="663841E2"/>
    <w:rsid w:val="6639016F"/>
    <w:rsid w:val="6639028E"/>
    <w:rsid w:val="66391F1D"/>
    <w:rsid w:val="663927E7"/>
    <w:rsid w:val="66394741"/>
    <w:rsid w:val="6639534B"/>
    <w:rsid w:val="663A3EE7"/>
    <w:rsid w:val="663A58EC"/>
    <w:rsid w:val="663A67DB"/>
    <w:rsid w:val="663B3A15"/>
    <w:rsid w:val="663B6E2F"/>
    <w:rsid w:val="663C1A0D"/>
    <w:rsid w:val="663C23B7"/>
    <w:rsid w:val="663C3323"/>
    <w:rsid w:val="663C37BC"/>
    <w:rsid w:val="663C41E9"/>
    <w:rsid w:val="663D12E2"/>
    <w:rsid w:val="663D2D40"/>
    <w:rsid w:val="663D2F3F"/>
    <w:rsid w:val="663D56D8"/>
    <w:rsid w:val="663D7B0D"/>
    <w:rsid w:val="663E4988"/>
    <w:rsid w:val="663E7534"/>
    <w:rsid w:val="663F0BF9"/>
    <w:rsid w:val="663F14FE"/>
    <w:rsid w:val="663F505A"/>
    <w:rsid w:val="663F7B90"/>
    <w:rsid w:val="6640264D"/>
    <w:rsid w:val="66402F91"/>
    <w:rsid w:val="66410DD2"/>
    <w:rsid w:val="66411879"/>
    <w:rsid w:val="664123AD"/>
    <w:rsid w:val="66415276"/>
    <w:rsid w:val="66417024"/>
    <w:rsid w:val="664243A6"/>
    <w:rsid w:val="66432D9C"/>
    <w:rsid w:val="66433CD3"/>
    <w:rsid w:val="66435824"/>
    <w:rsid w:val="66440E6F"/>
    <w:rsid w:val="66441ED4"/>
    <w:rsid w:val="66442670"/>
    <w:rsid w:val="66447761"/>
    <w:rsid w:val="66456B14"/>
    <w:rsid w:val="664663E8"/>
    <w:rsid w:val="66467D95"/>
    <w:rsid w:val="6647794F"/>
    <w:rsid w:val="664803B2"/>
    <w:rsid w:val="66482160"/>
    <w:rsid w:val="66482351"/>
    <w:rsid w:val="66482652"/>
    <w:rsid w:val="66485DC8"/>
    <w:rsid w:val="66486795"/>
    <w:rsid w:val="66491D75"/>
    <w:rsid w:val="66494CB0"/>
    <w:rsid w:val="66495ED8"/>
    <w:rsid w:val="664A237C"/>
    <w:rsid w:val="664A36FF"/>
    <w:rsid w:val="664A412A"/>
    <w:rsid w:val="664A51CA"/>
    <w:rsid w:val="664B4F71"/>
    <w:rsid w:val="664B7EA3"/>
    <w:rsid w:val="664C0BF0"/>
    <w:rsid w:val="664C235B"/>
    <w:rsid w:val="664C3412"/>
    <w:rsid w:val="664C3447"/>
    <w:rsid w:val="664C4128"/>
    <w:rsid w:val="664C5180"/>
    <w:rsid w:val="664D37C1"/>
    <w:rsid w:val="664D3B44"/>
    <w:rsid w:val="664D3C1B"/>
    <w:rsid w:val="664D4B22"/>
    <w:rsid w:val="664D4C51"/>
    <w:rsid w:val="664D7777"/>
    <w:rsid w:val="664E608E"/>
    <w:rsid w:val="664E60E1"/>
    <w:rsid w:val="664F7993"/>
    <w:rsid w:val="66500A01"/>
    <w:rsid w:val="66503342"/>
    <w:rsid w:val="6650370B"/>
    <w:rsid w:val="665037BA"/>
    <w:rsid w:val="66504202"/>
    <w:rsid w:val="66507267"/>
    <w:rsid w:val="66507D62"/>
    <w:rsid w:val="6651207A"/>
    <w:rsid w:val="66521231"/>
    <w:rsid w:val="66524D8D"/>
    <w:rsid w:val="66530AC3"/>
    <w:rsid w:val="66541FC6"/>
    <w:rsid w:val="6654669A"/>
    <w:rsid w:val="665512E5"/>
    <w:rsid w:val="66551A28"/>
    <w:rsid w:val="6655487D"/>
    <w:rsid w:val="6655493B"/>
    <w:rsid w:val="665568AE"/>
    <w:rsid w:val="66556903"/>
    <w:rsid w:val="6655777B"/>
    <w:rsid w:val="66560AC6"/>
    <w:rsid w:val="66560D21"/>
    <w:rsid w:val="66562503"/>
    <w:rsid w:val="66566EFB"/>
    <w:rsid w:val="6657270A"/>
    <w:rsid w:val="66573602"/>
    <w:rsid w:val="66582F8A"/>
    <w:rsid w:val="665925BF"/>
    <w:rsid w:val="66594935"/>
    <w:rsid w:val="66595A79"/>
    <w:rsid w:val="6659611C"/>
    <w:rsid w:val="665A00E6"/>
    <w:rsid w:val="665A3B72"/>
    <w:rsid w:val="665A4684"/>
    <w:rsid w:val="665B17E1"/>
    <w:rsid w:val="665B514A"/>
    <w:rsid w:val="665B6338"/>
    <w:rsid w:val="665B7255"/>
    <w:rsid w:val="665B7F56"/>
    <w:rsid w:val="665C06E5"/>
    <w:rsid w:val="665C17D3"/>
    <w:rsid w:val="665C20B0"/>
    <w:rsid w:val="665C3E5E"/>
    <w:rsid w:val="665C5C0C"/>
    <w:rsid w:val="665C68CF"/>
    <w:rsid w:val="665D1B75"/>
    <w:rsid w:val="665E2E08"/>
    <w:rsid w:val="665E3732"/>
    <w:rsid w:val="665E3EF7"/>
    <w:rsid w:val="665E50FA"/>
    <w:rsid w:val="665E66B2"/>
    <w:rsid w:val="665F2320"/>
    <w:rsid w:val="665F56FC"/>
    <w:rsid w:val="665F7066"/>
    <w:rsid w:val="665F74AA"/>
    <w:rsid w:val="66601C37"/>
    <w:rsid w:val="6660394E"/>
    <w:rsid w:val="66607074"/>
    <w:rsid w:val="6660725F"/>
    <w:rsid w:val="66611474"/>
    <w:rsid w:val="66611BDF"/>
    <w:rsid w:val="666130C7"/>
    <w:rsid w:val="66614344"/>
    <w:rsid w:val="666224DB"/>
    <w:rsid w:val="666245E7"/>
    <w:rsid w:val="66627E67"/>
    <w:rsid w:val="666305B8"/>
    <w:rsid w:val="666359E7"/>
    <w:rsid w:val="6663656C"/>
    <w:rsid w:val="66636ADA"/>
    <w:rsid w:val="66640B88"/>
    <w:rsid w:val="66642E5E"/>
    <w:rsid w:val="6664353B"/>
    <w:rsid w:val="66644AC0"/>
    <w:rsid w:val="66645B83"/>
    <w:rsid w:val="666464E4"/>
    <w:rsid w:val="66646F19"/>
    <w:rsid w:val="66650F64"/>
    <w:rsid w:val="66652D12"/>
    <w:rsid w:val="666578D3"/>
    <w:rsid w:val="6666051F"/>
    <w:rsid w:val="66660838"/>
    <w:rsid w:val="66664CDC"/>
    <w:rsid w:val="66666A8A"/>
    <w:rsid w:val="66673047"/>
    <w:rsid w:val="66676EF2"/>
    <w:rsid w:val="66680A54"/>
    <w:rsid w:val="66682803"/>
    <w:rsid w:val="666845B1"/>
    <w:rsid w:val="66687C94"/>
    <w:rsid w:val="666920D7"/>
    <w:rsid w:val="66692CE9"/>
    <w:rsid w:val="666942F7"/>
    <w:rsid w:val="66695834"/>
    <w:rsid w:val="666963A3"/>
    <w:rsid w:val="666A2D49"/>
    <w:rsid w:val="666A3495"/>
    <w:rsid w:val="666A657B"/>
    <w:rsid w:val="666B02A8"/>
    <w:rsid w:val="666B6422"/>
    <w:rsid w:val="666C22A1"/>
    <w:rsid w:val="666C40DC"/>
    <w:rsid w:val="666D15ED"/>
    <w:rsid w:val="666D606B"/>
    <w:rsid w:val="666E2AF9"/>
    <w:rsid w:val="666E322C"/>
    <w:rsid w:val="666E3DE5"/>
    <w:rsid w:val="666E56CA"/>
    <w:rsid w:val="666F1DE3"/>
    <w:rsid w:val="666F3B91"/>
    <w:rsid w:val="666F593F"/>
    <w:rsid w:val="66702DDC"/>
    <w:rsid w:val="66702DEE"/>
    <w:rsid w:val="66703465"/>
    <w:rsid w:val="66705B03"/>
    <w:rsid w:val="667075CF"/>
    <w:rsid w:val="66707909"/>
    <w:rsid w:val="66707FEA"/>
    <w:rsid w:val="6671147A"/>
    <w:rsid w:val="66712BBB"/>
    <w:rsid w:val="6672542F"/>
    <w:rsid w:val="66732FF6"/>
    <w:rsid w:val="6673552A"/>
    <w:rsid w:val="667411A7"/>
    <w:rsid w:val="66742F55"/>
    <w:rsid w:val="667473F9"/>
    <w:rsid w:val="66747DFB"/>
    <w:rsid w:val="66754F1F"/>
    <w:rsid w:val="66756CCD"/>
    <w:rsid w:val="66770C98"/>
    <w:rsid w:val="66775427"/>
    <w:rsid w:val="667831F6"/>
    <w:rsid w:val="667879BB"/>
    <w:rsid w:val="6679056C"/>
    <w:rsid w:val="6679092A"/>
    <w:rsid w:val="667945C9"/>
    <w:rsid w:val="66794A10"/>
    <w:rsid w:val="66794B17"/>
    <w:rsid w:val="667967BE"/>
    <w:rsid w:val="66797C0C"/>
    <w:rsid w:val="667A42E4"/>
    <w:rsid w:val="667A4930"/>
    <w:rsid w:val="667A4D55"/>
    <w:rsid w:val="667B23F0"/>
    <w:rsid w:val="667B2536"/>
    <w:rsid w:val="667B50FD"/>
    <w:rsid w:val="667B6D2E"/>
    <w:rsid w:val="667C005C"/>
    <w:rsid w:val="667C62AE"/>
    <w:rsid w:val="667C673E"/>
    <w:rsid w:val="667D3013"/>
    <w:rsid w:val="667D4B39"/>
    <w:rsid w:val="667E2026"/>
    <w:rsid w:val="667E3DD4"/>
    <w:rsid w:val="667E5B82"/>
    <w:rsid w:val="667E7FC4"/>
    <w:rsid w:val="667F2833"/>
    <w:rsid w:val="667F7CD8"/>
    <w:rsid w:val="66805D9E"/>
    <w:rsid w:val="66807B4C"/>
    <w:rsid w:val="66807C8E"/>
    <w:rsid w:val="66810413"/>
    <w:rsid w:val="66810EBA"/>
    <w:rsid w:val="66810F6F"/>
    <w:rsid w:val="668138C4"/>
    <w:rsid w:val="66815672"/>
    <w:rsid w:val="66815781"/>
    <w:rsid w:val="66822014"/>
    <w:rsid w:val="66823B40"/>
    <w:rsid w:val="66824416"/>
    <w:rsid w:val="66825791"/>
    <w:rsid w:val="668313EA"/>
    <w:rsid w:val="66833198"/>
    <w:rsid w:val="6683388F"/>
    <w:rsid w:val="668372D9"/>
    <w:rsid w:val="6683763C"/>
    <w:rsid w:val="668378C7"/>
    <w:rsid w:val="668400D0"/>
    <w:rsid w:val="66843CCC"/>
    <w:rsid w:val="6684624E"/>
    <w:rsid w:val="66846F11"/>
    <w:rsid w:val="66847D59"/>
    <w:rsid w:val="668523D3"/>
    <w:rsid w:val="6686151F"/>
    <w:rsid w:val="66862210"/>
    <w:rsid w:val="668622DD"/>
    <w:rsid w:val="66862C89"/>
    <w:rsid w:val="66863138"/>
    <w:rsid w:val="6686712D"/>
    <w:rsid w:val="66867A4F"/>
    <w:rsid w:val="668718AC"/>
    <w:rsid w:val="66873AE4"/>
    <w:rsid w:val="66874649"/>
    <w:rsid w:val="66874845"/>
    <w:rsid w:val="66877A2A"/>
    <w:rsid w:val="66880021"/>
    <w:rsid w:val="66882EA5"/>
    <w:rsid w:val="66884C53"/>
    <w:rsid w:val="66887ADC"/>
    <w:rsid w:val="6689195E"/>
    <w:rsid w:val="66891B58"/>
    <w:rsid w:val="668922D2"/>
    <w:rsid w:val="66893234"/>
    <w:rsid w:val="6689346D"/>
    <w:rsid w:val="66896D8D"/>
    <w:rsid w:val="668A09CB"/>
    <w:rsid w:val="668A1206"/>
    <w:rsid w:val="668A2779"/>
    <w:rsid w:val="668A4527"/>
    <w:rsid w:val="668A4DF4"/>
    <w:rsid w:val="668B029F"/>
    <w:rsid w:val="668B7F72"/>
    <w:rsid w:val="668C4539"/>
    <w:rsid w:val="668C4743"/>
    <w:rsid w:val="668D04BB"/>
    <w:rsid w:val="668D20E3"/>
    <w:rsid w:val="668D2269"/>
    <w:rsid w:val="668D4017"/>
    <w:rsid w:val="668D71B2"/>
    <w:rsid w:val="668E2437"/>
    <w:rsid w:val="668F0385"/>
    <w:rsid w:val="668F1B3D"/>
    <w:rsid w:val="668F251A"/>
    <w:rsid w:val="668F3341"/>
    <w:rsid w:val="668F4B2E"/>
    <w:rsid w:val="668F4E0D"/>
    <w:rsid w:val="668F63AB"/>
    <w:rsid w:val="668F7E92"/>
    <w:rsid w:val="66900AB1"/>
    <w:rsid w:val="66907256"/>
    <w:rsid w:val="6691124C"/>
    <w:rsid w:val="66911D59"/>
    <w:rsid w:val="66913899"/>
    <w:rsid w:val="669153ED"/>
    <w:rsid w:val="6691787C"/>
    <w:rsid w:val="6692162D"/>
    <w:rsid w:val="669224FD"/>
    <w:rsid w:val="66923D54"/>
    <w:rsid w:val="66925AD1"/>
    <w:rsid w:val="6692787F"/>
    <w:rsid w:val="66932E83"/>
    <w:rsid w:val="66933384"/>
    <w:rsid w:val="66934C9A"/>
    <w:rsid w:val="669363A2"/>
    <w:rsid w:val="6694184A"/>
    <w:rsid w:val="669435F8"/>
    <w:rsid w:val="66944814"/>
    <w:rsid w:val="669453A6"/>
    <w:rsid w:val="6695111E"/>
    <w:rsid w:val="66952ECC"/>
    <w:rsid w:val="669553F0"/>
    <w:rsid w:val="66961D05"/>
    <w:rsid w:val="66963446"/>
    <w:rsid w:val="6696590F"/>
    <w:rsid w:val="66966E54"/>
    <w:rsid w:val="66967370"/>
    <w:rsid w:val="66970D8A"/>
    <w:rsid w:val="669730E8"/>
    <w:rsid w:val="66975B5A"/>
    <w:rsid w:val="66975F2D"/>
    <w:rsid w:val="66976C44"/>
    <w:rsid w:val="66983372"/>
    <w:rsid w:val="66985D66"/>
    <w:rsid w:val="66991DC7"/>
    <w:rsid w:val="66993728"/>
    <w:rsid w:val="669A2314"/>
    <w:rsid w:val="669B0A59"/>
    <w:rsid w:val="669B2BD8"/>
    <w:rsid w:val="669B46E7"/>
    <w:rsid w:val="669B6575"/>
    <w:rsid w:val="669C1802"/>
    <w:rsid w:val="669C1F4E"/>
    <w:rsid w:val="669C24AC"/>
    <w:rsid w:val="669C33D1"/>
    <w:rsid w:val="669C425A"/>
    <w:rsid w:val="669C5D59"/>
    <w:rsid w:val="669C6C82"/>
    <w:rsid w:val="669D6AE8"/>
    <w:rsid w:val="669D7007"/>
    <w:rsid w:val="669E0C34"/>
    <w:rsid w:val="669E3068"/>
    <w:rsid w:val="669E6224"/>
    <w:rsid w:val="669E7FD2"/>
    <w:rsid w:val="669F08D1"/>
    <w:rsid w:val="669F3BDF"/>
    <w:rsid w:val="669F45CE"/>
    <w:rsid w:val="66A001EE"/>
    <w:rsid w:val="66A01F9C"/>
    <w:rsid w:val="66A03D4A"/>
    <w:rsid w:val="66A070C9"/>
    <w:rsid w:val="66A104F0"/>
    <w:rsid w:val="66A10D8D"/>
    <w:rsid w:val="66A12093"/>
    <w:rsid w:val="66A12E8D"/>
    <w:rsid w:val="66A14E2F"/>
    <w:rsid w:val="66A17256"/>
    <w:rsid w:val="66A22C94"/>
    <w:rsid w:val="66A23805"/>
    <w:rsid w:val="66A23F66"/>
    <w:rsid w:val="66A2664D"/>
    <w:rsid w:val="66A26699"/>
    <w:rsid w:val="66A27413"/>
    <w:rsid w:val="66A3119F"/>
    <w:rsid w:val="66A31A8D"/>
    <w:rsid w:val="66A3383B"/>
    <w:rsid w:val="66A34E37"/>
    <w:rsid w:val="66A404E5"/>
    <w:rsid w:val="66A432E5"/>
    <w:rsid w:val="66A5036A"/>
    <w:rsid w:val="66A51361"/>
    <w:rsid w:val="66A52209"/>
    <w:rsid w:val="66A54AA4"/>
    <w:rsid w:val="66A55799"/>
    <w:rsid w:val="66A55805"/>
    <w:rsid w:val="66A575B3"/>
    <w:rsid w:val="66A60E52"/>
    <w:rsid w:val="66A617FA"/>
    <w:rsid w:val="66A6332B"/>
    <w:rsid w:val="66A66A53"/>
    <w:rsid w:val="66A7157D"/>
    <w:rsid w:val="66A72C8A"/>
    <w:rsid w:val="66A730DE"/>
    <w:rsid w:val="66A739A7"/>
    <w:rsid w:val="66A743CB"/>
    <w:rsid w:val="66A75DD2"/>
    <w:rsid w:val="66A82BFF"/>
    <w:rsid w:val="66A8411A"/>
    <w:rsid w:val="66A852F5"/>
    <w:rsid w:val="66A870A3"/>
    <w:rsid w:val="66AA0167"/>
    <w:rsid w:val="66AA18C9"/>
    <w:rsid w:val="66AA1D31"/>
    <w:rsid w:val="66AA39BD"/>
    <w:rsid w:val="66AA3DFB"/>
    <w:rsid w:val="66AA4BC9"/>
    <w:rsid w:val="66AA6977"/>
    <w:rsid w:val="66AB0941"/>
    <w:rsid w:val="66AB26EF"/>
    <w:rsid w:val="66AB2A9B"/>
    <w:rsid w:val="66AB788F"/>
    <w:rsid w:val="66AC566C"/>
    <w:rsid w:val="66AC6B93"/>
    <w:rsid w:val="66AC7CDA"/>
    <w:rsid w:val="66AD290B"/>
    <w:rsid w:val="66AD46B9"/>
    <w:rsid w:val="66AD6467"/>
    <w:rsid w:val="66AD6AFC"/>
    <w:rsid w:val="66AE597A"/>
    <w:rsid w:val="66AE6E58"/>
    <w:rsid w:val="66AE7F8C"/>
    <w:rsid w:val="66AF0431"/>
    <w:rsid w:val="66AF2D1D"/>
    <w:rsid w:val="66AF71DD"/>
    <w:rsid w:val="66AF760B"/>
    <w:rsid w:val="66B0019C"/>
    <w:rsid w:val="66B01DF2"/>
    <w:rsid w:val="66B063B7"/>
    <w:rsid w:val="66B066B5"/>
    <w:rsid w:val="66B11BD6"/>
    <w:rsid w:val="66B141AA"/>
    <w:rsid w:val="66B15F58"/>
    <w:rsid w:val="66B202D6"/>
    <w:rsid w:val="66B23A7E"/>
    <w:rsid w:val="66B23F30"/>
    <w:rsid w:val="66B27F22"/>
    <w:rsid w:val="66B43C9A"/>
    <w:rsid w:val="66B446D0"/>
    <w:rsid w:val="66B447C4"/>
    <w:rsid w:val="66B4528E"/>
    <w:rsid w:val="66B477F6"/>
    <w:rsid w:val="66B47A3D"/>
    <w:rsid w:val="66B5671E"/>
    <w:rsid w:val="66B617C0"/>
    <w:rsid w:val="66B64B58"/>
    <w:rsid w:val="66B654C2"/>
    <w:rsid w:val="66B71094"/>
    <w:rsid w:val="66B75538"/>
    <w:rsid w:val="66B75BCB"/>
    <w:rsid w:val="66B772E6"/>
    <w:rsid w:val="66B777E6"/>
    <w:rsid w:val="66B80634"/>
    <w:rsid w:val="66B81714"/>
    <w:rsid w:val="66B83C0F"/>
    <w:rsid w:val="66B86032"/>
    <w:rsid w:val="66B92142"/>
    <w:rsid w:val="66B92767"/>
    <w:rsid w:val="66B9305E"/>
    <w:rsid w:val="66B94E0C"/>
    <w:rsid w:val="66B94F27"/>
    <w:rsid w:val="66B951ED"/>
    <w:rsid w:val="66BA2932"/>
    <w:rsid w:val="66BB0B84"/>
    <w:rsid w:val="66BB0F04"/>
    <w:rsid w:val="66BB184C"/>
    <w:rsid w:val="66BB5028"/>
    <w:rsid w:val="66BC00C3"/>
    <w:rsid w:val="66BC0585"/>
    <w:rsid w:val="66BC2B4E"/>
    <w:rsid w:val="66BC66AA"/>
    <w:rsid w:val="66BC693E"/>
    <w:rsid w:val="66BC7FA2"/>
    <w:rsid w:val="66BD4F57"/>
    <w:rsid w:val="66BD65F1"/>
    <w:rsid w:val="66BE0674"/>
    <w:rsid w:val="66BE2423"/>
    <w:rsid w:val="66BE68C6"/>
    <w:rsid w:val="66BF177B"/>
    <w:rsid w:val="66BF33CF"/>
    <w:rsid w:val="66BF72CF"/>
    <w:rsid w:val="66C043ED"/>
    <w:rsid w:val="66C13CC1"/>
    <w:rsid w:val="66C16177"/>
    <w:rsid w:val="66C20165"/>
    <w:rsid w:val="66C2549E"/>
    <w:rsid w:val="66C25623"/>
    <w:rsid w:val="66C25CFB"/>
    <w:rsid w:val="66C338F3"/>
    <w:rsid w:val="66C3422A"/>
    <w:rsid w:val="66C37A39"/>
    <w:rsid w:val="66C37B75"/>
    <w:rsid w:val="66C41F8E"/>
    <w:rsid w:val="66C428F8"/>
    <w:rsid w:val="66C4797B"/>
    <w:rsid w:val="66C51A03"/>
    <w:rsid w:val="66C533ED"/>
    <w:rsid w:val="66C60DE4"/>
    <w:rsid w:val="66C62B1B"/>
    <w:rsid w:val="66C67529"/>
    <w:rsid w:val="66C676A3"/>
    <w:rsid w:val="66C7577B"/>
    <w:rsid w:val="66C814F3"/>
    <w:rsid w:val="66C8504F"/>
    <w:rsid w:val="66C859B4"/>
    <w:rsid w:val="66C86DA2"/>
    <w:rsid w:val="66C87948"/>
    <w:rsid w:val="66C90637"/>
    <w:rsid w:val="66C96325"/>
    <w:rsid w:val="66CA526B"/>
    <w:rsid w:val="66CA601C"/>
    <w:rsid w:val="66CA7019"/>
    <w:rsid w:val="66CB4B3F"/>
    <w:rsid w:val="66CC0FE3"/>
    <w:rsid w:val="66CC1FC9"/>
    <w:rsid w:val="66CC2D91"/>
    <w:rsid w:val="66CD08B8"/>
    <w:rsid w:val="66CD11B7"/>
    <w:rsid w:val="66CD28BF"/>
    <w:rsid w:val="66CD4D5B"/>
    <w:rsid w:val="66CD60E6"/>
    <w:rsid w:val="66CD6B09"/>
    <w:rsid w:val="66CD6C80"/>
    <w:rsid w:val="66CE0A06"/>
    <w:rsid w:val="66CE1C4A"/>
    <w:rsid w:val="66CE7374"/>
    <w:rsid w:val="66CE7576"/>
    <w:rsid w:val="66CF184F"/>
    <w:rsid w:val="66CF29B7"/>
    <w:rsid w:val="66CF4630"/>
    <w:rsid w:val="66CF63DE"/>
    <w:rsid w:val="66D05441"/>
    <w:rsid w:val="66D070DC"/>
    <w:rsid w:val="66D07A07"/>
    <w:rsid w:val="66D13C42"/>
    <w:rsid w:val="66D141F0"/>
    <w:rsid w:val="66D147B6"/>
    <w:rsid w:val="66D15EF7"/>
    <w:rsid w:val="66D23F2A"/>
    <w:rsid w:val="66D24120"/>
    <w:rsid w:val="66D32372"/>
    <w:rsid w:val="66D3267D"/>
    <w:rsid w:val="66D40FF7"/>
    <w:rsid w:val="66D41C46"/>
    <w:rsid w:val="66D4239C"/>
    <w:rsid w:val="66D43737"/>
    <w:rsid w:val="66D439F4"/>
    <w:rsid w:val="66D44604"/>
    <w:rsid w:val="66D44878"/>
    <w:rsid w:val="66D45536"/>
    <w:rsid w:val="66D460EA"/>
    <w:rsid w:val="66D47FE2"/>
    <w:rsid w:val="66D50E0D"/>
    <w:rsid w:val="66D53137"/>
    <w:rsid w:val="66D5491E"/>
    <w:rsid w:val="66D631EB"/>
    <w:rsid w:val="66D63C10"/>
    <w:rsid w:val="66D65732"/>
    <w:rsid w:val="66D6592B"/>
    <w:rsid w:val="66D659BE"/>
    <w:rsid w:val="66D66080"/>
    <w:rsid w:val="66D66891"/>
    <w:rsid w:val="66D67198"/>
    <w:rsid w:val="66D71736"/>
    <w:rsid w:val="66D7434B"/>
    <w:rsid w:val="66D76931"/>
    <w:rsid w:val="66D77A70"/>
    <w:rsid w:val="66D831F9"/>
    <w:rsid w:val="66D84AFC"/>
    <w:rsid w:val="66D87988"/>
    <w:rsid w:val="66D92B7B"/>
    <w:rsid w:val="66D94689"/>
    <w:rsid w:val="66DA13B5"/>
    <w:rsid w:val="66DA6FA9"/>
    <w:rsid w:val="66DB08E9"/>
    <w:rsid w:val="66DB0F05"/>
    <w:rsid w:val="66DB1226"/>
    <w:rsid w:val="66DB2FD4"/>
    <w:rsid w:val="66DB5200"/>
    <w:rsid w:val="66DB55B6"/>
    <w:rsid w:val="66DB647B"/>
    <w:rsid w:val="66DB7679"/>
    <w:rsid w:val="66DC0046"/>
    <w:rsid w:val="66DC300A"/>
    <w:rsid w:val="66DD11A3"/>
    <w:rsid w:val="66DD3470"/>
    <w:rsid w:val="66DD4064"/>
    <w:rsid w:val="66DD449A"/>
    <w:rsid w:val="66DD4F9F"/>
    <w:rsid w:val="66DD706B"/>
    <w:rsid w:val="66DE0D17"/>
    <w:rsid w:val="66DE122B"/>
    <w:rsid w:val="66DE2AC5"/>
    <w:rsid w:val="66DE4873"/>
    <w:rsid w:val="66DE5504"/>
    <w:rsid w:val="66DE705A"/>
    <w:rsid w:val="66DF247F"/>
    <w:rsid w:val="66E005EB"/>
    <w:rsid w:val="66E00E45"/>
    <w:rsid w:val="66E01814"/>
    <w:rsid w:val="66E04A8F"/>
    <w:rsid w:val="66E0683D"/>
    <w:rsid w:val="66E12C28"/>
    <w:rsid w:val="66E14363"/>
    <w:rsid w:val="66E15165"/>
    <w:rsid w:val="66E16111"/>
    <w:rsid w:val="66E225B5"/>
    <w:rsid w:val="66E22E3A"/>
    <w:rsid w:val="66E250A2"/>
    <w:rsid w:val="66E2573B"/>
    <w:rsid w:val="66E2751B"/>
    <w:rsid w:val="66E3030C"/>
    <w:rsid w:val="66E3480E"/>
    <w:rsid w:val="66E3632D"/>
    <w:rsid w:val="66E42582"/>
    <w:rsid w:val="66E43E62"/>
    <w:rsid w:val="66E4687E"/>
    <w:rsid w:val="66E47FD9"/>
    <w:rsid w:val="66E50CF7"/>
    <w:rsid w:val="66E520A5"/>
    <w:rsid w:val="66E540BC"/>
    <w:rsid w:val="66E557FD"/>
    <w:rsid w:val="66E61827"/>
    <w:rsid w:val="66E70FB5"/>
    <w:rsid w:val="66E71979"/>
    <w:rsid w:val="66E75E1D"/>
    <w:rsid w:val="66E77BCB"/>
    <w:rsid w:val="66E83943"/>
    <w:rsid w:val="66E856F1"/>
    <w:rsid w:val="66E92A3D"/>
    <w:rsid w:val="66E93E94"/>
    <w:rsid w:val="66EA1469"/>
    <w:rsid w:val="66EA76BB"/>
    <w:rsid w:val="66EB166F"/>
    <w:rsid w:val="66EC4C32"/>
    <w:rsid w:val="66EC51E2"/>
    <w:rsid w:val="66EC6F90"/>
    <w:rsid w:val="66ED0F5A"/>
    <w:rsid w:val="66ED2D08"/>
    <w:rsid w:val="66ED57BF"/>
    <w:rsid w:val="66ED6B49"/>
    <w:rsid w:val="66EE3743"/>
    <w:rsid w:val="66EE541F"/>
    <w:rsid w:val="66EE5A5A"/>
    <w:rsid w:val="66EF082E"/>
    <w:rsid w:val="66EF1480"/>
    <w:rsid w:val="66EF209F"/>
    <w:rsid w:val="66EF3642"/>
    <w:rsid w:val="66EF4CD2"/>
    <w:rsid w:val="66EF6A80"/>
    <w:rsid w:val="66F04EA5"/>
    <w:rsid w:val="66F0777E"/>
    <w:rsid w:val="66F07D3F"/>
    <w:rsid w:val="66F10A4A"/>
    <w:rsid w:val="66F127F8"/>
    <w:rsid w:val="66F145A6"/>
    <w:rsid w:val="66F2031E"/>
    <w:rsid w:val="66F26570"/>
    <w:rsid w:val="66F30D38"/>
    <w:rsid w:val="66F311A7"/>
    <w:rsid w:val="66F347C2"/>
    <w:rsid w:val="66F351FD"/>
    <w:rsid w:val="66F37000"/>
    <w:rsid w:val="66F37E01"/>
    <w:rsid w:val="66F41291"/>
    <w:rsid w:val="66F422E8"/>
    <w:rsid w:val="66F45E44"/>
    <w:rsid w:val="66F46775"/>
    <w:rsid w:val="66F4722E"/>
    <w:rsid w:val="66F54B2C"/>
    <w:rsid w:val="66F619F5"/>
    <w:rsid w:val="66F61BBC"/>
    <w:rsid w:val="66F620CC"/>
    <w:rsid w:val="66F6494C"/>
    <w:rsid w:val="66F67E0E"/>
    <w:rsid w:val="66F71606"/>
    <w:rsid w:val="66F73E63"/>
    <w:rsid w:val="66F7507F"/>
    <w:rsid w:val="66F77C12"/>
    <w:rsid w:val="66F80ED6"/>
    <w:rsid w:val="66F81DD8"/>
    <w:rsid w:val="66F83B86"/>
    <w:rsid w:val="66F86AF6"/>
    <w:rsid w:val="66F916AD"/>
    <w:rsid w:val="66F9203B"/>
    <w:rsid w:val="66F95B50"/>
    <w:rsid w:val="66F964E3"/>
    <w:rsid w:val="66F978FF"/>
    <w:rsid w:val="66FA59E9"/>
    <w:rsid w:val="66FA5B03"/>
    <w:rsid w:val="66FB41E5"/>
    <w:rsid w:val="66FC0998"/>
    <w:rsid w:val="66FC0EB3"/>
    <w:rsid w:val="66FC2F4B"/>
    <w:rsid w:val="66FD119D"/>
    <w:rsid w:val="66FD3345"/>
    <w:rsid w:val="66FD73EF"/>
    <w:rsid w:val="66FE3167"/>
    <w:rsid w:val="66FE558E"/>
    <w:rsid w:val="66FE5833"/>
    <w:rsid w:val="66FE6CC3"/>
    <w:rsid w:val="66FE75ED"/>
    <w:rsid w:val="66FF2D1F"/>
    <w:rsid w:val="66FF58EE"/>
    <w:rsid w:val="670012B4"/>
    <w:rsid w:val="67002A3B"/>
    <w:rsid w:val="67006EDF"/>
    <w:rsid w:val="67011DF1"/>
    <w:rsid w:val="670202EC"/>
    <w:rsid w:val="67024A05"/>
    <w:rsid w:val="670267B3"/>
    <w:rsid w:val="6703077D"/>
    <w:rsid w:val="67030D86"/>
    <w:rsid w:val="6703252B"/>
    <w:rsid w:val="670361B5"/>
    <w:rsid w:val="67042216"/>
    <w:rsid w:val="67044F7F"/>
    <w:rsid w:val="67047226"/>
    <w:rsid w:val="67047645"/>
    <w:rsid w:val="670544F5"/>
    <w:rsid w:val="67056612"/>
    <w:rsid w:val="6706049F"/>
    <w:rsid w:val="67064939"/>
    <w:rsid w:val="67064B36"/>
    <w:rsid w:val="67065B78"/>
    <w:rsid w:val="67065FD2"/>
    <w:rsid w:val="670670F5"/>
    <w:rsid w:val="67070F74"/>
    <w:rsid w:val="67073DC9"/>
    <w:rsid w:val="67076F40"/>
    <w:rsid w:val="67077707"/>
    <w:rsid w:val="670778EA"/>
    <w:rsid w:val="67080476"/>
    <w:rsid w:val="67094E24"/>
    <w:rsid w:val="670A14C6"/>
    <w:rsid w:val="670A1B0C"/>
    <w:rsid w:val="670A3BB1"/>
    <w:rsid w:val="670A5668"/>
    <w:rsid w:val="670A6D87"/>
    <w:rsid w:val="670A7586"/>
    <w:rsid w:val="670B66F2"/>
    <w:rsid w:val="670B6E54"/>
    <w:rsid w:val="670B7FAD"/>
    <w:rsid w:val="670C13E0"/>
    <w:rsid w:val="670C3F88"/>
    <w:rsid w:val="670C45C1"/>
    <w:rsid w:val="670C587E"/>
    <w:rsid w:val="670C5884"/>
    <w:rsid w:val="670C6F9F"/>
    <w:rsid w:val="670C736B"/>
    <w:rsid w:val="670C7632"/>
    <w:rsid w:val="670C7C98"/>
    <w:rsid w:val="670D3579"/>
    <w:rsid w:val="670D3CD5"/>
    <w:rsid w:val="670D5158"/>
    <w:rsid w:val="670D6401"/>
    <w:rsid w:val="670D69F8"/>
    <w:rsid w:val="670D6F06"/>
    <w:rsid w:val="670E03D4"/>
    <w:rsid w:val="670E0E72"/>
    <w:rsid w:val="670E1A4C"/>
    <w:rsid w:val="670E1D4E"/>
    <w:rsid w:val="670E721C"/>
    <w:rsid w:val="670F0ED0"/>
    <w:rsid w:val="670F7122"/>
    <w:rsid w:val="670F75E6"/>
    <w:rsid w:val="67107970"/>
    <w:rsid w:val="671129B9"/>
    <w:rsid w:val="67112E9A"/>
    <w:rsid w:val="67114C36"/>
    <w:rsid w:val="67114C48"/>
    <w:rsid w:val="671169F6"/>
    <w:rsid w:val="67117FE8"/>
    <w:rsid w:val="671208E9"/>
    <w:rsid w:val="671211AE"/>
    <w:rsid w:val="6712276E"/>
    <w:rsid w:val="6712451C"/>
    <w:rsid w:val="671258EB"/>
    <w:rsid w:val="671309C0"/>
    <w:rsid w:val="671313C0"/>
    <w:rsid w:val="67134B20"/>
    <w:rsid w:val="671365E2"/>
    <w:rsid w:val="67140294"/>
    <w:rsid w:val="67141D0B"/>
    <w:rsid w:val="6714469B"/>
    <w:rsid w:val="671464E6"/>
    <w:rsid w:val="671466CC"/>
    <w:rsid w:val="671508DC"/>
    <w:rsid w:val="6715254B"/>
    <w:rsid w:val="67155475"/>
    <w:rsid w:val="671604B0"/>
    <w:rsid w:val="6716400D"/>
    <w:rsid w:val="67171ED0"/>
    <w:rsid w:val="6717322E"/>
    <w:rsid w:val="67174793"/>
    <w:rsid w:val="6717695C"/>
    <w:rsid w:val="671812FC"/>
    <w:rsid w:val="67185FD7"/>
    <w:rsid w:val="67190718"/>
    <w:rsid w:val="67193AFD"/>
    <w:rsid w:val="671958AB"/>
    <w:rsid w:val="671A2FAC"/>
    <w:rsid w:val="671A443C"/>
    <w:rsid w:val="671B149A"/>
    <w:rsid w:val="671B1623"/>
    <w:rsid w:val="671B5AC7"/>
    <w:rsid w:val="671B7875"/>
    <w:rsid w:val="671C15EA"/>
    <w:rsid w:val="671C4358"/>
    <w:rsid w:val="671D183F"/>
    <w:rsid w:val="671D192D"/>
    <w:rsid w:val="671D35ED"/>
    <w:rsid w:val="671D41CF"/>
    <w:rsid w:val="671D539B"/>
    <w:rsid w:val="671D79B5"/>
    <w:rsid w:val="671E1113"/>
    <w:rsid w:val="671E4DD5"/>
    <w:rsid w:val="671E7126"/>
    <w:rsid w:val="671F124A"/>
    <w:rsid w:val="671F12E9"/>
    <w:rsid w:val="671F424D"/>
    <w:rsid w:val="671F440C"/>
    <w:rsid w:val="671F55B7"/>
    <w:rsid w:val="671F6E1E"/>
    <w:rsid w:val="672002AE"/>
    <w:rsid w:val="67201EB0"/>
    <w:rsid w:val="67204E8B"/>
    <w:rsid w:val="67206C39"/>
    <w:rsid w:val="67217E3E"/>
    <w:rsid w:val="67220C03"/>
    <w:rsid w:val="672229B1"/>
    <w:rsid w:val="67222BCE"/>
    <w:rsid w:val="67223341"/>
    <w:rsid w:val="67236729"/>
    <w:rsid w:val="672435D7"/>
    <w:rsid w:val="672465C4"/>
    <w:rsid w:val="672500BF"/>
    <w:rsid w:val="67251ABB"/>
    <w:rsid w:val="672524A2"/>
    <w:rsid w:val="67252C90"/>
    <w:rsid w:val="67254250"/>
    <w:rsid w:val="67256946"/>
    <w:rsid w:val="672629DF"/>
    <w:rsid w:val="67265AA2"/>
    <w:rsid w:val="672708EB"/>
    <w:rsid w:val="67275836"/>
    <w:rsid w:val="6727621A"/>
    <w:rsid w:val="67277FC8"/>
    <w:rsid w:val="67281F92"/>
    <w:rsid w:val="6728233A"/>
    <w:rsid w:val="672828F2"/>
    <w:rsid w:val="67283C70"/>
    <w:rsid w:val="67283D40"/>
    <w:rsid w:val="67284472"/>
    <w:rsid w:val="67291611"/>
    <w:rsid w:val="67297ED0"/>
    <w:rsid w:val="672A100A"/>
    <w:rsid w:val="672A3F31"/>
    <w:rsid w:val="672A3F5C"/>
    <w:rsid w:val="672A5D0A"/>
    <w:rsid w:val="672A66F0"/>
    <w:rsid w:val="672B53C1"/>
    <w:rsid w:val="672C1201"/>
    <w:rsid w:val="672C1A82"/>
    <w:rsid w:val="672C3097"/>
    <w:rsid w:val="672C55DE"/>
    <w:rsid w:val="672C7CD4"/>
    <w:rsid w:val="672C7F92"/>
    <w:rsid w:val="672D7140"/>
    <w:rsid w:val="672E101D"/>
    <w:rsid w:val="672E4BB1"/>
    <w:rsid w:val="672E5653"/>
    <w:rsid w:val="672E57FA"/>
    <w:rsid w:val="672F1572"/>
    <w:rsid w:val="672F3320"/>
    <w:rsid w:val="672F3BA5"/>
    <w:rsid w:val="672F3D42"/>
    <w:rsid w:val="672F48CC"/>
    <w:rsid w:val="672F50CE"/>
    <w:rsid w:val="67305062"/>
    <w:rsid w:val="67305118"/>
    <w:rsid w:val="673051D2"/>
    <w:rsid w:val="67305AB9"/>
    <w:rsid w:val="673172A6"/>
    <w:rsid w:val="6731760E"/>
    <w:rsid w:val="67322330"/>
    <w:rsid w:val="6732696D"/>
    <w:rsid w:val="67330BA1"/>
    <w:rsid w:val="67333B53"/>
    <w:rsid w:val="673342A7"/>
    <w:rsid w:val="67334BBF"/>
    <w:rsid w:val="67335249"/>
    <w:rsid w:val="67335294"/>
    <w:rsid w:val="67351044"/>
    <w:rsid w:val="67356C43"/>
    <w:rsid w:val="67362901"/>
    <w:rsid w:val="673646AF"/>
    <w:rsid w:val="67372C6B"/>
    <w:rsid w:val="673821D5"/>
    <w:rsid w:val="67382266"/>
    <w:rsid w:val="67382550"/>
    <w:rsid w:val="67386679"/>
    <w:rsid w:val="67387D58"/>
    <w:rsid w:val="67390946"/>
    <w:rsid w:val="67391D23"/>
    <w:rsid w:val="6739419F"/>
    <w:rsid w:val="67395F4D"/>
    <w:rsid w:val="673A0E55"/>
    <w:rsid w:val="673B1CC5"/>
    <w:rsid w:val="673B4C7A"/>
    <w:rsid w:val="673B4EB6"/>
    <w:rsid w:val="673B7F17"/>
    <w:rsid w:val="673C0AA8"/>
    <w:rsid w:val="673C7D0D"/>
    <w:rsid w:val="673D39E3"/>
    <w:rsid w:val="673D5A3D"/>
    <w:rsid w:val="673D6B89"/>
    <w:rsid w:val="673D77EB"/>
    <w:rsid w:val="673D79F1"/>
    <w:rsid w:val="673D7B10"/>
    <w:rsid w:val="673E7602"/>
    <w:rsid w:val="673F344D"/>
    <w:rsid w:val="673F3837"/>
    <w:rsid w:val="673F3B51"/>
    <w:rsid w:val="673F539A"/>
    <w:rsid w:val="673F75D2"/>
    <w:rsid w:val="673F7A07"/>
    <w:rsid w:val="67401089"/>
    <w:rsid w:val="6740552D"/>
    <w:rsid w:val="67405684"/>
    <w:rsid w:val="67407F65"/>
    <w:rsid w:val="674212A6"/>
    <w:rsid w:val="674221B8"/>
    <w:rsid w:val="67423054"/>
    <w:rsid w:val="674249B9"/>
    <w:rsid w:val="67424E02"/>
    <w:rsid w:val="674265BA"/>
    <w:rsid w:val="67431958"/>
    <w:rsid w:val="67432035"/>
    <w:rsid w:val="674324D9"/>
    <w:rsid w:val="67433648"/>
    <w:rsid w:val="6743601C"/>
    <w:rsid w:val="67436C85"/>
    <w:rsid w:val="6744449F"/>
    <w:rsid w:val="6744501E"/>
    <w:rsid w:val="67446DCC"/>
    <w:rsid w:val="674476A9"/>
    <w:rsid w:val="67447B91"/>
    <w:rsid w:val="67450B39"/>
    <w:rsid w:val="67452B44"/>
    <w:rsid w:val="67452E4F"/>
    <w:rsid w:val="67453124"/>
    <w:rsid w:val="674548F2"/>
    <w:rsid w:val="67457B3C"/>
    <w:rsid w:val="67461FC9"/>
    <w:rsid w:val="674723F9"/>
    <w:rsid w:val="67472418"/>
    <w:rsid w:val="674768BC"/>
    <w:rsid w:val="6748478F"/>
    <w:rsid w:val="67484C5E"/>
    <w:rsid w:val="67486190"/>
    <w:rsid w:val="67492634"/>
    <w:rsid w:val="674943E2"/>
    <w:rsid w:val="674A015A"/>
    <w:rsid w:val="674A1F08"/>
    <w:rsid w:val="674B0F96"/>
    <w:rsid w:val="674B186D"/>
    <w:rsid w:val="674B1D8A"/>
    <w:rsid w:val="674B1DDA"/>
    <w:rsid w:val="674C058C"/>
    <w:rsid w:val="674C0C8F"/>
    <w:rsid w:val="674C326A"/>
    <w:rsid w:val="674C3ED2"/>
    <w:rsid w:val="674C5C80"/>
    <w:rsid w:val="674C5E3B"/>
    <w:rsid w:val="674D37A6"/>
    <w:rsid w:val="674D72CB"/>
    <w:rsid w:val="674E12A6"/>
    <w:rsid w:val="674E7C4A"/>
    <w:rsid w:val="674F1B52"/>
    <w:rsid w:val="674F5770"/>
    <w:rsid w:val="674F6F4A"/>
    <w:rsid w:val="674F751F"/>
    <w:rsid w:val="674F79E2"/>
    <w:rsid w:val="6751081D"/>
    <w:rsid w:val="675109E2"/>
    <w:rsid w:val="675114E9"/>
    <w:rsid w:val="67512142"/>
    <w:rsid w:val="67515045"/>
    <w:rsid w:val="675164DF"/>
    <w:rsid w:val="6751773B"/>
    <w:rsid w:val="67525607"/>
    <w:rsid w:val="67526575"/>
    <w:rsid w:val="6753054C"/>
    <w:rsid w:val="67530DBD"/>
    <w:rsid w:val="675334CD"/>
    <w:rsid w:val="67535261"/>
    <w:rsid w:val="67536F6C"/>
    <w:rsid w:val="67547642"/>
    <w:rsid w:val="67550ABC"/>
    <w:rsid w:val="67550FD9"/>
    <w:rsid w:val="67555886"/>
    <w:rsid w:val="6755788C"/>
    <w:rsid w:val="6755798F"/>
    <w:rsid w:val="67564D51"/>
    <w:rsid w:val="67566AFF"/>
    <w:rsid w:val="67566EED"/>
    <w:rsid w:val="675755E1"/>
    <w:rsid w:val="67580AC9"/>
    <w:rsid w:val="67580D57"/>
    <w:rsid w:val="67582877"/>
    <w:rsid w:val="675843DE"/>
    <w:rsid w:val="675905A1"/>
    <w:rsid w:val="675916CF"/>
    <w:rsid w:val="67593167"/>
    <w:rsid w:val="6759586E"/>
    <w:rsid w:val="675A2BBC"/>
    <w:rsid w:val="675A3B42"/>
    <w:rsid w:val="675A57F0"/>
    <w:rsid w:val="675A65EF"/>
    <w:rsid w:val="675A7D1A"/>
    <w:rsid w:val="675B2367"/>
    <w:rsid w:val="675B3480"/>
    <w:rsid w:val="675B44A0"/>
    <w:rsid w:val="675C27E1"/>
    <w:rsid w:val="675C5930"/>
    <w:rsid w:val="675C59AB"/>
    <w:rsid w:val="675C648D"/>
    <w:rsid w:val="675C6A84"/>
    <w:rsid w:val="675D60DF"/>
    <w:rsid w:val="675E5C76"/>
    <w:rsid w:val="675E7762"/>
    <w:rsid w:val="675F3C06"/>
    <w:rsid w:val="675F6F51"/>
    <w:rsid w:val="67600AF7"/>
    <w:rsid w:val="676034DA"/>
    <w:rsid w:val="67605738"/>
    <w:rsid w:val="67612606"/>
    <w:rsid w:val="67612B5A"/>
    <w:rsid w:val="67614B4E"/>
    <w:rsid w:val="676168F9"/>
    <w:rsid w:val="676231A5"/>
    <w:rsid w:val="676254A4"/>
    <w:rsid w:val="676263B8"/>
    <w:rsid w:val="67627252"/>
    <w:rsid w:val="67630B2B"/>
    <w:rsid w:val="676312C4"/>
    <w:rsid w:val="67632C32"/>
    <w:rsid w:val="6763786C"/>
    <w:rsid w:val="6764121C"/>
    <w:rsid w:val="67642502"/>
    <w:rsid w:val="676439E9"/>
    <w:rsid w:val="67650AF0"/>
    <w:rsid w:val="67654F94"/>
    <w:rsid w:val="67656D42"/>
    <w:rsid w:val="67661009"/>
    <w:rsid w:val="676615B3"/>
    <w:rsid w:val="67672A43"/>
    <w:rsid w:val="67672ABA"/>
    <w:rsid w:val="676737E1"/>
    <w:rsid w:val="67673CE2"/>
    <w:rsid w:val="67674868"/>
    <w:rsid w:val="67676C03"/>
    <w:rsid w:val="67684070"/>
    <w:rsid w:val="67684445"/>
    <w:rsid w:val="676851A9"/>
    <w:rsid w:val="67687424"/>
    <w:rsid w:val="67687D74"/>
    <w:rsid w:val="676905E0"/>
    <w:rsid w:val="67693400"/>
    <w:rsid w:val="67694A84"/>
    <w:rsid w:val="676964A1"/>
    <w:rsid w:val="67696832"/>
    <w:rsid w:val="676968EB"/>
    <w:rsid w:val="676969B0"/>
    <w:rsid w:val="67696F71"/>
    <w:rsid w:val="676A13C4"/>
    <w:rsid w:val="676A25AA"/>
    <w:rsid w:val="676A4358"/>
    <w:rsid w:val="676A4B31"/>
    <w:rsid w:val="676A4F09"/>
    <w:rsid w:val="676A6106"/>
    <w:rsid w:val="676B07FC"/>
    <w:rsid w:val="676B40F0"/>
    <w:rsid w:val="676B5F50"/>
    <w:rsid w:val="676B62D3"/>
    <w:rsid w:val="676C00D0"/>
    <w:rsid w:val="676C1E7F"/>
    <w:rsid w:val="676C5631"/>
    <w:rsid w:val="676C5977"/>
    <w:rsid w:val="676C6322"/>
    <w:rsid w:val="676C7CDD"/>
    <w:rsid w:val="676D1753"/>
    <w:rsid w:val="676D2ACF"/>
    <w:rsid w:val="676D68B5"/>
    <w:rsid w:val="676E209B"/>
    <w:rsid w:val="676E3E49"/>
    <w:rsid w:val="676E55E3"/>
    <w:rsid w:val="676E79CF"/>
    <w:rsid w:val="676F1572"/>
    <w:rsid w:val="676F196F"/>
    <w:rsid w:val="676F4C73"/>
    <w:rsid w:val="676F5911"/>
    <w:rsid w:val="67700A95"/>
    <w:rsid w:val="677069B1"/>
    <w:rsid w:val="67712D5E"/>
    <w:rsid w:val="677156E7"/>
    <w:rsid w:val="67717495"/>
    <w:rsid w:val="67727023"/>
    <w:rsid w:val="67727CB7"/>
    <w:rsid w:val="6773145F"/>
    <w:rsid w:val="67732925"/>
    <w:rsid w:val="6773320D"/>
    <w:rsid w:val="677376B1"/>
    <w:rsid w:val="67740341"/>
    <w:rsid w:val="67741A06"/>
    <w:rsid w:val="677452E3"/>
    <w:rsid w:val="6774556F"/>
    <w:rsid w:val="67746F85"/>
    <w:rsid w:val="677473DB"/>
    <w:rsid w:val="67751212"/>
    <w:rsid w:val="67755047"/>
    <w:rsid w:val="677564D7"/>
    <w:rsid w:val="677610A8"/>
    <w:rsid w:val="67761D40"/>
    <w:rsid w:val="6776621A"/>
    <w:rsid w:val="677663AD"/>
    <w:rsid w:val="67770DF7"/>
    <w:rsid w:val="67772299"/>
    <w:rsid w:val="67780823"/>
    <w:rsid w:val="67784CC7"/>
    <w:rsid w:val="67786A75"/>
    <w:rsid w:val="677A1CDC"/>
    <w:rsid w:val="677A235F"/>
    <w:rsid w:val="677A27ED"/>
    <w:rsid w:val="677A2C0C"/>
    <w:rsid w:val="677A33C6"/>
    <w:rsid w:val="677B0314"/>
    <w:rsid w:val="677B6565"/>
    <w:rsid w:val="677B7778"/>
    <w:rsid w:val="677C605D"/>
    <w:rsid w:val="677D22DE"/>
    <w:rsid w:val="677D2D6D"/>
    <w:rsid w:val="677D408C"/>
    <w:rsid w:val="677D5E3A"/>
    <w:rsid w:val="677D63AA"/>
    <w:rsid w:val="677D75C4"/>
    <w:rsid w:val="677E23E9"/>
    <w:rsid w:val="677E4FA3"/>
    <w:rsid w:val="677E5AF8"/>
    <w:rsid w:val="677E60F9"/>
    <w:rsid w:val="677F0CDC"/>
    <w:rsid w:val="677F2F74"/>
    <w:rsid w:val="677F5E5A"/>
    <w:rsid w:val="677F71CE"/>
    <w:rsid w:val="677F7528"/>
    <w:rsid w:val="677F7E04"/>
    <w:rsid w:val="67801DCE"/>
    <w:rsid w:val="67802799"/>
    <w:rsid w:val="67803B7C"/>
    <w:rsid w:val="6780592A"/>
    <w:rsid w:val="67806F5E"/>
    <w:rsid w:val="67812DB3"/>
    <w:rsid w:val="67814202"/>
    <w:rsid w:val="67816E39"/>
    <w:rsid w:val="678216A2"/>
    <w:rsid w:val="67825B46"/>
    <w:rsid w:val="67826B5C"/>
    <w:rsid w:val="67826BDE"/>
    <w:rsid w:val="678309C0"/>
    <w:rsid w:val="678324AD"/>
    <w:rsid w:val="67836631"/>
    <w:rsid w:val="678371C8"/>
    <w:rsid w:val="678418BE"/>
    <w:rsid w:val="6784366C"/>
    <w:rsid w:val="6784541A"/>
    <w:rsid w:val="67845B3B"/>
    <w:rsid w:val="6784642E"/>
    <w:rsid w:val="67854016"/>
    <w:rsid w:val="678673E4"/>
    <w:rsid w:val="6787166C"/>
    <w:rsid w:val="6787202D"/>
    <w:rsid w:val="6787315C"/>
    <w:rsid w:val="67874F0A"/>
    <w:rsid w:val="67876CB8"/>
    <w:rsid w:val="67881905"/>
    <w:rsid w:val="67881D7C"/>
    <w:rsid w:val="67881DA8"/>
    <w:rsid w:val="6788602C"/>
    <w:rsid w:val="6788637D"/>
    <w:rsid w:val="678919CD"/>
    <w:rsid w:val="67892A30"/>
    <w:rsid w:val="6789494D"/>
    <w:rsid w:val="678949D7"/>
    <w:rsid w:val="678964E9"/>
    <w:rsid w:val="67896A25"/>
    <w:rsid w:val="67896ED4"/>
    <w:rsid w:val="678A0557"/>
    <w:rsid w:val="678A20D3"/>
    <w:rsid w:val="678B08FA"/>
    <w:rsid w:val="678B1E3E"/>
    <w:rsid w:val="678B3BC6"/>
    <w:rsid w:val="678B726D"/>
    <w:rsid w:val="678C0773"/>
    <w:rsid w:val="678C2521"/>
    <w:rsid w:val="678C32CE"/>
    <w:rsid w:val="678C42CF"/>
    <w:rsid w:val="678D0B50"/>
    <w:rsid w:val="678D18D1"/>
    <w:rsid w:val="678D1E21"/>
    <w:rsid w:val="678D5B45"/>
    <w:rsid w:val="678D67C1"/>
    <w:rsid w:val="678E0047"/>
    <w:rsid w:val="678E0A10"/>
    <w:rsid w:val="678E44EB"/>
    <w:rsid w:val="678E5BEE"/>
    <w:rsid w:val="678E693A"/>
    <w:rsid w:val="678E732F"/>
    <w:rsid w:val="678E777F"/>
    <w:rsid w:val="678F01F0"/>
    <w:rsid w:val="678F707E"/>
    <w:rsid w:val="678F753D"/>
    <w:rsid w:val="678F77C3"/>
    <w:rsid w:val="678F7AEF"/>
    <w:rsid w:val="6790047B"/>
    <w:rsid w:val="67901C4F"/>
    <w:rsid w:val="6790629C"/>
    <w:rsid w:val="67907FEC"/>
    <w:rsid w:val="679118E5"/>
    <w:rsid w:val="67914EC2"/>
    <w:rsid w:val="67915D89"/>
    <w:rsid w:val="67917689"/>
    <w:rsid w:val="67917B37"/>
    <w:rsid w:val="67917EEF"/>
    <w:rsid w:val="67922F56"/>
    <w:rsid w:val="67924DD9"/>
    <w:rsid w:val="67925940"/>
    <w:rsid w:val="679259FF"/>
    <w:rsid w:val="67931B01"/>
    <w:rsid w:val="679349A0"/>
    <w:rsid w:val="67934EAB"/>
    <w:rsid w:val="67942DCB"/>
    <w:rsid w:val="67943874"/>
    <w:rsid w:val="6794413B"/>
    <w:rsid w:val="67944631"/>
    <w:rsid w:val="67950A2E"/>
    <w:rsid w:val="67955879"/>
    <w:rsid w:val="67956C74"/>
    <w:rsid w:val="67964723"/>
    <w:rsid w:val="679650F8"/>
    <w:rsid w:val="6796514D"/>
    <w:rsid w:val="679703E1"/>
    <w:rsid w:val="67977CFC"/>
    <w:rsid w:val="6798088C"/>
    <w:rsid w:val="67980EC5"/>
    <w:rsid w:val="67981871"/>
    <w:rsid w:val="67991094"/>
    <w:rsid w:val="67991459"/>
    <w:rsid w:val="67992D01"/>
    <w:rsid w:val="679A2E90"/>
    <w:rsid w:val="679A4C3E"/>
    <w:rsid w:val="679A69EC"/>
    <w:rsid w:val="679A6E7D"/>
    <w:rsid w:val="679B0981"/>
    <w:rsid w:val="679B09B6"/>
    <w:rsid w:val="679B1933"/>
    <w:rsid w:val="679B50CD"/>
    <w:rsid w:val="679B54F5"/>
    <w:rsid w:val="679C7F8E"/>
    <w:rsid w:val="679D028A"/>
    <w:rsid w:val="679D4096"/>
    <w:rsid w:val="679D472E"/>
    <w:rsid w:val="679D64DC"/>
    <w:rsid w:val="679E036B"/>
    <w:rsid w:val="679E3BC7"/>
    <w:rsid w:val="679E7441"/>
    <w:rsid w:val="679F04A6"/>
    <w:rsid w:val="679F0B40"/>
    <w:rsid w:val="679F6B73"/>
    <w:rsid w:val="679F7DAA"/>
    <w:rsid w:val="67A05FCC"/>
    <w:rsid w:val="67A06292"/>
    <w:rsid w:val="67A07D7A"/>
    <w:rsid w:val="67A1095D"/>
    <w:rsid w:val="67A14064"/>
    <w:rsid w:val="67A1421E"/>
    <w:rsid w:val="67A17F6B"/>
    <w:rsid w:val="67A20C4E"/>
    <w:rsid w:val="67A21D44"/>
    <w:rsid w:val="67A22FF4"/>
    <w:rsid w:val="67A23A50"/>
    <w:rsid w:val="67A254F4"/>
    <w:rsid w:val="67A267DE"/>
    <w:rsid w:val="67A26C35"/>
    <w:rsid w:val="67A27F96"/>
    <w:rsid w:val="67A3060F"/>
    <w:rsid w:val="67A311A2"/>
    <w:rsid w:val="67A31707"/>
    <w:rsid w:val="67A33326"/>
    <w:rsid w:val="67A41618"/>
    <w:rsid w:val="67A45ABC"/>
    <w:rsid w:val="67A46930"/>
    <w:rsid w:val="67A535E2"/>
    <w:rsid w:val="67A53CD9"/>
    <w:rsid w:val="67A54D96"/>
    <w:rsid w:val="67A54F4C"/>
    <w:rsid w:val="67A5544A"/>
    <w:rsid w:val="67A57F0F"/>
    <w:rsid w:val="67A61834"/>
    <w:rsid w:val="67A64734"/>
    <w:rsid w:val="67A66A46"/>
    <w:rsid w:val="67A71109"/>
    <w:rsid w:val="67A75314"/>
    <w:rsid w:val="67A755AC"/>
    <w:rsid w:val="67A76795"/>
    <w:rsid w:val="67A7735B"/>
    <w:rsid w:val="67A77ED6"/>
    <w:rsid w:val="67A81366"/>
    <w:rsid w:val="67A85C30"/>
    <w:rsid w:val="67A864FE"/>
    <w:rsid w:val="67A91325"/>
    <w:rsid w:val="67A930D3"/>
    <w:rsid w:val="67A94CC4"/>
    <w:rsid w:val="67A94E81"/>
    <w:rsid w:val="67A955D7"/>
    <w:rsid w:val="67AA3C86"/>
    <w:rsid w:val="67AA6857"/>
    <w:rsid w:val="67AB0BF9"/>
    <w:rsid w:val="67AB3A7E"/>
    <w:rsid w:val="67AC2BC3"/>
    <w:rsid w:val="67AC4971"/>
    <w:rsid w:val="67AD210A"/>
    <w:rsid w:val="67AD3D48"/>
    <w:rsid w:val="67AD4391"/>
    <w:rsid w:val="67AD49B9"/>
    <w:rsid w:val="67AD625C"/>
    <w:rsid w:val="67AE06E9"/>
    <w:rsid w:val="67AE12E2"/>
    <w:rsid w:val="67AE151D"/>
    <w:rsid w:val="67AE51D8"/>
    <w:rsid w:val="67AE774D"/>
    <w:rsid w:val="67AE7E73"/>
    <w:rsid w:val="67AF314E"/>
    <w:rsid w:val="67AF4A4F"/>
    <w:rsid w:val="67B0092F"/>
    <w:rsid w:val="67B04461"/>
    <w:rsid w:val="67B0620F"/>
    <w:rsid w:val="67B10F6D"/>
    <w:rsid w:val="67B10F88"/>
    <w:rsid w:val="67B11F87"/>
    <w:rsid w:val="67B121B4"/>
    <w:rsid w:val="67B1231F"/>
    <w:rsid w:val="67B13D35"/>
    <w:rsid w:val="67B22418"/>
    <w:rsid w:val="67B22A6E"/>
    <w:rsid w:val="67B25566"/>
    <w:rsid w:val="67B27253"/>
    <w:rsid w:val="67B275BA"/>
    <w:rsid w:val="67B33F51"/>
    <w:rsid w:val="67B35CFF"/>
    <w:rsid w:val="67B37AAD"/>
    <w:rsid w:val="67B37BBA"/>
    <w:rsid w:val="67B42E10"/>
    <w:rsid w:val="67B46CD6"/>
    <w:rsid w:val="67B47909"/>
    <w:rsid w:val="67B50D99"/>
    <w:rsid w:val="67B55688"/>
    <w:rsid w:val="67B559DF"/>
    <w:rsid w:val="67B57CC9"/>
    <w:rsid w:val="67B6134C"/>
    <w:rsid w:val="67B62592"/>
    <w:rsid w:val="67B6759E"/>
    <w:rsid w:val="67B730B4"/>
    <w:rsid w:val="67B75CBE"/>
    <w:rsid w:val="67B7628A"/>
    <w:rsid w:val="67B779CB"/>
    <w:rsid w:val="67B83316"/>
    <w:rsid w:val="67B85003"/>
    <w:rsid w:val="67B850C4"/>
    <w:rsid w:val="67B8771A"/>
    <w:rsid w:val="67B9169B"/>
    <w:rsid w:val="67B916E0"/>
    <w:rsid w:val="67B922EB"/>
    <w:rsid w:val="67B927AC"/>
    <w:rsid w:val="67B94EBC"/>
    <w:rsid w:val="67B9585D"/>
    <w:rsid w:val="67BA13C7"/>
    <w:rsid w:val="67BA1FE6"/>
    <w:rsid w:val="67BA4365"/>
    <w:rsid w:val="67BA708E"/>
    <w:rsid w:val="67BB0C58"/>
    <w:rsid w:val="67BB4267"/>
    <w:rsid w:val="67BB4BB4"/>
    <w:rsid w:val="67BB755A"/>
    <w:rsid w:val="67BC1058"/>
    <w:rsid w:val="67BC1EF5"/>
    <w:rsid w:val="67BC2E06"/>
    <w:rsid w:val="67BC554A"/>
    <w:rsid w:val="67BC5BFF"/>
    <w:rsid w:val="67BD092C"/>
    <w:rsid w:val="67BD20FC"/>
    <w:rsid w:val="67BD4932"/>
    <w:rsid w:val="67BF28F6"/>
    <w:rsid w:val="67BF2AE0"/>
    <w:rsid w:val="67BF3E48"/>
    <w:rsid w:val="67BF46A4"/>
    <w:rsid w:val="67BF6452"/>
    <w:rsid w:val="67C01797"/>
    <w:rsid w:val="67C04ADD"/>
    <w:rsid w:val="67C1364E"/>
    <w:rsid w:val="67C15C5B"/>
    <w:rsid w:val="67C21F0D"/>
    <w:rsid w:val="67C24194"/>
    <w:rsid w:val="67C2713E"/>
    <w:rsid w:val="67C27CF0"/>
    <w:rsid w:val="67C314C5"/>
    <w:rsid w:val="67C41B0A"/>
    <w:rsid w:val="67C41CBB"/>
    <w:rsid w:val="67C473FE"/>
    <w:rsid w:val="67C47F0C"/>
    <w:rsid w:val="67C5345F"/>
    <w:rsid w:val="67C63C85"/>
    <w:rsid w:val="67C66E39"/>
    <w:rsid w:val="67C70F3A"/>
    <w:rsid w:val="67C717AB"/>
    <w:rsid w:val="67C73559"/>
    <w:rsid w:val="67C779FD"/>
    <w:rsid w:val="67C77A7C"/>
    <w:rsid w:val="67C80950"/>
    <w:rsid w:val="67C84AC1"/>
    <w:rsid w:val="67C86A9E"/>
    <w:rsid w:val="67C9069F"/>
    <w:rsid w:val="67C92937"/>
    <w:rsid w:val="67C93626"/>
    <w:rsid w:val="67C972D1"/>
    <w:rsid w:val="67CA3270"/>
    <w:rsid w:val="67CA3A45"/>
    <w:rsid w:val="67CA4DF7"/>
    <w:rsid w:val="67CA760E"/>
    <w:rsid w:val="67CB1A82"/>
    <w:rsid w:val="67CC0B6F"/>
    <w:rsid w:val="67CC4D0B"/>
    <w:rsid w:val="67CC6DC1"/>
    <w:rsid w:val="67CD1721"/>
    <w:rsid w:val="67CD1BF1"/>
    <w:rsid w:val="67CE0D8B"/>
    <w:rsid w:val="67CE2B39"/>
    <w:rsid w:val="67CE3081"/>
    <w:rsid w:val="67CE5009"/>
    <w:rsid w:val="67CE538E"/>
    <w:rsid w:val="67CF4511"/>
    <w:rsid w:val="67CF795B"/>
    <w:rsid w:val="67CF7962"/>
    <w:rsid w:val="67D00572"/>
    <w:rsid w:val="67D00E1E"/>
    <w:rsid w:val="67D00F88"/>
    <w:rsid w:val="67D059A1"/>
    <w:rsid w:val="67D068B1"/>
    <w:rsid w:val="67D119B6"/>
    <w:rsid w:val="67D141C2"/>
    <w:rsid w:val="67D142F4"/>
    <w:rsid w:val="67D16185"/>
    <w:rsid w:val="67D233B4"/>
    <w:rsid w:val="67D23884"/>
    <w:rsid w:val="67D245D3"/>
    <w:rsid w:val="67D30150"/>
    <w:rsid w:val="67D31EFE"/>
    <w:rsid w:val="67D32017"/>
    <w:rsid w:val="67D35A63"/>
    <w:rsid w:val="67D44957"/>
    <w:rsid w:val="67D463D6"/>
    <w:rsid w:val="67D46EF3"/>
    <w:rsid w:val="67D53EC8"/>
    <w:rsid w:val="67D55C76"/>
    <w:rsid w:val="67D575DB"/>
    <w:rsid w:val="67D57A24"/>
    <w:rsid w:val="67D619EE"/>
    <w:rsid w:val="67D6379C"/>
    <w:rsid w:val="67D643E4"/>
    <w:rsid w:val="67D67033"/>
    <w:rsid w:val="67D72CA3"/>
    <w:rsid w:val="67D75348"/>
    <w:rsid w:val="67D75874"/>
    <w:rsid w:val="67D75CD6"/>
    <w:rsid w:val="67D839B8"/>
    <w:rsid w:val="67D8638F"/>
    <w:rsid w:val="67D973BA"/>
    <w:rsid w:val="67DA0154"/>
    <w:rsid w:val="67DA14DE"/>
    <w:rsid w:val="67DA2D65"/>
    <w:rsid w:val="67DA42C5"/>
    <w:rsid w:val="67DA7730"/>
    <w:rsid w:val="67DB12FC"/>
    <w:rsid w:val="67DB24FC"/>
    <w:rsid w:val="67DB7004"/>
    <w:rsid w:val="67DC5256"/>
    <w:rsid w:val="67DD0864"/>
    <w:rsid w:val="67DD0FCE"/>
    <w:rsid w:val="67DD1876"/>
    <w:rsid w:val="67DD2D7C"/>
    <w:rsid w:val="67DD4B2A"/>
    <w:rsid w:val="67DD753E"/>
    <w:rsid w:val="67DD7FA5"/>
    <w:rsid w:val="67DE7986"/>
    <w:rsid w:val="67DE7DB2"/>
    <w:rsid w:val="67DF08A2"/>
    <w:rsid w:val="67DF2765"/>
    <w:rsid w:val="67DF3D2E"/>
    <w:rsid w:val="67DF4006"/>
    <w:rsid w:val="67DF4D46"/>
    <w:rsid w:val="67DF664A"/>
    <w:rsid w:val="67DF6BD7"/>
    <w:rsid w:val="67DF760B"/>
    <w:rsid w:val="67E0405E"/>
    <w:rsid w:val="67E1028B"/>
    <w:rsid w:val="67E10ABE"/>
    <w:rsid w:val="67E1286C"/>
    <w:rsid w:val="67E1461B"/>
    <w:rsid w:val="67E14FE7"/>
    <w:rsid w:val="67E16926"/>
    <w:rsid w:val="67E22141"/>
    <w:rsid w:val="67E22882"/>
    <w:rsid w:val="67E265E5"/>
    <w:rsid w:val="67E307DC"/>
    <w:rsid w:val="67E31CBC"/>
    <w:rsid w:val="67E35558"/>
    <w:rsid w:val="67E36959"/>
    <w:rsid w:val="67E4410B"/>
    <w:rsid w:val="67E450CE"/>
    <w:rsid w:val="67E452A7"/>
    <w:rsid w:val="67E51552"/>
    <w:rsid w:val="67E5231F"/>
    <w:rsid w:val="67E57B3E"/>
    <w:rsid w:val="67E73BFB"/>
    <w:rsid w:val="67E74E8C"/>
    <w:rsid w:val="67E759A9"/>
    <w:rsid w:val="67E80E1B"/>
    <w:rsid w:val="67E81911"/>
    <w:rsid w:val="67E81E4D"/>
    <w:rsid w:val="67E82570"/>
    <w:rsid w:val="67E8319D"/>
    <w:rsid w:val="67E83C27"/>
    <w:rsid w:val="67E84993"/>
    <w:rsid w:val="67E851EF"/>
    <w:rsid w:val="67E873F0"/>
    <w:rsid w:val="67E91721"/>
    <w:rsid w:val="67E9310A"/>
    <w:rsid w:val="67E934CF"/>
    <w:rsid w:val="67E935C2"/>
    <w:rsid w:val="67E97973"/>
    <w:rsid w:val="67EA1C4B"/>
    <w:rsid w:val="67EA24A5"/>
    <w:rsid w:val="67EA4382"/>
    <w:rsid w:val="67EB35C9"/>
    <w:rsid w:val="67EB36EB"/>
    <w:rsid w:val="67EB5499"/>
    <w:rsid w:val="67EB7247"/>
    <w:rsid w:val="67EC0B72"/>
    <w:rsid w:val="67EC1832"/>
    <w:rsid w:val="67EC1E5E"/>
    <w:rsid w:val="67EC2FBF"/>
    <w:rsid w:val="67EC3CDB"/>
    <w:rsid w:val="67EC6609"/>
    <w:rsid w:val="67EC76B3"/>
    <w:rsid w:val="67ED11DA"/>
    <w:rsid w:val="67ED7463"/>
    <w:rsid w:val="67ED7927"/>
    <w:rsid w:val="67EE0AE5"/>
    <w:rsid w:val="67EE0FC7"/>
    <w:rsid w:val="67EE31DB"/>
    <w:rsid w:val="67EE6D37"/>
    <w:rsid w:val="67EF3AFA"/>
    <w:rsid w:val="67EF6CA2"/>
    <w:rsid w:val="67F00396"/>
    <w:rsid w:val="67F00A74"/>
    <w:rsid w:val="67F00C52"/>
    <w:rsid w:val="67F00D02"/>
    <w:rsid w:val="67F02AB0"/>
    <w:rsid w:val="67F0485E"/>
    <w:rsid w:val="67F105D6"/>
    <w:rsid w:val="67F1371B"/>
    <w:rsid w:val="67F1606E"/>
    <w:rsid w:val="67F25F98"/>
    <w:rsid w:val="67F26828"/>
    <w:rsid w:val="67F309E4"/>
    <w:rsid w:val="67F3434E"/>
    <w:rsid w:val="67F40565"/>
    <w:rsid w:val="67F40B2A"/>
    <w:rsid w:val="67F42B7B"/>
    <w:rsid w:val="67F510BB"/>
    <w:rsid w:val="67F51E74"/>
    <w:rsid w:val="67F56318"/>
    <w:rsid w:val="67F5796C"/>
    <w:rsid w:val="67F60DFC"/>
    <w:rsid w:val="67F6286E"/>
    <w:rsid w:val="67F65BEC"/>
    <w:rsid w:val="67F67610"/>
    <w:rsid w:val="67F72090"/>
    <w:rsid w:val="67F727EB"/>
    <w:rsid w:val="67F72C22"/>
    <w:rsid w:val="67F73E3E"/>
    <w:rsid w:val="67F74E5D"/>
    <w:rsid w:val="67F772A3"/>
    <w:rsid w:val="67F81964"/>
    <w:rsid w:val="67F85E08"/>
    <w:rsid w:val="67F862ED"/>
    <w:rsid w:val="67F87BB6"/>
    <w:rsid w:val="67F930AC"/>
    <w:rsid w:val="67FA0E36"/>
    <w:rsid w:val="67FA37DE"/>
    <w:rsid w:val="67FA56DC"/>
    <w:rsid w:val="67FB0D7F"/>
    <w:rsid w:val="67FB14FF"/>
    <w:rsid w:val="67FB209D"/>
    <w:rsid w:val="67FB4F06"/>
    <w:rsid w:val="67FC0265"/>
    <w:rsid w:val="67FC045D"/>
    <w:rsid w:val="67FC60FE"/>
    <w:rsid w:val="67FC76A6"/>
    <w:rsid w:val="67FD05C4"/>
    <w:rsid w:val="67FD071F"/>
    <w:rsid w:val="67FD341E"/>
    <w:rsid w:val="67FD38D1"/>
    <w:rsid w:val="67FD51CC"/>
    <w:rsid w:val="67FD6F7B"/>
    <w:rsid w:val="67FF027B"/>
    <w:rsid w:val="6800359E"/>
    <w:rsid w:val="680065B4"/>
    <w:rsid w:val="68010BE0"/>
    <w:rsid w:val="68012F0F"/>
    <w:rsid w:val="680140B4"/>
    <w:rsid w:val="68014CBD"/>
    <w:rsid w:val="6801525B"/>
    <w:rsid w:val="68016A6B"/>
    <w:rsid w:val="680221BB"/>
    <w:rsid w:val="68024591"/>
    <w:rsid w:val="68026233"/>
    <w:rsid w:val="68030A35"/>
    <w:rsid w:val="68033064"/>
    <w:rsid w:val="680371F3"/>
    <w:rsid w:val="68040309"/>
    <w:rsid w:val="680447AD"/>
    <w:rsid w:val="68046AA6"/>
    <w:rsid w:val="68051E09"/>
    <w:rsid w:val="68055D20"/>
    <w:rsid w:val="68060525"/>
    <w:rsid w:val="68061AF4"/>
    <w:rsid w:val="68061D81"/>
    <w:rsid w:val="68062CD0"/>
    <w:rsid w:val="68064081"/>
    <w:rsid w:val="68071BA7"/>
    <w:rsid w:val="68073211"/>
    <w:rsid w:val="68073E3B"/>
    <w:rsid w:val="68074147"/>
    <w:rsid w:val="6807448C"/>
    <w:rsid w:val="6807624E"/>
    <w:rsid w:val="68083C42"/>
    <w:rsid w:val="680846A1"/>
    <w:rsid w:val="680855B0"/>
    <w:rsid w:val="6808604B"/>
    <w:rsid w:val="68093998"/>
    <w:rsid w:val="68095599"/>
    <w:rsid w:val="6809591F"/>
    <w:rsid w:val="68096880"/>
    <w:rsid w:val="680B1057"/>
    <w:rsid w:val="680B10C1"/>
    <w:rsid w:val="680B5B3B"/>
    <w:rsid w:val="680C5410"/>
    <w:rsid w:val="680C5BF5"/>
    <w:rsid w:val="680C7F5E"/>
    <w:rsid w:val="680D0401"/>
    <w:rsid w:val="680D3662"/>
    <w:rsid w:val="680D51AE"/>
    <w:rsid w:val="680E1188"/>
    <w:rsid w:val="680E2045"/>
    <w:rsid w:val="680E2F36"/>
    <w:rsid w:val="680E39BE"/>
    <w:rsid w:val="680E43C9"/>
    <w:rsid w:val="680E73DA"/>
    <w:rsid w:val="680F19A3"/>
    <w:rsid w:val="680F1F45"/>
    <w:rsid w:val="680F3075"/>
    <w:rsid w:val="68104F00"/>
    <w:rsid w:val="6811024B"/>
    <w:rsid w:val="68112FCA"/>
    <w:rsid w:val="68116E94"/>
    <w:rsid w:val="68120324"/>
    <w:rsid w:val="68120A4B"/>
    <w:rsid w:val="68120C78"/>
    <w:rsid w:val="68126ECA"/>
    <w:rsid w:val="681307F8"/>
    <w:rsid w:val="68130A66"/>
    <w:rsid w:val="68130DEF"/>
    <w:rsid w:val="68131B81"/>
    <w:rsid w:val="681327CD"/>
    <w:rsid w:val="68132C71"/>
    <w:rsid w:val="68135A4D"/>
    <w:rsid w:val="681364FB"/>
    <w:rsid w:val="68140112"/>
    <w:rsid w:val="68140314"/>
    <w:rsid w:val="681413E6"/>
    <w:rsid w:val="68144385"/>
    <w:rsid w:val="681450EA"/>
    <w:rsid w:val="68147564"/>
    <w:rsid w:val="68147FBA"/>
    <w:rsid w:val="681503E6"/>
    <w:rsid w:val="68150768"/>
    <w:rsid w:val="68151FD4"/>
    <w:rsid w:val="68152516"/>
    <w:rsid w:val="681542C4"/>
    <w:rsid w:val="68157507"/>
    <w:rsid w:val="68161876"/>
    <w:rsid w:val="68162270"/>
    <w:rsid w:val="68164A44"/>
    <w:rsid w:val="68166807"/>
    <w:rsid w:val="68166CA5"/>
    <w:rsid w:val="6817016F"/>
    <w:rsid w:val="681706A9"/>
    <w:rsid w:val="681724BF"/>
    <w:rsid w:val="68172D06"/>
    <w:rsid w:val="681744E0"/>
    <w:rsid w:val="681811CF"/>
    <w:rsid w:val="6818192D"/>
    <w:rsid w:val="68182006"/>
    <w:rsid w:val="681837B0"/>
    <w:rsid w:val="68183DB4"/>
    <w:rsid w:val="68190258"/>
    <w:rsid w:val="68195BB3"/>
    <w:rsid w:val="68196400"/>
    <w:rsid w:val="68196D67"/>
    <w:rsid w:val="681A1141"/>
    <w:rsid w:val="681A18DB"/>
    <w:rsid w:val="681A3FD0"/>
    <w:rsid w:val="681A7B2C"/>
    <w:rsid w:val="681B1194"/>
    <w:rsid w:val="681B5581"/>
    <w:rsid w:val="681B7E0C"/>
    <w:rsid w:val="681C2B17"/>
    <w:rsid w:val="681C38A5"/>
    <w:rsid w:val="681C56E8"/>
    <w:rsid w:val="681C7364"/>
    <w:rsid w:val="681D5437"/>
    <w:rsid w:val="681D761D"/>
    <w:rsid w:val="681E586F"/>
    <w:rsid w:val="681E75D8"/>
    <w:rsid w:val="681F1498"/>
    <w:rsid w:val="681F2E53"/>
    <w:rsid w:val="681F5143"/>
    <w:rsid w:val="681F6539"/>
    <w:rsid w:val="681F6961"/>
    <w:rsid w:val="68204069"/>
    <w:rsid w:val="68206F53"/>
    <w:rsid w:val="682107E8"/>
    <w:rsid w:val="68210EBB"/>
    <w:rsid w:val="68212C69"/>
    <w:rsid w:val="6821437C"/>
    <w:rsid w:val="68214540"/>
    <w:rsid w:val="68216C09"/>
    <w:rsid w:val="6821710D"/>
    <w:rsid w:val="6822076C"/>
    <w:rsid w:val="6822518A"/>
    <w:rsid w:val="68225FE7"/>
    <w:rsid w:val="68227E19"/>
    <w:rsid w:val="68230786"/>
    <w:rsid w:val="68233672"/>
    <w:rsid w:val="6823613B"/>
    <w:rsid w:val="68242759"/>
    <w:rsid w:val="68245215"/>
    <w:rsid w:val="68246BFD"/>
    <w:rsid w:val="68246C11"/>
    <w:rsid w:val="68254626"/>
    <w:rsid w:val="6825530A"/>
    <w:rsid w:val="6826136B"/>
    <w:rsid w:val="68262975"/>
    <w:rsid w:val="68263CED"/>
    <w:rsid w:val="68264723"/>
    <w:rsid w:val="682656FE"/>
    <w:rsid w:val="682664D1"/>
    <w:rsid w:val="68267A59"/>
    <w:rsid w:val="682701E4"/>
    <w:rsid w:val="68273FF7"/>
    <w:rsid w:val="68277C2A"/>
    <w:rsid w:val="6828049B"/>
    <w:rsid w:val="68280885"/>
    <w:rsid w:val="68282249"/>
    <w:rsid w:val="68284EF9"/>
    <w:rsid w:val="68294213"/>
    <w:rsid w:val="68295FC1"/>
    <w:rsid w:val="68297D70"/>
    <w:rsid w:val="682A65AB"/>
    <w:rsid w:val="682A6E82"/>
    <w:rsid w:val="682B117C"/>
    <w:rsid w:val="682B1D3A"/>
    <w:rsid w:val="682B2CFC"/>
    <w:rsid w:val="682B362B"/>
    <w:rsid w:val="682B3AE8"/>
    <w:rsid w:val="682B7F8C"/>
    <w:rsid w:val="682C160E"/>
    <w:rsid w:val="682C3629"/>
    <w:rsid w:val="682C72CF"/>
    <w:rsid w:val="682D666D"/>
    <w:rsid w:val="682E03A0"/>
    <w:rsid w:val="682E35D8"/>
    <w:rsid w:val="682E5386"/>
    <w:rsid w:val="682E6353"/>
    <w:rsid w:val="682E63BC"/>
    <w:rsid w:val="682F0B31"/>
    <w:rsid w:val="682F10C6"/>
    <w:rsid w:val="682F784C"/>
    <w:rsid w:val="683010FE"/>
    <w:rsid w:val="6830229E"/>
    <w:rsid w:val="68302E06"/>
    <w:rsid w:val="68303369"/>
    <w:rsid w:val="683105C0"/>
    <w:rsid w:val="6831405D"/>
    <w:rsid w:val="6831647E"/>
    <w:rsid w:val="6832131A"/>
    <w:rsid w:val="68321F7F"/>
    <w:rsid w:val="68324D3D"/>
    <w:rsid w:val="68324E76"/>
    <w:rsid w:val="68327346"/>
    <w:rsid w:val="6832745C"/>
    <w:rsid w:val="6832790E"/>
    <w:rsid w:val="68331B39"/>
    <w:rsid w:val="6833299C"/>
    <w:rsid w:val="68340471"/>
    <w:rsid w:val="68347E5C"/>
    <w:rsid w:val="68351F66"/>
    <w:rsid w:val="68352BB8"/>
    <w:rsid w:val="68356714"/>
    <w:rsid w:val="683570C8"/>
    <w:rsid w:val="68364B4E"/>
    <w:rsid w:val="68370BAF"/>
    <w:rsid w:val="683722F0"/>
    <w:rsid w:val="683735EA"/>
    <w:rsid w:val="68376577"/>
    <w:rsid w:val="68376930"/>
    <w:rsid w:val="68377396"/>
    <w:rsid w:val="6837762F"/>
    <w:rsid w:val="683828A4"/>
    <w:rsid w:val="68382E9B"/>
    <w:rsid w:val="6838670D"/>
    <w:rsid w:val="68386BA0"/>
    <w:rsid w:val="68390E13"/>
    <w:rsid w:val="683926A8"/>
    <w:rsid w:val="68392A11"/>
    <w:rsid w:val="68395EFE"/>
    <w:rsid w:val="683A1F7D"/>
    <w:rsid w:val="683A3D2B"/>
    <w:rsid w:val="683A4883"/>
    <w:rsid w:val="683A727D"/>
    <w:rsid w:val="683B2D9B"/>
    <w:rsid w:val="683C09C0"/>
    <w:rsid w:val="683C0A26"/>
    <w:rsid w:val="683C1FCE"/>
    <w:rsid w:val="683C4E79"/>
    <w:rsid w:val="683C5CF5"/>
    <w:rsid w:val="683C7AA3"/>
    <w:rsid w:val="683D146B"/>
    <w:rsid w:val="683D381B"/>
    <w:rsid w:val="683D4A21"/>
    <w:rsid w:val="683D66FD"/>
    <w:rsid w:val="683E1681"/>
    <w:rsid w:val="683E1A6D"/>
    <w:rsid w:val="683E57B5"/>
    <w:rsid w:val="683E5A1D"/>
    <w:rsid w:val="683E5EB1"/>
    <w:rsid w:val="683E644A"/>
    <w:rsid w:val="683E7E00"/>
    <w:rsid w:val="683F0E96"/>
    <w:rsid w:val="683F2D2C"/>
    <w:rsid w:val="683F3A37"/>
    <w:rsid w:val="683F57E5"/>
    <w:rsid w:val="683F5F93"/>
    <w:rsid w:val="683F6A41"/>
    <w:rsid w:val="683F7593"/>
    <w:rsid w:val="68407F40"/>
    <w:rsid w:val="6841330B"/>
    <w:rsid w:val="6841392B"/>
    <w:rsid w:val="68414F55"/>
    <w:rsid w:val="684150B9"/>
    <w:rsid w:val="6842021D"/>
    <w:rsid w:val="68420E31"/>
    <w:rsid w:val="6842209F"/>
    <w:rsid w:val="68427403"/>
    <w:rsid w:val="68430893"/>
    <w:rsid w:val="68431011"/>
    <w:rsid w:val="68436182"/>
    <w:rsid w:val="68436992"/>
    <w:rsid w:val="68437152"/>
    <w:rsid w:val="68440000"/>
    <w:rsid w:val="68441402"/>
    <w:rsid w:val="68442DFB"/>
    <w:rsid w:val="684438D8"/>
    <w:rsid w:val="68444BA9"/>
    <w:rsid w:val="68447090"/>
    <w:rsid w:val="68455C79"/>
    <w:rsid w:val="68460635"/>
    <w:rsid w:val="68464DC5"/>
    <w:rsid w:val="68465D84"/>
    <w:rsid w:val="68467214"/>
    <w:rsid w:val="684814BA"/>
    <w:rsid w:val="68481B34"/>
    <w:rsid w:val="68481EE0"/>
    <w:rsid w:val="684828EC"/>
    <w:rsid w:val="68484A36"/>
    <w:rsid w:val="68490412"/>
    <w:rsid w:val="684A3A8D"/>
    <w:rsid w:val="684A4BFE"/>
    <w:rsid w:val="684A6664"/>
    <w:rsid w:val="684A68A4"/>
    <w:rsid w:val="684A7EF2"/>
    <w:rsid w:val="684B54F0"/>
    <w:rsid w:val="684B5F38"/>
    <w:rsid w:val="684B75A8"/>
    <w:rsid w:val="684C043F"/>
    <w:rsid w:val="684C1A79"/>
    <w:rsid w:val="684C3086"/>
    <w:rsid w:val="684D1945"/>
    <w:rsid w:val="684D1CB0"/>
    <w:rsid w:val="684D3304"/>
    <w:rsid w:val="684D3A5E"/>
    <w:rsid w:val="684D4516"/>
    <w:rsid w:val="684E179A"/>
    <w:rsid w:val="684E59A6"/>
    <w:rsid w:val="684E5A28"/>
    <w:rsid w:val="684E5B15"/>
    <w:rsid w:val="684E7628"/>
    <w:rsid w:val="684F2581"/>
    <w:rsid w:val="684F3107"/>
    <w:rsid w:val="684F3C7A"/>
    <w:rsid w:val="684F7846"/>
    <w:rsid w:val="685017A0"/>
    <w:rsid w:val="68502248"/>
    <w:rsid w:val="6850297D"/>
    <w:rsid w:val="68502A0C"/>
    <w:rsid w:val="685079F2"/>
    <w:rsid w:val="68512E97"/>
    <w:rsid w:val="6852088B"/>
    <w:rsid w:val="68520F31"/>
    <w:rsid w:val="6852376A"/>
    <w:rsid w:val="685257B7"/>
    <w:rsid w:val="68530388"/>
    <w:rsid w:val="68536C47"/>
    <w:rsid w:val="68550B65"/>
    <w:rsid w:val="68552CA8"/>
    <w:rsid w:val="68555008"/>
    <w:rsid w:val="68556DB7"/>
    <w:rsid w:val="685608BC"/>
    <w:rsid w:val="68565FDD"/>
    <w:rsid w:val="6857149D"/>
    <w:rsid w:val="685719AF"/>
    <w:rsid w:val="68572B2F"/>
    <w:rsid w:val="68574505"/>
    <w:rsid w:val="685748DD"/>
    <w:rsid w:val="685755C8"/>
    <w:rsid w:val="6857628F"/>
    <w:rsid w:val="68580655"/>
    <w:rsid w:val="68582403"/>
    <w:rsid w:val="6858278A"/>
    <w:rsid w:val="68584D92"/>
    <w:rsid w:val="685905DA"/>
    <w:rsid w:val="685933BE"/>
    <w:rsid w:val="68594AF9"/>
    <w:rsid w:val="685960DB"/>
    <w:rsid w:val="685968A7"/>
    <w:rsid w:val="685A261F"/>
    <w:rsid w:val="685A461A"/>
    <w:rsid w:val="685A617B"/>
    <w:rsid w:val="685A6D46"/>
    <w:rsid w:val="685B068A"/>
    <w:rsid w:val="685B1272"/>
    <w:rsid w:val="685B2CBD"/>
    <w:rsid w:val="685B3953"/>
    <w:rsid w:val="685B63A5"/>
    <w:rsid w:val="685C0145"/>
    <w:rsid w:val="685C1EF3"/>
    <w:rsid w:val="685C7FAA"/>
    <w:rsid w:val="685D1552"/>
    <w:rsid w:val="685D2785"/>
    <w:rsid w:val="685D3918"/>
    <w:rsid w:val="685D3D83"/>
    <w:rsid w:val="685D7832"/>
    <w:rsid w:val="685E0C79"/>
    <w:rsid w:val="685E3D5A"/>
    <w:rsid w:val="685E3EBD"/>
    <w:rsid w:val="685E413B"/>
    <w:rsid w:val="685E5C6B"/>
    <w:rsid w:val="685E78A7"/>
    <w:rsid w:val="685F3791"/>
    <w:rsid w:val="685F4FB8"/>
    <w:rsid w:val="685F7C35"/>
    <w:rsid w:val="686075FD"/>
    <w:rsid w:val="68610A2F"/>
    <w:rsid w:val="68612A2C"/>
    <w:rsid w:val="686139AD"/>
    <w:rsid w:val="686226DB"/>
    <w:rsid w:val="68624901"/>
    <w:rsid w:val="68626A24"/>
    <w:rsid w:val="686314D3"/>
    <w:rsid w:val="68633281"/>
    <w:rsid w:val="68634C04"/>
    <w:rsid w:val="68636B37"/>
    <w:rsid w:val="68637551"/>
    <w:rsid w:val="686404F6"/>
    <w:rsid w:val="686424AF"/>
    <w:rsid w:val="68643789"/>
    <w:rsid w:val="686447F2"/>
    <w:rsid w:val="6864524C"/>
    <w:rsid w:val="686458E5"/>
    <w:rsid w:val="68646E16"/>
    <w:rsid w:val="68647BCC"/>
    <w:rsid w:val="6865105C"/>
    <w:rsid w:val="68653AEA"/>
    <w:rsid w:val="68655759"/>
    <w:rsid w:val="68662D72"/>
    <w:rsid w:val="68663B55"/>
    <w:rsid w:val="686649A9"/>
    <w:rsid w:val="68671FFB"/>
    <w:rsid w:val="686750BD"/>
    <w:rsid w:val="68680898"/>
    <w:rsid w:val="68681035"/>
    <w:rsid w:val="68684D0B"/>
    <w:rsid w:val="68686AEA"/>
    <w:rsid w:val="68690B7B"/>
    <w:rsid w:val="6869162C"/>
    <w:rsid w:val="686925AE"/>
    <w:rsid w:val="68694610"/>
    <w:rsid w:val="68695928"/>
    <w:rsid w:val="686A0AB4"/>
    <w:rsid w:val="686A5F1F"/>
    <w:rsid w:val="686B0388"/>
    <w:rsid w:val="686B482C"/>
    <w:rsid w:val="686B68EA"/>
    <w:rsid w:val="686C07FD"/>
    <w:rsid w:val="686D23BF"/>
    <w:rsid w:val="686D30DE"/>
    <w:rsid w:val="686D4100"/>
    <w:rsid w:val="686E1C26"/>
    <w:rsid w:val="686E384F"/>
    <w:rsid w:val="686E7A73"/>
    <w:rsid w:val="686F0DE5"/>
    <w:rsid w:val="686F1184"/>
    <w:rsid w:val="686F6A5D"/>
    <w:rsid w:val="686F7D5E"/>
    <w:rsid w:val="68703BF0"/>
    <w:rsid w:val="6870599E"/>
    <w:rsid w:val="6870764B"/>
    <w:rsid w:val="68707759"/>
    <w:rsid w:val="68710AA7"/>
    <w:rsid w:val="68720BF2"/>
    <w:rsid w:val="68721717"/>
    <w:rsid w:val="68725BBA"/>
    <w:rsid w:val="68727968"/>
    <w:rsid w:val="68732E13"/>
    <w:rsid w:val="68732E74"/>
    <w:rsid w:val="68734283"/>
    <w:rsid w:val="6873548F"/>
    <w:rsid w:val="68737F67"/>
    <w:rsid w:val="68741642"/>
    <w:rsid w:val="687433EE"/>
    <w:rsid w:val="68743514"/>
    <w:rsid w:val="687436E1"/>
    <w:rsid w:val="687507B3"/>
    <w:rsid w:val="68751207"/>
    <w:rsid w:val="68752FB5"/>
    <w:rsid w:val="687731D1"/>
    <w:rsid w:val="68774F7F"/>
    <w:rsid w:val="68776D2D"/>
    <w:rsid w:val="68780C13"/>
    <w:rsid w:val="68784853"/>
    <w:rsid w:val="68790962"/>
    <w:rsid w:val="68790CF7"/>
    <w:rsid w:val="687920A3"/>
    <w:rsid w:val="687A05CB"/>
    <w:rsid w:val="687A0655"/>
    <w:rsid w:val="687A3819"/>
    <w:rsid w:val="687A490A"/>
    <w:rsid w:val="687A4A6F"/>
    <w:rsid w:val="687A4D67"/>
    <w:rsid w:val="687A5AA9"/>
    <w:rsid w:val="687B49C3"/>
    <w:rsid w:val="687B5B0B"/>
    <w:rsid w:val="687C4343"/>
    <w:rsid w:val="687C4E65"/>
    <w:rsid w:val="687D0270"/>
    <w:rsid w:val="687D0E8F"/>
    <w:rsid w:val="687D2863"/>
    <w:rsid w:val="687D58CA"/>
    <w:rsid w:val="687D72E3"/>
    <w:rsid w:val="687E10BD"/>
    <w:rsid w:val="687E3344"/>
    <w:rsid w:val="687E455F"/>
    <w:rsid w:val="687F1367"/>
    <w:rsid w:val="687F3E33"/>
    <w:rsid w:val="68802085"/>
    <w:rsid w:val="68805514"/>
    <w:rsid w:val="68805C64"/>
    <w:rsid w:val="688073A5"/>
    <w:rsid w:val="68810A88"/>
    <w:rsid w:val="6881195A"/>
    <w:rsid w:val="68814582"/>
    <w:rsid w:val="688172E8"/>
    <w:rsid w:val="68817BAC"/>
    <w:rsid w:val="688267DC"/>
    <w:rsid w:val="68826FE9"/>
    <w:rsid w:val="6883010D"/>
    <w:rsid w:val="68831B76"/>
    <w:rsid w:val="6883334F"/>
    <w:rsid w:val="68833924"/>
    <w:rsid w:val="68833C1A"/>
    <w:rsid w:val="688356D2"/>
    <w:rsid w:val="688431F8"/>
    <w:rsid w:val="68843D3A"/>
    <w:rsid w:val="688471B6"/>
    <w:rsid w:val="688558EE"/>
    <w:rsid w:val="6885769C"/>
    <w:rsid w:val="68861A5B"/>
    <w:rsid w:val="688625CD"/>
    <w:rsid w:val="68863414"/>
    <w:rsid w:val="6886576B"/>
    <w:rsid w:val="68866F70"/>
    <w:rsid w:val="68875B37"/>
    <w:rsid w:val="688770A6"/>
    <w:rsid w:val="68880F3A"/>
    <w:rsid w:val="68882CE8"/>
    <w:rsid w:val="68883F0D"/>
    <w:rsid w:val="6888528D"/>
    <w:rsid w:val="6888718C"/>
    <w:rsid w:val="6889100B"/>
    <w:rsid w:val="68891B98"/>
    <w:rsid w:val="68892A5C"/>
    <w:rsid w:val="68896A60"/>
    <w:rsid w:val="68897E7E"/>
    <w:rsid w:val="688A2F04"/>
    <w:rsid w:val="688B27D8"/>
    <w:rsid w:val="688B4586"/>
    <w:rsid w:val="688C197E"/>
    <w:rsid w:val="688C235A"/>
    <w:rsid w:val="688C2914"/>
    <w:rsid w:val="688C3685"/>
    <w:rsid w:val="688D02FE"/>
    <w:rsid w:val="688D3AF6"/>
    <w:rsid w:val="688D47A2"/>
    <w:rsid w:val="688D6550"/>
    <w:rsid w:val="688D6DD8"/>
    <w:rsid w:val="688E2261"/>
    <w:rsid w:val="688E23CE"/>
    <w:rsid w:val="688E2E39"/>
    <w:rsid w:val="688F1E4D"/>
    <w:rsid w:val="688F3B29"/>
    <w:rsid w:val="688F3B3E"/>
    <w:rsid w:val="688F42C9"/>
    <w:rsid w:val="688F4E56"/>
    <w:rsid w:val="688F7BB0"/>
    <w:rsid w:val="68902046"/>
    <w:rsid w:val="68905759"/>
    <w:rsid w:val="68906041"/>
    <w:rsid w:val="68907DEF"/>
    <w:rsid w:val="6891248B"/>
    <w:rsid w:val="68914293"/>
    <w:rsid w:val="689204FD"/>
    <w:rsid w:val="689217BA"/>
    <w:rsid w:val="68921D4C"/>
    <w:rsid w:val="68921DB9"/>
    <w:rsid w:val="68923617"/>
    <w:rsid w:val="68923B67"/>
    <w:rsid w:val="68925620"/>
    <w:rsid w:val="68926C84"/>
    <w:rsid w:val="6893581B"/>
    <w:rsid w:val="68935C09"/>
    <w:rsid w:val="6894050C"/>
    <w:rsid w:val="6894168D"/>
    <w:rsid w:val="6894556A"/>
    <w:rsid w:val="68945B31"/>
    <w:rsid w:val="68946CAB"/>
    <w:rsid w:val="689478DF"/>
    <w:rsid w:val="68955405"/>
    <w:rsid w:val="689565A5"/>
    <w:rsid w:val="68956A9C"/>
    <w:rsid w:val="68960152"/>
    <w:rsid w:val="68971879"/>
    <w:rsid w:val="68972A5B"/>
    <w:rsid w:val="68975621"/>
    <w:rsid w:val="6897562C"/>
    <w:rsid w:val="689773CF"/>
    <w:rsid w:val="689866A0"/>
    <w:rsid w:val="68986ABC"/>
    <w:rsid w:val="68990218"/>
    <w:rsid w:val="68992B8B"/>
    <w:rsid w:val="68993147"/>
    <w:rsid w:val="689940CE"/>
    <w:rsid w:val="68994EF5"/>
    <w:rsid w:val="68996CA3"/>
    <w:rsid w:val="689B0A7E"/>
    <w:rsid w:val="689B282D"/>
    <w:rsid w:val="689B6B72"/>
    <w:rsid w:val="689B6EBF"/>
    <w:rsid w:val="689C49E5"/>
    <w:rsid w:val="689C543D"/>
    <w:rsid w:val="689D2D57"/>
    <w:rsid w:val="689D7D79"/>
    <w:rsid w:val="689E075E"/>
    <w:rsid w:val="689E0944"/>
    <w:rsid w:val="689E60A1"/>
    <w:rsid w:val="689E77DF"/>
    <w:rsid w:val="689E7A58"/>
    <w:rsid w:val="689E7BBD"/>
    <w:rsid w:val="689E7D5D"/>
    <w:rsid w:val="689F3209"/>
    <w:rsid w:val="689F6284"/>
    <w:rsid w:val="689F6721"/>
    <w:rsid w:val="689F6795"/>
    <w:rsid w:val="68A044D6"/>
    <w:rsid w:val="68A0524E"/>
    <w:rsid w:val="68A07F3C"/>
    <w:rsid w:val="68A1024E"/>
    <w:rsid w:val="68A11228"/>
    <w:rsid w:val="68A11EF6"/>
    <w:rsid w:val="68A13DAA"/>
    <w:rsid w:val="68A16EA7"/>
    <w:rsid w:val="68A2273F"/>
    <w:rsid w:val="68A25D8C"/>
    <w:rsid w:val="68A33FC6"/>
    <w:rsid w:val="68A43DA6"/>
    <w:rsid w:val="68A44035"/>
    <w:rsid w:val="68A45648"/>
    <w:rsid w:val="68A47FBA"/>
    <w:rsid w:val="68A51AEC"/>
    <w:rsid w:val="68A5389A"/>
    <w:rsid w:val="68A613C0"/>
    <w:rsid w:val="68A62CE2"/>
    <w:rsid w:val="68A65864"/>
    <w:rsid w:val="68A67612"/>
    <w:rsid w:val="68A747C2"/>
    <w:rsid w:val="68A76BE8"/>
    <w:rsid w:val="68A815DC"/>
    <w:rsid w:val="68A82363"/>
    <w:rsid w:val="68A839E0"/>
    <w:rsid w:val="68A85138"/>
    <w:rsid w:val="68A86406"/>
    <w:rsid w:val="68A87D36"/>
    <w:rsid w:val="68A919F1"/>
    <w:rsid w:val="68A94512"/>
    <w:rsid w:val="68A94C2E"/>
    <w:rsid w:val="68A94E70"/>
    <w:rsid w:val="68AA12EE"/>
    <w:rsid w:val="68AA5354"/>
    <w:rsid w:val="68AA7102"/>
    <w:rsid w:val="68AB2E7A"/>
    <w:rsid w:val="68AB3EB0"/>
    <w:rsid w:val="68AB3EB3"/>
    <w:rsid w:val="68AB4C28"/>
    <w:rsid w:val="68AB72A6"/>
    <w:rsid w:val="68AC2B88"/>
    <w:rsid w:val="68AC37F1"/>
    <w:rsid w:val="68AC4F32"/>
    <w:rsid w:val="68AC7B2F"/>
    <w:rsid w:val="68AD274F"/>
    <w:rsid w:val="68AD4487"/>
    <w:rsid w:val="68AD6BF3"/>
    <w:rsid w:val="68AE0CE2"/>
    <w:rsid w:val="68AE2423"/>
    <w:rsid w:val="68AE5804"/>
    <w:rsid w:val="68AE5D05"/>
    <w:rsid w:val="68AF4719"/>
    <w:rsid w:val="68AF64C7"/>
    <w:rsid w:val="68AF752B"/>
    <w:rsid w:val="68B00491"/>
    <w:rsid w:val="68B0271E"/>
    <w:rsid w:val="68B027EB"/>
    <w:rsid w:val="68B03FED"/>
    <w:rsid w:val="68B10DA4"/>
    <w:rsid w:val="68B12463"/>
    <w:rsid w:val="68B140C3"/>
    <w:rsid w:val="68B23C75"/>
    <w:rsid w:val="68B24391"/>
    <w:rsid w:val="68B25FB7"/>
    <w:rsid w:val="68B27663"/>
    <w:rsid w:val="68B336C4"/>
    <w:rsid w:val="68B41F83"/>
    <w:rsid w:val="68B43ADD"/>
    <w:rsid w:val="68B47F81"/>
    <w:rsid w:val="68B556F6"/>
    <w:rsid w:val="68B60BB5"/>
    <w:rsid w:val="68B63CF9"/>
    <w:rsid w:val="68B65AA7"/>
    <w:rsid w:val="68B67474"/>
    <w:rsid w:val="68B735CD"/>
    <w:rsid w:val="68B7537B"/>
    <w:rsid w:val="68B82E7C"/>
    <w:rsid w:val="68B84965"/>
    <w:rsid w:val="68B860A6"/>
    <w:rsid w:val="68B97F60"/>
    <w:rsid w:val="68BA09C6"/>
    <w:rsid w:val="68BA5362"/>
    <w:rsid w:val="68BB130F"/>
    <w:rsid w:val="68BB1E56"/>
    <w:rsid w:val="68BB208C"/>
    <w:rsid w:val="68BB30BE"/>
    <w:rsid w:val="68BB350F"/>
    <w:rsid w:val="68BB3D9B"/>
    <w:rsid w:val="68BB54B2"/>
    <w:rsid w:val="68BB663A"/>
    <w:rsid w:val="68BC0BE4"/>
    <w:rsid w:val="68BC1A6D"/>
    <w:rsid w:val="68BC32E6"/>
    <w:rsid w:val="68BC4A27"/>
    <w:rsid w:val="68BC6E36"/>
    <w:rsid w:val="68BD194F"/>
    <w:rsid w:val="68BD4776"/>
    <w:rsid w:val="68BE2B84"/>
    <w:rsid w:val="68BE2BAE"/>
    <w:rsid w:val="68BE495C"/>
    <w:rsid w:val="68BE624F"/>
    <w:rsid w:val="68BE670A"/>
    <w:rsid w:val="68BE67FC"/>
    <w:rsid w:val="68BF03DA"/>
    <w:rsid w:val="68BF1C67"/>
    <w:rsid w:val="68BF2482"/>
    <w:rsid w:val="68BF33A8"/>
    <w:rsid w:val="68BF4D6C"/>
    <w:rsid w:val="68C006D4"/>
    <w:rsid w:val="68C111CC"/>
    <w:rsid w:val="68C1269E"/>
    <w:rsid w:val="68C13CB8"/>
    <w:rsid w:val="68C15C1C"/>
    <w:rsid w:val="68C1603E"/>
    <w:rsid w:val="68C161FA"/>
    <w:rsid w:val="68C16876"/>
    <w:rsid w:val="68C2230E"/>
    <w:rsid w:val="68C242FB"/>
    <w:rsid w:val="68C3052F"/>
    <w:rsid w:val="68C323B1"/>
    <w:rsid w:val="68C36416"/>
    <w:rsid w:val="68C36F6D"/>
    <w:rsid w:val="68C42F08"/>
    <w:rsid w:val="68C43362"/>
    <w:rsid w:val="68C43F8C"/>
    <w:rsid w:val="68C47890"/>
    <w:rsid w:val="68C47A98"/>
    <w:rsid w:val="68C51912"/>
    <w:rsid w:val="68C53F3C"/>
    <w:rsid w:val="68C55CEA"/>
    <w:rsid w:val="68C5694A"/>
    <w:rsid w:val="68C61A62"/>
    <w:rsid w:val="68C63810"/>
    <w:rsid w:val="68C6631A"/>
    <w:rsid w:val="68C70F53"/>
    <w:rsid w:val="68C7256E"/>
    <w:rsid w:val="68C74359"/>
    <w:rsid w:val="68C7477B"/>
    <w:rsid w:val="68C77CB4"/>
    <w:rsid w:val="68C84D72"/>
    <w:rsid w:val="68C857DA"/>
    <w:rsid w:val="68C86FA3"/>
    <w:rsid w:val="68C87588"/>
    <w:rsid w:val="68C91863"/>
    <w:rsid w:val="68C93706"/>
    <w:rsid w:val="68CA04BB"/>
    <w:rsid w:val="68CA0D5E"/>
    <w:rsid w:val="68CA1553"/>
    <w:rsid w:val="68CA2296"/>
    <w:rsid w:val="68CA50AF"/>
    <w:rsid w:val="68CA5201"/>
    <w:rsid w:val="68CB04AF"/>
    <w:rsid w:val="68CB7079"/>
    <w:rsid w:val="68CC52CB"/>
    <w:rsid w:val="68CD2BE3"/>
    <w:rsid w:val="68CD2DF1"/>
    <w:rsid w:val="68CD4B9F"/>
    <w:rsid w:val="68CE12AD"/>
    <w:rsid w:val="68CE2D7B"/>
    <w:rsid w:val="68CF0917"/>
    <w:rsid w:val="68CF4DBB"/>
    <w:rsid w:val="68CF5C24"/>
    <w:rsid w:val="68CF6B69"/>
    <w:rsid w:val="68D02BEC"/>
    <w:rsid w:val="68D0421C"/>
    <w:rsid w:val="68D0468F"/>
    <w:rsid w:val="68D0643D"/>
    <w:rsid w:val="68D128E1"/>
    <w:rsid w:val="68D12BDD"/>
    <w:rsid w:val="68D221B5"/>
    <w:rsid w:val="68D227EB"/>
    <w:rsid w:val="68D26659"/>
    <w:rsid w:val="68D369A9"/>
    <w:rsid w:val="68D423D1"/>
    <w:rsid w:val="68D4417F"/>
    <w:rsid w:val="68D4658B"/>
    <w:rsid w:val="68D51CA5"/>
    <w:rsid w:val="68D52911"/>
    <w:rsid w:val="68D53E8D"/>
    <w:rsid w:val="68D5723F"/>
    <w:rsid w:val="68D64D34"/>
    <w:rsid w:val="68D65A63"/>
    <w:rsid w:val="68D66149"/>
    <w:rsid w:val="68D73C6F"/>
    <w:rsid w:val="68D75A1D"/>
    <w:rsid w:val="68D76C6C"/>
    <w:rsid w:val="68D777CC"/>
    <w:rsid w:val="68D83F4F"/>
    <w:rsid w:val="68D85962"/>
    <w:rsid w:val="68D86BE3"/>
    <w:rsid w:val="68D9280E"/>
    <w:rsid w:val="68D93544"/>
    <w:rsid w:val="68DA1A71"/>
    <w:rsid w:val="68DA2A33"/>
    <w:rsid w:val="68DA37D8"/>
    <w:rsid w:val="68DB1440"/>
    <w:rsid w:val="68DB3760"/>
    <w:rsid w:val="68DB550E"/>
    <w:rsid w:val="68DC0FFC"/>
    <w:rsid w:val="68DC1286"/>
    <w:rsid w:val="68DC28D0"/>
    <w:rsid w:val="68DC2C8F"/>
    <w:rsid w:val="68DC2EB0"/>
    <w:rsid w:val="68DC3034"/>
    <w:rsid w:val="68DD0C95"/>
    <w:rsid w:val="68DD624E"/>
    <w:rsid w:val="68DD6A68"/>
    <w:rsid w:val="68DD74D8"/>
    <w:rsid w:val="68DE0B5A"/>
    <w:rsid w:val="68DE4FFE"/>
    <w:rsid w:val="68DE60D5"/>
    <w:rsid w:val="68DE6680"/>
    <w:rsid w:val="68DE6DAC"/>
    <w:rsid w:val="68DF055F"/>
    <w:rsid w:val="68DF1251"/>
    <w:rsid w:val="68DF3109"/>
    <w:rsid w:val="68DF359C"/>
    <w:rsid w:val="68DF7B10"/>
    <w:rsid w:val="68E0086B"/>
    <w:rsid w:val="68E00D76"/>
    <w:rsid w:val="68E01595"/>
    <w:rsid w:val="68E0186C"/>
    <w:rsid w:val="68E01BBE"/>
    <w:rsid w:val="68E02B24"/>
    <w:rsid w:val="68E06672"/>
    <w:rsid w:val="68E06936"/>
    <w:rsid w:val="68E1064A"/>
    <w:rsid w:val="68E12702"/>
    <w:rsid w:val="68E1689C"/>
    <w:rsid w:val="68E20625"/>
    <w:rsid w:val="68E20C80"/>
    <w:rsid w:val="68E21F22"/>
    <w:rsid w:val="68E329CB"/>
    <w:rsid w:val="68E338C4"/>
    <w:rsid w:val="68E36170"/>
    <w:rsid w:val="68E36491"/>
    <w:rsid w:val="68E42FA1"/>
    <w:rsid w:val="68E43F44"/>
    <w:rsid w:val="68E44E19"/>
    <w:rsid w:val="68E63BF2"/>
    <w:rsid w:val="68E63EB3"/>
    <w:rsid w:val="68E64616"/>
    <w:rsid w:val="68E65C61"/>
    <w:rsid w:val="68E66C15"/>
    <w:rsid w:val="68E756F2"/>
    <w:rsid w:val="68E76198"/>
    <w:rsid w:val="68E779E3"/>
    <w:rsid w:val="68E819D9"/>
    <w:rsid w:val="68E82175"/>
    <w:rsid w:val="68E83A44"/>
    <w:rsid w:val="68E86BFA"/>
    <w:rsid w:val="68E86D22"/>
    <w:rsid w:val="68E87C2B"/>
    <w:rsid w:val="68EA193E"/>
    <w:rsid w:val="68EA1D69"/>
    <w:rsid w:val="68EA5751"/>
    <w:rsid w:val="68EA74FF"/>
    <w:rsid w:val="68EB03A0"/>
    <w:rsid w:val="68EB3277"/>
    <w:rsid w:val="68EB33E6"/>
    <w:rsid w:val="68EC14C9"/>
    <w:rsid w:val="68EC1AC5"/>
    <w:rsid w:val="68EC252C"/>
    <w:rsid w:val="68EC49A5"/>
    <w:rsid w:val="68EC5F28"/>
    <w:rsid w:val="68EC771B"/>
    <w:rsid w:val="68ED1298"/>
    <w:rsid w:val="68ED2114"/>
    <w:rsid w:val="68ED2988"/>
    <w:rsid w:val="68ED6FEF"/>
    <w:rsid w:val="68EE6175"/>
    <w:rsid w:val="68EF2D67"/>
    <w:rsid w:val="68EF4B15"/>
    <w:rsid w:val="68EF720B"/>
    <w:rsid w:val="68EF7A7C"/>
    <w:rsid w:val="68F00A95"/>
    <w:rsid w:val="68F04EED"/>
    <w:rsid w:val="68F111E8"/>
    <w:rsid w:val="68F12F8A"/>
    <w:rsid w:val="68F1306B"/>
    <w:rsid w:val="68F14D31"/>
    <w:rsid w:val="68F16ADF"/>
    <w:rsid w:val="68F17BF8"/>
    <w:rsid w:val="68F22857"/>
    <w:rsid w:val="68F276C7"/>
    <w:rsid w:val="68F35F86"/>
    <w:rsid w:val="68F4037D"/>
    <w:rsid w:val="68F41267"/>
    <w:rsid w:val="68F465CF"/>
    <w:rsid w:val="68F53477"/>
    <w:rsid w:val="68F54026"/>
    <w:rsid w:val="68F55EA4"/>
    <w:rsid w:val="68F6059A"/>
    <w:rsid w:val="68F640F6"/>
    <w:rsid w:val="68F64907"/>
    <w:rsid w:val="68F71667"/>
    <w:rsid w:val="68F74760"/>
    <w:rsid w:val="68F752C7"/>
    <w:rsid w:val="68F76B14"/>
    <w:rsid w:val="68F77E6E"/>
    <w:rsid w:val="68F91600"/>
    <w:rsid w:val="68F91E38"/>
    <w:rsid w:val="68F93288"/>
    <w:rsid w:val="68F93BE6"/>
    <w:rsid w:val="68F949C9"/>
    <w:rsid w:val="68FA36FE"/>
    <w:rsid w:val="68FA3800"/>
    <w:rsid w:val="68FA5E59"/>
    <w:rsid w:val="68FB170C"/>
    <w:rsid w:val="68FB5BB0"/>
    <w:rsid w:val="68FB72E9"/>
    <w:rsid w:val="68FB795E"/>
    <w:rsid w:val="68FC213B"/>
    <w:rsid w:val="68FC7232"/>
    <w:rsid w:val="68FD315A"/>
    <w:rsid w:val="68FD36D6"/>
    <w:rsid w:val="68FE2FAA"/>
    <w:rsid w:val="68FE51D1"/>
    <w:rsid w:val="68FE744E"/>
    <w:rsid w:val="68FF3958"/>
    <w:rsid w:val="690031C6"/>
    <w:rsid w:val="690077C1"/>
    <w:rsid w:val="6901315B"/>
    <w:rsid w:val="69020CEC"/>
    <w:rsid w:val="690228D5"/>
    <w:rsid w:val="69023424"/>
    <w:rsid w:val="690245EB"/>
    <w:rsid w:val="69025032"/>
    <w:rsid w:val="69025DD5"/>
    <w:rsid w:val="69026F3E"/>
    <w:rsid w:val="690305C1"/>
    <w:rsid w:val="69034A64"/>
    <w:rsid w:val="69036813"/>
    <w:rsid w:val="69046375"/>
    <w:rsid w:val="690464ED"/>
    <w:rsid w:val="69046F67"/>
    <w:rsid w:val="690507DD"/>
    <w:rsid w:val="690515F5"/>
    <w:rsid w:val="690516EB"/>
    <w:rsid w:val="6905258B"/>
    <w:rsid w:val="690538F4"/>
    <w:rsid w:val="69054339"/>
    <w:rsid w:val="69057E41"/>
    <w:rsid w:val="69064C5E"/>
    <w:rsid w:val="690650C6"/>
    <w:rsid w:val="69071121"/>
    <w:rsid w:val="69076303"/>
    <w:rsid w:val="690776EA"/>
    <w:rsid w:val="690802CD"/>
    <w:rsid w:val="6908207B"/>
    <w:rsid w:val="69083E29"/>
    <w:rsid w:val="69086BC2"/>
    <w:rsid w:val="6909134A"/>
    <w:rsid w:val="690920AC"/>
    <w:rsid w:val="690928AD"/>
    <w:rsid w:val="69092D7D"/>
    <w:rsid w:val="690A0593"/>
    <w:rsid w:val="690A1A57"/>
    <w:rsid w:val="690A6B79"/>
    <w:rsid w:val="690A75AC"/>
    <w:rsid w:val="690A7F53"/>
    <w:rsid w:val="690B0C63"/>
    <w:rsid w:val="690B257A"/>
    <w:rsid w:val="690B6E01"/>
    <w:rsid w:val="690C026E"/>
    <w:rsid w:val="690C1B6B"/>
    <w:rsid w:val="690C1F5F"/>
    <w:rsid w:val="690C52DC"/>
    <w:rsid w:val="690D0B3B"/>
    <w:rsid w:val="690D0ED6"/>
    <w:rsid w:val="690D143F"/>
    <w:rsid w:val="690D7691"/>
    <w:rsid w:val="690E2B8E"/>
    <w:rsid w:val="690E58E3"/>
    <w:rsid w:val="690F05BC"/>
    <w:rsid w:val="690F51B7"/>
    <w:rsid w:val="690F6F65"/>
    <w:rsid w:val="6910007F"/>
    <w:rsid w:val="69106DD3"/>
    <w:rsid w:val="691072E6"/>
    <w:rsid w:val="69110F2F"/>
    <w:rsid w:val="6911409C"/>
    <w:rsid w:val="69115691"/>
    <w:rsid w:val="69117181"/>
    <w:rsid w:val="69121546"/>
    <w:rsid w:val="6912299F"/>
    <w:rsid w:val="691240E0"/>
    <w:rsid w:val="69131933"/>
    <w:rsid w:val="691427CE"/>
    <w:rsid w:val="69143F32"/>
    <w:rsid w:val="69146C72"/>
    <w:rsid w:val="691479FB"/>
    <w:rsid w:val="69147ACE"/>
    <w:rsid w:val="69147D9A"/>
    <w:rsid w:val="69147E90"/>
    <w:rsid w:val="69151320"/>
    <w:rsid w:val="691602F4"/>
    <w:rsid w:val="69162CC5"/>
    <w:rsid w:val="69163EF1"/>
    <w:rsid w:val="691703FF"/>
    <w:rsid w:val="69170ECE"/>
    <w:rsid w:val="691722BE"/>
    <w:rsid w:val="6917406C"/>
    <w:rsid w:val="69175381"/>
    <w:rsid w:val="69180510"/>
    <w:rsid w:val="691818B6"/>
    <w:rsid w:val="69183D0F"/>
    <w:rsid w:val="691873F2"/>
    <w:rsid w:val="69196036"/>
    <w:rsid w:val="69197DE4"/>
    <w:rsid w:val="691A3D02"/>
    <w:rsid w:val="691A5161"/>
    <w:rsid w:val="691A74E1"/>
    <w:rsid w:val="691B1DAE"/>
    <w:rsid w:val="691B3B5C"/>
    <w:rsid w:val="691B5192"/>
    <w:rsid w:val="691B590A"/>
    <w:rsid w:val="691B6B3D"/>
    <w:rsid w:val="691C1682"/>
    <w:rsid w:val="691C2A97"/>
    <w:rsid w:val="691C4781"/>
    <w:rsid w:val="691C5D96"/>
    <w:rsid w:val="691C78D4"/>
    <w:rsid w:val="691D2341"/>
    <w:rsid w:val="691E5254"/>
    <w:rsid w:val="691E5BA6"/>
    <w:rsid w:val="691E7A28"/>
    <w:rsid w:val="691F3B13"/>
    <w:rsid w:val="691F4FA3"/>
    <w:rsid w:val="691F706F"/>
    <w:rsid w:val="69201173"/>
    <w:rsid w:val="69205616"/>
    <w:rsid w:val="69205D8A"/>
    <w:rsid w:val="692073C4"/>
    <w:rsid w:val="692101B6"/>
    <w:rsid w:val="69211004"/>
    <w:rsid w:val="69222FFA"/>
    <w:rsid w:val="69224EEB"/>
    <w:rsid w:val="69225065"/>
    <w:rsid w:val="69226418"/>
    <w:rsid w:val="69226828"/>
    <w:rsid w:val="69227F62"/>
    <w:rsid w:val="692313ED"/>
    <w:rsid w:val="69232A11"/>
    <w:rsid w:val="6923451E"/>
    <w:rsid w:val="69236EB5"/>
    <w:rsid w:val="69250E15"/>
    <w:rsid w:val="692549DB"/>
    <w:rsid w:val="69256652"/>
    <w:rsid w:val="69271B30"/>
    <w:rsid w:val="69272310"/>
    <w:rsid w:val="69277095"/>
    <w:rsid w:val="69277932"/>
    <w:rsid w:val="69280D35"/>
    <w:rsid w:val="69283EFF"/>
    <w:rsid w:val="6928409F"/>
    <w:rsid w:val="69286279"/>
    <w:rsid w:val="692863C6"/>
    <w:rsid w:val="69291788"/>
    <w:rsid w:val="692948F0"/>
    <w:rsid w:val="692A0243"/>
    <w:rsid w:val="692A0A4E"/>
    <w:rsid w:val="692A3D9F"/>
    <w:rsid w:val="692C1675"/>
    <w:rsid w:val="692C5CD5"/>
    <w:rsid w:val="692C5D69"/>
    <w:rsid w:val="692C63D8"/>
    <w:rsid w:val="692C7B17"/>
    <w:rsid w:val="692D1AE1"/>
    <w:rsid w:val="692D2A07"/>
    <w:rsid w:val="692D47AA"/>
    <w:rsid w:val="692E211E"/>
    <w:rsid w:val="692E2178"/>
    <w:rsid w:val="692E6398"/>
    <w:rsid w:val="692E7D33"/>
    <w:rsid w:val="692F4A98"/>
    <w:rsid w:val="692F61D9"/>
    <w:rsid w:val="692F6F09"/>
    <w:rsid w:val="692F7608"/>
    <w:rsid w:val="692F7770"/>
    <w:rsid w:val="69306A78"/>
    <w:rsid w:val="69307669"/>
    <w:rsid w:val="69311B57"/>
    <w:rsid w:val="69313380"/>
    <w:rsid w:val="6931512E"/>
    <w:rsid w:val="69316E2F"/>
    <w:rsid w:val="69320EA6"/>
    <w:rsid w:val="69321F89"/>
    <w:rsid w:val="69325549"/>
    <w:rsid w:val="693370F8"/>
    <w:rsid w:val="6934356D"/>
    <w:rsid w:val="693448A9"/>
    <w:rsid w:val="693469CC"/>
    <w:rsid w:val="693476A5"/>
    <w:rsid w:val="69350EF8"/>
    <w:rsid w:val="69356757"/>
    <w:rsid w:val="69360996"/>
    <w:rsid w:val="69366BE8"/>
    <w:rsid w:val="693750B5"/>
    <w:rsid w:val="693761F2"/>
    <w:rsid w:val="693764BC"/>
    <w:rsid w:val="69382960"/>
    <w:rsid w:val="6938470E"/>
    <w:rsid w:val="69386994"/>
    <w:rsid w:val="69390486"/>
    <w:rsid w:val="69395437"/>
    <w:rsid w:val="693966D8"/>
    <w:rsid w:val="693A1E45"/>
    <w:rsid w:val="693A32EC"/>
    <w:rsid w:val="693B021A"/>
    <w:rsid w:val="693B0491"/>
    <w:rsid w:val="693B0D1C"/>
    <w:rsid w:val="693B587D"/>
    <w:rsid w:val="693B5FAC"/>
    <w:rsid w:val="693B7D5A"/>
    <w:rsid w:val="693C3AD3"/>
    <w:rsid w:val="693D1D24"/>
    <w:rsid w:val="693D2737"/>
    <w:rsid w:val="693D6F14"/>
    <w:rsid w:val="693D7155"/>
    <w:rsid w:val="693D7F76"/>
    <w:rsid w:val="693E2E18"/>
    <w:rsid w:val="693E30FD"/>
    <w:rsid w:val="693E3CEF"/>
    <w:rsid w:val="693E5A9D"/>
    <w:rsid w:val="693E754B"/>
    <w:rsid w:val="693F19BC"/>
    <w:rsid w:val="693F458D"/>
    <w:rsid w:val="693F5627"/>
    <w:rsid w:val="69401815"/>
    <w:rsid w:val="694035C3"/>
    <w:rsid w:val="6940618B"/>
    <w:rsid w:val="694110E9"/>
    <w:rsid w:val="694145F4"/>
    <w:rsid w:val="694214DE"/>
    <w:rsid w:val="69421C1A"/>
    <w:rsid w:val="69423A82"/>
    <w:rsid w:val="69427065"/>
    <w:rsid w:val="6942733B"/>
    <w:rsid w:val="69431305"/>
    <w:rsid w:val="694329B4"/>
    <w:rsid w:val="694330B3"/>
    <w:rsid w:val="6943531C"/>
    <w:rsid w:val="69436679"/>
    <w:rsid w:val="694374F0"/>
    <w:rsid w:val="6944024A"/>
    <w:rsid w:val="69441BAB"/>
    <w:rsid w:val="6944439E"/>
    <w:rsid w:val="69446F6F"/>
    <w:rsid w:val="69447DE5"/>
    <w:rsid w:val="694503FF"/>
    <w:rsid w:val="69450E38"/>
    <w:rsid w:val="69451D6A"/>
    <w:rsid w:val="69452CBA"/>
    <w:rsid w:val="6945507D"/>
    <w:rsid w:val="69456E2B"/>
    <w:rsid w:val="6946188F"/>
    <w:rsid w:val="69461A26"/>
    <w:rsid w:val="694678FB"/>
    <w:rsid w:val="69470DF5"/>
    <w:rsid w:val="69472BA3"/>
    <w:rsid w:val="69473047"/>
    <w:rsid w:val="694739BA"/>
    <w:rsid w:val="69473C43"/>
    <w:rsid w:val="69473E9F"/>
    <w:rsid w:val="69474460"/>
    <w:rsid w:val="69474951"/>
    <w:rsid w:val="6948013B"/>
    <w:rsid w:val="694806C9"/>
    <w:rsid w:val="69482477"/>
    <w:rsid w:val="694841AF"/>
    <w:rsid w:val="69484EE1"/>
    <w:rsid w:val="6949289B"/>
    <w:rsid w:val="69495016"/>
    <w:rsid w:val="6949563F"/>
    <w:rsid w:val="6949691B"/>
    <w:rsid w:val="694A2693"/>
    <w:rsid w:val="694A3AFF"/>
    <w:rsid w:val="694B0A3E"/>
    <w:rsid w:val="694B1044"/>
    <w:rsid w:val="694B7093"/>
    <w:rsid w:val="694C01BA"/>
    <w:rsid w:val="694C1F68"/>
    <w:rsid w:val="694C640B"/>
    <w:rsid w:val="694C74CE"/>
    <w:rsid w:val="694D1762"/>
    <w:rsid w:val="694D5CE0"/>
    <w:rsid w:val="694D6274"/>
    <w:rsid w:val="694D6B91"/>
    <w:rsid w:val="694D7A8E"/>
    <w:rsid w:val="694E1C94"/>
    <w:rsid w:val="694E2071"/>
    <w:rsid w:val="694E2184"/>
    <w:rsid w:val="694E222C"/>
    <w:rsid w:val="694E3F32"/>
    <w:rsid w:val="694F1A58"/>
    <w:rsid w:val="69502941"/>
    <w:rsid w:val="695078FB"/>
    <w:rsid w:val="695100E3"/>
    <w:rsid w:val="69511BF0"/>
    <w:rsid w:val="695157D0"/>
    <w:rsid w:val="6951757E"/>
    <w:rsid w:val="69521573"/>
    <w:rsid w:val="695215BE"/>
    <w:rsid w:val="695232F6"/>
    <w:rsid w:val="6953101A"/>
    <w:rsid w:val="6953779A"/>
    <w:rsid w:val="69543E93"/>
    <w:rsid w:val="695452C0"/>
    <w:rsid w:val="6954673C"/>
    <w:rsid w:val="6954706E"/>
    <w:rsid w:val="695567B3"/>
    <w:rsid w:val="69564B94"/>
    <w:rsid w:val="69572814"/>
    <w:rsid w:val="695825CA"/>
    <w:rsid w:val="69584626"/>
    <w:rsid w:val="69584DB0"/>
    <w:rsid w:val="695928D6"/>
    <w:rsid w:val="695A0B28"/>
    <w:rsid w:val="695B03FD"/>
    <w:rsid w:val="695B21AB"/>
    <w:rsid w:val="695B39CE"/>
    <w:rsid w:val="695B466D"/>
    <w:rsid w:val="695C3AB5"/>
    <w:rsid w:val="695D033F"/>
    <w:rsid w:val="695D23C7"/>
    <w:rsid w:val="695D4175"/>
    <w:rsid w:val="695D4F45"/>
    <w:rsid w:val="695D5F6E"/>
    <w:rsid w:val="695E1C9B"/>
    <w:rsid w:val="695E3F2C"/>
    <w:rsid w:val="695E7EED"/>
    <w:rsid w:val="695F613F"/>
    <w:rsid w:val="69601EB7"/>
    <w:rsid w:val="696020DE"/>
    <w:rsid w:val="69602435"/>
    <w:rsid w:val="696038C5"/>
    <w:rsid w:val="69603C65"/>
    <w:rsid w:val="69605A13"/>
    <w:rsid w:val="696076BE"/>
    <w:rsid w:val="696077C1"/>
    <w:rsid w:val="69611E3E"/>
    <w:rsid w:val="69615B47"/>
    <w:rsid w:val="69616496"/>
    <w:rsid w:val="696208B4"/>
    <w:rsid w:val="6962178B"/>
    <w:rsid w:val="69623539"/>
    <w:rsid w:val="69623B57"/>
    <w:rsid w:val="6962427C"/>
    <w:rsid w:val="696258A1"/>
    <w:rsid w:val="696279DD"/>
    <w:rsid w:val="696324F7"/>
    <w:rsid w:val="696372B1"/>
    <w:rsid w:val="6964194C"/>
    <w:rsid w:val="69643755"/>
    <w:rsid w:val="69645201"/>
    <w:rsid w:val="6965127B"/>
    <w:rsid w:val="69654062"/>
    <w:rsid w:val="69656630"/>
    <w:rsid w:val="696625EB"/>
    <w:rsid w:val="69670B4F"/>
    <w:rsid w:val="69671C9E"/>
    <w:rsid w:val="69674FF3"/>
    <w:rsid w:val="6968198B"/>
    <w:rsid w:val="696848C8"/>
    <w:rsid w:val="69687FCB"/>
    <w:rsid w:val="69690D6B"/>
    <w:rsid w:val="69692B1A"/>
    <w:rsid w:val="69694C28"/>
    <w:rsid w:val="69694D4D"/>
    <w:rsid w:val="696A0640"/>
    <w:rsid w:val="696A1787"/>
    <w:rsid w:val="696A4AE4"/>
    <w:rsid w:val="696A6892"/>
    <w:rsid w:val="696B7548"/>
    <w:rsid w:val="696C085C"/>
    <w:rsid w:val="696C4090"/>
    <w:rsid w:val="696C43B8"/>
    <w:rsid w:val="696D1EDE"/>
    <w:rsid w:val="696D3286"/>
    <w:rsid w:val="696D617A"/>
    <w:rsid w:val="696D799C"/>
    <w:rsid w:val="696E0130"/>
    <w:rsid w:val="696E2BCD"/>
    <w:rsid w:val="696E5EC7"/>
    <w:rsid w:val="696E5EC9"/>
    <w:rsid w:val="696E6382"/>
    <w:rsid w:val="696E661E"/>
    <w:rsid w:val="696E6789"/>
    <w:rsid w:val="696E760A"/>
    <w:rsid w:val="696F20FA"/>
    <w:rsid w:val="696F37F0"/>
    <w:rsid w:val="696F3EA8"/>
    <w:rsid w:val="696F5C56"/>
    <w:rsid w:val="69700DFD"/>
    <w:rsid w:val="69701C8D"/>
    <w:rsid w:val="697033BA"/>
    <w:rsid w:val="69706493"/>
    <w:rsid w:val="697119CE"/>
    <w:rsid w:val="6971278E"/>
    <w:rsid w:val="69712894"/>
    <w:rsid w:val="6971323A"/>
    <w:rsid w:val="6971484A"/>
    <w:rsid w:val="69715E72"/>
    <w:rsid w:val="69715F8B"/>
    <w:rsid w:val="69717C20"/>
    <w:rsid w:val="69723739"/>
    <w:rsid w:val="69724656"/>
    <w:rsid w:val="697247CE"/>
    <w:rsid w:val="697274F4"/>
    <w:rsid w:val="69731BEA"/>
    <w:rsid w:val="6973686D"/>
    <w:rsid w:val="697414BE"/>
    <w:rsid w:val="69741E67"/>
    <w:rsid w:val="69742586"/>
    <w:rsid w:val="69744E7F"/>
    <w:rsid w:val="69747710"/>
    <w:rsid w:val="697509FA"/>
    <w:rsid w:val="697531CB"/>
    <w:rsid w:val="69754B37"/>
    <w:rsid w:val="69761A42"/>
    <w:rsid w:val="69763488"/>
    <w:rsid w:val="69765236"/>
    <w:rsid w:val="69765B2F"/>
    <w:rsid w:val="69766163"/>
    <w:rsid w:val="69766FE4"/>
    <w:rsid w:val="697742C5"/>
    <w:rsid w:val="69780FAF"/>
    <w:rsid w:val="6978524E"/>
    <w:rsid w:val="69790883"/>
    <w:rsid w:val="69794D27"/>
    <w:rsid w:val="69796AD5"/>
    <w:rsid w:val="697A3B33"/>
    <w:rsid w:val="697A703D"/>
    <w:rsid w:val="697B04AE"/>
    <w:rsid w:val="697B04CD"/>
    <w:rsid w:val="697B45FB"/>
    <w:rsid w:val="697C480A"/>
    <w:rsid w:val="697C4B5E"/>
    <w:rsid w:val="697C5DBD"/>
    <w:rsid w:val="697C6406"/>
    <w:rsid w:val="697D0373"/>
    <w:rsid w:val="697D4817"/>
    <w:rsid w:val="697D77B4"/>
    <w:rsid w:val="697E058F"/>
    <w:rsid w:val="697E0F11"/>
    <w:rsid w:val="697E0FA2"/>
    <w:rsid w:val="697E1642"/>
    <w:rsid w:val="697E59BE"/>
    <w:rsid w:val="697E7DF1"/>
    <w:rsid w:val="697F6E4E"/>
    <w:rsid w:val="697F7BD1"/>
    <w:rsid w:val="69801C11"/>
    <w:rsid w:val="69801F62"/>
    <w:rsid w:val="69820459"/>
    <w:rsid w:val="69820A92"/>
    <w:rsid w:val="69822E9F"/>
    <w:rsid w:val="698237F8"/>
    <w:rsid w:val="69823BDB"/>
    <w:rsid w:val="698257CF"/>
    <w:rsid w:val="69825F37"/>
    <w:rsid w:val="69826F10"/>
    <w:rsid w:val="6983217D"/>
    <w:rsid w:val="69837768"/>
    <w:rsid w:val="69840C15"/>
    <w:rsid w:val="69840C99"/>
    <w:rsid w:val="69841953"/>
    <w:rsid w:val="69843881"/>
    <w:rsid w:val="6985092D"/>
    <w:rsid w:val="69851AE7"/>
    <w:rsid w:val="6985242A"/>
    <w:rsid w:val="698536CB"/>
    <w:rsid w:val="69854A3F"/>
    <w:rsid w:val="69855278"/>
    <w:rsid w:val="69855479"/>
    <w:rsid w:val="69856A0A"/>
    <w:rsid w:val="69857063"/>
    <w:rsid w:val="6986299E"/>
    <w:rsid w:val="6986339A"/>
    <w:rsid w:val="69863787"/>
    <w:rsid w:val="69865817"/>
    <w:rsid w:val="698739A3"/>
    <w:rsid w:val="698756DD"/>
    <w:rsid w:val="69876A00"/>
    <w:rsid w:val="69877444"/>
    <w:rsid w:val="6988016A"/>
    <w:rsid w:val="698811C2"/>
    <w:rsid w:val="69881641"/>
    <w:rsid w:val="69886C12"/>
    <w:rsid w:val="69894F6A"/>
    <w:rsid w:val="698956A2"/>
    <w:rsid w:val="6989589F"/>
    <w:rsid w:val="698A0CE2"/>
    <w:rsid w:val="698A208D"/>
    <w:rsid w:val="698A25D3"/>
    <w:rsid w:val="698A6B32"/>
    <w:rsid w:val="698A6D01"/>
    <w:rsid w:val="698A6F34"/>
    <w:rsid w:val="698A719F"/>
    <w:rsid w:val="698C10D3"/>
    <w:rsid w:val="698C4A5A"/>
    <w:rsid w:val="698D0A32"/>
    <w:rsid w:val="698D2C89"/>
    <w:rsid w:val="698D7579"/>
    <w:rsid w:val="698E04B4"/>
    <w:rsid w:val="698E07D2"/>
    <w:rsid w:val="698E432E"/>
    <w:rsid w:val="698F00A6"/>
    <w:rsid w:val="698F62F8"/>
    <w:rsid w:val="698F668C"/>
    <w:rsid w:val="69907DD3"/>
    <w:rsid w:val="699102C2"/>
    <w:rsid w:val="69912070"/>
    <w:rsid w:val="69913E1E"/>
    <w:rsid w:val="69921569"/>
    <w:rsid w:val="699236F9"/>
    <w:rsid w:val="69926A05"/>
    <w:rsid w:val="69927CB7"/>
    <w:rsid w:val="69927CF0"/>
    <w:rsid w:val="69931944"/>
    <w:rsid w:val="69937B96"/>
    <w:rsid w:val="6994390F"/>
    <w:rsid w:val="699527B5"/>
    <w:rsid w:val="69953C45"/>
    <w:rsid w:val="69953DA0"/>
    <w:rsid w:val="69963C27"/>
    <w:rsid w:val="69964F4C"/>
    <w:rsid w:val="699658D9"/>
    <w:rsid w:val="699666BD"/>
    <w:rsid w:val="69971724"/>
    <w:rsid w:val="69975BDE"/>
    <w:rsid w:val="69980398"/>
    <w:rsid w:val="69981651"/>
    <w:rsid w:val="699833FF"/>
    <w:rsid w:val="699837E5"/>
    <w:rsid w:val="69983D07"/>
    <w:rsid w:val="69987F14"/>
    <w:rsid w:val="69990490"/>
    <w:rsid w:val="69990F25"/>
    <w:rsid w:val="699916F5"/>
    <w:rsid w:val="69992909"/>
    <w:rsid w:val="69992CD3"/>
    <w:rsid w:val="6999478B"/>
    <w:rsid w:val="69995197"/>
    <w:rsid w:val="69995D70"/>
    <w:rsid w:val="69997176"/>
    <w:rsid w:val="699A15A0"/>
    <w:rsid w:val="699A2F00"/>
    <w:rsid w:val="699A3A56"/>
    <w:rsid w:val="699B1EFE"/>
    <w:rsid w:val="699B562A"/>
    <w:rsid w:val="699B5783"/>
    <w:rsid w:val="699B6A4B"/>
    <w:rsid w:val="699B7AB7"/>
    <w:rsid w:val="699C043D"/>
    <w:rsid w:val="699C2688"/>
    <w:rsid w:val="699C50D9"/>
    <w:rsid w:val="699C6181"/>
    <w:rsid w:val="699C6738"/>
    <w:rsid w:val="699D0A15"/>
    <w:rsid w:val="699D27C3"/>
    <w:rsid w:val="699D2C51"/>
    <w:rsid w:val="699D3E7F"/>
    <w:rsid w:val="699D6C67"/>
    <w:rsid w:val="699D74D8"/>
    <w:rsid w:val="699E02E9"/>
    <w:rsid w:val="699E0401"/>
    <w:rsid w:val="699E0597"/>
    <w:rsid w:val="699E3448"/>
    <w:rsid w:val="699E4A1E"/>
    <w:rsid w:val="699E4FA8"/>
    <w:rsid w:val="699E5783"/>
    <w:rsid w:val="699F6438"/>
    <w:rsid w:val="699F653B"/>
    <w:rsid w:val="699F7CD5"/>
    <w:rsid w:val="69A021B3"/>
    <w:rsid w:val="69A022B3"/>
    <w:rsid w:val="69A04061"/>
    <w:rsid w:val="69A05DD2"/>
    <w:rsid w:val="69A078C8"/>
    <w:rsid w:val="69A127CB"/>
    <w:rsid w:val="69A13929"/>
    <w:rsid w:val="69A16AA6"/>
    <w:rsid w:val="69A200AE"/>
    <w:rsid w:val="69A20FA1"/>
    <w:rsid w:val="69A21516"/>
    <w:rsid w:val="69A224C1"/>
    <w:rsid w:val="69A2427D"/>
    <w:rsid w:val="69A2602B"/>
    <w:rsid w:val="69A40EEB"/>
    <w:rsid w:val="69A43B52"/>
    <w:rsid w:val="69A5443F"/>
    <w:rsid w:val="69A55B1C"/>
    <w:rsid w:val="69A5619D"/>
    <w:rsid w:val="69A578CA"/>
    <w:rsid w:val="69A57C19"/>
    <w:rsid w:val="69A64BCA"/>
    <w:rsid w:val="69A650A8"/>
    <w:rsid w:val="69A676A3"/>
    <w:rsid w:val="69A7045C"/>
    <w:rsid w:val="69A706AA"/>
    <w:rsid w:val="69A71894"/>
    <w:rsid w:val="69A73642"/>
    <w:rsid w:val="69A753F0"/>
    <w:rsid w:val="69A80C2B"/>
    <w:rsid w:val="69A83492"/>
    <w:rsid w:val="69A837C3"/>
    <w:rsid w:val="69A91168"/>
    <w:rsid w:val="69A93E28"/>
    <w:rsid w:val="69A94999"/>
    <w:rsid w:val="69A94C8C"/>
    <w:rsid w:val="69A9560C"/>
    <w:rsid w:val="69A973BA"/>
    <w:rsid w:val="69AA3132"/>
    <w:rsid w:val="69AA395D"/>
    <w:rsid w:val="69AA4EE0"/>
    <w:rsid w:val="69AA6040"/>
    <w:rsid w:val="69AB1384"/>
    <w:rsid w:val="69AB5118"/>
    <w:rsid w:val="69AB75AC"/>
    <w:rsid w:val="69AC0C58"/>
    <w:rsid w:val="69AC2B8D"/>
    <w:rsid w:val="69AC6EAA"/>
    <w:rsid w:val="69AD485F"/>
    <w:rsid w:val="69AE12B4"/>
    <w:rsid w:val="69AE2C22"/>
    <w:rsid w:val="69AE335C"/>
    <w:rsid w:val="69AE49D0"/>
    <w:rsid w:val="69AE675C"/>
    <w:rsid w:val="69AE677E"/>
    <w:rsid w:val="69AF244E"/>
    <w:rsid w:val="69AF24F6"/>
    <w:rsid w:val="69B007BF"/>
    <w:rsid w:val="69B0576D"/>
    <w:rsid w:val="69B11CDD"/>
    <w:rsid w:val="69B12712"/>
    <w:rsid w:val="69B12D71"/>
    <w:rsid w:val="69B13688"/>
    <w:rsid w:val="69B139FA"/>
    <w:rsid w:val="69B22863"/>
    <w:rsid w:val="69B3090F"/>
    <w:rsid w:val="69B31FE7"/>
    <w:rsid w:val="69B33D95"/>
    <w:rsid w:val="69B47B0D"/>
    <w:rsid w:val="69B5065E"/>
    <w:rsid w:val="69B53FB1"/>
    <w:rsid w:val="69B55D5F"/>
    <w:rsid w:val="69B56A19"/>
    <w:rsid w:val="69B5711B"/>
    <w:rsid w:val="69B63320"/>
    <w:rsid w:val="69B63885"/>
    <w:rsid w:val="69B646BF"/>
    <w:rsid w:val="69B65652"/>
    <w:rsid w:val="69B67D29"/>
    <w:rsid w:val="69B72DAD"/>
    <w:rsid w:val="69B813AB"/>
    <w:rsid w:val="69B8584F"/>
    <w:rsid w:val="69B871AE"/>
    <w:rsid w:val="69B8727D"/>
    <w:rsid w:val="69B87503"/>
    <w:rsid w:val="69B90A2D"/>
    <w:rsid w:val="69B95123"/>
    <w:rsid w:val="69B97348"/>
    <w:rsid w:val="69BA15C7"/>
    <w:rsid w:val="69BA1AB4"/>
    <w:rsid w:val="69BA3375"/>
    <w:rsid w:val="69BA553A"/>
    <w:rsid w:val="69BB07BA"/>
    <w:rsid w:val="69BB1106"/>
    <w:rsid w:val="69BB44D0"/>
    <w:rsid w:val="69BB4DF7"/>
    <w:rsid w:val="69BB533F"/>
    <w:rsid w:val="69BB5960"/>
    <w:rsid w:val="69BB70A1"/>
    <w:rsid w:val="69BB70ED"/>
    <w:rsid w:val="69BC2F4B"/>
    <w:rsid w:val="69BC768B"/>
    <w:rsid w:val="69BD2E65"/>
    <w:rsid w:val="69BD3BD9"/>
    <w:rsid w:val="69BD4C13"/>
    <w:rsid w:val="69BD4C19"/>
    <w:rsid w:val="69BE2739"/>
    <w:rsid w:val="69BE3FDE"/>
    <w:rsid w:val="69BF5BED"/>
    <w:rsid w:val="69BF5E65"/>
    <w:rsid w:val="69BF6449"/>
    <w:rsid w:val="69BF6BDD"/>
    <w:rsid w:val="69C00342"/>
    <w:rsid w:val="69C02956"/>
    <w:rsid w:val="69C0714A"/>
    <w:rsid w:val="69C13904"/>
    <w:rsid w:val="69C169FC"/>
    <w:rsid w:val="69C170AB"/>
    <w:rsid w:val="69C1795B"/>
    <w:rsid w:val="69C2047C"/>
    <w:rsid w:val="69C2222A"/>
    <w:rsid w:val="69C243A3"/>
    <w:rsid w:val="69C266CE"/>
    <w:rsid w:val="69C3147F"/>
    <w:rsid w:val="69C322BF"/>
    <w:rsid w:val="69C3307B"/>
    <w:rsid w:val="69C42446"/>
    <w:rsid w:val="69C441F4"/>
    <w:rsid w:val="69C471E8"/>
    <w:rsid w:val="69C50153"/>
    <w:rsid w:val="69C51D1A"/>
    <w:rsid w:val="69C523DE"/>
    <w:rsid w:val="69C52D24"/>
    <w:rsid w:val="69C53AC8"/>
    <w:rsid w:val="69C547D1"/>
    <w:rsid w:val="69C615E3"/>
    <w:rsid w:val="69C66CD0"/>
    <w:rsid w:val="69C67F6C"/>
    <w:rsid w:val="69C70418"/>
    <w:rsid w:val="69C73CE4"/>
    <w:rsid w:val="69C75445"/>
    <w:rsid w:val="69C7643F"/>
    <w:rsid w:val="69C773AA"/>
    <w:rsid w:val="69C77840"/>
    <w:rsid w:val="69C80647"/>
    <w:rsid w:val="69C81D37"/>
    <w:rsid w:val="69C86F38"/>
    <w:rsid w:val="69C90C23"/>
    <w:rsid w:val="69C93746"/>
    <w:rsid w:val="69C95270"/>
    <w:rsid w:val="69C9662A"/>
    <w:rsid w:val="69C97B61"/>
    <w:rsid w:val="69CA10DE"/>
    <w:rsid w:val="69CA13F4"/>
    <w:rsid w:val="69CA2B35"/>
    <w:rsid w:val="69CA6E14"/>
    <w:rsid w:val="69CA7330"/>
    <w:rsid w:val="69CB1691"/>
    <w:rsid w:val="69CB37D4"/>
    <w:rsid w:val="69CB5455"/>
    <w:rsid w:val="69CC333F"/>
    <w:rsid w:val="69CC4E56"/>
    <w:rsid w:val="69CC66B7"/>
    <w:rsid w:val="69CC698E"/>
    <w:rsid w:val="69CD7D75"/>
    <w:rsid w:val="69CE2026"/>
    <w:rsid w:val="69CE2862"/>
    <w:rsid w:val="69CE3A14"/>
    <w:rsid w:val="69CE5072"/>
    <w:rsid w:val="69CE6E20"/>
    <w:rsid w:val="69CE7607"/>
    <w:rsid w:val="69CF1B80"/>
    <w:rsid w:val="69CF3DD6"/>
    <w:rsid w:val="69D00DEB"/>
    <w:rsid w:val="69D02B99"/>
    <w:rsid w:val="69D04B68"/>
    <w:rsid w:val="69D05266"/>
    <w:rsid w:val="69D0701B"/>
    <w:rsid w:val="69D106BF"/>
    <w:rsid w:val="69D112C7"/>
    <w:rsid w:val="69D12B9B"/>
    <w:rsid w:val="69D16559"/>
    <w:rsid w:val="69D166F6"/>
    <w:rsid w:val="69D31A64"/>
    <w:rsid w:val="69D32689"/>
    <w:rsid w:val="69D361E5"/>
    <w:rsid w:val="69D361F4"/>
    <w:rsid w:val="69D4078A"/>
    <w:rsid w:val="69D4265C"/>
    <w:rsid w:val="69D43E39"/>
    <w:rsid w:val="69D44760"/>
    <w:rsid w:val="69D46070"/>
    <w:rsid w:val="69D501AF"/>
    <w:rsid w:val="69D510D8"/>
    <w:rsid w:val="69D52819"/>
    <w:rsid w:val="69D55D07"/>
    <w:rsid w:val="69D6135C"/>
    <w:rsid w:val="69D62568"/>
    <w:rsid w:val="69D6393C"/>
    <w:rsid w:val="69D65CD5"/>
    <w:rsid w:val="69D67428"/>
    <w:rsid w:val="69D72179"/>
    <w:rsid w:val="69D81960"/>
    <w:rsid w:val="69D829CE"/>
    <w:rsid w:val="69D865C9"/>
    <w:rsid w:val="69D87C9F"/>
    <w:rsid w:val="69D92430"/>
    <w:rsid w:val="69DA174D"/>
    <w:rsid w:val="69DA3A17"/>
    <w:rsid w:val="69DA57C5"/>
    <w:rsid w:val="69DA7573"/>
    <w:rsid w:val="69DB133C"/>
    <w:rsid w:val="69DB2379"/>
    <w:rsid w:val="69DB32EB"/>
    <w:rsid w:val="69DB4F4A"/>
    <w:rsid w:val="69DC4E42"/>
    <w:rsid w:val="69DD0FAB"/>
    <w:rsid w:val="69DD1420"/>
    <w:rsid w:val="69DD1CAC"/>
    <w:rsid w:val="69DD52B6"/>
    <w:rsid w:val="69DD7064"/>
    <w:rsid w:val="69DD77FF"/>
    <w:rsid w:val="69DE01C6"/>
    <w:rsid w:val="69DE243B"/>
    <w:rsid w:val="69DE4476"/>
    <w:rsid w:val="69DF102E"/>
    <w:rsid w:val="69DF1A6F"/>
    <w:rsid w:val="69DF2DDC"/>
    <w:rsid w:val="69DF4B8A"/>
    <w:rsid w:val="69E00902"/>
    <w:rsid w:val="69E0552B"/>
    <w:rsid w:val="69E1328C"/>
    <w:rsid w:val="69E14DA6"/>
    <w:rsid w:val="69E1696B"/>
    <w:rsid w:val="69E21617"/>
    <w:rsid w:val="69E21E77"/>
    <w:rsid w:val="69E2224C"/>
    <w:rsid w:val="69E2467A"/>
    <w:rsid w:val="69E2696D"/>
    <w:rsid w:val="69E336DC"/>
    <w:rsid w:val="69E339CC"/>
    <w:rsid w:val="69E36EF2"/>
    <w:rsid w:val="69E403F2"/>
    <w:rsid w:val="69E421A0"/>
    <w:rsid w:val="69E44896"/>
    <w:rsid w:val="69E44B6C"/>
    <w:rsid w:val="69E47E9E"/>
    <w:rsid w:val="69E50BCD"/>
    <w:rsid w:val="69E5416A"/>
    <w:rsid w:val="69E55F18"/>
    <w:rsid w:val="69E57878"/>
    <w:rsid w:val="69E61D0B"/>
    <w:rsid w:val="69E623BC"/>
    <w:rsid w:val="69E70D53"/>
    <w:rsid w:val="69E73471"/>
    <w:rsid w:val="69E734ED"/>
    <w:rsid w:val="69E7542D"/>
    <w:rsid w:val="69E7776E"/>
    <w:rsid w:val="69E77EE2"/>
    <w:rsid w:val="69E8635E"/>
    <w:rsid w:val="69E8798B"/>
    <w:rsid w:val="69E93C5A"/>
    <w:rsid w:val="69EB12D1"/>
    <w:rsid w:val="69EB1780"/>
    <w:rsid w:val="69EB1E6E"/>
    <w:rsid w:val="69EB2153"/>
    <w:rsid w:val="69EB3288"/>
    <w:rsid w:val="69EB75C3"/>
    <w:rsid w:val="69EC6EBC"/>
    <w:rsid w:val="69EC72A7"/>
    <w:rsid w:val="69ED625D"/>
    <w:rsid w:val="69ED6EFD"/>
    <w:rsid w:val="69EE1271"/>
    <w:rsid w:val="69EE1F30"/>
    <w:rsid w:val="69EE3CB3"/>
    <w:rsid w:val="69EE43DB"/>
    <w:rsid w:val="69EE5D98"/>
    <w:rsid w:val="69EF1287"/>
    <w:rsid w:val="69EF4FC9"/>
    <w:rsid w:val="69EF6DCC"/>
    <w:rsid w:val="69F027B2"/>
    <w:rsid w:val="69F03587"/>
    <w:rsid w:val="69F04FE9"/>
    <w:rsid w:val="69F06D97"/>
    <w:rsid w:val="69F07A39"/>
    <w:rsid w:val="69F10D61"/>
    <w:rsid w:val="69F134E0"/>
    <w:rsid w:val="69F148BD"/>
    <w:rsid w:val="69F14C4F"/>
    <w:rsid w:val="69F223CE"/>
    <w:rsid w:val="69F22DB4"/>
    <w:rsid w:val="69F267A5"/>
    <w:rsid w:val="69F27A1E"/>
    <w:rsid w:val="69F30635"/>
    <w:rsid w:val="69F3151A"/>
    <w:rsid w:val="69F3557B"/>
    <w:rsid w:val="69F366B2"/>
    <w:rsid w:val="69F36887"/>
    <w:rsid w:val="69F4353D"/>
    <w:rsid w:val="69F446AA"/>
    <w:rsid w:val="69F506C2"/>
    <w:rsid w:val="69F50851"/>
    <w:rsid w:val="69F53C96"/>
    <w:rsid w:val="69F5427C"/>
    <w:rsid w:val="69F543AD"/>
    <w:rsid w:val="69F61CBA"/>
    <w:rsid w:val="69F61ED3"/>
    <w:rsid w:val="69F6662C"/>
    <w:rsid w:val="69F72B1E"/>
    <w:rsid w:val="69F747DB"/>
    <w:rsid w:val="69F75A58"/>
    <w:rsid w:val="69F820EF"/>
    <w:rsid w:val="69F857F9"/>
    <w:rsid w:val="69F86501"/>
    <w:rsid w:val="69F95902"/>
    <w:rsid w:val="69FA04D3"/>
    <w:rsid w:val="69FA19C4"/>
    <w:rsid w:val="69FA2D67"/>
    <w:rsid w:val="69FA5E67"/>
    <w:rsid w:val="69FA64F0"/>
    <w:rsid w:val="69FA7C16"/>
    <w:rsid w:val="69FB26BE"/>
    <w:rsid w:val="69FB3DEF"/>
    <w:rsid w:val="69FB4534"/>
    <w:rsid w:val="69FB573C"/>
    <w:rsid w:val="69FC051E"/>
    <w:rsid w:val="69FC398E"/>
    <w:rsid w:val="69FC4283"/>
    <w:rsid w:val="69FD3262"/>
    <w:rsid w:val="69FD6E54"/>
    <w:rsid w:val="69FD7706"/>
    <w:rsid w:val="69FD7794"/>
    <w:rsid w:val="69FE4D74"/>
    <w:rsid w:val="69FE59EA"/>
    <w:rsid w:val="69FE61B0"/>
    <w:rsid w:val="69FE62B3"/>
    <w:rsid w:val="69FF0EEA"/>
    <w:rsid w:val="69FF1774"/>
    <w:rsid w:val="69FF347E"/>
    <w:rsid w:val="69FF4345"/>
    <w:rsid w:val="69FF522C"/>
    <w:rsid w:val="6A002504"/>
    <w:rsid w:val="6A002D52"/>
    <w:rsid w:val="6A005189"/>
    <w:rsid w:val="6A0057D5"/>
    <w:rsid w:val="6A010FA4"/>
    <w:rsid w:val="6A016700"/>
    <w:rsid w:val="6A0171F6"/>
    <w:rsid w:val="6A0200F5"/>
    <w:rsid w:val="6A021836"/>
    <w:rsid w:val="6A024108"/>
    <w:rsid w:val="6A026ACA"/>
    <w:rsid w:val="6A031585"/>
    <w:rsid w:val="6A042842"/>
    <w:rsid w:val="6A0445F0"/>
    <w:rsid w:val="6A045AB4"/>
    <w:rsid w:val="6A070584"/>
    <w:rsid w:val="6A07182A"/>
    <w:rsid w:val="6A0740E0"/>
    <w:rsid w:val="6A0770C6"/>
    <w:rsid w:val="6A080947"/>
    <w:rsid w:val="6A091EB5"/>
    <w:rsid w:val="6A0942FC"/>
    <w:rsid w:val="6A0A207D"/>
    <w:rsid w:val="6A0B0ABC"/>
    <w:rsid w:val="6A0B1E23"/>
    <w:rsid w:val="6A0B3BD1"/>
    <w:rsid w:val="6A0C16F7"/>
    <w:rsid w:val="6A0C2B67"/>
    <w:rsid w:val="6A0C3D78"/>
    <w:rsid w:val="6A0C7949"/>
    <w:rsid w:val="6A0D5208"/>
    <w:rsid w:val="6A0D5B9B"/>
    <w:rsid w:val="6A0E0ACC"/>
    <w:rsid w:val="6A0E1913"/>
    <w:rsid w:val="6A0E2084"/>
    <w:rsid w:val="6A0E4851"/>
    <w:rsid w:val="6A0E500E"/>
    <w:rsid w:val="6A0E546F"/>
    <w:rsid w:val="6A0E7DD9"/>
    <w:rsid w:val="6A0F1269"/>
    <w:rsid w:val="6A0F369C"/>
    <w:rsid w:val="6A0F3E3A"/>
    <w:rsid w:val="6A0F4353"/>
    <w:rsid w:val="6A100710"/>
    <w:rsid w:val="6A1011E7"/>
    <w:rsid w:val="6A1014EE"/>
    <w:rsid w:val="6A102277"/>
    <w:rsid w:val="6A1052CA"/>
    <w:rsid w:val="6A10568B"/>
    <w:rsid w:val="6A110887"/>
    <w:rsid w:val="6A114C4D"/>
    <w:rsid w:val="6A114F5F"/>
    <w:rsid w:val="6A115784"/>
    <w:rsid w:val="6A116D0D"/>
    <w:rsid w:val="6A1231B1"/>
    <w:rsid w:val="6A132A85"/>
    <w:rsid w:val="6A133B67"/>
    <w:rsid w:val="6A135C12"/>
    <w:rsid w:val="6A136F29"/>
    <w:rsid w:val="6A140CBF"/>
    <w:rsid w:val="6A143C4B"/>
    <w:rsid w:val="6A146749"/>
    <w:rsid w:val="6A150E06"/>
    <w:rsid w:val="6A153684"/>
    <w:rsid w:val="6A154A4F"/>
    <w:rsid w:val="6A1570BB"/>
    <w:rsid w:val="6A161567"/>
    <w:rsid w:val="6A162453"/>
    <w:rsid w:val="6A162576"/>
    <w:rsid w:val="6A163E0A"/>
    <w:rsid w:val="6A16587B"/>
    <w:rsid w:val="6A1679FB"/>
    <w:rsid w:val="6A1703FE"/>
    <w:rsid w:val="6A170B7C"/>
    <w:rsid w:val="6A1714A4"/>
    <w:rsid w:val="6A17250B"/>
    <w:rsid w:val="6A1725CC"/>
    <w:rsid w:val="6A18068E"/>
    <w:rsid w:val="6A184385"/>
    <w:rsid w:val="6A184540"/>
    <w:rsid w:val="6A187C3B"/>
    <w:rsid w:val="6A1905D7"/>
    <w:rsid w:val="6A1A02B8"/>
    <w:rsid w:val="6A1A6189"/>
    <w:rsid w:val="6A1A662B"/>
    <w:rsid w:val="6A1B4A9D"/>
    <w:rsid w:val="6A1B780C"/>
    <w:rsid w:val="6A1C4030"/>
    <w:rsid w:val="6A1C5DDE"/>
    <w:rsid w:val="6A1D1B56"/>
    <w:rsid w:val="6A1D1DA5"/>
    <w:rsid w:val="6A1D3904"/>
    <w:rsid w:val="6A1D56B2"/>
    <w:rsid w:val="6A1D6279"/>
    <w:rsid w:val="6A1D643E"/>
    <w:rsid w:val="6A1D7A03"/>
    <w:rsid w:val="6A1E09CD"/>
    <w:rsid w:val="6A1E0CE9"/>
    <w:rsid w:val="6A1E2575"/>
    <w:rsid w:val="6A1E2B6C"/>
    <w:rsid w:val="6A1E3383"/>
    <w:rsid w:val="6A1E618D"/>
    <w:rsid w:val="6A1F58CE"/>
    <w:rsid w:val="6A1F646E"/>
    <w:rsid w:val="6A1F767C"/>
    <w:rsid w:val="6A201656"/>
    <w:rsid w:val="6A211646"/>
    <w:rsid w:val="6A2133F4"/>
    <w:rsid w:val="6A213D34"/>
    <w:rsid w:val="6A214B0E"/>
    <w:rsid w:val="6A215085"/>
    <w:rsid w:val="6A22482F"/>
    <w:rsid w:val="6A226566"/>
    <w:rsid w:val="6A2322C7"/>
    <w:rsid w:val="6A235069"/>
    <w:rsid w:val="6A2353BE"/>
    <w:rsid w:val="6A236513"/>
    <w:rsid w:val="6A2406D1"/>
    <w:rsid w:val="6A242EE4"/>
    <w:rsid w:val="6A244C92"/>
    <w:rsid w:val="6A246A40"/>
    <w:rsid w:val="6A256060"/>
    <w:rsid w:val="6A26038C"/>
    <w:rsid w:val="6A2627B9"/>
    <w:rsid w:val="6A2633B2"/>
    <w:rsid w:val="6A265352"/>
    <w:rsid w:val="6A266C5C"/>
    <w:rsid w:val="6A2674F0"/>
    <w:rsid w:val="6A2724C3"/>
    <w:rsid w:val="6A274DB2"/>
    <w:rsid w:val="6A2756DC"/>
    <w:rsid w:val="6A276531"/>
    <w:rsid w:val="6A2776D3"/>
    <w:rsid w:val="6A2829D5"/>
    <w:rsid w:val="6A283551"/>
    <w:rsid w:val="6A2904FB"/>
    <w:rsid w:val="6A29067E"/>
    <w:rsid w:val="6A2957C3"/>
    <w:rsid w:val="6A2A5E71"/>
    <w:rsid w:val="6A2B1F70"/>
    <w:rsid w:val="6A2B4273"/>
    <w:rsid w:val="6A2B6021"/>
    <w:rsid w:val="6A2B7DCF"/>
    <w:rsid w:val="6A2D45F4"/>
    <w:rsid w:val="6A2D7FEB"/>
    <w:rsid w:val="6A2E3D63"/>
    <w:rsid w:val="6A2E5B11"/>
    <w:rsid w:val="6A2E5C82"/>
    <w:rsid w:val="6A2E78BF"/>
    <w:rsid w:val="6A2F0676"/>
    <w:rsid w:val="6A301889"/>
    <w:rsid w:val="6A303637"/>
    <w:rsid w:val="6A3053E5"/>
    <w:rsid w:val="6A31115D"/>
    <w:rsid w:val="6A313D76"/>
    <w:rsid w:val="6A314DED"/>
    <w:rsid w:val="6A314E58"/>
    <w:rsid w:val="6A323EB3"/>
    <w:rsid w:val="6A326306"/>
    <w:rsid w:val="6A3273AF"/>
    <w:rsid w:val="6A331379"/>
    <w:rsid w:val="6A333127"/>
    <w:rsid w:val="6A340ABF"/>
    <w:rsid w:val="6A352F84"/>
    <w:rsid w:val="6A3550F2"/>
    <w:rsid w:val="6A356EA0"/>
    <w:rsid w:val="6A372C18"/>
    <w:rsid w:val="6A3749C6"/>
    <w:rsid w:val="6A37580C"/>
    <w:rsid w:val="6A3761D2"/>
    <w:rsid w:val="6A383046"/>
    <w:rsid w:val="6A3833DF"/>
    <w:rsid w:val="6A386990"/>
    <w:rsid w:val="6A3870A7"/>
    <w:rsid w:val="6A3944D6"/>
    <w:rsid w:val="6A39519D"/>
    <w:rsid w:val="6A39623E"/>
    <w:rsid w:val="6A3966A5"/>
    <w:rsid w:val="6A3972DA"/>
    <w:rsid w:val="6A3A26E2"/>
    <w:rsid w:val="6A3A2708"/>
    <w:rsid w:val="6A3A44B6"/>
    <w:rsid w:val="6A3A4E35"/>
    <w:rsid w:val="6A3A6264"/>
    <w:rsid w:val="6A3B41FB"/>
    <w:rsid w:val="6A3C022E"/>
    <w:rsid w:val="6A3C0A8D"/>
    <w:rsid w:val="6A3C1716"/>
    <w:rsid w:val="6A3C1FDC"/>
    <w:rsid w:val="6A3C2E57"/>
    <w:rsid w:val="6A3C53AF"/>
    <w:rsid w:val="6A3C6480"/>
    <w:rsid w:val="6A3D1075"/>
    <w:rsid w:val="6A3D3FA6"/>
    <w:rsid w:val="6A3D3FF2"/>
    <w:rsid w:val="6A3E07FC"/>
    <w:rsid w:val="6A3E43C2"/>
    <w:rsid w:val="6A3E4DB6"/>
    <w:rsid w:val="6A3E4FB1"/>
    <w:rsid w:val="6A3E764D"/>
    <w:rsid w:val="6A3F1ACC"/>
    <w:rsid w:val="6A3F387A"/>
    <w:rsid w:val="6A3F5AD8"/>
    <w:rsid w:val="6A3F7D1E"/>
    <w:rsid w:val="6A401DA9"/>
    <w:rsid w:val="6A41057D"/>
    <w:rsid w:val="6A415844"/>
    <w:rsid w:val="6A4175F2"/>
    <w:rsid w:val="6A4214B7"/>
    <w:rsid w:val="6A425119"/>
    <w:rsid w:val="6A425588"/>
    <w:rsid w:val="6A431A4D"/>
    <w:rsid w:val="6A440E91"/>
    <w:rsid w:val="6A445335"/>
    <w:rsid w:val="6A4466A8"/>
    <w:rsid w:val="6A447EA4"/>
    <w:rsid w:val="6A455DFD"/>
    <w:rsid w:val="6A45766A"/>
    <w:rsid w:val="6A457C7F"/>
    <w:rsid w:val="6A4610AD"/>
    <w:rsid w:val="6A462E5B"/>
    <w:rsid w:val="6A463F09"/>
    <w:rsid w:val="6A464C09"/>
    <w:rsid w:val="6A470644"/>
    <w:rsid w:val="6A470981"/>
    <w:rsid w:val="6A475782"/>
    <w:rsid w:val="6A48041E"/>
    <w:rsid w:val="6A4813FA"/>
    <w:rsid w:val="6A481A1F"/>
    <w:rsid w:val="6A484E25"/>
    <w:rsid w:val="6A486BD3"/>
    <w:rsid w:val="6A49294B"/>
    <w:rsid w:val="6A492E4F"/>
    <w:rsid w:val="6A493FCB"/>
    <w:rsid w:val="6A4946F9"/>
    <w:rsid w:val="6A496345"/>
    <w:rsid w:val="6A4A2287"/>
    <w:rsid w:val="6A4A51C0"/>
    <w:rsid w:val="6A4A7B76"/>
    <w:rsid w:val="6A4B0471"/>
    <w:rsid w:val="6A4B11E7"/>
    <w:rsid w:val="6A4B50B0"/>
    <w:rsid w:val="6A4B51AA"/>
    <w:rsid w:val="6A4B66C3"/>
    <w:rsid w:val="6A4C1496"/>
    <w:rsid w:val="6A4C5F97"/>
    <w:rsid w:val="6A4C766C"/>
    <w:rsid w:val="6A4D243B"/>
    <w:rsid w:val="6A4D2DE0"/>
    <w:rsid w:val="6A4D41E9"/>
    <w:rsid w:val="6A4E1D0F"/>
    <w:rsid w:val="6A4E24FF"/>
    <w:rsid w:val="6A4E3ABD"/>
    <w:rsid w:val="6A4E526C"/>
    <w:rsid w:val="6A4E61B3"/>
    <w:rsid w:val="6A4E7F61"/>
    <w:rsid w:val="6A4F18F3"/>
    <w:rsid w:val="6A4F2E18"/>
    <w:rsid w:val="6A4F317F"/>
    <w:rsid w:val="6A4F3776"/>
    <w:rsid w:val="6A4F4501"/>
    <w:rsid w:val="6A4F50D4"/>
    <w:rsid w:val="6A503CA1"/>
    <w:rsid w:val="6A503CD9"/>
    <w:rsid w:val="6A505A87"/>
    <w:rsid w:val="6A5061E6"/>
    <w:rsid w:val="6A50644F"/>
    <w:rsid w:val="6A50799A"/>
    <w:rsid w:val="6A513120"/>
    <w:rsid w:val="6A5135AE"/>
    <w:rsid w:val="6A52042B"/>
    <w:rsid w:val="6A520EC7"/>
    <w:rsid w:val="6A521800"/>
    <w:rsid w:val="6A522394"/>
    <w:rsid w:val="6A5266CD"/>
    <w:rsid w:val="6A526DB6"/>
    <w:rsid w:val="6A527A52"/>
    <w:rsid w:val="6A535578"/>
    <w:rsid w:val="6A535E58"/>
    <w:rsid w:val="6A541BD4"/>
    <w:rsid w:val="6A545D7A"/>
    <w:rsid w:val="6A54769C"/>
    <w:rsid w:val="6A54799D"/>
    <w:rsid w:val="6A550E2D"/>
    <w:rsid w:val="6A552686"/>
    <w:rsid w:val="6A55309E"/>
    <w:rsid w:val="6A554E4C"/>
    <w:rsid w:val="6A56186A"/>
    <w:rsid w:val="6A562BD8"/>
    <w:rsid w:val="6A564E8E"/>
    <w:rsid w:val="6A567D36"/>
    <w:rsid w:val="6A572428"/>
    <w:rsid w:val="6A575068"/>
    <w:rsid w:val="6A57631E"/>
    <w:rsid w:val="6A576E16"/>
    <w:rsid w:val="6A582B8E"/>
    <w:rsid w:val="6A583E4F"/>
    <w:rsid w:val="6A597F8E"/>
    <w:rsid w:val="6A5A06B4"/>
    <w:rsid w:val="6A5A28A8"/>
    <w:rsid w:val="6A5A380F"/>
    <w:rsid w:val="6A5A3A5A"/>
    <w:rsid w:val="6A5A5055"/>
    <w:rsid w:val="6A5A6906"/>
    <w:rsid w:val="6A5A7A77"/>
    <w:rsid w:val="6A5B1036"/>
    <w:rsid w:val="6A5B754F"/>
    <w:rsid w:val="6A5B7870"/>
    <w:rsid w:val="6A5C1A6F"/>
    <w:rsid w:val="6A5C32BD"/>
    <w:rsid w:val="6A5C344C"/>
    <w:rsid w:val="6A5C442C"/>
    <w:rsid w:val="6A5C61DA"/>
    <w:rsid w:val="6A5D1F52"/>
    <w:rsid w:val="6A5D30E4"/>
    <w:rsid w:val="6A5D63E6"/>
    <w:rsid w:val="6A5E2065"/>
    <w:rsid w:val="6A5E36DA"/>
    <w:rsid w:val="6A5E63F6"/>
    <w:rsid w:val="6A5F216E"/>
    <w:rsid w:val="6A5F32A1"/>
    <w:rsid w:val="6A5F3F1C"/>
    <w:rsid w:val="6A5F496F"/>
    <w:rsid w:val="6A5F5E7F"/>
    <w:rsid w:val="6A601658"/>
    <w:rsid w:val="6A606EBB"/>
    <w:rsid w:val="6A611A43"/>
    <w:rsid w:val="6A6136E2"/>
    <w:rsid w:val="6A6147E6"/>
    <w:rsid w:val="6A617C95"/>
    <w:rsid w:val="6A620A2B"/>
    <w:rsid w:val="6A621FA1"/>
    <w:rsid w:val="6A622DBE"/>
    <w:rsid w:val="6A6248C6"/>
    <w:rsid w:val="6A624B72"/>
    <w:rsid w:val="6A62558C"/>
    <w:rsid w:val="6A626160"/>
    <w:rsid w:val="6A626EAF"/>
    <w:rsid w:val="6A627569"/>
    <w:rsid w:val="6A63120A"/>
    <w:rsid w:val="6A63265B"/>
    <w:rsid w:val="6A63378A"/>
    <w:rsid w:val="6A634465"/>
    <w:rsid w:val="6A641533"/>
    <w:rsid w:val="6A6432E1"/>
    <w:rsid w:val="6A644177"/>
    <w:rsid w:val="6A661DB2"/>
    <w:rsid w:val="6A6634FD"/>
    <w:rsid w:val="6A6652AB"/>
    <w:rsid w:val="6A6668CE"/>
    <w:rsid w:val="6A667059"/>
    <w:rsid w:val="6A674180"/>
    <w:rsid w:val="6A674B7F"/>
    <w:rsid w:val="6A675E13"/>
    <w:rsid w:val="6A6809E4"/>
    <w:rsid w:val="6A68198A"/>
    <w:rsid w:val="6A682DD1"/>
    <w:rsid w:val="6A687C5F"/>
    <w:rsid w:val="6A691E74"/>
    <w:rsid w:val="6A6B139E"/>
    <w:rsid w:val="6A6B466F"/>
    <w:rsid w:val="6A6C0441"/>
    <w:rsid w:val="6A6C63A9"/>
    <w:rsid w:val="6A6D488B"/>
    <w:rsid w:val="6A6D6639"/>
    <w:rsid w:val="6A6D70B4"/>
    <w:rsid w:val="6A6E1D88"/>
    <w:rsid w:val="6A6E23B2"/>
    <w:rsid w:val="6A6E4ABD"/>
    <w:rsid w:val="6A6E5F0E"/>
    <w:rsid w:val="6A6F12DE"/>
    <w:rsid w:val="6A6F5CE6"/>
    <w:rsid w:val="6A700FDF"/>
    <w:rsid w:val="6A705A35"/>
    <w:rsid w:val="6A705D27"/>
    <w:rsid w:val="6A705DB1"/>
    <w:rsid w:val="6A717754"/>
    <w:rsid w:val="6A717B99"/>
    <w:rsid w:val="6A721113"/>
    <w:rsid w:val="6A7221C4"/>
    <w:rsid w:val="6A724667"/>
    <w:rsid w:val="6A7279F8"/>
    <w:rsid w:val="6A735AF7"/>
    <w:rsid w:val="6A7379C8"/>
    <w:rsid w:val="6A740F89"/>
    <w:rsid w:val="6A743FF8"/>
    <w:rsid w:val="6A747D2D"/>
    <w:rsid w:val="6A753740"/>
    <w:rsid w:val="6A755CB7"/>
    <w:rsid w:val="6A755E19"/>
    <w:rsid w:val="6A7618A7"/>
    <w:rsid w:val="6A766E8E"/>
    <w:rsid w:val="6A771266"/>
    <w:rsid w:val="6A771A0E"/>
    <w:rsid w:val="6A773014"/>
    <w:rsid w:val="6A775327"/>
    <w:rsid w:val="6A77650A"/>
    <w:rsid w:val="6A7774B8"/>
    <w:rsid w:val="6A786D8C"/>
    <w:rsid w:val="6A7875F5"/>
    <w:rsid w:val="6A7906FC"/>
    <w:rsid w:val="6A791969"/>
    <w:rsid w:val="6A7A0D56"/>
    <w:rsid w:val="6A7A16B8"/>
    <w:rsid w:val="6A7A2B04"/>
    <w:rsid w:val="6A7A3159"/>
    <w:rsid w:val="6A7A45D9"/>
    <w:rsid w:val="6A7A48B2"/>
    <w:rsid w:val="6A7B2288"/>
    <w:rsid w:val="6A7B27B2"/>
    <w:rsid w:val="6A7B2EC1"/>
    <w:rsid w:val="6A7C02EA"/>
    <w:rsid w:val="6A7C062B"/>
    <w:rsid w:val="6A7C0F59"/>
    <w:rsid w:val="6A7C1F1D"/>
    <w:rsid w:val="6A7C473B"/>
    <w:rsid w:val="6A7C5719"/>
    <w:rsid w:val="6A7D0039"/>
    <w:rsid w:val="6A7D43A3"/>
    <w:rsid w:val="6A7D7D49"/>
    <w:rsid w:val="6A7E0847"/>
    <w:rsid w:val="6A7E1754"/>
    <w:rsid w:val="6A7E25F5"/>
    <w:rsid w:val="6A7E3AD1"/>
    <w:rsid w:val="6A7F011B"/>
    <w:rsid w:val="6A7F39FD"/>
    <w:rsid w:val="6A7F45BF"/>
    <w:rsid w:val="6A7F5402"/>
    <w:rsid w:val="6A7F690E"/>
    <w:rsid w:val="6A8000FB"/>
    <w:rsid w:val="6A8032A9"/>
    <w:rsid w:val="6A80763F"/>
    <w:rsid w:val="6A8120E5"/>
    <w:rsid w:val="6A81306D"/>
    <w:rsid w:val="6A813238"/>
    <w:rsid w:val="6A813E93"/>
    <w:rsid w:val="6A81579B"/>
    <w:rsid w:val="6A8169BA"/>
    <w:rsid w:val="6A831DF7"/>
    <w:rsid w:val="6A833EAB"/>
    <w:rsid w:val="6A835E5D"/>
    <w:rsid w:val="6A841BD5"/>
    <w:rsid w:val="6A841F2A"/>
    <w:rsid w:val="6A843983"/>
    <w:rsid w:val="6A844D2F"/>
    <w:rsid w:val="6A845731"/>
    <w:rsid w:val="6A845922"/>
    <w:rsid w:val="6A857F0C"/>
    <w:rsid w:val="6A8614A9"/>
    <w:rsid w:val="6A86285B"/>
    <w:rsid w:val="6A86594D"/>
    <w:rsid w:val="6A867028"/>
    <w:rsid w:val="6A8674D8"/>
    <w:rsid w:val="6A8676FB"/>
    <w:rsid w:val="6A870304"/>
    <w:rsid w:val="6A877182"/>
    <w:rsid w:val="6A88688D"/>
    <w:rsid w:val="6A8919B9"/>
    <w:rsid w:val="6A892D47"/>
    <w:rsid w:val="6A8966AD"/>
    <w:rsid w:val="6A8A11AD"/>
    <w:rsid w:val="6A8A71EB"/>
    <w:rsid w:val="6A8B2F63"/>
    <w:rsid w:val="6A8B4D12"/>
    <w:rsid w:val="6A8B6AC0"/>
    <w:rsid w:val="6A8C22CC"/>
    <w:rsid w:val="6A8D43C4"/>
    <w:rsid w:val="6A8D45BC"/>
    <w:rsid w:val="6A8D6CDC"/>
    <w:rsid w:val="6A8D7B2E"/>
    <w:rsid w:val="6A8E035E"/>
    <w:rsid w:val="6A8E0838"/>
    <w:rsid w:val="6A8F3D38"/>
    <w:rsid w:val="6A8F4052"/>
    <w:rsid w:val="6A8F4802"/>
    <w:rsid w:val="6A9040D6"/>
    <w:rsid w:val="6A906F5C"/>
    <w:rsid w:val="6A9164AF"/>
    <w:rsid w:val="6A922510"/>
    <w:rsid w:val="6A9260A0"/>
    <w:rsid w:val="6A926B52"/>
    <w:rsid w:val="6A92793F"/>
    <w:rsid w:val="6A9339A0"/>
    <w:rsid w:val="6A933BC6"/>
    <w:rsid w:val="6A933E37"/>
    <w:rsid w:val="6A935974"/>
    <w:rsid w:val="6A937455"/>
    <w:rsid w:val="6A94006A"/>
    <w:rsid w:val="6A941E18"/>
    <w:rsid w:val="6A943CB2"/>
    <w:rsid w:val="6A945A47"/>
    <w:rsid w:val="6A950A69"/>
    <w:rsid w:val="6A9516EC"/>
    <w:rsid w:val="6A955B90"/>
    <w:rsid w:val="6A95793E"/>
    <w:rsid w:val="6A965845"/>
    <w:rsid w:val="6A970CFF"/>
    <w:rsid w:val="6A971908"/>
    <w:rsid w:val="6A971C86"/>
    <w:rsid w:val="6A972321"/>
    <w:rsid w:val="6A972D26"/>
    <w:rsid w:val="6A9736B6"/>
    <w:rsid w:val="6A975464"/>
    <w:rsid w:val="6A9811DC"/>
    <w:rsid w:val="6A982E7E"/>
    <w:rsid w:val="6A990397"/>
    <w:rsid w:val="6A993775"/>
    <w:rsid w:val="6A996E4C"/>
    <w:rsid w:val="6A997170"/>
    <w:rsid w:val="6A99742E"/>
    <w:rsid w:val="6A9A31A7"/>
    <w:rsid w:val="6A9A3873"/>
    <w:rsid w:val="6A9A66D9"/>
    <w:rsid w:val="6A9A6D03"/>
    <w:rsid w:val="6A9B2936"/>
    <w:rsid w:val="6A9B3E40"/>
    <w:rsid w:val="6A9B5E91"/>
    <w:rsid w:val="6A9B5EF7"/>
    <w:rsid w:val="6A9B5FB2"/>
    <w:rsid w:val="6A9C0CCD"/>
    <w:rsid w:val="6A9C1536"/>
    <w:rsid w:val="6A9C35C2"/>
    <w:rsid w:val="6A9C3834"/>
    <w:rsid w:val="6A9C69B3"/>
    <w:rsid w:val="6A9C69D0"/>
    <w:rsid w:val="6A9D599D"/>
    <w:rsid w:val="6A9E228F"/>
    <w:rsid w:val="6A9E2C97"/>
    <w:rsid w:val="6A9E4A45"/>
    <w:rsid w:val="6A9E5F44"/>
    <w:rsid w:val="6A9E67F3"/>
    <w:rsid w:val="6A9F07BD"/>
    <w:rsid w:val="6A9F256B"/>
    <w:rsid w:val="6A9F3684"/>
    <w:rsid w:val="6AA01BDD"/>
    <w:rsid w:val="6AA05CF3"/>
    <w:rsid w:val="6AA06083"/>
    <w:rsid w:val="6AA061BF"/>
    <w:rsid w:val="6AA162E3"/>
    <w:rsid w:val="6AA26947"/>
    <w:rsid w:val="6AA27B73"/>
    <w:rsid w:val="6AA3205B"/>
    <w:rsid w:val="6AA33E09"/>
    <w:rsid w:val="6AA40425"/>
    <w:rsid w:val="6AA439BC"/>
    <w:rsid w:val="6AA45DD3"/>
    <w:rsid w:val="6AA47874"/>
    <w:rsid w:val="6AA47B81"/>
    <w:rsid w:val="6AA54025"/>
    <w:rsid w:val="6AA55194"/>
    <w:rsid w:val="6AA55B3D"/>
    <w:rsid w:val="6AA574F6"/>
    <w:rsid w:val="6AA57CB8"/>
    <w:rsid w:val="6AA60986"/>
    <w:rsid w:val="6AA61B4B"/>
    <w:rsid w:val="6AA62D1F"/>
    <w:rsid w:val="6AA656A7"/>
    <w:rsid w:val="6AA74E69"/>
    <w:rsid w:val="6AA7617C"/>
    <w:rsid w:val="6AA84736"/>
    <w:rsid w:val="6AA90413"/>
    <w:rsid w:val="6AA909B4"/>
    <w:rsid w:val="6AA95198"/>
    <w:rsid w:val="6AA95BC6"/>
    <w:rsid w:val="6AA96B97"/>
    <w:rsid w:val="6AAA0797"/>
    <w:rsid w:val="6AAA07D3"/>
    <w:rsid w:val="6AAB1C27"/>
    <w:rsid w:val="6AAB3D01"/>
    <w:rsid w:val="6AAB7091"/>
    <w:rsid w:val="6AAB7162"/>
    <w:rsid w:val="6AAC30B7"/>
    <w:rsid w:val="6AAC5675"/>
    <w:rsid w:val="6AAD0FDC"/>
    <w:rsid w:val="6AAD4C88"/>
    <w:rsid w:val="6AAD7118"/>
    <w:rsid w:val="6AAE27AE"/>
    <w:rsid w:val="6AAF0A00"/>
    <w:rsid w:val="6AAF6C52"/>
    <w:rsid w:val="6AB01A4C"/>
    <w:rsid w:val="6AB029CA"/>
    <w:rsid w:val="6AB0766B"/>
    <w:rsid w:val="6AB15A99"/>
    <w:rsid w:val="6AB16F29"/>
    <w:rsid w:val="6AB21489"/>
    <w:rsid w:val="6AB24E01"/>
    <w:rsid w:val="6AB26742"/>
    <w:rsid w:val="6AB30417"/>
    <w:rsid w:val="6AB3141C"/>
    <w:rsid w:val="6AB31B13"/>
    <w:rsid w:val="6AB31B41"/>
    <w:rsid w:val="6AB358F2"/>
    <w:rsid w:val="6AB37DC4"/>
    <w:rsid w:val="6AB42DF0"/>
    <w:rsid w:val="6AB46016"/>
    <w:rsid w:val="6AB5047B"/>
    <w:rsid w:val="6AB52CF2"/>
    <w:rsid w:val="6AB537BB"/>
    <w:rsid w:val="6AB53B3C"/>
    <w:rsid w:val="6AB55830"/>
    <w:rsid w:val="6AB57FE0"/>
    <w:rsid w:val="6AB60C9F"/>
    <w:rsid w:val="6AB63CAE"/>
    <w:rsid w:val="6AB7328F"/>
    <w:rsid w:val="6AB7447F"/>
    <w:rsid w:val="6AB749AC"/>
    <w:rsid w:val="6AB75B07"/>
    <w:rsid w:val="6AB774A4"/>
    <w:rsid w:val="6AB778B5"/>
    <w:rsid w:val="6AB83120"/>
    <w:rsid w:val="6AB8422B"/>
    <w:rsid w:val="6AB87CD8"/>
    <w:rsid w:val="6AB91C7E"/>
    <w:rsid w:val="6AB92593"/>
    <w:rsid w:val="6AB9362D"/>
    <w:rsid w:val="6AB956BB"/>
    <w:rsid w:val="6AB97AD1"/>
    <w:rsid w:val="6ABA1153"/>
    <w:rsid w:val="6ABA55F7"/>
    <w:rsid w:val="6ABA5F21"/>
    <w:rsid w:val="6ABA631B"/>
    <w:rsid w:val="6ABA73A5"/>
    <w:rsid w:val="6ABB3600"/>
    <w:rsid w:val="6ABC1CE1"/>
    <w:rsid w:val="6ABC2BAC"/>
    <w:rsid w:val="6ABC311D"/>
    <w:rsid w:val="6ABC4ECB"/>
    <w:rsid w:val="6ABD0B09"/>
    <w:rsid w:val="6ABD54CC"/>
    <w:rsid w:val="6ABD6C0D"/>
    <w:rsid w:val="6ABD7D4C"/>
    <w:rsid w:val="6ABD7EB9"/>
    <w:rsid w:val="6ABE50E7"/>
    <w:rsid w:val="6ABE6E95"/>
    <w:rsid w:val="6ABF2841"/>
    <w:rsid w:val="6ABF3C53"/>
    <w:rsid w:val="6ABF3F4A"/>
    <w:rsid w:val="6ABF454A"/>
    <w:rsid w:val="6ABF49BB"/>
    <w:rsid w:val="6AC00E5F"/>
    <w:rsid w:val="6AC02C0D"/>
    <w:rsid w:val="6AC040FE"/>
    <w:rsid w:val="6AC05966"/>
    <w:rsid w:val="6AC102FC"/>
    <w:rsid w:val="6AC10733"/>
    <w:rsid w:val="6AC124E1"/>
    <w:rsid w:val="6AC16985"/>
    <w:rsid w:val="6AC202F6"/>
    <w:rsid w:val="6AC26D14"/>
    <w:rsid w:val="6AC332CC"/>
    <w:rsid w:val="6AC344AB"/>
    <w:rsid w:val="6AC36259"/>
    <w:rsid w:val="6AC36B20"/>
    <w:rsid w:val="6AC40314"/>
    <w:rsid w:val="6AC41411"/>
    <w:rsid w:val="6AC43F0F"/>
    <w:rsid w:val="6AC4570C"/>
    <w:rsid w:val="6AC50223"/>
    <w:rsid w:val="6AC51803"/>
    <w:rsid w:val="6AC5597F"/>
    <w:rsid w:val="6AC560D4"/>
    <w:rsid w:val="6AC56475"/>
    <w:rsid w:val="6AC56CDD"/>
    <w:rsid w:val="6AC63A0A"/>
    <w:rsid w:val="6AC647BD"/>
    <w:rsid w:val="6AC65D4A"/>
    <w:rsid w:val="6AC67868"/>
    <w:rsid w:val="6AC76609"/>
    <w:rsid w:val="6AC81AC2"/>
    <w:rsid w:val="6AC83870"/>
    <w:rsid w:val="6AC83D20"/>
    <w:rsid w:val="6AC84883"/>
    <w:rsid w:val="6AC87D14"/>
    <w:rsid w:val="6AC90F58"/>
    <w:rsid w:val="6AC92AB8"/>
    <w:rsid w:val="6AC975E8"/>
    <w:rsid w:val="6ACA155E"/>
    <w:rsid w:val="6ACA3A8C"/>
    <w:rsid w:val="6ACA583A"/>
    <w:rsid w:val="6ACB2C12"/>
    <w:rsid w:val="6ACB393E"/>
    <w:rsid w:val="6ACB7804"/>
    <w:rsid w:val="6ACC2F49"/>
    <w:rsid w:val="6ACC7244"/>
    <w:rsid w:val="6ACD0E86"/>
    <w:rsid w:val="6ACD435A"/>
    <w:rsid w:val="6ACD6899"/>
    <w:rsid w:val="6ACD6944"/>
    <w:rsid w:val="6ACE0490"/>
    <w:rsid w:val="6ACE04CB"/>
    <w:rsid w:val="6ACE2DA2"/>
    <w:rsid w:val="6ACE49D7"/>
    <w:rsid w:val="6ACE4A5B"/>
    <w:rsid w:val="6ACE4BFE"/>
    <w:rsid w:val="6ACE5C60"/>
    <w:rsid w:val="6ACF0A20"/>
    <w:rsid w:val="6ACF1022"/>
    <w:rsid w:val="6ACF28A3"/>
    <w:rsid w:val="6ACF6B4A"/>
    <w:rsid w:val="6AD024B2"/>
    <w:rsid w:val="6AD05083"/>
    <w:rsid w:val="6AD05313"/>
    <w:rsid w:val="6AD0659B"/>
    <w:rsid w:val="6AD14A77"/>
    <w:rsid w:val="6AD14E1A"/>
    <w:rsid w:val="6AD205CF"/>
    <w:rsid w:val="6AD2649C"/>
    <w:rsid w:val="6AD30E30"/>
    <w:rsid w:val="6AD30F68"/>
    <w:rsid w:val="6AD42215"/>
    <w:rsid w:val="6AD43739"/>
    <w:rsid w:val="6AD466B8"/>
    <w:rsid w:val="6AD4679F"/>
    <w:rsid w:val="6AD53753"/>
    <w:rsid w:val="6AD55B21"/>
    <w:rsid w:val="6AD55F8D"/>
    <w:rsid w:val="6AD66324"/>
    <w:rsid w:val="6AD66476"/>
    <w:rsid w:val="6AD70D9D"/>
    <w:rsid w:val="6AD7107C"/>
    <w:rsid w:val="6AD71D05"/>
    <w:rsid w:val="6AD72863"/>
    <w:rsid w:val="6AD77F57"/>
    <w:rsid w:val="6AD81937"/>
    <w:rsid w:val="6AD85A35"/>
    <w:rsid w:val="6AD93563"/>
    <w:rsid w:val="6AD959DC"/>
    <w:rsid w:val="6AD95A7D"/>
    <w:rsid w:val="6AD9782B"/>
    <w:rsid w:val="6ADA17BB"/>
    <w:rsid w:val="6ADA30F4"/>
    <w:rsid w:val="6ADB2AD2"/>
    <w:rsid w:val="6ADB7A47"/>
    <w:rsid w:val="6ADC0A54"/>
    <w:rsid w:val="6ADC11CE"/>
    <w:rsid w:val="6ADC3625"/>
    <w:rsid w:val="6ADC556D"/>
    <w:rsid w:val="6ADC731B"/>
    <w:rsid w:val="6ADC780A"/>
    <w:rsid w:val="6ADD1791"/>
    <w:rsid w:val="6ADD1EE4"/>
    <w:rsid w:val="6ADD20E7"/>
    <w:rsid w:val="6ADE12E5"/>
    <w:rsid w:val="6ADE1555"/>
    <w:rsid w:val="6ADE3093"/>
    <w:rsid w:val="6ADE5F45"/>
    <w:rsid w:val="6ADE7537"/>
    <w:rsid w:val="6ADF0BB9"/>
    <w:rsid w:val="6ADF6666"/>
    <w:rsid w:val="6ADF6E0B"/>
    <w:rsid w:val="6AE01FA6"/>
    <w:rsid w:val="6AE0505D"/>
    <w:rsid w:val="6AE05804"/>
    <w:rsid w:val="6AE10DD5"/>
    <w:rsid w:val="6AE12B83"/>
    <w:rsid w:val="6AE14931"/>
    <w:rsid w:val="6AE213F9"/>
    <w:rsid w:val="6AE248C6"/>
    <w:rsid w:val="6AE27497"/>
    <w:rsid w:val="6AE306AA"/>
    <w:rsid w:val="6AE329B7"/>
    <w:rsid w:val="6AE331C0"/>
    <w:rsid w:val="6AE34B4E"/>
    <w:rsid w:val="6AE368FC"/>
    <w:rsid w:val="6AE400AD"/>
    <w:rsid w:val="6AE406E4"/>
    <w:rsid w:val="6AE461D0"/>
    <w:rsid w:val="6AE47C00"/>
    <w:rsid w:val="6AE508C6"/>
    <w:rsid w:val="6AE52674"/>
    <w:rsid w:val="6AE53247"/>
    <w:rsid w:val="6AE6019A"/>
    <w:rsid w:val="6AE60B21"/>
    <w:rsid w:val="6AE61F48"/>
    <w:rsid w:val="6AE622CD"/>
    <w:rsid w:val="6AE627D2"/>
    <w:rsid w:val="6AE64B81"/>
    <w:rsid w:val="6AE70CCA"/>
    <w:rsid w:val="6AE715DB"/>
    <w:rsid w:val="6AE72A0E"/>
    <w:rsid w:val="6AE74312"/>
    <w:rsid w:val="6AE82164"/>
    <w:rsid w:val="6AE832A7"/>
    <w:rsid w:val="6AE83309"/>
    <w:rsid w:val="6AE83F12"/>
    <w:rsid w:val="6AE85CC0"/>
    <w:rsid w:val="6AEA44E8"/>
    <w:rsid w:val="6AEA51E8"/>
    <w:rsid w:val="6AEB2500"/>
    <w:rsid w:val="6AEB2793"/>
    <w:rsid w:val="6AEB3A02"/>
    <w:rsid w:val="6AEB57B0"/>
    <w:rsid w:val="6AEB5A2B"/>
    <w:rsid w:val="6AEC0549"/>
    <w:rsid w:val="6AEC2279"/>
    <w:rsid w:val="6AEC6ED0"/>
    <w:rsid w:val="6AED1528"/>
    <w:rsid w:val="6AED232B"/>
    <w:rsid w:val="6AED64C8"/>
    <w:rsid w:val="6AED777A"/>
    <w:rsid w:val="6AEE2E69"/>
    <w:rsid w:val="6AEE5A3A"/>
    <w:rsid w:val="6AEF34F2"/>
    <w:rsid w:val="6AEF52A0"/>
    <w:rsid w:val="6AEF6ECA"/>
    <w:rsid w:val="6AEF704E"/>
    <w:rsid w:val="6AF01018"/>
    <w:rsid w:val="6AF02DC7"/>
    <w:rsid w:val="6AF06853"/>
    <w:rsid w:val="6AF17293"/>
    <w:rsid w:val="6AF208ED"/>
    <w:rsid w:val="6AF2205D"/>
    <w:rsid w:val="6AF23A29"/>
    <w:rsid w:val="6AF3005C"/>
    <w:rsid w:val="6AF36542"/>
    <w:rsid w:val="6AF36CDB"/>
    <w:rsid w:val="6AF428B7"/>
    <w:rsid w:val="6AF42ACD"/>
    <w:rsid w:val="6AF44665"/>
    <w:rsid w:val="6AF51241"/>
    <w:rsid w:val="6AF51A17"/>
    <w:rsid w:val="6AF52D3C"/>
    <w:rsid w:val="6AF54154"/>
    <w:rsid w:val="6AF56BA1"/>
    <w:rsid w:val="6AF605F3"/>
    <w:rsid w:val="6AF60ABC"/>
    <w:rsid w:val="6AF61F9E"/>
    <w:rsid w:val="6AF64881"/>
    <w:rsid w:val="6AF64A64"/>
    <w:rsid w:val="6AF652C2"/>
    <w:rsid w:val="6AF66D9D"/>
    <w:rsid w:val="6AF705F9"/>
    <w:rsid w:val="6AF723A7"/>
    <w:rsid w:val="6AF72FEB"/>
    <w:rsid w:val="6AF748A0"/>
    <w:rsid w:val="6AF74E11"/>
    <w:rsid w:val="6AF75108"/>
    <w:rsid w:val="6AF75DB5"/>
    <w:rsid w:val="6AF77B29"/>
    <w:rsid w:val="6AF82B27"/>
    <w:rsid w:val="6AF85ADD"/>
    <w:rsid w:val="6AF87AD5"/>
    <w:rsid w:val="6AF87E20"/>
    <w:rsid w:val="6AF9059F"/>
    <w:rsid w:val="6AF95A85"/>
    <w:rsid w:val="6AF9611F"/>
    <w:rsid w:val="6AF97ECD"/>
    <w:rsid w:val="6AFA04F5"/>
    <w:rsid w:val="6AFA41F9"/>
    <w:rsid w:val="6AFA59F3"/>
    <w:rsid w:val="6AFA7EFE"/>
    <w:rsid w:val="6AFB3C45"/>
    <w:rsid w:val="6AFB6C6A"/>
    <w:rsid w:val="6AFB6D02"/>
    <w:rsid w:val="6AFC1318"/>
    <w:rsid w:val="6AFC176B"/>
    <w:rsid w:val="6AFC436F"/>
    <w:rsid w:val="6AFC5C0F"/>
    <w:rsid w:val="6AFC79BD"/>
    <w:rsid w:val="6AFD14CE"/>
    <w:rsid w:val="6AFD1B02"/>
    <w:rsid w:val="6AFD2686"/>
    <w:rsid w:val="6AFD3700"/>
    <w:rsid w:val="6AFD5B48"/>
    <w:rsid w:val="6AFD7E4E"/>
    <w:rsid w:val="6AFE1987"/>
    <w:rsid w:val="6AFE4962"/>
    <w:rsid w:val="6AFE54E3"/>
    <w:rsid w:val="6AFE65C3"/>
    <w:rsid w:val="6AFE7CBB"/>
    <w:rsid w:val="6AFF300A"/>
    <w:rsid w:val="6AFF78BC"/>
    <w:rsid w:val="6B003A54"/>
    <w:rsid w:val="6B0074AE"/>
    <w:rsid w:val="6B01007F"/>
    <w:rsid w:val="6B013226"/>
    <w:rsid w:val="6B014FD4"/>
    <w:rsid w:val="6B016D82"/>
    <w:rsid w:val="6B021140"/>
    <w:rsid w:val="6B025F15"/>
    <w:rsid w:val="6B032AFA"/>
    <w:rsid w:val="6B03572E"/>
    <w:rsid w:val="6B036F9E"/>
    <w:rsid w:val="6B040620"/>
    <w:rsid w:val="6B0413A1"/>
    <w:rsid w:val="6B050FE6"/>
    <w:rsid w:val="6B0511BA"/>
    <w:rsid w:val="6B052831"/>
    <w:rsid w:val="6B056872"/>
    <w:rsid w:val="6B0625EA"/>
    <w:rsid w:val="6B063CC1"/>
    <w:rsid w:val="6B07083C"/>
    <w:rsid w:val="6B0807D1"/>
    <w:rsid w:val="6B0810A2"/>
    <w:rsid w:val="6B082D98"/>
    <w:rsid w:val="6B08365E"/>
    <w:rsid w:val="6B0845B4"/>
    <w:rsid w:val="6B0865E1"/>
    <w:rsid w:val="6B092642"/>
    <w:rsid w:val="6B093645"/>
    <w:rsid w:val="6B096AEE"/>
    <w:rsid w:val="6B097561"/>
    <w:rsid w:val="6B097A71"/>
    <w:rsid w:val="6B0A032C"/>
    <w:rsid w:val="6B0A0941"/>
    <w:rsid w:val="6B0A20DA"/>
    <w:rsid w:val="6B0A3E88"/>
    <w:rsid w:val="6B0A5308"/>
    <w:rsid w:val="6B0A6824"/>
    <w:rsid w:val="6B0B4F62"/>
    <w:rsid w:val="6B0B66A3"/>
    <w:rsid w:val="6B0C0FC3"/>
    <w:rsid w:val="6B0C16AE"/>
    <w:rsid w:val="6B0C22D6"/>
    <w:rsid w:val="6B0C7390"/>
    <w:rsid w:val="6B0D00D7"/>
    <w:rsid w:val="6B0D1BCA"/>
    <w:rsid w:val="6B0D3978"/>
    <w:rsid w:val="6B0E38E3"/>
    <w:rsid w:val="6B0E5024"/>
    <w:rsid w:val="6B0E7E3A"/>
    <w:rsid w:val="6B0F149F"/>
    <w:rsid w:val="6B0F45E5"/>
    <w:rsid w:val="6B0F5943"/>
    <w:rsid w:val="6B0F64B4"/>
    <w:rsid w:val="6B0F6861"/>
    <w:rsid w:val="6B0F76F1"/>
    <w:rsid w:val="6B102C5F"/>
    <w:rsid w:val="6B1116BB"/>
    <w:rsid w:val="6B111BB8"/>
    <w:rsid w:val="6B111D6B"/>
    <w:rsid w:val="6B12225D"/>
    <w:rsid w:val="6B1342D7"/>
    <w:rsid w:val="6B1362C5"/>
    <w:rsid w:val="6B136E3A"/>
    <w:rsid w:val="6B144D07"/>
    <w:rsid w:val="6B155418"/>
    <w:rsid w:val="6B1559CE"/>
    <w:rsid w:val="6B160A7F"/>
    <w:rsid w:val="6B1619BA"/>
    <w:rsid w:val="6B166CD1"/>
    <w:rsid w:val="6B167C5E"/>
    <w:rsid w:val="6B170353"/>
    <w:rsid w:val="6B1765A5"/>
    <w:rsid w:val="6B18174A"/>
    <w:rsid w:val="6B1828E5"/>
    <w:rsid w:val="6B182A49"/>
    <w:rsid w:val="6B1857E1"/>
    <w:rsid w:val="6B19056F"/>
    <w:rsid w:val="6B1909F6"/>
    <w:rsid w:val="6B1940CB"/>
    <w:rsid w:val="6B195253"/>
    <w:rsid w:val="6B197DD7"/>
    <w:rsid w:val="6B1A09C3"/>
    <w:rsid w:val="6B1A3D1C"/>
    <w:rsid w:val="6B1A6EEE"/>
    <w:rsid w:val="6B1B42E7"/>
    <w:rsid w:val="6B1B6095"/>
    <w:rsid w:val="6B1C1E0E"/>
    <w:rsid w:val="6B1C2930"/>
    <w:rsid w:val="6B1C3BBC"/>
    <w:rsid w:val="6B1D005F"/>
    <w:rsid w:val="6B1D1948"/>
    <w:rsid w:val="6B1E16E2"/>
    <w:rsid w:val="6B1E33D8"/>
    <w:rsid w:val="6B1E4A23"/>
    <w:rsid w:val="6B1E7934"/>
    <w:rsid w:val="6B1E7954"/>
    <w:rsid w:val="6B1F1182"/>
    <w:rsid w:val="6B1F4423"/>
    <w:rsid w:val="6B1F62A6"/>
    <w:rsid w:val="6B2018FE"/>
    <w:rsid w:val="6B2036AC"/>
    <w:rsid w:val="6B20545A"/>
    <w:rsid w:val="6B2057BE"/>
    <w:rsid w:val="6B205CF8"/>
    <w:rsid w:val="6B207439"/>
    <w:rsid w:val="6B2103CE"/>
    <w:rsid w:val="6B2105B6"/>
    <w:rsid w:val="6B2108C9"/>
    <w:rsid w:val="6B2111D2"/>
    <w:rsid w:val="6B21130D"/>
    <w:rsid w:val="6B221653"/>
    <w:rsid w:val="6B225676"/>
    <w:rsid w:val="6B2313EE"/>
    <w:rsid w:val="6B23319C"/>
    <w:rsid w:val="6B233C07"/>
    <w:rsid w:val="6B234F4A"/>
    <w:rsid w:val="6B235E81"/>
    <w:rsid w:val="6B2367ED"/>
    <w:rsid w:val="6B2430E0"/>
    <w:rsid w:val="6B2445BD"/>
    <w:rsid w:val="6B2461B9"/>
    <w:rsid w:val="6B24724A"/>
    <w:rsid w:val="6B252A70"/>
    <w:rsid w:val="6B255CF4"/>
    <w:rsid w:val="6B256F14"/>
    <w:rsid w:val="6B262122"/>
    <w:rsid w:val="6B26274F"/>
    <w:rsid w:val="6B264A3A"/>
    <w:rsid w:val="6B26675D"/>
    <w:rsid w:val="6B2667E8"/>
    <w:rsid w:val="6B274718"/>
    <w:rsid w:val="6B2766F9"/>
    <w:rsid w:val="6B2807B2"/>
    <w:rsid w:val="6B280C58"/>
    <w:rsid w:val="6B282560"/>
    <w:rsid w:val="6B283030"/>
    <w:rsid w:val="6B285A80"/>
    <w:rsid w:val="6B291C2C"/>
    <w:rsid w:val="6B293C1E"/>
    <w:rsid w:val="6B296FCD"/>
    <w:rsid w:val="6B297923"/>
    <w:rsid w:val="6B2A1688"/>
    <w:rsid w:val="6B2A277C"/>
    <w:rsid w:val="6B2A4215"/>
    <w:rsid w:val="6B2A452A"/>
    <w:rsid w:val="6B2A62D8"/>
    <w:rsid w:val="6B2A668F"/>
    <w:rsid w:val="6B2B2F81"/>
    <w:rsid w:val="6B2B52BE"/>
    <w:rsid w:val="6B2C02A3"/>
    <w:rsid w:val="6B2C186D"/>
    <w:rsid w:val="6B2C2051"/>
    <w:rsid w:val="6B2C7053"/>
    <w:rsid w:val="6B2C7FC2"/>
    <w:rsid w:val="6B2D401B"/>
    <w:rsid w:val="6B2D6E6C"/>
    <w:rsid w:val="6B2D7B77"/>
    <w:rsid w:val="6B2E02FC"/>
    <w:rsid w:val="6B2E2EE7"/>
    <w:rsid w:val="6B2E422E"/>
    <w:rsid w:val="6B2F1AE8"/>
    <w:rsid w:val="6B2F1B41"/>
    <w:rsid w:val="6B2F38EF"/>
    <w:rsid w:val="6B2F7D93"/>
    <w:rsid w:val="6B305A5E"/>
    <w:rsid w:val="6B3103BE"/>
    <w:rsid w:val="6B314CFF"/>
    <w:rsid w:val="6B321631"/>
    <w:rsid w:val="6B322639"/>
    <w:rsid w:val="6B3233DF"/>
    <w:rsid w:val="6B32518D"/>
    <w:rsid w:val="6B3258C0"/>
    <w:rsid w:val="6B325B96"/>
    <w:rsid w:val="6B3269F9"/>
    <w:rsid w:val="6B332CDE"/>
    <w:rsid w:val="6B336B63"/>
    <w:rsid w:val="6B33736F"/>
    <w:rsid w:val="6B340F05"/>
    <w:rsid w:val="6B347157"/>
    <w:rsid w:val="6B3501CF"/>
    <w:rsid w:val="6B361121"/>
    <w:rsid w:val="6B364230"/>
    <w:rsid w:val="6B364C16"/>
    <w:rsid w:val="6B364C7D"/>
    <w:rsid w:val="6B364E48"/>
    <w:rsid w:val="6B3657B6"/>
    <w:rsid w:val="6B370279"/>
    <w:rsid w:val="6B3709F5"/>
    <w:rsid w:val="6B371A74"/>
    <w:rsid w:val="6B3727A3"/>
    <w:rsid w:val="6B3761AE"/>
    <w:rsid w:val="6B376C47"/>
    <w:rsid w:val="6B377E40"/>
    <w:rsid w:val="6B384912"/>
    <w:rsid w:val="6B39476E"/>
    <w:rsid w:val="6B3A3561"/>
    <w:rsid w:val="6B3A5910"/>
    <w:rsid w:val="6B3A5B2C"/>
    <w:rsid w:val="6B3B0F8E"/>
    <w:rsid w:val="6B3B2294"/>
    <w:rsid w:val="6B3B6DF2"/>
    <w:rsid w:val="6B3B7583"/>
    <w:rsid w:val="6B3C55A5"/>
    <w:rsid w:val="6B3C600C"/>
    <w:rsid w:val="6B3D24B0"/>
    <w:rsid w:val="6B3D4627"/>
    <w:rsid w:val="6B3D4ECA"/>
    <w:rsid w:val="6B3D6961"/>
    <w:rsid w:val="6B3E1D84"/>
    <w:rsid w:val="6B3E29C2"/>
    <w:rsid w:val="6B3E7FD6"/>
    <w:rsid w:val="6B403D4E"/>
    <w:rsid w:val="6B4045F8"/>
    <w:rsid w:val="6B405AFC"/>
    <w:rsid w:val="6B4078AA"/>
    <w:rsid w:val="6B410883"/>
    <w:rsid w:val="6B411343"/>
    <w:rsid w:val="6B416772"/>
    <w:rsid w:val="6B421874"/>
    <w:rsid w:val="6B4227D3"/>
    <w:rsid w:val="6B42498D"/>
    <w:rsid w:val="6B431148"/>
    <w:rsid w:val="6B43383E"/>
    <w:rsid w:val="6B4353A2"/>
    <w:rsid w:val="6B4355EC"/>
    <w:rsid w:val="6B43739A"/>
    <w:rsid w:val="6B44338A"/>
    <w:rsid w:val="6B446834"/>
    <w:rsid w:val="6B453112"/>
    <w:rsid w:val="6B454EC0"/>
    <w:rsid w:val="6B456D5E"/>
    <w:rsid w:val="6B457CC4"/>
    <w:rsid w:val="6B460C38"/>
    <w:rsid w:val="6B4626FB"/>
    <w:rsid w:val="6B470DA4"/>
    <w:rsid w:val="6B4720F8"/>
    <w:rsid w:val="6B4750DC"/>
    <w:rsid w:val="6B4751B5"/>
    <w:rsid w:val="6B476E8A"/>
    <w:rsid w:val="6B4809DE"/>
    <w:rsid w:val="6B480E55"/>
    <w:rsid w:val="6B481F0D"/>
    <w:rsid w:val="6B482C03"/>
    <w:rsid w:val="6B483298"/>
    <w:rsid w:val="6B4839C7"/>
    <w:rsid w:val="6B48612D"/>
    <w:rsid w:val="6B491303"/>
    <w:rsid w:val="6B492632"/>
    <w:rsid w:val="6B494F04"/>
    <w:rsid w:val="6B497AD5"/>
    <w:rsid w:val="6B4A0729"/>
    <w:rsid w:val="6B4A24D7"/>
    <w:rsid w:val="6B4A315B"/>
    <w:rsid w:val="6B4A697B"/>
    <w:rsid w:val="6B4A76BF"/>
    <w:rsid w:val="6B4A7B73"/>
    <w:rsid w:val="6B4B1734"/>
    <w:rsid w:val="6B4B32EE"/>
    <w:rsid w:val="6B4B3860"/>
    <w:rsid w:val="6B4C44A1"/>
    <w:rsid w:val="6B4C4AE6"/>
    <w:rsid w:val="6B4D6F5F"/>
    <w:rsid w:val="6B4E19CF"/>
    <w:rsid w:val="6B4E36FC"/>
    <w:rsid w:val="6B4E3852"/>
    <w:rsid w:val="6B4E599A"/>
    <w:rsid w:val="6B4E646B"/>
    <w:rsid w:val="6B4F1B0C"/>
    <w:rsid w:val="6B4F3947"/>
    <w:rsid w:val="6B4F3F91"/>
    <w:rsid w:val="6B4F4440"/>
    <w:rsid w:val="6B4F5D3F"/>
    <w:rsid w:val="6B500859"/>
    <w:rsid w:val="6B502BDC"/>
    <w:rsid w:val="6B504A37"/>
    <w:rsid w:val="6B511AB7"/>
    <w:rsid w:val="6B511F55"/>
    <w:rsid w:val="6B513865"/>
    <w:rsid w:val="6B516F76"/>
    <w:rsid w:val="6B517F5E"/>
    <w:rsid w:val="6B520696"/>
    <w:rsid w:val="6B520DC8"/>
    <w:rsid w:val="6B523D99"/>
    <w:rsid w:val="6B524A9D"/>
    <w:rsid w:val="6B525E77"/>
    <w:rsid w:val="6B527703"/>
    <w:rsid w:val="6B530B87"/>
    <w:rsid w:val="6B534390"/>
    <w:rsid w:val="6B5415A7"/>
    <w:rsid w:val="6B544BE8"/>
    <w:rsid w:val="6B546A3D"/>
    <w:rsid w:val="6B5473F7"/>
    <w:rsid w:val="6B5477F9"/>
    <w:rsid w:val="6B5519D8"/>
    <w:rsid w:val="6B553E5F"/>
    <w:rsid w:val="6B553EA3"/>
    <w:rsid w:val="6B556EDB"/>
    <w:rsid w:val="6B5604E6"/>
    <w:rsid w:val="6B561E68"/>
    <w:rsid w:val="6B563571"/>
    <w:rsid w:val="6B56531F"/>
    <w:rsid w:val="6B5664C0"/>
    <w:rsid w:val="6B5670CE"/>
    <w:rsid w:val="6B567508"/>
    <w:rsid w:val="6B567FE5"/>
    <w:rsid w:val="6B570BD3"/>
    <w:rsid w:val="6B572A56"/>
    <w:rsid w:val="6B572E46"/>
    <w:rsid w:val="6B57675A"/>
    <w:rsid w:val="6B58613A"/>
    <w:rsid w:val="6B59096C"/>
    <w:rsid w:val="6B593399"/>
    <w:rsid w:val="6B594E10"/>
    <w:rsid w:val="6B5A0A5A"/>
    <w:rsid w:val="6B5A517F"/>
    <w:rsid w:val="6B5A6073"/>
    <w:rsid w:val="6B5A69BB"/>
    <w:rsid w:val="6B5A7319"/>
    <w:rsid w:val="6B5B46E4"/>
    <w:rsid w:val="6B5B6012"/>
    <w:rsid w:val="6B5C045C"/>
    <w:rsid w:val="6B5C7F60"/>
    <w:rsid w:val="6B5D03D4"/>
    <w:rsid w:val="6B5D480A"/>
    <w:rsid w:val="6B5D5C8E"/>
    <w:rsid w:val="6B5D66AE"/>
    <w:rsid w:val="6B5E086B"/>
    <w:rsid w:val="6B5E3ABE"/>
    <w:rsid w:val="6B5E457E"/>
    <w:rsid w:val="6B5E536A"/>
    <w:rsid w:val="6B5E5F82"/>
    <w:rsid w:val="6B5F58D6"/>
    <w:rsid w:val="6B601CFA"/>
    <w:rsid w:val="6B603C82"/>
    <w:rsid w:val="6B603EF6"/>
    <w:rsid w:val="6B6048CC"/>
    <w:rsid w:val="6B60619E"/>
    <w:rsid w:val="6B607F4C"/>
    <w:rsid w:val="6B61461B"/>
    <w:rsid w:val="6B615CDD"/>
    <w:rsid w:val="6B6179F5"/>
    <w:rsid w:val="6B621F16"/>
    <w:rsid w:val="6B625A72"/>
    <w:rsid w:val="6B6271EC"/>
    <w:rsid w:val="6B633598"/>
    <w:rsid w:val="6B635558"/>
    <w:rsid w:val="6B6372B8"/>
    <w:rsid w:val="6B637A3C"/>
    <w:rsid w:val="6B637FDF"/>
    <w:rsid w:val="6B642F9C"/>
    <w:rsid w:val="6B6441A6"/>
    <w:rsid w:val="6B64734E"/>
    <w:rsid w:val="6B657311"/>
    <w:rsid w:val="6B6615D1"/>
    <w:rsid w:val="6B664125"/>
    <w:rsid w:val="6B665591"/>
    <w:rsid w:val="6B6665AC"/>
    <w:rsid w:val="6B6712DB"/>
    <w:rsid w:val="6B671A3C"/>
    <w:rsid w:val="6B671BCE"/>
    <w:rsid w:val="6B673089"/>
    <w:rsid w:val="6B67752D"/>
    <w:rsid w:val="6B680BAF"/>
    <w:rsid w:val="6B68191D"/>
    <w:rsid w:val="6B685053"/>
    <w:rsid w:val="6B68583B"/>
    <w:rsid w:val="6B686E01"/>
    <w:rsid w:val="6B6932A5"/>
    <w:rsid w:val="6B69379A"/>
    <w:rsid w:val="6B69379C"/>
    <w:rsid w:val="6B694BAA"/>
    <w:rsid w:val="6B6970BF"/>
    <w:rsid w:val="6B6A0DCB"/>
    <w:rsid w:val="6B6A14C2"/>
    <w:rsid w:val="6B6A3698"/>
    <w:rsid w:val="6B6A4927"/>
    <w:rsid w:val="6B6A597B"/>
    <w:rsid w:val="6B6B19DF"/>
    <w:rsid w:val="6B6C069F"/>
    <w:rsid w:val="6B6C4B43"/>
    <w:rsid w:val="6B6C4F4A"/>
    <w:rsid w:val="6B6C5A40"/>
    <w:rsid w:val="6B6D2669"/>
    <w:rsid w:val="6B6D6ED0"/>
    <w:rsid w:val="6B6E0360"/>
    <w:rsid w:val="6B6E08BB"/>
    <w:rsid w:val="6B6E2B17"/>
    <w:rsid w:val="6B6E59C8"/>
    <w:rsid w:val="6B6F018F"/>
    <w:rsid w:val="6B6F17F0"/>
    <w:rsid w:val="6B6F4633"/>
    <w:rsid w:val="6B6F5CB7"/>
    <w:rsid w:val="6B6F5ECF"/>
    <w:rsid w:val="6B6F7080"/>
    <w:rsid w:val="6B70193C"/>
    <w:rsid w:val="6B7043C1"/>
    <w:rsid w:val="6B712159"/>
    <w:rsid w:val="6B712CDD"/>
    <w:rsid w:val="6B713F07"/>
    <w:rsid w:val="6B7141D8"/>
    <w:rsid w:val="6B714202"/>
    <w:rsid w:val="6B715CB5"/>
    <w:rsid w:val="6B720495"/>
    <w:rsid w:val="6B721B93"/>
    <w:rsid w:val="6B725ABA"/>
    <w:rsid w:val="6B735ED1"/>
    <w:rsid w:val="6B737C7F"/>
    <w:rsid w:val="6B7400B4"/>
    <w:rsid w:val="6B742D1D"/>
    <w:rsid w:val="6B7457A6"/>
    <w:rsid w:val="6B751F2E"/>
    <w:rsid w:val="6B753BDB"/>
    <w:rsid w:val="6B760605"/>
    <w:rsid w:val="6B7632CC"/>
    <w:rsid w:val="6B7676D1"/>
    <w:rsid w:val="6B767770"/>
    <w:rsid w:val="6B773F9F"/>
    <w:rsid w:val="6B7802BF"/>
    <w:rsid w:val="6B781F5A"/>
    <w:rsid w:val="6B783FE3"/>
    <w:rsid w:val="6B785296"/>
    <w:rsid w:val="6B79100E"/>
    <w:rsid w:val="6B7928A2"/>
    <w:rsid w:val="6B792DBC"/>
    <w:rsid w:val="6B795473"/>
    <w:rsid w:val="6B797B5A"/>
    <w:rsid w:val="6B7A0211"/>
    <w:rsid w:val="6B7A6903"/>
    <w:rsid w:val="6B7A7C00"/>
    <w:rsid w:val="6B7A7C19"/>
    <w:rsid w:val="6B7B2FD8"/>
    <w:rsid w:val="6B7B3FE4"/>
    <w:rsid w:val="6B7B4D86"/>
    <w:rsid w:val="6B7B521C"/>
    <w:rsid w:val="6B7B6B34"/>
    <w:rsid w:val="6B7C1223"/>
    <w:rsid w:val="6B7C3FFB"/>
    <w:rsid w:val="6B7C465A"/>
    <w:rsid w:val="6B7C5E04"/>
    <w:rsid w:val="6B7C6984"/>
    <w:rsid w:val="6B7D28AC"/>
    <w:rsid w:val="6B7D5667"/>
    <w:rsid w:val="6B7E1240"/>
    <w:rsid w:val="6B7E3E65"/>
    <w:rsid w:val="6B7E47C2"/>
    <w:rsid w:val="6B7E4876"/>
    <w:rsid w:val="6B7E5284"/>
    <w:rsid w:val="6B7E5CE7"/>
    <w:rsid w:val="6B7F0757"/>
    <w:rsid w:val="6B7F53F3"/>
    <w:rsid w:val="6B8005EE"/>
    <w:rsid w:val="6B80239C"/>
    <w:rsid w:val="6B80414A"/>
    <w:rsid w:val="6B813C05"/>
    <w:rsid w:val="6B8167E2"/>
    <w:rsid w:val="6B8223F5"/>
    <w:rsid w:val="6B824366"/>
    <w:rsid w:val="6B825095"/>
    <w:rsid w:val="6B826114"/>
    <w:rsid w:val="6B8267D6"/>
    <w:rsid w:val="6B83544C"/>
    <w:rsid w:val="6B8373D5"/>
    <w:rsid w:val="6B837684"/>
    <w:rsid w:val="6B841E8D"/>
    <w:rsid w:val="6B844DD3"/>
    <w:rsid w:val="6B8465D3"/>
    <w:rsid w:val="6B851761"/>
    <w:rsid w:val="6B85370F"/>
    <w:rsid w:val="6B853A16"/>
    <w:rsid w:val="6B85430B"/>
    <w:rsid w:val="6B855157"/>
    <w:rsid w:val="6B8579B3"/>
    <w:rsid w:val="6B87372B"/>
    <w:rsid w:val="6B8743E4"/>
    <w:rsid w:val="6B877A77"/>
    <w:rsid w:val="6B881251"/>
    <w:rsid w:val="6B882FFF"/>
    <w:rsid w:val="6B885584"/>
    <w:rsid w:val="6B890753"/>
    <w:rsid w:val="6B8952E8"/>
    <w:rsid w:val="6B8A321B"/>
    <w:rsid w:val="6B8A3AA0"/>
    <w:rsid w:val="6B8A4FC9"/>
    <w:rsid w:val="6B8A6D77"/>
    <w:rsid w:val="6B8A731B"/>
    <w:rsid w:val="6B8A7A27"/>
    <w:rsid w:val="6B8B2204"/>
    <w:rsid w:val="6B8B4168"/>
    <w:rsid w:val="6B8B57FF"/>
    <w:rsid w:val="6B8B5EDE"/>
    <w:rsid w:val="6B8B7888"/>
    <w:rsid w:val="6B8C0682"/>
    <w:rsid w:val="6B8C13F3"/>
    <w:rsid w:val="6B8C2459"/>
    <w:rsid w:val="6B8C2AEF"/>
    <w:rsid w:val="6B8C6F93"/>
    <w:rsid w:val="6B8D163E"/>
    <w:rsid w:val="6B8D2105"/>
    <w:rsid w:val="6B8D2B9F"/>
    <w:rsid w:val="6B8E062E"/>
    <w:rsid w:val="6B8E197E"/>
    <w:rsid w:val="6B8E4092"/>
    <w:rsid w:val="6B8E4AB9"/>
    <w:rsid w:val="6B8E4D79"/>
    <w:rsid w:val="6B8F438D"/>
    <w:rsid w:val="6B907150"/>
    <w:rsid w:val="6B9071CF"/>
    <w:rsid w:val="6B910106"/>
    <w:rsid w:val="6B910A34"/>
    <w:rsid w:val="6B9136FA"/>
    <w:rsid w:val="6B916358"/>
    <w:rsid w:val="6B91760B"/>
    <w:rsid w:val="6B9238D4"/>
    <w:rsid w:val="6B924142"/>
    <w:rsid w:val="6B930322"/>
    <w:rsid w:val="6B932D2D"/>
    <w:rsid w:val="6B93461B"/>
    <w:rsid w:val="6B93601A"/>
    <w:rsid w:val="6B9419A4"/>
    <w:rsid w:val="6B94426C"/>
    <w:rsid w:val="6B94633D"/>
    <w:rsid w:val="6B95159F"/>
    <w:rsid w:val="6B95350B"/>
    <w:rsid w:val="6B953DC6"/>
    <w:rsid w:val="6B954908"/>
    <w:rsid w:val="6B95630C"/>
    <w:rsid w:val="6B96396E"/>
    <w:rsid w:val="6B971800"/>
    <w:rsid w:val="6B971A09"/>
    <w:rsid w:val="6B97756C"/>
    <w:rsid w:val="6B9809FC"/>
    <w:rsid w:val="6B983AF6"/>
    <w:rsid w:val="6B985938"/>
    <w:rsid w:val="6B9876E6"/>
    <w:rsid w:val="6B991E8C"/>
    <w:rsid w:val="6B99331C"/>
    <w:rsid w:val="6B994A5D"/>
    <w:rsid w:val="6B99580A"/>
    <w:rsid w:val="6B997FA7"/>
    <w:rsid w:val="6B9A16B0"/>
    <w:rsid w:val="6B9B2D32"/>
    <w:rsid w:val="6B9B4AEF"/>
    <w:rsid w:val="6B9B6FD6"/>
    <w:rsid w:val="6B9B737D"/>
    <w:rsid w:val="6B9C5FAD"/>
    <w:rsid w:val="6B9D33DE"/>
    <w:rsid w:val="6B9D486E"/>
    <w:rsid w:val="6B9D4CFC"/>
    <w:rsid w:val="6B9D6AAA"/>
    <w:rsid w:val="6B9E0A74"/>
    <w:rsid w:val="6B9E1AE2"/>
    <w:rsid w:val="6B9F1F40"/>
    <w:rsid w:val="6B9F6CC6"/>
    <w:rsid w:val="6BA0262E"/>
    <w:rsid w:val="6BA02A3F"/>
    <w:rsid w:val="6BA047ED"/>
    <w:rsid w:val="6BA0659B"/>
    <w:rsid w:val="6BA065E0"/>
    <w:rsid w:val="6BA131EF"/>
    <w:rsid w:val="6BA21028"/>
    <w:rsid w:val="6BA22313"/>
    <w:rsid w:val="6BA2467F"/>
    <w:rsid w:val="6BA2545B"/>
    <w:rsid w:val="6BA350A4"/>
    <w:rsid w:val="6BA4103D"/>
    <w:rsid w:val="6BA4408F"/>
    <w:rsid w:val="6BA442DD"/>
    <w:rsid w:val="6BA50055"/>
    <w:rsid w:val="6BA510EB"/>
    <w:rsid w:val="6BA51E03"/>
    <w:rsid w:val="6BA53000"/>
    <w:rsid w:val="6BA53BB1"/>
    <w:rsid w:val="6BA75B7B"/>
    <w:rsid w:val="6BA77061"/>
    <w:rsid w:val="6BA81981"/>
    <w:rsid w:val="6BA81DC0"/>
    <w:rsid w:val="6BA845D7"/>
    <w:rsid w:val="6BA86A50"/>
    <w:rsid w:val="6BA8732E"/>
    <w:rsid w:val="6BA914C0"/>
    <w:rsid w:val="6BA918F3"/>
    <w:rsid w:val="6BA936A1"/>
    <w:rsid w:val="6BA9399A"/>
    <w:rsid w:val="6BA940E0"/>
    <w:rsid w:val="6BAA11C7"/>
    <w:rsid w:val="6BAA3939"/>
    <w:rsid w:val="6BAA432A"/>
    <w:rsid w:val="6BAA61FB"/>
    <w:rsid w:val="6BAB2EA7"/>
    <w:rsid w:val="6BAB4527"/>
    <w:rsid w:val="6BAB54F4"/>
    <w:rsid w:val="6BAB709E"/>
    <w:rsid w:val="6BAC13E3"/>
    <w:rsid w:val="6BAC2C0B"/>
    <w:rsid w:val="6BAC311E"/>
    <w:rsid w:val="6BAC3191"/>
    <w:rsid w:val="6BAC5883"/>
    <w:rsid w:val="6BAC75D4"/>
    <w:rsid w:val="6BAD2A66"/>
    <w:rsid w:val="6BAD3913"/>
    <w:rsid w:val="6BAD758E"/>
    <w:rsid w:val="6BAD787D"/>
    <w:rsid w:val="6BAE017C"/>
    <w:rsid w:val="6BAE0C7A"/>
    <w:rsid w:val="6BAE1A18"/>
    <w:rsid w:val="6BAE57F3"/>
    <w:rsid w:val="6BAE62FA"/>
    <w:rsid w:val="6BAE6F0A"/>
    <w:rsid w:val="6BAF0456"/>
    <w:rsid w:val="6BAF3B15"/>
    <w:rsid w:val="6BAF63A7"/>
    <w:rsid w:val="6BAF67DE"/>
    <w:rsid w:val="6BB107A8"/>
    <w:rsid w:val="6BB12556"/>
    <w:rsid w:val="6BB169FA"/>
    <w:rsid w:val="6BB17AC8"/>
    <w:rsid w:val="6BB17C3D"/>
    <w:rsid w:val="6BB22A33"/>
    <w:rsid w:val="6BB24C52"/>
    <w:rsid w:val="6BB32772"/>
    <w:rsid w:val="6BB35604"/>
    <w:rsid w:val="6BB35A48"/>
    <w:rsid w:val="6BB362CE"/>
    <w:rsid w:val="6BB40298"/>
    <w:rsid w:val="6BB42046"/>
    <w:rsid w:val="6BB43DF4"/>
    <w:rsid w:val="6BB5094A"/>
    <w:rsid w:val="6BB64010"/>
    <w:rsid w:val="6BB64C7B"/>
    <w:rsid w:val="6BB67B6C"/>
    <w:rsid w:val="6BB75731"/>
    <w:rsid w:val="6BB77A32"/>
    <w:rsid w:val="6BB81B36"/>
    <w:rsid w:val="6BB838E4"/>
    <w:rsid w:val="6BB83F2C"/>
    <w:rsid w:val="6BB85477"/>
    <w:rsid w:val="6BB87D88"/>
    <w:rsid w:val="6BB9500C"/>
    <w:rsid w:val="6BB9765C"/>
    <w:rsid w:val="6BBA3B00"/>
    <w:rsid w:val="6BBA4F76"/>
    <w:rsid w:val="6BBA58AE"/>
    <w:rsid w:val="6BBA5C71"/>
    <w:rsid w:val="6BBB1626"/>
    <w:rsid w:val="6BBB33D4"/>
    <w:rsid w:val="6BBB5183"/>
    <w:rsid w:val="6BBB5DF6"/>
    <w:rsid w:val="6BBB5EAF"/>
    <w:rsid w:val="6BBC0B53"/>
    <w:rsid w:val="6BBC7DF7"/>
    <w:rsid w:val="6BBD0EFB"/>
    <w:rsid w:val="6BBD1A66"/>
    <w:rsid w:val="6BBD539F"/>
    <w:rsid w:val="6BBD6E18"/>
    <w:rsid w:val="6BBD714D"/>
    <w:rsid w:val="6BBD75EC"/>
    <w:rsid w:val="6BBE16CA"/>
    <w:rsid w:val="6BBE52E8"/>
    <w:rsid w:val="6BBF1117"/>
    <w:rsid w:val="6BBF3D83"/>
    <w:rsid w:val="6BBF5BB4"/>
    <w:rsid w:val="6BBF6778"/>
    <w:rsid w:val="6BBF6BAC"/>
    <w:rsid w:val="6BBF7046"/>
    <w:rsid w:val="6BC009EB"/>
    <w:rsid w:val="6BC02799"/>
    <w:rsid w:val="6BC06C3D"/>
    <w:rsid w:val="6BC13B15"/>
    <w:rsid w:val="6BC13FCB"/>
    <w:rsid w:val="6BC168C6"/>
    <w:rsid w:val="6BC228F1"/>
    <w:rsid w:val="6BC229B5"/>
    <w:rsid w:val="6BC24763"/>
    <w:rsid w:val="6BC25822"/>
    <w:rsid w:val="6BC3002D"/>
    <w:rsid w:val="6BC32289"/>
    <w:rsid w:val="6BC339B8"/>
    <w:rsid w:val="6BC34A27"/>
    <w:rsid w:val="6BC35469"/>
    <w:rsid w:val="6BC36589"/>
    <w:rsid w:val="6BC37D77"/>
    <w:rsid w:val="6BC37E09"/>
    <w:rsid w:val="6BC404DB"/>
    <w:rsid w:val="6BC4672D"/>
    <w:rsid w:val="6BC50EA9"/>
    <w:rsid w:val="6BC524A5"/>
    <w:rsid w:val="6BC54253"/>
    <w:rsid w:val="6BC56001"/>
    <w:rsid w:val="6BC57676"/>
    <w:rsid w:val="6BC57FA6"/>
    <w:rsid w:val="6BC7234E"/>
    <w:rsid w:val="6BC74F0A"/>
    <w:rsid w:val="6BC76F9F"/>
    <w:rsid w:val="6BC77FCB"/>
    <w:rsid w:val="6BC84EEE"/>
    <w:rsid w:val="6BC8639A"/>
    <w:rsid w:val="6BC90EC5"/>
    <w:rsid w:val="6BC926C5"/>
    <w:rsid w:val="6BC934DD"/>
    <w:rsid w:val="6BCA0F9A"/>
    <w:rsid w:val="6BCA3618"/>
    <w:rsid w:val="6BCA388B"/>
    <w:rsid w:val="6BCA3EC0"/>
    <w:rsid w:val="6BCA5F97"/>
    <w:rsid w:val="6BCA79DB"/>
    <w:rsid w:val="6BCA7CE5"/>
    <w:rsid w:val="6BCB7ABB"/>
    <w:rsid w:val="6BCC3834"/>
    <w:rsid w:val="6BCC55E2"/>
    <w:rsid w:val="6BCC61AB"/>
    <w:rsid w:val="6BCC7390"/>
    <w:rsid w:val="6BCD200B"/>
    <w:rsid w:val="6BCE2F75"/>
    <w:rsid w:val="6BCE4EB6"/>
    <w:rsid w:val="6BCE5436"/>
    <w:rsid w:val="6BCF0C2E"/>
    <w:rsid w:val="6BCF65B1"/>
    <w:rsid w:val="6BCF6E80"/>
    <w:rsid w:val="6BD06690"/>
    <w:rsid w:val="6BD10E4A"/>
    <w:rsid w:val="6BD11807"/>
    <w:rsid w:val="6BD11895"/>
    <w:rsid w:val="6BD11C33"/>
    <w:rsid w:val="6BD12BF8"/>
    <w:rsid w:val="6BD12D00"/>
    <w:rsid w:val="6BD21BD2"/>
    <w:rsid w:val="6BD24BEE"/>
    <w:rsid w:val="6BD257E8"/>
    <w:rsid w:val="6BD3071E"/>
    <w:rsid w:val="6BD33AB4"/>
    <w:rsid w:val="6BD359A2"/>
    <w:rsid w:val="6BD3607E"/>
    <w:rsid w:val="6BD44C09"/>
    <w:rsid w:val="6BD46244"/>
    <w:rsid w:val="6BD50693"/>
    <w:rsid w:val="6BD5099E"/>
    <w:rsid w:val="6BD526E8"/>
    <w:rsid w:val="6BD54B45"/>
    <w:rsid w:val="6BD6020E"/>
    <w:rsid w:val="6BD61E2E"/>
    <w:rsid w:val="6BD61FBC"/>
    <w:rsid w:val="6BD63A05"/>
    <w:rsid w:val="6BD66460"/>
    <w:rsid w:val="6BD702F7"/>
    <w:rsid w:val="6BD71078"/>
    <w:rsid w:val="6BD732BE"/>
    <w:rsid w:val="6BD749B7"/>
    <w:rsid w:val="6BD77DD9"/>
    <w:rsid w:val="6BD821D8"/>
    <w:rsid w:val="6BD82770"/>
    <w:rsid w:val="6BD83F86"/>
    <w:rsid w:val="6BD85D34"/>
    <w:rsid w:val="6BD85E8F"/>
    <w:rsid w:val="6BD91AAD"/>
    <w:rsid w:val="6BD91AE2"/>
    <w:rsid w:val="6BD9385B"/>
    <w:rsid w:val="6BDA223B"/>
    <w:rsid w:val="6BDA3380"/>
    <w:rsid w:val="6BDA53B5"/>
    <w:rsid w:val="6BDA6675"/>
    <w:rsid w:val="6BDB3A77"/>
    <w:rsid w:val="6BDB75D3"/>
    <w:rsid w:val="6BDB7A8C"/>
    <w:rsid w:val="6BDC0955"/>
    <w:rsid w:val="6BDC5152"/>
    <w:rsid w:val="6BDC7308"/>
    <w:rsid w:val="6BDD0689"/>
    <w:rsid w:val="6BDD1099"/>
    <w:rsid w:val="6BDD159D"/>
    <w:rsid w:val="6BDD334B"/>
    <w:rsid w:val="6BDD77EF"/>
    <w:rsid w:val="6BDE05C0"/>
    <w:rsid w:val="6BDE5228"/>
    <w:rsid w:val="6BDE6359"/>
    <w:rsid w:val="6BDF45E8"/>
    <w:rsid w:val="6BDF4621"/>
    <w:rsid w:val="6BDF5315"/>
    <w:rsid w:val="6BDF6061"/>
    <w:rsid w:val="6BDF6E28"/>
    <w:rsid w:val="6BDF70C3"/>
    <w:rsid w:val="6BE04BE9"/>
    <w:rsid w:val="6BE13B05"/>
    <w:rsid w:val="6BE16A54"/>
    <w:rsid w:val="6BE17DD5"/>
    <w:rsid w:val="6BE204C1"/>
    <w:rsid w:val="6BE20961"/>
    <w:rsid w:val="6BE24E05"/>
    <w:rsid w:val="6BE26BB3"/>
    <w:rsid w:val="6BE4292B"/>
    <w:rsid w:val="6BE446D9"/>
    <w:rsid w:val="6BE458F0"/>
    <w:rsid w:val="6BE4598E"/>
    <w:rsid w:val="6BE47003"/>
    <w:rsid w:val="6BE50451"/>
    <w:rsid w:val="6BE558C2"/>
    <w:rsid w:val="6BE55EB2"/>
    <w:rsid w:val="6BE566A3"/>
    <w:rsid w:val="6BE56D52"/>
    <w:rsid w:val="6BE61923"/>
    <w:rsid w:val="6BE65A12"/>
    <w:rsid w:val="6BE66F5C"/>
    <w:rsid w:val="6BE6746B"/>
    <w:rsid w:val="6BE72DB3"/>
    <w:rsid w:val="6BE741CA"/>
    <w:rsid w:val="6BE744F4"/>
    <w:rsid w:val="6BE75F78"/>
    <w:rsid w:val="6BE82E3C"/>
    <w:rsid w:val="6BE85706"/>
    <w:rsid w:val="6BE91CF0"/>
    <w:rsid w:val="6BE93849"/>
    <w:rsid w:val="6BE96233"/>
    <w:rsid w:val="6BE97F42"/>
    <w:rsid w:val="6BEA2CB5"/>
    <w:rsid w:val="6BEB1F0C"/>
    <w:rsid w:val="6BEB2BC4"/>
    <w:rsid w:val="6BEC0D1C"/>
    <w:rsid w:val="6BEC1568"/>
    <w:rsid w:val="6BEC17E0"/>
    <w:rsid w:val="6BEC5C84"/>
    <w:rsid w:val="6BEC79A1"/>
    <w:rsid w:val="6BEC7A32"/>
    <w:rsid w:val="6BED17F6"/>
    <w:rsid w:val="6BED6C25"/>
    <w:rsid w:val="6BEE00B5"/>
    <w:rsid w:val="6BEE37AA"/>
    <w:rsid w:val="6BEE4A92"/>
    <w:rsid w:val="6BEF147C"/>
    <w:rsid w:val="6BEF1545"/>
    <w:rsid w:val="6BEF307E"/>
    <w:rsid w:val="6BEF4116"/>
    <w:rsid w:val="6BF012D0"/>
    <w:rsid w:val="6BF03712"/>
    <w:rsid w:val="6BF055A6"/>
    <w:rsid w:val="6BF16A36"/>
    <w:rsid w:val="6BF22B17"/>
    <w:rsid w:val="6BF30ED6"/>
    <w:rsid w:val="6BF31356"/>
    <w:rsid w:val="6BF32AD4"/>
    <w:rsid w:val="6BF44592"/>
    <w:rsid w:val="6BF453B7"/>
    <w:rsid w:val="6BF52482"/>
    <w:rsid w:val="6BF56847"/>
    <w:rsid w:val="6BF568E6"/>
    <w:rsid w:val="6BF56955"/>
    <w:rsid w:val="6BF608B1"/>
    <w:rsid w:val="6BF6265F"/>
    <w:rsid w:val="6BF6440D"/>
    <w:rsid w:val="6BF66546"/>
    <w:rsid w:val="6BF66D52"/>
    <w:rsid w:val="6BF76882"/>
    <w:rsid w:val="6BF817D1"/>
    <w:rsid w:val="6BF84629"/>
    <w:rsid w:val="6BF95CAB"/>
    <w:rsid w:val="6BFA02A5"/>
    <w:rsid w:val="6BFA4EC3"/>
    <w:rsid w:val="6BFB1A23"/>
    <w:rsid w:val="6BFB7C75"/>
    <w:rsid w:val="6BFC106D"/>
    <w:rsid w:val="6BFC1859"/>
    <w:rsid w:val="6BFD0136"/>
    <w:rsid w:val="6BFD39ED"/>
    <w:rsid w:val="6BFD6C96"/>
    <w:rsid w:val="6BFF103A"/>
    <w:rsid w:val="6BFF1513"/>
    <w:rsid w:val="6BFF3B80"/>
    <w:rsid w:val="6BFF59B7"/>
    <w:rsid w:val="6BFF5AB2"/>
    <w:rsid w:val="6BFF5FF9"/>
    <w:rsid w:val="6BFF7765"/>
    <w:rsid w:val="6C00340F"/>
    <w:rsid w:val="6C00395A"/>
    <w:rsid w:val="6C00439F"/>
    <w:rsid w:val="6C0044BD"/>
    <w:rsid w:val="6C0048E3"/>
    <w:rsid w:val="6C004D10"/>
    <w:rsid w:val="6C00509B"/>
    <w:rsid w:val="6C00528B"/>
    <w:rsid w:val="6C005EAC"/>
    <w:rsid w:val="6C007039"/>
    <w:rsid w:val="6C012EB7"/>
    <w:rsid w:val="6C0134DD"/>
    <w:rsid w:val="6C014D65"/>
    <w:rsid w:val="6C01652B"/>
    <w:rsid w:val="6C021003"/>
    <w:rsid w:val="6C02261B"/>
    <w:rsid w:val="6C0234D9"/>
    <w:rsid w:val="6C025233"/>
    <w:rsid w:val="6C02535B"/>
    <w:rsid w:val="6C0279BB"/>
    <w:rsid w:val="6C030483"/>
    <w:rsid w:val="6C036203"/>
    <w:rsid w:val="6C037580"/>
    <w:rsid w:val="6C042FCD"/>
    <w:rsid w:val="6C04397A"/>
    <w:rsid w:val="6C044D7B"/>
    <w:rsid w:val="6C050983"/>
    <w:rsid w:val="6C05238A"/>
    <w:rsid w:val="6C0528A2"/>
    <w:rsid w:val="6C052E33"/>
    <w:rsid w:val="6C060F0D"/>
    <w:rsid w:val="6C063CE9"/>
    <w:rsid w:val="6C066D46"/>
    <w:rsid w:val="6C0703C8"/>
    <w:rsid w:val="6C071B75"/>
    <w:rsid w:val="6C0731E7"/>
    <w:rsid w:val="6C07367D"/>
    <w:rsid w:val="6C07486C"/>
    <w:rsid w:val="6C074BF7"/>
    <w:rsid w:val="6C075CF7"/>
    <w:rsid w:val="6C0800B0"/>
    <w:rsid w:val="6C08526F"/>
    <w:rsid w:val="6C085AAD"/>
    <w:rsid w:val="6C0872A7"/>
    <w:rsid w:val="6C0905E4"/>
    <w:rsid w:val="6C092392"/>
    <w:rsid w:val="6C094140"/>
    <w:rsid w:val="6C096AF8"/>
    <w:rsid w:val="6C09788E"/>
    <w:rsid w:val="6C0A02CC"/>
    <w:rsid w:val="6C0A0D1E"/>
    <w:rsid w:val="6C0A6595"/>
    <w:rsid w:val="6C0B0A0F"/>
    <w:rsid w:val="6C0B1BC7"/>
    <w:rsid w:val="6C0B610A"/>
    <w:rsid w:val="6C0B75DD"/>
    <w:rsid w:val="6C0C3C30"/>
    <w:rsid w:val="6C0D4AD4"/>
    <w:rsid w:val="6C0E025D"/>
    <w:rsid w:val="6C0E1756"/>
    <w:rsid w:val="6C0E3EB6"/>
    <w:rsid w:val="6C101972"/>
    <w:rsid w:val="6C103720"/>
    <w:rsid w:val="6C106D85"/>
    <w:rsid w:val="6C106EA3"/>
    <w:rsid w:val="6C111246"/>
    <w:rsid w:val="6C1113A0"/>
    <w:rsid w:val="6C115490"/>
    <w:rsid w:val="6C115BE0"/>
    <w:rsid w:val="6C117498"/>
    <w:rsid w:val="6C122D4F"/>
    <w:rsid w:val="6C1256EA"/>
    <w:rsid w:val="6C130940"/>
    <w:rsid w:val="6C133210"/>
    <w:rsid w:val="6C134FBF"/>
    <w:rsid w:val="6C13500E"/>
    <w:rsid w:val="6C136D6D"/>
    <w:rsid w:val="6C141D47"/>
    <w:rsid w:val="6C147514"/>
    <w:rsid w:val="6C150D37"/>
    <w:rsid w:val="6C15339C"/>
    <w:rsid w:val="6C155E31"/>
    <w:rsid w:val="6C156A6A"/>
    <w:rsid w:val="6C156C6B"/>
    <w:rsid w:val="6C164478"/>
    <w:rsid w:val="6C164AAF"/>
    <w:rsid w:val="6C16552D"/>
    <w:rsid w:val="6C1672C1"/>
    <w:rsid w:val="6C17484B"/>
    <w:rsid w:val="6C180827"/>
    <w:rsid w:val="6C1825D5"/>
    <w:rsid w:val="6C183168"/>
    <w:rsid w:val="6C183322"/>
    <w:rsid w:val="6C184383"/>
    <w:rsid w:val="6C184855"/>
    <w:rsid w:val="6C184899"/>
    <w:rsid w:val="6C186A79"/>
    <w:rsid w:val="6C190C46"/>
    <w:rsid w:val="6C192DAA"/>
    <w:rsid w:val="6C1A00FB"/>
    <w:rsid w:val="6C1A459F"/>
    <w:rsid w:val="6C1B20C5"/>
    <w:rsid w:val="6C1C0317"/>
    <w:rsid w:val="6C1C2845"/>
    <w:rsid w:val="6C1D039B"/>
    <w:rsid w:val="6C1D153D"/>
    <w:rsid w:val="6C1D408F"/>
    <w:rsid w:val="6C1D5D73"/>
    <w:rsid w:val="6C1D5E3D"/>
    <w:rsid w:val="6C1D6B8A"/>
    <w:rsid w:val="6C1E224E"/>
    <w:rsid w:val="6C1E697C"/>
    <w:rsid w:val="6C1F048A"/>
    <w:rsid w:val="6C1F1275"/>
    <w:rsid w:val="6C1F1BB5"/>
    <w:rsid w:val="6C1F3963"/>
    <w:rsid w:val="6C1F6FDB"/>
    <w:rsid w:val="6C1F72E3"/>
    <w:rsid w:val="6C20324B"/>
    <w:rsid w:val="6C2076DB"/>
    <w:rsid w:val="6C21592D"/>
    <w:rsid w:val="6C215B15"/>
    <w:rsid w:val="6C216B43"/>
    <w:rsid w:val="6C223454"/>
    <w:rsid w:val="6C227E8E"/>
    <w:rsid w:val="6C230435"/>
    <w:rsid w:val="6C240F7A"/>
    <w:rsid w:val="6C244080"/>
    <w:rsid w:val="6C244496"/>
    <w:rsid w:val="6C2471CC"/>
    <w:rsid w:val="6C2519F5"/>
    <w:rsid w:val="6C255926"/>
    <w:rsid w:val="6C262F44"/>
    <w:rsid w:val="6C26310C"/>
    <w:rsid w:val="6C264CF2"/>
    <w:rsid w:val="6C264F8F"/>
    <w:rsid w:val="6C267E07"/>
    <w:rsid w:val="6C2732D4"/>
    <w:rsid w:val="6C2747E8"/>
    <w:rsid w:val="6C276CBC"/>
    <w:rsid w:val="6C283E08"/>
    <w:rsid w:val="6C292A34"/>
    <w:rsid w:val="6C292A66"/>
    <w:rsid w:val="6C2948E8"/>
    <w:rsid w:val="6C295737"/>
    <w:rsid w:val="6C2A003F"/>
    <w:rsid w:val="6C2A6BC7"/>
    <w:rsid w:val="6C2B055A"/>
    <w:rsid w:val="6C2B1798"/>
    <w:rsid w:val="6C2B1837"/>
    <w:rsid w:val="6C2B2308"/>
    <w:rsid w:val="6C2B2559"/>
    <w:rsid w:val="6C2B555E"/>
    <w:rsid w:val="6C2C4242"/>
    <w:rsid w:val="6C2C42D2"/>
    <w:rsid w:val="6C2C4626"/>
    <w:rsid w:val="6C2C5CC2"/>
    <w:rsid w:val="6C2C60C4"/>
    <w:rsid w:val="6C2C7E2E"/>
    <w:rsid w:val="6C2D0305"/>
    <w:rsid w:val="6C2D16C3"/>
    <w:rsid w:val="6C2D1D71"/>
    <w:rsid w:val="6C2D29B7"/>
    <w:rsid w:val="6C2D2A80"/>
    <w:rsid w:val="6C2D78A2"/>
    <w:rsid w:val="6C2E004A"/>
    <w:rsid w:val="6C2E042E"/>
    <w:rsid w:val="6C2E088C"/>
    <w:rsid w:val="6C2E1BBB"/>
    <w:rsid w:val="6C2E1DF8"/>
    <w:rsid w:val="6C2E30D8"/>
    <w:rsid w:val="6C2E35A5"/>
    <w:rsid w:val="6C2E3BA6"/>
    <w:rsid w:val="6C2F0939"/>
    <w:rsid w:val="6C30322D"/>
    <w:rsid w:val="6C304074"/>
    <w:rsid w:val="6C304A1A"/>
    <w:rsid w:val="6C305B5B"/>
    <w:rsid w:val="6C305B70"/>
    <w:rsid w:val="6C30647A"/>
    <w:rsid w:val="6C306916"/>
    <w:rsid w:val="6C30791F"/>
    <w:rsid w:val="6C313697"/>
    <w:rsid w:val="6C314AC6"/>
    <w:rsid w:val="6C315445"/>
    <w:rsid w:val="6C316B4C"/>
    <w:rsid w:val="6C323556"/>
    <w:rsid w:val="6C324D40"/>
    <w:rsid w:val="6C327B3B"/>
    <w:rsid w:val="6C330125"/>
    <w:rsid w:val="6C3344AB"/>
    <w:rsid w:val="6C335661"/>
    <w:rsid w:val="6C3361BE"/>
    <w:rsid w:val="6C336E2D"/>
    <w:rsid w:val="6C33740F"/>
    <w:rsid w:val="6C3413BA"/>
    <w:rsid w:val="6C344BD5"/>
    <w:rsid w:val="6C347ABF"/>
    <w:rsid w:val="6C353187"/>
    <w:rsid w:val="6C354F35"/>
    <w:rsid w:val="6C35541B"/>
    <w:rsid w:val="6C355DCB"/>
    <w:rsid w:val="6C360543"/>
    <w:rsid w:val="6C360CAD"/>
    <w:rsid w:val="6C36496E"/>
    <w:rsid w:val="6C36516A"/>
    <w:rsid w:val="6C370E8F"/>
    <w:rsid w:val="6C375784"/>
    <w:rsid w:val="6C376EFF"/>
    <w:rsid w:val="6C377D3B"/>
    <w:rsid w:val="6C382C77"/>
    <w:rsid w:val="6C3867D3"/>
    <w:rsid w:val="6C3953F5"/>
    <w:rsid w:val="6C397D24"/>
    <w:rsid w:val="6C3A079D"/>
    <w:rsid w:val="6C3A254B"/>
    <w:rsid w:val="6C3A62AA"/>
    <w:rsid w:val="6C3A69EF"/>
    <w:rsid w:val="6C3B628C"/>
    <w:rsid w:val="6C3B62C3"/>
    <w:rsid w:val="6C3C271D"/>
    <w:rsid w:val="6C3C4515"/>
    <w:rsid w:val="6C3C612D"/>
    <w:rsid w:val="6C3C61AE"/>
    <w:rsid w:val="6C3C69C2"/>
    <w:rsid w:val="6C3D028D"/>
    <w:rsid w:val="6C3D203B"/>
    <w:rsid w:val="6C3D2B39"/>
    <w:rsid w:val="6C3D64DF"/>
    <w:rsid w:val="6C3E1E6F"/>
    <w:rsid w:val="6C3E5F0F"/>
    <w:rsid w:val="6C3F109E"/>
    <w:rsid w:val="6C3F14DF"/>
    <w:rsid w:val="6C3F72A4"/>
    <w:rsid w:val="6C3F7B62"/>
    <w:rsid w:val="6C4038DA"/>
    <w:rsid w:val="6C411B2C"/>
    <w:rsid w:val="6C411C3F"/>
    <w:rsid w:val="6C41570E"/>
    <w:rsid w:val="6C427652"/>
    <w:rsid w:val="6C435C74"/>
    <w:rsid w:val="6C4367F5"/>
    <w:rsid w:val="6C44161C"/>
    <w:rsid w:val="6C44233F"/>
    <w:rsid w:val="6C445178"/>
    <w:rsid w:val="6C44786E"/>
    <w:rsid w:val="6C45090D"/>
    <w:rsid w:val="6C45305C"/>
    <w:rsid w:val="6C464AB7"/>
    <w:rsid w:val="6C465394"/>
    <w:rsid w:val="6C466329"/>
    <w:rsid w:val="6C4663A0"/>
    <w:rsid w:val="6C467142"/>
    <w:rsid w:val="6C471623"/>
    <w:rsid w:val="6C4765A4"/>
    <w:rsid w:val="6C4767BC"/>
    <w:rsid w:val="6C477830"/>
    <w:rsid w:val="6C4850C1"/>
    <w:rsid w:val="6C4909E0"/>
    <w:rsid w:val="6C4933A0"/>
    <w:rsid w:val="6C4939AA"/>
    <w:rsid w:val="6C494D21"/>
    <w:rsid w:val="6C496C32"/>
    <w:rsid w:val="6C4B29AA"/>
    <w:rsid w:val="6C4B305B"/>
    <w:rsid w:val="6C4B4758"/>
    <w:rsid w:val="6C4C04D0"/>
    <w:rsid w:val="6C4C227F"/>
    <w:rsid w:val="6C4D6722"/>
    <w:rsid w:val="6C4D699F"/>
    <w:rsid w:val="6C4E33F1"/>
    <w:rsid w:val="6C4E4249"/>
    <w:rsid w:val="6C4E4B32"/>
    <w:rsid w:val="6C4F3FDF"/>
    <w:rsid w:val="6C4F53D2"/>
    <w:rsid w:val="6C4F5FC2"/>
    <w:rsid w:val="6C506213"/>
    <w:rsid w:val="6C506A9C"/>
    <w:rsid w:val="6C507B8C"/>
    <w:rsid w:val="6C507FC1"/>
    <w:rsid w:val="6C511989"/>
    <w:rsid w:val="6C5125EA"/>
    <w:rsid w:val="6C512734"/>
    <w:rsid w:val="6C5134B2"/>
    <w:rsid w:val="6C515AE7"/>
    <w:rsid w:val="6C5162EE"/>
    <w:rsid w:val="6C5231A5"/>
    <w:rsid w:val="6C523D39"/>
    <w:rsid w:val="6C525DDF"/>
    <w:rsid w:val="6C527422"/>
    <w:rsid w:val="6C530AD1"/>
    <w:rsid w:val="6C53185F"/>
    <w:rsid w:val="6C5318CC"/>
    <w:rsid w:val="6C531CB6"/>
    <w:rsid w:val="6C532E82"/>
    <w:rsid w:val="6C53360D"/>
    <w:rsid w:val="6C541E33"/>
    <w:rsid w:val="6C547262"/>
    <w:rsid w:val="6C5506F2"/>
    <w:rsid w:val="6C553217"/>
    <w:rsid w:val="6C553829"/>
    <w:rsid w:val="6C557A13"/>
    <w:rsid w:val="6C562614"/>
    <w:rsid w:val="6C5630FD"/>
    <w:rsid w:val="6C563A3F"/>
    <w:rsid w:val="6C564753"/>
    <w:rsid w:val="6C57134F"/>
    <w:rsid w:val="6C575381"/>
    <w:rsid w:val="6C577324"/>
    <w:rsid w:val="6C580C23"/>
    <w:rsid w:val="6C583611"/>
    <w:rsid w:val="6C5850C7"/>
    <w:rsid w:val="6C585822"/>
    <w:rsid w:val="6C586E75"/>
    <w:rsid w:val="6C591900"/>
    <w:rsid w:val="6C5A0241"/>
    <w:rsid w:val="6C5A126F"/>
    <w:rsid w:val="6C5A23C9"/>
    <w:rsid w:val="6C5A3079"/>
    <w:rsid w:val="6C5A3670"/>
    <w:rsid w:val="6C5B205C"/>
    <w:rsid w:val="6C5B2E67"/>
    <w:rsid w:val="6C5B31DA"/>
    <w:rsid w:val="6C5B60E0"/>
    <w:rsid w:val="6C5B69BA"/>
    <w:rsid w:val="6C5B796C"/>
    <w:rsid w:val="6C5C05C5"/>
    <w:rsid w:val="6C5C247B"/>
    <w:rsid w:val="6C5C4BB7"/>
    <w:rsid w:val="6C5C6966"/>
    <w:rsid w:val="6C5D168E"/>
    <w:rsid w:val="6C5D1A55"/>
    <w:rsid w:val="6C5D2290"/>
    <w:rsid w:val="6C5D26DE"/>
    <w:rsid w:val="6C5D5F26"/>
    <w:rsid w:val="6C5D665C"/>
    <w:rsid w:val="6C5D685A"/>
    <w:rsid w:val="6C5E0609"/>
    <w:rsid w:val="6C5E0930"/>
    <w:rsid w:val="6C5E4626"/>
    <w:rsid w:val="6C5E554C"/>
    <w:rsid w:val="6C5F1FB2"/>
    <w:rsid w:val="6C5F31E0"/>
    <w:rsid w:val="6C5F584E"/>
    <w:rsid w:val="6C5F6456"/>
    <w:rsid w:val="6C5F719A"/>
    <w:rsid w:val="6C600E7C"/>
    <w:rsid w:val="6C611169"/>
    <w:rsid w:val="6C6121CE"/>
    <w:rsid w:val="6C613F7C"/>
    <w:rsid w:val="6C61455E"/>
    <w:rsid w:val="6C6153F8"/>
    <w:rsid w:val="6C6203E0"/>
    <w:rsid w:val="6C621AA2"/>
    <w:rsid w:val="6C624148"/>
    <w:rsid w:val="6C624437"/>
    <w:rsid w:val="6C62769C"/>
    <w:rsid w:val="6C627CF4"/>
    <w:rsid w:val="6C630B72"/>
    <w:rsid w:val="6C632D2D"/>
    <w:rsid w:val="6C6358C7"/>
    <w:rsid w:val="6C635C0E"/>
    <w:rsid w:val="6C636C38"/>
    <w:rsid w:val="6C6404FA"/>
    <w:rsid w:val="6C643A6C"/>
    <w:rsid w:val="6C64581A"/>
    <w:rsid w:val="6C645B4E"/>
    <w:rsid w:val="6C646D57"/>
    <w:rsid w:val="6C6475C8"/>
    <w:rsid w:val="6C652DB8"/>
    <w:rsid w:val="6C654342"/>
    <w:rsid w:val="6C65481F"/>
    <w:rsid w:val="6C661592"/>
    <w:rsid w:val="6C66223B"/>
    <w:rsid w:val="6C662AF4"/>
    <w:rsid w:val="6C663340"/>
    <w:rsid w:val="6C6670D7"/>
    <w:rsid w:val="6C6677E4"/>
    <w:rsid w:val="6C667F74"/>
    <w:rsid w:val="6C671861"/>
    <w:rsid w:val="6C67530A"/>
    <w:rsid w:val="6C6770B8"/>
    <w:rsid w:val="6C691082"/>
    <w:rsid w:val="6C69115C"/>
    <w:rsid w:val="6C691739"/>
    <w:rsid w:val="6C697280"/>
    <w:rsid w:val="6C6A1488"/>
    <w:rsid w:val="6C6A2BC9"/>
    <w:rsid w:val="6C6A4D4A"/>
    <w:rsid w:val="6C6A7AF7"/>
    <w:rsid w:val="6C6B0957"/>
    <w:rsid w:val="6C6B4DFB"/>
    <w:rsid w:val="6C6B65E0"/>
    <w:rsid w:val="6C6B6BA9"/>
    <w:rsid w:val="6C6B7438"/>
    <w:rsid w:val="6C6C6D23"/>
    <w:rsid w:val="6C6D0B73"/>
    <w:rsid w:val="6C6D2921"/>
    <w:rsid w:val="6C6D7E09"/>
    <w:rsid w:val="6C6E0447"/>
    <w:rsid w:val="6C6E29DA"/>
    <w:rsid w:val="6C6E48EB"/>
    <w:rsid w:val="6C6E55AB"/>
    <w:rsid w:val="6C6F3E6A"/>
    <w:rsid w:val="6C6F3F81"/>
    <w:rsid w:val="6C6F4819"/>
    <w:rsid w:val="6C6F6A3B"/>
    <w:rsid w:val="6C700348"/>
    <w:rsid w:val="6C700663"/>
    <w:rsid w:val="6C702411"/>
    <w:rsid w:val="6C7055D4"/>
    <w:rsid w:val="6C705F6D"/>
    <w:rsid w:val="6C707ECB"/>
    <w:rsid w:val="6C710A3A"/>
    <w:rsid w:val="6C710F75"/>
    <w:rsid w:val="6C711CE5"/>
    <w:rsid w:val="6C714041"/>
    <w:rsid w:val="6C71678A"/>
    <w:rsid w:val="6C723A80"/>
    <w:rsid w:val="6C726189"/>
    <w:rsid w:val="6C731F01"/>
    <w:rsid w:val="6C7321E0"/>
    <w:rsid w:val="6C733CAF"/>
    <w:rsid w:val="6C734895"/>
    <w:rsid w:val="6C7353BC"/>
    <w:rsid w:val="6C735A5D"/>
    <w:rsid w:val="6C74684C"/>
    <w:rsid w:val="6C7517D5"/>
    <w:rsid w:val="6C755C79"/>
    <w:rsid w:val="6C756576"/>
    <w:rsid w:val="6C757A27"/>
    <w:rsid w:val="6C76042B"/>
    <w:rsid w:val="6C7633F1"/>
    <w:rsid w:val="6C765D11"/>
    <w:rsid w:val="6C7672FB"/>
    <w:rsid w:val="6C770B6C"/>
    <w:rsid w:val="6C77379F"/>
    <w:rsid w:val="6C774780"/>
    <w:rsid w:val="6C774D8C"/>
    <w:rsid w:val="6C77554D"/>
    <w:rsid w:val="6C78022F"/>
    <w:rsid w:val="6C7815C3"/>
    <w:rsid w:val="6C78665D"/>
    <w:rsid w:val="6C793E22"/>
    <w:rsid w:val="6C797AED"/>
    <w:rsid w:val="6C7A3290"/>
    <w:rsid w:val="6C7A503E"/>
    <w:rsid w:val="6C7A60CE"/>
    <w:rsid w:val="6C7A6DEC"/>
    <w:rsid w:val="6C7B0AF4"/>
    <w:rsid w:val="6C7B3AD4"/>
    <w:rsid w:val="6C7C0286"/>
    <w:rsid w:val="6C7C0DB6"/>
    <w:rsid w:val="6C7C7008"/>
    <w:rsid w:val="6C7D068A"/>
    <w:rsid w:val="6C7D17E1"/>
    <w:rsid w:val="6C7D300C"/>
    <w:rsid w:val="6C7D31DD"/>
    <w:rsid w:val="6C7D37D3"/>
    <w:rsid w:val="6C7D4B2E"/>
    <w:rsid w:val="6C7D6C05"/>
    <w:rsid w:val="6C7D78FE"/>
    <w:rsid w:val="6C7E26F9"/>
    <w:rsid w:val="6C7F08A6"/>
    <w:rsid w:val="6C7F2654"/>
    <w:rsid w:val="6C80208D"/>
    <w:rsid w:val="6C816E46"/>
    <w:rsid w:val="6C81770F"/>
    <w:rsid w:val="6C82233C"/>
    <w:rsid w:val="6C823EF2"/>
    <w:rsid w:val="6C824071"/>
    <w:rsid w:val="6C827D59"/>
    <w:rsid w:val="6C832144"/>
    <w:rsid w:val="6C833770"/>
    <w:rsid w:val="6C83461C"/>
    <w:rsid w:val="6C841F60"/>
    <w:rsid w:val="6C8430D7"/>
    <w:rsid w:val="6C844C00"/>
    <w:rsid w:val="6C84625B"/>
    <w:rsid w:val="6C856090"/>
    <w:rsid w:val="6C861C34"/>
    <w:rsid w:val="6C8639E2"/>
    <w:rsid w:val="6C865790"/>
    <w:rsid w:val="6C866827"/>
    <w:rsid w:val="6C866E49"/>
    <w:rsid w:val="6C870C34"/>
    <w:rsid w:val="6C8714F7"/>
    <w:rsid w:val="6C8726F7"/>
    <w:rsid w:val="6C880A65"/>
    <w:rsid w:val="6C882042"/>
    <w:rsid w:val="6C88775B"/>
    <w:rsid w:val="6C89401B"/>
    <w:rsid w:val="6C8950A2"/>
    <w:rsid w:val="6C895281"/>
    <w:rsid w:val="6C89702F"/>
    <w:rsid w:val="6C8A0A72"/>
    <w:rsid w:val="6C8A26AA"/>
    <w:rsid w:val="6C8A3DBD"/>
    <w:rsid w:val="6C8B2DA7"/>
    <w:rsid w:val="6C8C5F63"/>
    <w:rsid w:val="6C8C6B1F"/>
    <w:rsid w:val="6C8D4D71"/>
    <w:rsid w:val="6C8E0177"/>
    <w:rsid w:val="6C8E0AE9"/>
    <w:rsid w:val="6C8E2897"/>
    <w:rsid w:val="6C8F0954"/>
    <w:rsid w:val="6C8F1D13"/>
    <w:rsid w:val="6C8F3454"/>
    <w:rsid w:val="6C8F6890"/>
    <w:rsid w:val="6C9003BD"/>
    <w:rsid w:val="6C904861"/>
    <w:rsid w:val="6C90660F"/>
    <w:rsid w:val="6C910174"/>
    <w:rsid w:val="6C910945"/>
    <w:rsid w:val="6C912829"/>
    <w:rsid w:val="6C912F7E"/>
    <w:rsid w:val="6C914043"/>
    <w:rsid w:val="6C920101"/>
    <w:rsid w:val="6C9205D9"/>
    <w:rsid w:val="6C922387"/>
    <w:rsid w:val="6C931433"/>
    <w:rsid w:val="6C9360FF"/>
    <w:rsid w:val="6C937EAD"/>
    <w:rsid w:val="6C94046C"/>
    <w:rsid w:val="6C940BF4"/>
    <w:rsid w:val="6C944351"/>
    <w:rsid w:val="6C9472C6"/>
    <w:rsid w:val="6C947713"/>
    <w:rsid w:val="6C950079"/>
    <w:rsid w:val="6C950273"/>
    <w:rsid w:val="6C951E77"/>
    <w:rsid w:val="6C953C26"/>
    <w:rsid w:val="6C954E98"/>
    <w:rsid w:val="6C961B12"/>
    <w:rsid w:val="6C962196"/>
    <w:rsid w:val="6C967015"/>
    <w:rsid w:val="6C97174C"/>
    <w:rsid w:val="6C973076"/>
    <w:rsid w:val="6C975BF0"/>
    <w:rsid w:val="6C976B79"/>
    <w:rsid w:val="6C97799E"/>
    <w:rsid w:val="6C9821D3"/>
    <w:rsid w:val="6C983716"/>
    <w:rsid w:val="6C9854C4"/>
    <w:rsid w:val="6C985C47"/>
    <w:rsid w:val="6C9867AB"/>
    <w:rsid w:val="6C987DB8"/>
    <w:rsid w:val="6C991968"/>
    <w:rsid w:val="6C9967B3"/>
    <w:rsid w:val="6C9A02F1"/>
    <w:rsid w:val="6C9A123C"/>
    <w:rsid w:val="6C9A748E"/>
    <w:rsid w:val="6C9C1458"/>
    <w:rsid w:val="6C9C3206"/>
    <w:rsid w:val="6C9C4317"/>
    <w:rsid w:val="6C9C6D62"/>
    <w:rsid w:val="6C9D0D2C"/>
    <w:rsid w:val="6C9D0E62"/>
    <w:rsid w:val="6C9D2ADA"/>
    <w:rsid w:val="6C9D37C4"/>
    <w:rsid w:val="6C9E0085"/>
    <w:rsid w:val="6C9E0378"/>
    <w:rsid w:val="6C9E07B8"/>
    <w:rsid w:val="6C9E12C3"/>
    <w:rsid w:val="6C9E54DD"/>
    <w:rsid w:val="6C9E6F7E"/>
    <w:rsid w:val="6C9F105F"/>
    <w:rsid w:val="6C9F2F49"/>
    <w:rsid w:val="6C9F4AA4"/>
    <w:rsid w:val="6CA02204"/>
    <w:rsid w:val="6CA0308B"/>
    <w:rsid w:val="6CA04582"/>
    <w:rsid w:val="6CA0672B"/>
    <w:rsid w:val="6CA101E9"/>
    <w:rsid w:val="6CA1081C"/>
    <w:rsid w:val="6CA125CA"/>
    <w:rsid w:val="6CA16A6E"/>
    <w:rsid w:val="6CA16CF9"/>
    <w:rsid w:val="6CA17546"/>
    <w:rsid w:val="6CA200F0"/>
    <w:rsid w:val="6CA21463"/>
    <w:rsid w:val="6CA23AAB"/>
    <w:rsid w:val="6CA2533F"/>
    <w:rsid w:val="6CA336A1"/>
    <w:rsid w:val="6CA34594"/>
    <w:rsid w:val="6CA36342"/>
    <w:rsid w:val="6CA4030D"/>
    <w:rsid w:val="6CA420BB"/>
    <w:rsid w:val="6CA441EA"/>
    <w:rsid w:val="6CA479DF"/>
    <w:rsid w:val="6CA616DB"/>
    <w:rsid w:val="6CA6617A"/>
    <w:rsid w:val="6CA66B0A"/>
    <w:rsid w:val="6CA70D5D"/>
    <w:rsid w:val="6CA74B03"/>
    <w:rsid w:val="6CA755F6"/>
    <w:rsid w:val="6CA76731"/>
    <w:rsid w:val="6CA76BA2"/>
    <w:rsid w:val="6CA77F9A"/>
    <w:rsid w:val="6CA8159C"/>
    <w:rsid w:val="6CA817A8"/>
    <w:rsid w:val="6CA8643D"/>
    <w:rsid w:val="6CA87DFD"/>
    <w:rsid w:val="6CA90308"/>
    <w:rsid w:val="6CA9147F"/>
    <w:rsid w:val="6CA93B67"/>
    <w:rsid w:val="6CA95923"/>
    <w:rsid w:val="6CA96BCC"/>
    <w:rsid w:val="6CA976D1"/>
    <w:rsid w:val="6CAA08FF"/>
    <w:rsid w:val="6CAA3CC8"/>
    <w:rsid w:val="6CAB3449"/>
    <w:rsid w:val="6CAB51F7"/>
    <w:rsid w:val="6CAB7D77"/>
    <w:rsid w:val="6CAC18F2"/>
    <w:rsid w:val="6CAD0D99"/>
    <w:rsid w:val="6CAD69DD"/>
    <w:rsid w:val="6CAE2CC9"/>
    <w:rsid w:val="6CAE388F"/>
    <w:rsid w:val="6CAE4CE7"/>
    <w:rsid w:val="6CAE6A95"/>
    <w:rsid w:val="6CAE7E6D"/>
    <w:rsid w:val="6CAF118B"/>
    <w:rsid w:val="6CAF12FD"/>
    <w:rsid w:val="6CB001A9"/>
    <w:rsid w:val="6CB00684"/>
    <w:rsid w:val="6CB0278D"/>
    <w:rsid w:val="6CB0280D"/>
    <w:rsid w:val="6CB0377A"/>
    <w:rsid w:val="6CB107A0"/>
    <w:rsid w:val="6CB12622"/>
    <w:rsid w:val="6CB15DA6"/>
    <w:rsid w:val="6CB22A29"/>
    <w:rsid w:val="6CB23210"/>
    <w:rsid w:val="6CB23815"/>
    <w:rsid w:val="6CB23970"/>
    <w:rsid w:val="6CB30550"/>
    <w:rsid w:val="6CB30A34"/>
    <w:rsid w:val="6CB3245F"/>
    <w:rsid w:val="6CB32A88"/>
    <w:rsid w:val="6CB408A8"/>
    <w:rsid w:val="6CB41900"/>
    <w:rsid w:val="6CB43BD9"/>
    <w:rsid w:val="6CB43CDF"/>
    <w:rsid w:val="6CB43DFE"/>
    <w:rsid w:val="6CB44C0D"/>
    <w:rsid w:val="6CB46873"/>
    <w:rsid w:val="6CB51A69"/>
    <w:rsid w:val="6CB5251A"/>
    <w:rsid w:val="6CB542C8"/>
    <w:rsid w:val="6CB5516F"/>
    <w:rsid w:val="6CB55D76"/>
    <w:rsid w:val="6CB56076"/>
    <w:rsid w:val="6CB5686E"/>
    <w:rsid w:val="6CB57E24"/>
    <w:rsid w:val="6CB609E9"/>
    <w:rsid w:val="6CB66007"/>
    <w:rsid w:val="6CB70040"/>
    <w:rsid w:val="6CB7133F"/>
    <w:rsid w:val="6CB71564"/>
    <w:rsid w:val="6CB727A3"/>
    <w:rsid w:val="6CB73B9C"/>
    <w:rsid w:val="6CB74F6C"/>
    <w:rsid w:val="6CB76AEF"/>
    <w:rsid w:val="6CB810F5"/>
    <w:rsid w:val="6CB85085"/>
    <w:rsid w:val="6CB87914"/>
    <w:rsid w:val="6CB91600"/>
    <w:rsid w:val="6CB93DB8"/>
    <w:rsid w:val="6CB95B66"/>
    <w:rsid w:val="6CB97887"/>
    <w:rsid w:val="6CBA0DA4"/>
    <w:rsid w:val="6CBA18DE"/>
    <w:rsid w:val="6CBA28C7"/>
    <w:rsid w:val="6CBB3DE1"/>
    <w:rsid w:val="6CBB78A0"/>
    <w:rsid w:val="6CBC11B2"/>
    <w:rsid w:val="6CBC5656"/>
    <w:rsid w:val="6CBD1A44"/>
    <w:rsid w:val="6CBD213F"/>
    <w:rsid w:val="6CBD4359"/>
    <w:rsid w:val="6CBD4F2A"/>
    <w:rsid w:val="6CBE112C"/>
    <w:rsid w:val="6CBE13CE"/>
    <w:rsid w:val="6CBE25D7"/>
    <w:rsid w:val="6CBE317C"/>
    <w:rsid w:val="6CBE31B6"/>
    <w:rsid w:val="6CBF1C1C"/>
    <w:rsid w:val="6CBF1D0A"/>
    <w:rsid w:val="6CBF5146"/>
    <w:rsid w:val="6CBF564D"/>
    <w:rsid w:val="6CC008FD"/>
    <w:rsid w:val="6CC00DD4"/>
    <w:rsid w:val="6CC07497"/>
    <w:rsid w:val="6CC074F4"/>
    <w:rsid w:val="6CC07F10"/>
    <w:rsid w:val="6CC10EBE"/>
    <w:rsid w:val="6CC12C6C"/>
    <w:rsid w:val="6CC131E5"/>
    <w:rsid w:val="6CC1344F"/>
    <w:rsid w:val="6CC13712"/>
    <w:rsid w:val="6CC152FA"/>
    <w:rsid w:val="6CC16510"/>
    <w:rsid w:val="6CC2541F"/>
    <w:rsid w:val="6CC369E5"/>
    <w:rsid w:val="6CC437D4"/>
    <w:rsid w:val="6CC462B9"/>
    <w:rsid w:val="6CC509FF"/>
    <w:rsid w:val="6CC56697"/>
    <w:rsid w:val="6CC60283"/>
    <w:rsid w:val="6CC60972"/>
    <w:rsid w:val="6CC62031"/>
    <w:rsid w:val="6CC63C93"/>
    <w:rsid w:val="6CC71532"/>
    <w:rsid w:val="6CC835E5"/>
    <w:rsid w:val="6CC83FFB"/>
    <w:rsid w:val="6CC84ED2"/>
    <w:rsid w:val="6CC87595"/>
    <w:rsid w:val="6CC8760E"/>
    <w:rsid w:val="6CC87B57"/>
    <w:rsid w:val="6CC91B21"/>
    <w:rsid w:val="6CC926F8"/>
    <w:rsid w:val="6CC938CF"/>
    <w:rsid w:val="6CCA7D73"/>
    <w:rsid w:val="6CCB33AC"/>
    <w:rsid w:val="6CCB7647"/>
    <w:rsid w:val="6CCC0825"/>
    <w:rsid w:val="6CCD0BD4"/>
    <w:rsid w:val="6CCD1611"/>
    <w:rsid w:val="6CCD2C56"/>
    <w:rsid w:val="6CCD33BF"/>
    <w:rsid w:val="6CCD7863"/>
    <w:rsid w:val="6CCE0EE6"/>
    <w:rsid w:val="6CCE471F"/>
    <w:rsid w:val="6CCE7137"/>
    <w:rsid w:val="6CCE7F95"/>
    <w:rsid w:val="6CCF087B"/>
    <w:rsid w:val="6CCF2574"/>
    <w:rsid w:val="6CCF25A3"/>
    <w:rsid w:val="6CCF5389"/>
    <w:rsid w:val="6CCF6287"/>
    <w:rsid w:val="6CCF71A6"/>
    <w:rsid w:val="6CD01102"/>
    <w:rsid w:val="6CD02EB0"/>
    <w:rsid w:val="6CD04C5E"/>
    <w:rsid w:val="6CD143EF"/>
    <w:rsid w:val="6CD2264A"/>
    <w:rsid w:val="6CD24E7A"/>
    <w:rsid w:val="6CD26C28"/>
    <w:rsid w:val="6CD27268"/>
    <w:rsid w:val="6CD3474E"/>
    <w:rsid w:val="6CD35E80"/>
    <w:rsid w:val="6CD40BF2"/>
    <w:rsid w:val="6CD41BED"/>
    <w:rsid w:val="6CD429A0"/>
    <w:rsid w:val="6CD434EA"/>
    <w:rsid w:val="6CD45B01"/>
    <w:rsid w:val="6CD47248"/>
    <w:rsid w:val="6CD53AE1"/>
    <w:rsid w:val="6CD56718"/>
    <w:rsid w:val="6CD60948"/>
    <w:rsid w:val="6CD61A56"/>
    <w:rsid w:val="6CD63852"/>
    <w:rsid w:val="6CD671D9"/>
    <w:rsid w:val="6CD70509"/>
    <w:rsid w:val="6CD7423E"/>
    <w:rsid w:val="6CD96208"/>
    <w:rsid w:val="6CD97912"/>
    <w:rsid w:val="6CD97FB6"/>
    <w:rsid w:val="6CDA279D"/>
    <w:rsid w:val="6CDA59FA"/>
    <w:rsid w:val="6CDA788A"/>
    <w:rsid w:val="6CDB1F80"/>
    <w:rsid w:val="6CDB6B2F"/>
    <w:rsid w:val="6CDB6F92"/>
    <w:rsid w:val="6CDC1854"/>
    <w:rsid w:val="6CDC1B77"/>
    <w:rsid w:val="6CDC6D32"/>
    <w:rsid w:val="6CDC7434"/>
    <w:rsid w:val="6CDD1929"/>
    <w:rsid w:val="6CDD20BD"/>
    <w:rsid w:val="6CDD437B"/>
    <w:rsid w:val="6CDD6754"/>
    <w:rsid w:val="6CDE0C22"/>
    <w:rsid w:val="6CDE34DB"/>
    <w:rsid w:val="6CDF1345"/>
    <w:rsid w:val="6CDF186C"/>
    <w:rsid w:val="6CDF292F"/>
    <w:rsid w:val="6CDF2F51"/>
    <w:rsid w:val="6CDF30F3"/>
    <w:rsid w:val="6CE00989"/>
    <w:rsid w:val="6CE037ED"/>
    <w:rsid w:val="6CE04E8A"/>
    <w:rsid w:val="6CE06343"/>
    <w:rsid w:val="6CE07597"/>
    <w:rsid w:val="6CE13039"/>
    <w:rsid w:val="6CE1330F"/>
    <w:rsid w:val="6CE16E6B"/>
    <w:rsid w:val="6CE21128"/>
    <w:rsid w:val="6CE230A4"/>
    <w:rsid w:val="6CE269DF"/>
    <w:rsid w:val="6CE30E35"/>
    <w:rsid w:val="6CE3136F"/>
    <w:rsid w:val="6CE32BE3"/>
    <w:rsid w:val="6CE32CCA"/>
    <w:rsid w:val="6CE33832"/>
    <w:rsid w:val="6CE40709"/>
    <w:rsid w:val="6CE40B70"/>
    <w:rsid w:val="6CE4167D"/>
    <w:rsid w:val="6CE4695B"/>
    <w:rsid w:val="6CE4761B"/>
    <w:rsid w:val="6CE52B0D"/>
    <w:rsid w:val="6CE54BAD"/>
    <w:rsid w:val="6CE60925"/>
    <w:rsid w:val="6CE609E3"/>
    <w:rsid w:val="6CE62238"/>
    <w:rsid w:val="6CE626D3"/>
    <w:rsid w:val="6CE64481"/>
    <w:rsid w:val="6CE6694F"/>
    <w:rsid w:val="6CE66B6E"/>
    <w:rsid w:val="6CE7368A"/>
    <w:rsid w:val="6CE73A51"/>
    <w:rsid w:val="6CE80B2B"/>
    <w:rsid w:val="6CE8148E"/>
    <w:rsid w:val="6CE84741"/>
    <w:rsid w:val="6CE8644B"/>
    <w:rsid w:val="6CE9242B"/>
    <w:rsid w:val="6CE92922"/>
    <w:rsid w:val="6CE93F71"/>
    <w:rsid w:val="6CEA21C3"/>
    <w:rsid w:val="6CEA54EF"/>
    <w:rsid w:val="6CEB0015"/>
    <w:rsid w:val="6CEB0CC5"/>
    <w:rsid w:val="6CEB1A97"/>
    <w:rsid w:val="6CEB398F"/>
    <w:rsid w:val="6CEB5F3B"/>
    <w:rsid w:val="6CEB7140"/>
    <w:rsid w:val="6CEB7E0F"/>
    <w:rsid w:val="6CEC008C"/>
    <w:rsid w:val="6CEC3519"/>
    <w:rsid w:val="6CED0BAF"/>
    <w:rsid w:val="6CED272F"/>
    <w:rsid w:val="6CED3A62"/>
    <w:rsid w:val="6CED5810"/>
    <w:rsid w:val="6CEE4A35"/>
    <w:rsid w:val="6CEF1588"/>
    <w:rsid w:val="6CEF3893"/>
    <w:rsid w:val="6CEF70B6"/>
    <w:rsid w:val="6CEF77DA"/>
    <w:rsid w:val="6CF05300"/>
    <w:rsid w:val="6CF070AE"/>
    <w:rsid w:val="6CF07C20"/>
    <w:rsid w:val="6CF105C8"/>
    <w:rsid w:val="6CF110B0"/>
    <w:rsid w:val="6CF11E12"/>
    <w:rsid w:val="6CF144B9"/>
    <w:rsid w:val="6CF14720"/>
    <w:rsid w:val="6CF21078"/>
    <w:rsid w:val="6CF22540"/>
    <w:rsid w:val="6CF22E26"/>
    <w:rsid w:val="6CF249EC"/>
    <w:rsid w:val="6CF25111"/>
    <w:rsid w:val="6CF272CA"/>
    <w:rsid w:val="6CF342D7"/>
    <w:rsid w:val="6CF365A1"/>
    <w:rsid w:val="6CF43042"/>
    <w:rsid w:val="6CF44DF0"/>
    <w:rsid w:val="6CF46B9E"/>
    <w:rsid w:val="6CF47E4A"/>
    <w:rsid w:val="6CF5030C"/>
    <w:rsid w:val="6CF50B68"/>
    <w:rsid w:val="6CF51FA2"/>
    <w:rsid w:val="6CF52916"/>
    <w:rsid w:val="6CF546C4"/>
    <w:rsid w:val="6CF62502"/>
    <w:rsid w:val="6CF63323"/>
    <w:rsid w:val="6CF65C61"/>
    <w:rsid w:val="6CF7043C"/>
    <w:rsid w:val="6CF75FFE"/>
    <w:rsid w:val="6CF7668E"/>
    <w:rsid w:val="6CF801BD"/>
    <w:rsid w:val="6CF80E33"/>
    <w:rsid w:val="6CF90658"/>
    <w:rsid w:val="6CF918AD"/>
    <w:rsid w:val="6CF941B4"/>
    <w:rsid w:val="6CF94468"/>
    <w:rsid w:val="6CFA1CDB"/>
    <w:rsid w:val="6CFA1F84"/>
    <w:rsid w:val="6CFA2076"/>
    <w:rsid w:val="6CFA38A3"/>
    <w:rsid w:val="6CFA3DC4"/>
    <w:rsid w:val="6CFA4E4C"/>
    <w:rsid w:val="6CFA4FE4"/>
    <w:rsid w:val="6CFA617E"/>
    <w:rsid w:val="6CFA6474"/>
    <w:rsid w:val="6CFA7F2C"/>
    <w:rsid w:val="6CFB07D9"/>
    <w:rsid w:val="6CFB7904"/>
    <w:rsid w:val="6CFC1EF7"/>
    <w:rsid w:val="6CFC3CA5"/>
    <w:rsid w:val="6CFC3F2C"/>
    <w:rsid w:val="6CFC61C3"/>
    <w:rsid w:val="6CFC78E9"/>
    <w:rsid w:val="6CFD2224"/>
    <w:rsid w:val="6CFD54F3"/>
    <w:rsid w:val="6CFD7AE5"/>
    <w:rsid w:val="6CFD7C41"/>
    <w:rsid w:val="6CFE17CB"/>
    <w:rsid w:val="6CFE5C6F"/>
    <w:rsid w:val="6CFE61F2"/>
    <w:rsid w:val="6CFE7A1D"/>
    <w:rsid w:val="6CFF4E40"/>
    <w:rsid w:val="6D0019E7"/>
    <w:rsid w:val="6D003795"/>
    <w:rsid w:val="6D00798B"/>
    <w:rsid w:val="6D010BA5"/>
    <w:rsid w:val="6D0112BB"/>
    <w:rsid w:val="6D013069"/>
    <w:rsid w:val="6D013776"/>
    <w:rsid w:val="6D01750D"/>
    <w:rsid w:val="6D022CF9"/>
    <w:rsid w:val="6D023176"/>
    <w:rsid w:val="6D030A96"/>
    <w:rsid w:val="6D030EEE"/>
    <w:rsid w:val="6D031357"/>
    <w:rsid w:val="6D034D91"/>
    <w:rsid w:val="6D035033"/>
    <w:rsid w:val="6D042B59"/>
    <w:rsid w:val="6D0509B6"/>
    <w:rsid w:val="6D050DAB"/>
    <w:rsid w:val="6D0526C9"/>
    <w:rsid w:val="6D05649C"/>
    <w:rsid w:val="6D057682"/>
    <w:rsid w:val="6D06067F"/>
    <w:rsid w:val="6D061E46"/>
    <w:rsid w:val="6D062869"/>
    <w:rsid w:val="6D062D75"/>
    <w:rsid w:val="6D0634C3"/>
    <w:rsid w:val="6D064A17"/>
    <w:rsid w:val="6D064B23"/>
    <w:rsid w:val="6D065BA5"/>
    <w:rsid w:val="6D0668D1"/>
    <w:rsid w:val="6D07253F"/>
    <w:rsid w:val="6D072E5F"/>
    <w:rsid w:val="6D073171"/>
    <w:rsid w:val="6D08089B"/>
    <w:rsid w:val="6D080CD1"/>
    <w:rsid w:val="6D081677"/>
    <w:rsid w:val="6D08248F"/>
    <w:rsid w:val="6D082649"/>
    <w:rsid w:val="6D0854A3"/>
    <w:rsid w:val="6D085EC7"/>
    <w:rsid w:val="6D08699C"/>
    <w:rsid w:val="6D090340"/>
    <w:rsid w:val="6D0907C7"/>
    <w:rsid w:val="6D096B94"/>
    <w:rsid w:val="6D0A0E29"/>
    <w:rsid w:val="6D0A20C6"/>
    <w:rsid w:val="6D0A4613"/>
    <w:rsid w:val="6D0A63C2"/>
    <w:rsid w:val="6D0B1B26"/>
    <w:rsid w:val="6D0B3F38"/>
    <w:rsid w:val="6D0B4828"/>
    <w:rsid w:val="6D0B758F"/>
    <w:rsid w:val="6D0C3F95"/>
    <w:rsid w:val="6D0C6516"/>
    <w:rsid w:val="6D0D4104"/>
    <w:rsid w:val="6D0D5EB2"/>
    <w:rsid w:val="6D0D7FC9"/>
    <w:rsid w:val="6D0E2E7E"/>
    <w:rsid w:val="6D0E4542"/>
    <w:rsid w:val="6D0E5BD8"/>
    <w:rsid w:val="6D0E5D52"/>
    <w:rsid w:val="6D0E5D89"/>
    <w:rsid w:val="6D0F0BEC"/>
    <w:rsid w:val="6D0F1C2A"/>
    <w:rsid w:val="6D0F44B7"/>
    <w:rsid w:val="6D0F4639"/>
    <w:rsid w:val="6D10039F"/>
    <w:rsid w:val="6D10070D"/>
    <w:rsid w:val="6D1014FE"/>
    <w:rsid w:val="6D105E98"/>
    <w:rsid w:val="6D1073A3"/>
    <w:rsid w:val="6D107B3A"/>
    <w:rsid w:val="6D11069A"/>
    <w:rsid w:val="6D11512A"/>
    <w:rsid w:val="6D12171A"/>
    <w:rsid w:val="6D125276"/>
    <w:rsid w:val="6D140FEE"/>
    <w:rsid w:val="6D142D9C"/>
    <w:rsid w:val="6D151C41"/>
    <w:rsid w:val="6D152631"/>
    <w:rsid w:val="6D15307C"/>
    <w:rsid w:val="6D154930"/>
    <w:rsid w:val="6D154D66"/>
    <w:rsid w:val="6D156B14"/>
    <w:rsid w:val="6D15739E"/>
    <w:rsid w:val="6D16193B"/>
    <w:rsid w:val="6D162FB8"/>
    <w:rsid w:val="6D16450C"/>
    <w:rsid w:val="6D1657E1"/>
    <w:rsid w:val="6D170ADE"/>
    <w:rsid w:val="6D17288C"/>
    <w:rsid w:val="6D17599C"/>
    <w:rsid w:val="6D177E1E"/>
    <w:rsid w:val="6D187D25"/>
    <w:rsid w:val="6D187D46"/>
    <w:rsid w:val="6D1919FD"/>
    <w:rsid w:val="6D194857"/>
    <w:rsid w:val="6D196605"/>
    <w:rsid w:val="6D1971D9"/>
    <w:rsid w:val="6D1A412B"/>
    <w:rsid w:val="6D1A6486"/>
    <w:rsid w:val="6D1B128B"/>
    <w:rsid w:val="6D1C037E"/>
    <w:rsid w:val="6D1C2C31"/>
    <w:rsid w:val="6D1C3859"/>
    <w:rsid w:val="6D1C4347"/>
    <w:rsid w:val="6D1C60F5"/>
    <w:rsid w:val="6D1D00CD"/>
    <w:rsid w:val="6D1D0375"/>
    <w:rsid w:val="6D1D2CFE"/>
    <w:rsid w:val="6D1E00BF"/>
    <w:rsid w:val="6D1E5D16"/>
    <w:rsid w:val="6D1E6FD7"/>
    <w:rsid w:val="6D1F4B45"/>
    <w:rsid w:val="6D1F5F77"/>
    <w:rsid w:val="6D1F64C4"/>
    <w:rsid w:val="6D2077ED"/>
    <w:rsid w:val="6D213692"/>
    <w:rsid w:val="6D21370B"/>
    <w:rsid w:val="6D2225C7"/>
    <w:rsid w:val="6D22283F"/>
    <w:rsid w:val="6D222AAF"/>
    <w:rsid w:val="6D2248C1"/>
    <w:rsid w:val="6D233F3F"/>
    <w:rsid w:val="6D2356D5"/>
    <w:rsid w:val="6D235DA9"/>
    <w:rsid w:val="6D2371C9"/>
    <w:rsid w:val="6D246B10"/>
    <w:rsid w:val="6D2477FA"/>
    <w:rsid w:val="6D2500CC"/>
    <w:rsid w:val="6D25144D"/>
    <w:rsid w:val="6D251FBF"/>
    <w:rsid w:val="6D2531FB"/>
    <w:rsid w:val="6D257FA0"/>
    <w:rsid w:val="6D26086E"/>
    <w:rsid w:val="6D262AD0"/>
    <w:rsid w:val="6D2630EF"/>
    <w:rsid w:val="6D263DE7"/>
    <w:rsid w:val="6D2804A4"/>
    <w:rsid w:val="6D283D50"/>
    <w:rsid w:val="6D284922"/>
    <w:rsid w:val="6D286921"/>
    <w:rsid w:val="6D2876FB"/>
    <w:rsid w:val="6D2A0812"/>
    <w:rsid w:val="6D2A1241"/>
    <w:rsid w:val="6D2A1DD7"/>
    <w:rsid w:val="6D2A25C0"/>
    <w:rsid w:val="6D2B3A74"/>
    <w:rsid w:val="6D2B458A"/>
    <w:rsid w:val="6D2B6338"/>
    <w:rsid w:val="6D2C27DC"/>
    <w:rsid w:val="6D2D0302"/>
    <w:rsid w:val="6D2D1303"/>
    <w:rsid w:val="6D2D1DF5"/>
    <w:rsid w:val="6D2D3E5E"/>
    <w:rsid w:val="6D2E0D45"/>
    <w:rsid w:val="6D2E4DB5"/>
    <w:rsid w:val="6D2E7E68"/>
    <w:rsid w:val="6D2E7F73"/>
    <w:rsid w:val="6D2F146A"/>
    <w:rsid w:val="6D2F407A"/>
    <w:rsid w:val="6D2F6351"/>
    <w:rsid w:val="6D2F6CDF"/>
    <w:rsid w:val="6D2F7BD6"/>
    <w:rsid w:val="6D301BA0"/>
    <w:rsid w:val="6D307C84"/>
    <w:rsid w:val="6D313621"/>
    <w:rsid w:val="6D31375B"/>
    <w:rsid w:val="6D313BC8"/>
    <w:rsid w:val="6D3141BF"/>
    <w:rsid w:val="6D314ABF"/>
    <w:rsid w:val="6D315BEC"/>
    <w:rsid w:val="6D316543"/>
    <w:rsid w:val="6D317977"/>
    <w:rsid w:val="6D321474"/>
    <w:rsid w:val="6D3218FC"/>
    <w:rsid w:val="6D324D57"/>
    <w:rsid w:val="6D325918"/>
    <w:rsid w:val="6D3276C6"/>
    <w:rsid w:val="6D3279D3"/>
    <w:rsid w:val="6D330FD2"/>
    <w:rsid w:val="6D3310A9"/>
    <w:rsid w:val="6D331A0B"/>
    <w:rsid w:val="6D3379B4"/>
    <w:rsid w:val="6D341690"/>
    <w:rsid w:val="6D342338"/>
    <w:rsid w:val="6D342975"/>
    <w:rsid w:val="6D344F04"/>
    <w:rsid w:val="6D3451EC"/>
    <w:rsid w:val="6D346A84"/>
    <w:rsid w:val="6D356354"/>
    <w:rsid w:val="6D357497"/>
    <w:rsid w:val="6D365409"/>
    <w:rsid w:val="6D3677DC"/>
    <w:rsid w:val="6D36783A"/>
    <w:rsid w:val="6D372F2F"/>
    <w:rsid w:val="6D373845"/>
    <w:rsid w:val="6D374CDD"/>
    <w:rsid w:val="6D375A86"/>
    <w:rsid w:val="6D382B86"/>
    <w:rsid w:val="6D383616"/>
    <w:rsid w:val="6D384CD5"/>
    <w:rsid w:val="6D390305"/>
    <w:rsid w:val="6D390A55"/>
    <w:rsid w:val="6D392562"/>
    <w:rsid w:val="6D392803"/>
    <w:rsid w:val="6D394EF9"/>
    <w:rsid w:val="6D395B8D"/>
    <w:rsid w:val="6D396CA7"/>
    <w:rsid w:val="6D3978A6"/>
    <w:rsid w:val="6D3A3D6E"/>
    <w:rsid w:val="6D3A657B"/>
    <w:rsid w:val="6D3B062F"/>
    <w:rsid w:val="6D3B1992"/>
    <w:rsid w:val="6D3B47CD"/>
    <w:rsid w:val="6D3C05F9"/>
    <w:rsid w:val="6D3C1942"/>
    <w:rsid w:val="6D3C1F86"/>
    <w:rsid w:val="6D3C5305"/>
    <w:rsid w:val="6D3C6797"/>
    <w:rsid w:val="6D3F05CF"/>
    <w:rsid w:val="6D3F28C7"/>
    <w:rsid w:val="6D3F3718"/>
    <w:rsid w:val="6D3F3B91"/>
    <w:rsid w:val="6D3F4E55"/>
    <w:rsid w:val="6D3F594B"/>
    <w:rsid w:val="6D401DE3"/>
    <w:rsid w:val="6D404BA8"/>
    <w:rsid w:val="6D410C09"/>
    <w:rsid w:val="6D415B5B"/>
    <w:rsid w:val="6D416B43"/>
    <w:rsid w:val="6D417909"/>
    <w:rsid w:val="6D420156"/>
    <w:rsid w:val="6D42599A"/>
    <w:rsid w:val="6D4318D3"/>
    <w:rsid w:val="6D4425B3"/>
    <w:rsid w:val="6D4449B9"/>
    <w:rsid w:val="6D4509F6"/>
    <w:rsid w:val="6D452452"/>
    <w:rsid w:val="6D45284C"/>
    <w:rsid w:val="6D45389E"/>
    <w:rsid w:val="6D454776"/>
    <w:rsid w:val="6D45564C"/>
    <w:rsid w:val="6D45732E"/>
    <w:rsid w:val="6D462A0E"/>
    <w:rsid w:val="6D463172"/>
    <w:rsid w:val="6D465AD5"/>
    <w:rsid w:val="6D4713C4"/>
    <w:rsid w:val="6D472E16"/>
    <w:rsid w:val="6D474413"/>
    <w:rsid w:val="6D474A8C"/>
    <w:rsid w:val="6D47636E"/>
    <w:rsid w:val="6D476378"/>
    <w:rsid w:val="6D480C98"/>
    <w:rsid w:val="6D48513C"/>
    <w:rsid w:val="6D485409"/>
    <w:rsid w:val="6D48652F"/>
    <w:rsid w:val="6D487921"/>
    <w:rsid w:val="6D4908C8"/>
    <w:rsid w:val="6D495C5A"/>
    <w:rsid w:val="6D495FB1"/>
    <w:rsid w:val="6D4A4A10"/>
    <w:rsid w:val="6D4B0788"/>
    <w:rsid w:val="6D4B1CBB"/>
    <w:rsid w:val="6D4B488C"/>
    <w:rsid w:val="6D4C0B8C"/>
    <w:rsid w:val="6D4C314B"/>
    <w:rsid w:val="6D4C4C2C"/>
    <w:rsid w:val="6D4C69DA"/>
    <w:rsid w:val="6D4D2752"/>
    <w:rsid w:val="6D4D2F85"/>
    <w:rsid w:val="6D4E1231"/>
    <w:rsid w:val="6D4F2026"/>
    <w:rsid w:val="6D4F2C25"/>
    <w:rsid w:val="6D4F38B7"/>
    <w:rsid w:val="6D4F4B88"/>
    <w:rsid w:val="6D4F4EEA"/>
    <w:rsid w:val="6D4F64CA"/>
    <w:rsid w:val="6D5006B7"/>
    <w:rsid w:val="6D500B0B"/>
    <w:rsid w:val="6D50278C"/>
    <w:rsid w:val="6D502AE7"/>
    <w:rsid w:val="6D5111D6"/>
    <w:rsid w:val="6D512242"/>
    <w:rsid w:val="6D513FF0"/>
    <w:rsid w:val="6D514074"/>
    <w:rsid w:val="6D520091"/>
    <w:rsid w:val="6D521B17"/>
    <w:rsid w:val="6D521F74"/>
    <w:rsid w:val="6D526FBD"/>
    <w:rsid w:val="6D527166"/>
    <w:rsid w:val="6D527D69"/>
    <w:rsid w:val="6D534EAA"/>
    <w:rsid w:val="6D543AE1"/>
    <w:rsid w:val="6D54577C"/>
    <w:rsid w:val="6D55050F"/>
    <w:rsid w:val="6D5512C0"/>
    <w:rsid w:val="6D55312D"/>
    <w:rsid w:val="6D557767"/>
    <w:rsid w:val="6D5608B2"/>
    <w:rsid w:val="6D561607"/>
    <w:rsid w:val="6D56199F"/>
    <w:rsid w:val="6D5667A6"/>
    <w:rsid w:val="6D566CB1"/>
    <w:rsid w:val="6D567859"/>
    <w:rsid w:val="6D567F21"/>
    <w:rsid w:val="6D57537F"/>
    <w:rsid w:val="6D57712D"/>
    <w:rsid w:val="6D5812D3"/>
    <w:rsid w:val="6D582BEF"/>
    <w:rsid w:val="6D582D1E"/>
    <w:rsid w:val="6D5835D1"/>
    <w:rsid w:val="6D5842BF"/>
    <w:rsid w:val="6D5860E1"/>
    <w:rsid w:val="6D5910F7"/>
    <w:rsid w:val="6D591470"/>
    <w:rsid w:val="6D592EA5"/>
    <w:rsid w:val="6D5940CF"/>
    <w:rsid w:val="6D594C53"/>
    <w:rsid w:val="6D59574F"/>
    <w:rsid w:val="6D597451"/>
    <w:rsid w:val="6D597B20"/>
    <w:rsid w:val="6D5A1EC1"/>
    <w:rsid w:val="6D5A526C"/>
    <w:rsid w:val="6D5B6DAA"/>
    <w:rsid w:val="6D5B7640"/>
    <w:rsid w:val="6D5C4743"/>
    <w:rsid w:val="6D5C5811"/>
    <w:rsid w:val="6D5C74AA"/>
    <w:rsid w:val="6D5D0600"/>
    <w:rsid w:val="6D5D0794"/>
    <w:rsid w:val="6D5D08EA"/>
    <w:rsid w:val="6D5D181B"/>
    <w:rsid w:val="6D5D40D0"/>
    <w:rsid w:val="6D5D669F"/>
    <w:rsid w:val="6D5E04BB"/>
    <w:rsid w:val="6D5E1220"/>
    <w:rsid w:val="6D5E33D3"/>
    <w:rsid w:val="6D5E670D"/>
    <w:rsid w:val="6D60048C"/>
    <w:rsid w:val="6D60176B"/>
    <w:rsid w:val="6D602485"/>
    <w:rsid w:val="6D602AA1"/>
    <w:rsid w:val="6D604233"/>
    <w:rsid w:val="6D605FE2"/>
    <w:rsid w:val="6D611FDB"/>
    <w:rsid w:val="6D6124E4"/>
    <w:rsid w:val="6D615622"/>
    <w:rsid w:val="6D6205FC"/>
    <w:rsid w:val="6D62257F"/>
    <w:rsid w:val="6D6261FE"/>
    <w:rsid w:val="6D627F42"/>
    <w:rsid w:val="6D6313D2"/>
    <w:rsid w:val="6D631F76"/>
    <w:rsid w:val="6D632846"/>
    <w:rsid w:val="6D633D24"/>
    <w:rsid w:val="6D63467E"/>
    <w:rsid w:val="6D635A5E"/>
    <w:rsid w:val="6D635AD2"/>
    <w:rsid w:val="6D641974"/>
    <w:rsid w:val="6D65184A"/>
    <w:rsid w:val="6D655433"/>
    <w:rsid w:val="6D655CEE"/>
    <w:rsid w:val="6D666636"/>
    <w:rsid w:val="6D6668C3"/>
    <w:rsid w:val="6D672EB2"/>
    <w:rsid w:val="6D673814"/>
    <w:rsid w:val="6D675D52"/>
    <w:rsid w:val="6D68133A"/>
    <w:rsid w:val="6D6830E8"/>
    <w:rsid w:val="6D683DB4"/>
    <w:rsid w:val="6D6868F1"/>
    <w:rsid w:val="6D68758C"/>
    <w:rsid w:val="6D694AA4"/>
    <w:rsid w:val="6D6963EB"/>
    <w:rsid w:val="6D6A3304"/>
    <w:rsid w:val="6D6A50B2"/>
    <w:rsid w:val="6D6A6E60"/>
    <w:rsid w:val="6D6A7E15"/>
    <w:rsid w:val="6D6B12A5"/>
    <w:rsid w:val="6D6B163A"/>
    <w:rsid w:val="6D6B54C5"/>
    <w:rsid w:val="6D6B5FE5"/>
    <w:rsid w:val="6D6B6EF8"/>
    <w:rsid w:val="6D6B784F"/>
    <w:rsid w:val="6D6C0E2A"/>
    <w:rsid w:val="6D6C2735"/>
    <w:rsid w:val="6D6C2BD8"/>
    <w:rsid w:val="6D6C2DEC"/>
    <w:rsid w:val="6D6D06FE"/>
    <w:rsid w:val="6D6D5D69"/>
    <w:rsid w:val="6D6D671A"/>
    <w:rsid w:val="6D6D6950"/>
    <w:rsid w:val="6D6E6502"/>
    <w:rsid w:val="6D6E6C99"/>
    <w:rsid w:val="6D6F091A"/>
    <w:rsid w:val="6D6F0E7A"/>
    <w:rsid w:val="6D6F2523"/>
    <w:rsid w:val="6D6F26C8"/>
    <w:rsid w:val="6D6F4477"/>
    <w:rsid w:val="6D70593A"/>
    <w:rsid w:val="6D7066B1"/>
    <w:rsid w:val="6D711AC2"/>
    <w:rsid w:val="6D716441"/>
    <w:rsid w:val="6D716FD6"/>
    <w:rsid w:val="6D7221B9"/>
    <w:rsid w:val="6D723F67"/>
    <w:rsid w:val="6D730EC7"/>
    <w:rsid w:val="6D745F31"/>
    <w:rsid w:val="6D7517B1"/>
    <w:rsid w:val="6D7537E7"/>
    <w:rsid w:val="6D753E86"/>
    <w:rsid w:val="6D757F63"/>
    <w:rsid w:val="6D76125D"/>
    <w:rsid w:val="6D763A57"/>
    <w:rsid w:val="6D765F06"/>
    <w:rsid w:val="6D766A4E"/>
    <w:rsid w:val="6D77157D"/>
    <w:rsid w:val="6D77332B"/>
    <w:rsid w:val="6D7749A3"/>
    <w:rsid w:val="6D7777CF"/>
    <w:rsid w:val="6D785A21"/>
    <w:rsid w:val="6D7900BF"/>
    <w:rsid w:val="6D7935F8"/>
    <w:rsid w:val="6D7970A3"/>
    <w:rsid w:val="6D7A2EF4"/>
    <w:rsid w:val="6D7B222A"/>
    <w:rsid w:val="6D7B2E1B"/>
    <w:rsid w:val="6D7B36A5"/>
    <w:rsid w:val="6D7B5E7C"/>
    <w:rsid w:val="6D7B61BC"/>
    <w:rsid w:val="6D7B640B"/>
    <w:rsid w:val="6D7B7659"/>
    <w:rsid w:val="6D7B76B7"/>
    <w:rsid w:val="6D7C36BA"/>
    <w:rsid w:val="6D7C5096"/>
    <w:rsid w:val="6D7D1F79"/>
    <w:rsid w:val="6D7D3037"/>
    <w:rsid w:val="6D7D4DE5"/>
    <w:rsid w:val="6D7D73E3"/>
    <w:rsid w:val="6D7E0B5E"/>
    <w:rsid w:val="6D7E0FF0"/>
    <w:rsid w:val="6D7E46BA"/>
    <w:rsid w:val="6D7E6FA5"/>
    <w:rsid w:val="6D7F38DC"/>
    <w:rsid w:val="6D7F553A"/>
    <w:rsid w:val="6D7F6F34"/>
    <w:rsid w:val="6D7F746A"/>
    <w:rsid w:val="6D800432"/>
    <w:rsid w:val="6D80203B"/>
    <w:rsid w:val="6D8048D6"/>
    <w:rsid w:val="6D806684"/>
    <w:rsid w:val="6D8141AA"/>
    <w:rsid w:val="6D8167B4"/>
    <w:rsid w:val="6D8223FC"/>
    <w:rsid w:val="6D82752C"/>
    <w:rsid w:val="6D8309BC"/>
    <w:rsid w:val="6D834D1D"/>
    <w:rsid w:val="6D835DEB"/>
    <w:rsid w:val="6D83727B"/>
    <w:rsid w:val="6D837F22"/>
    <w:rsid w:val="6D842996"/>
    <w:rsid w:val="6D842A9B"/>
    <w:rsid w:val="6D844788"/>
    <w:rsid w:val="6D851CD7"/>
    <w:rsid w:val="6D853C9A"/>
    <w:rsid w:val="6D854A1D"/>
    <w:rsid w:val="6D855A48"/>
    <w:rsid w:val="6D860AC1"/>
    <w:rsid w:val="6D8617C0"/>
    <w:rsid w:val="6D877A12"/>
    <w:rsid w:val="6D8819DC"/>
    <w:rsid w:val="6D881F71"/>
    <w:rsid w:val="6D88378A"/>
    <w:rsid w:val="6D884DF7"/>
    <w:rsid w:val="6D887892"/>
    <w:rsid w:val="6D887BB6"/>
    <w:rsid w:val="6D8917BE"/>
    <w:rsid w:val="6D8930ED"/>
    <w:rsid w:val="6D89482E"/>
    <w:rsid w:val="6D8A24D4"/>
    <w:rsid w:val="6D8A305E"/>
    <w:rsid w:val="6D8A457D"/>
    <w:rsid w:val="6D8A5CBE"/>
    <w:rsid w:val="6D8A5D20"/>
    <w:rsid w:val="6D8A7502"/>
    <w:rsid w:val="6D8B1382"/>
    <w:rsid w:val="6D8B1A0E"/>
    <w:rsid w:val="6D8B1D1F"/>
    <w:rsid w:val="6D8B30C2"/>
    <w:rsid w:val="6D8B494D"/>
    <w:rsid w:val="6D8C05DE"/>
    <w:rsid w:val="6D8C5028"/>
    <w:rsid w:val="6D8D2B4F"/>
    <w:rsid w:val="6D8D3894"/>
    <w:rsid w:val="6D8D463F"/>
    <w:rsid w:val="6D8D4D4B"/>
    <w:rsid w:val="6D8E05A2"/>
    <w:rsid w:val="6D8E0B99"/>
    <w:rsid w:val="6D8E2425"/>
    <w:rsid w:val="6D8E2DB8"/>
    <w:rsid w:val="6D8E325C"/>
    <w:rsid w:val="6D8E6FF3"/>
    <w:rsid w:val="6D8F2EDC"/>
    <w:rsid w:val="6D8F4B19"/>
    <w:rsid w:val="6D8F6D17"/>
    <w:rsid w:val="6D9025EA"/>
    <w:rsid w:val="6D910891"/>
    <w:rsid w:val="6D913D7F"/>
    <w:rsid w:val="6D9143ED"/>
    <w:rsid w:val="6D920884"/>
    <w:rsid w:val="6D92213D"/>
    <w:rsid w:val="6D934609"/>
    <w:rsid w:val="6D934810"/>
    <w:rsid w:val="6D9372DB"/>
    <w:rsid w:val="6D940263"/>
    <w:rsid w:val="6D940381"/>
    <w:rsid w:val="6D94212F"/>
    <w:rsid w:val="6D954E81"/>
    <w:rsid w:val="6D957426"/>
    <w:rsid w:val="6D960B82"/>
    <w:rsid w:val="6D9666DA"/>
    <w:rsid w:val="6D967C55"/>
    <w:rsid w:val="6D9739CD"/>
    <w:rsid w:val="6D97577B"/>
    <w:rsid w:val="6D975A2A"/>
    <w:rsid w:val="6D9914F3"/>
    <w:rsid w:val="6D995035"/>
    <w:rsid w:val="6D995997"/>
    <w:rsid w:val="6D996ED1"/>
    <w:rsid w:val="6D997503"/>
    <w:rsid w:val="6D9A4072"/>
    <w:rsid w:val="6D9A7925"/>
    <w:rsid w:val="6D9B1EA6"/>
    <w:rsid w:val="6D9B526C"/>
    <w:rsid w:val="6D9B6C43"/>
    <w:rsid w:val="6D9C0FE4"/>
    <w:rsid w:val="6D9C18AD"/>
    <w:rsid w:val="6D9C36C5"/>
    <w:rsid w:val="6D9D0662"/>
    <w:rsid w:val="6D9D5488"/>
    <w:rsid w:val="6D9D64E4"/>
    <w:rsid w:val="6D9D669B"/>
    <w:rsid w:val="6D9D7236"/>
    <w:rsid w:val="6D9E1D61"/>
    <w:rsid w:val="6D9E29F3"/>
    <w:rsid w:val="6D9E2FAE"/>
    <w:rsid w:val="6D9E43E9"/>
    <w:rsid w:val="6D9E4D5C"/>
    <w:rsid w:val="6D9E632E"/>
    <w:rsid w:val="6D9E6B0A"/>
    <w:rsid w:val="6D9F07B0"/>
    <w:rsid w:val="6DA00AD4"/>
    <w:rsid w:val="6DA02882"/>
    <w:rsid w:val="6DA02C9B"/>
    <w:rsid w:val="6DA12AB5"/>
    <w:rsid w:val="6DA13F45"/>
    <w:rsid w:val="6DA20CFA"/>
    <w:rsid w:val="6DA22804"/>
    <w:rsid w:val="6DA241E4"/>
    <w:rsid w:val="6DA265FA"/>
    <w:rsid w:val="6DA26789"/>
    <w:rsid w:val="6DA305C4"/>
    <w:rsid w:val="6DA32372"/>
    <w:rsid w:val="6DA33093"/>
    <w:rsid w:val="6DA337BB"/>
    <w:rsid w:val="6DA34120"/>
    <w:rsid w:val="6DA365DC"/>
    <w:rsid w:val="6DA46816"/>
    <w:rsid w:val="6DA47CF5"/>
    <w:rsid w:val="6DA51185"/>
    <w:rsid w:val="6DA51573"/>
    <w:rsid w:val="6DA560EA"/>
    <w:rsid w:val="6DA57E98"/>
    <w:rsid w:val="6DA71E62"/>
    <w:rsid w:val="6DA75ACB"/>
    <w:rsid w:val="6DA7656E"/>
    <w:rsid w:val="6DA8583E"/>
    <w:rsid w:val="6DA85BDA"/>
    <w:rsid w:val="6DA86676"/>
    <w:rsid w:val="6DA866B2"/>
    <w:rsid w:val="6DA9356F"/>
    <w:rsid w:val="6DA93E2C"/>
    <w:rsid w:val="6DA960EF"/>
    <w:rsid w:val="6DAA1953"/>
    <w:rsid w:val="6DAA3B67"/>
    <w:rsid w:val="6DAA54AF"/>
    <w:rsid w:val="6DAA5CEC"/>
    <w:rsid w:val="6DAB6C6B"/>
    <w:rsid w:val="6DAB6E12"/>
    <w:rsid w:val="6DAC1227"/>
    <w:rsid w:val="6DAC688D"/>
    <w:rsid w:val="6DAC7BC8"/>
    <w:rsid w:val="6DAD31F1"/>
    <w:rsid w:val="6DAD4F9F"/>
    <w:rsid w:val="6DAD77C1"/>
    <w:rsid w:val="6DAE0672"/>
    <w:rsid w:val="6DAE1F9A"/>
    <w:rsid w:val="6DAE3978"/>
    <w:rsid w:val="6DAE5087"/>
    <w:rsid w:val="6DAE7D92"/>
    <w:rsid w:val="6DAF6549"/>
    <w:rsid w:val="6DAF6F69"/>
    <w:rsid w:val="6DAF766B"/>
    <w:rsid w:val="6DB029F6"/>
    <w:rsid w:val="6DB06FF1"/>
    <w:rsid w:val="6DB079D9"/>
    <w:rsid w:val="6DB12A6B"/>
    <w:rsid w:val="6DB148D3"/>
    <w:rsid w:val="6DB165E7"/>
    <w:rsid w:val="6DB16858"/>
    <w:rsid w:val="6DB21A61"/>
    <w:rsid w:val="6DB22058"/>
    <w:rsid w:val="6DB225B5"/>
    <w:rsid w:val="6DB24ECA"/>
    <w:rsid w:val="6DB25026"/>
    <w:rsid w:val="6DB25783"/>
    <w:rsid w:val="6DB30807"/>
    <w:rsid w:val="6DB33382"/>
    <w:rsid w:val="6DB34098"/>
    <w:rsid w:val="6DB3497A"/>
    <w:rsid w:val="6DB3635A"/>
    <w:rsid w:val="6DB36A59"/>
    <w:rsid w:val="6DB41D5F"/>
    <w:rsid w:val="6DB420E0"/>
    <w:rsid w:val="6DB427D1"/>
    <w:rsid w:val="6DB4457F"/>
    <w:rsid w:val="6DB4632D"/>
    <w:rsid w:val="6DB52F3F"/>
    <w:rsid w:val="6DB545B6"/>
    <w:rsid w:val="6DB549B7"/>
    <w:rsid w:val="6DB55CAD"/>
    <w:rsid w:val="6DB620A5"/>
    <w:rsid w:val="6DB6384B"/>
    <w:rsid w:val="6DB649AC"/>
    <w:rsid w:val="6DB75720"/>
    <w:rsid w:val="6DB85E1E"/>
    <w:rsid w:val="6DB90077"/>
    <w:rsid w:val="6DB91B96"/>
    <w:rsid w:val="6DB938A2"/>
    <w:rsid w:val="6DB93944"/>
    <w:rsid w:val="6DB962BA"/>
    <w:rsid w:val="6DBA04F3"/>
    <w:rsid w:val="6DBA7147"/>
    <w:rsid w:val="6DBA75D2"/>
    <w:rsid w:val="6DBB2AE7"/>
    <w:rsid w:val="6DBB2B9F"/>
    <w:rsid w:val="6DBB3B60"/>
    <w:rsid w:val="6DBB76BC"/>
    <w:rsid w:val="6DBC0EF2"/>
    <w:rsid w:val="6DBC1CB5"/>
    <w:rsid w:val="6DBC51E2"/>
    <w:rsid w:val="6DBD1FDD"/>
    <w:rsid w:val="6DBD56E8"/>
    <w:rsid w:val="6DBD77C1"/>
    <w:rsid w:val="6DBE478E"/>
    <w:rsid w:val="6DBF6A6A"/>
    <w:rsid w:val="6DC01176"/>
    <w:rsid w:val="6DC02F24"/>
    <w:rsid w:val="6DC0489C"/>
    <w:rsid w:val="6DC049E5"/>
    <w:rsid w:val="6DC04CD2"/>
    <w:rsid w:val="6DC050B9"/>
    <w:rsid w:val="6DC1095E"/>
    <w:rsid w:val="6DC1369C"/>
    <w:rsid w:val="6DC20493"/>
    <w:rsid w:val="6DC20A4A"/>
    <w:rsid w:val="6DC24EEE"/>
    <w:rsid w:val="6DC2748E"/>
    <w:rsid w:val="6DC27632"/>
    <w:rsid w:val="6DC331D1"/>
    <w:rsid w:val="6DC3327E"/>
    <w:rsid w:val="6DC4664E"/>
    <w:rsid w:val="6DC54C96"/>
    <w:rsid w:val="6DC55002"/>
    <w:rsid w:val="6DC5678C"/>
    <w:rsid w:val="6DC6202A"/>
    <w:rsid w:val="6DC65857"/>
    <w:rsid w:val="6DC66CDD"/>
    <w:rsid w:val="6DC70686"/>
    <w:rsid w:val="6DC72505"/>
    <w:rsid w:val="6DC727D2"/>
    <w:rsid w:val="6DC742B3"/>
    <w:rsid w:val="6DC76061"/>
    <w:rsid w:val="6DC773AF"/>
    <w:rsid w:val="6DC8065E"/>
    <w:rsid w:val="6DC82E40"/>
    <w:rsid w:val="6DC85463"/>
    <w:rsid w:val="6DC9002B"/>
    <w:rsid w:val="6DC9057F"/>
    <w:rsid w:val="6DC91C0B"/>
    <w:rsid w:val="6DC92463"/>
    <w:rsid w:val="6DCA2AF5"/>
    <w:rsid w:val="6DCA34A1"/>
    <w:rsid w:val="6DCA39FD"/>
    <w:rsid w:val="6DCA5B51"/>
    <w:rsid w:val="6DCA78FF"/>
    <w:rsid w:val="6DCB45E0"/>
    <w:rsid w:val="6DCC0641"/>
    <w:rsid w:val="6DCC1484"/>
    <w:rsid w:val="6DCC18C9"/>
    <w:rsid w:val="6DCC5A70"/>
    <w:rsid w:val="6DCD19E2"/>
    <w:rsid w:val="6DCD1AD1"/>
    <w:rsid w:val="6DCD6F00"/>
    <w:rsid w:val="6DCD73EF"/>
    <w:rsid w:val="6DCE13E6"/>
    <w:rsid w:val="6DCE28E8"/>
    <w:rsid w:val="6DCE2F61"/>
    <w:rsid w:val="6DCE3893"/>
    <w:rsid w:val="6DCE4C8E"/>
    <w:rsid w:val="6DCE5641"/>
    <w:rsid w:val="6DCF13B9"/>
    <w:rsid w:val="6DCF2FA7"/>
    <w:rsid w:val="6DCF3167"/>
    <w:rsid w:val="6DCF43F1"/>
    <w:rsid w:val="6DCF5D12"/>
    <w:rsid w:val="6DD02EF9"/>
    <w:rsid w:val="6DD05370"/>
    <w:rsid w:val="6DD061B4"/>
    <w:rsid w:val="6DD063E2"/>
    <w:rsid w:val="6DD06FC2"/>
    <w:rsid w:val="6DD10C8D"/>
    <w:rsid w:val="6DD15131"/>
    <w:rsid w:val="6DD16D11"/>
    <w:rsid w:val="6DD300C3"/>
    <w:rsid w:val="6DD3037F"/>
    <w:rsid w:val="6DD34202"/>
    <w:rsid w:val="6DD344A4"/>
    <w:rsid w:val="6DD35943"/>
    <w:rsid w:val="6DD35996"/>
    <w:rsid w:val="6DD3631E"/>
    <w:rsid w:val="6DD43CBA"/>
    <w:rsid w:val="6DD45692"/>
    <w:rsid w:val="6DD479A0"/>
    <w:rsid w:val="6DD54C21"/>
    <w:rsid w:val="6DD556EA"/>
    <w:rsid w:val="6DD5732C"/>
    <w:rsid w:val="6DD573F7"/>
    <w:rsid w:val="6DD5779C"/>
    <w:rsid w:val="6DD62748"/>
    <w:rsid w:val="6DD644F6"/>
    <w:rsid w:val="6DD662A4"/>
    <w:rsid w:val="6DD70C6F"/>
    <w:rsid w:val="6DD71A9F"/>
    <w:rsid w:val="6DD72B83"/>
    <w:rsid w:val="6DD744D9"/>
    <w:rsid w:val="6DD75754"/>
    <w:rsid w:val="6DD775C2"/>
    <w:rsid w:val="6DD8026E"/>
    <w:rsid w:val="6DD8221D"/>
    <w:rsid w:val="6DD83CEA"/>
    <w:rsid w:val="6DD84DB0"/>
    <w:rsid w:val="6DD864C0"/>
    <w:rsid w:val="6DD90074"/>
    <w:rsid w:val="6DD9307F"/>
    <w:rsid w:val="6DDA2C45"/>
    <w:rsid w:val="6DDA57ED"/>
    <w:rsid w:val="6DDB184C"/>
    <w:rsid w:val="6DDB20A4"/>
    <w:rsid w:val="6DDB5FB0"/>
    <w:rsid w:val="6DDB64CE"/>
    <w:rsid w:val="6DDB7D5E"/>
    <w:rsid w:val="6DDD3AD6"/>
    <w:rsid w:val="6DDD4C15"/>
    <w:rsid w:val="6DDD7632"/>
    <w:rsid w:val="6DDE2A56"/>
    <w:rsid w:val="6DDE33AA"/>
    <w:rsid w:val="6DDE5831"/>
    <w:rsid w:val="6DDE7334"/>
    <w:rsid w:val="6DDF3EE1"/>
    <w:rsid w:val="6DDF643E"/>
    <w:rsid w:val="6DDF784E"/>
    <w:rsid w:val="6DE01DFA"/>
    <w:rsid w:val="6DE02FB4"/>
    <w:rsid w:val="6DE05374"/>
    <w:rsid w:val="6DE05376"/>
    <w:rsid w:val="6DE068C0"/>
    <w:rsid w:val="6DE146A8"/>
    <w:rsid w:val="6DE15781"/>
    <w:rsid w:val="6DE16806"/>
    <w:rsid w:val="6DE16E7C"/>
    <w:rsid w:val="6DE17604"/>
    <w:rsid w:val="6DE2083E"/>
    <w:rsid w:val="6DE210EC"/>
    <w:rsid w:val="6DE22867"/>
    <w:rsid w:val="6DE26D4A"/>
    <w:rsid w:val="6DE309C1"/>
    <w:rsid w:val="6DE34AE4"/>
    <w:rsid w:val="6DE35619"/>
    <w:rsid w:val="6DE36C13"/>
    <w:rsid w:val="6DE36EB4"/>
    <w:rsid w:val="6DE372EB"/>
    <w:rsid w:val="6DE41359"/>
    <w:rsid w:val="6DE50BDD"/>
    <w:rsid w:val="6DE5298B"/>
    <w:rsid w:val="6DE52E29"/>
    <w:rsid w:val="6DE54739"/>
    <w:rsid w:val="6DE54DB4"/>
    <w:rsid w:val="6DE563FC"/>
    <w:rsid w:val="6DE611E8"/>
    <w:rsid w:val="6DE62E7F"/>
    <w:rsid w:val="6DE67EA6"/>
    <w:rsid w:val="6DE71DDB"/>
    <w:rsid w:val="6DE76703"/>
    <w:rsid w:val="6DE77026"/>
    <w:rsid w:val="6DE85FD7"/>
    <w:rsid w:val="6DE866D9"/>
    <w:rsid w:val="6DE9095D"/>
    <w:rsid w:val="6DE93138"/>
    <w:rsid w:val="6DE94E4B"/>
    <w:rsid w:val="6DE957F9"/>
    <w:rsid w:val="6DEA1D4F"/>
    <w:rsid w:val="6DEA61F3"/>
    <w:rsid w:val="6DEA7FA1"/>
    <w:rsid w:val="6DEB09BD"/>
    <w:rsid w:val="6DEC1F6B"/>
    <w:rsid w:val="6DEC3D19"/>
    <w:rsid w:val="6DEC5AC7"/>
    <w:rsid w:val="6DED023B"/>
    <w:rsid w:val="6DED511C"/>
    <w:rsid w:val="6DED797A"/>
    <w:rsid w:val="6DEE183F"/>
    <w:rsid w:val="6DEE4DF9"/>
    <w:rsid w:val="6DEF229A"/>
    <w:rsid w:val="6DEF3809"/>
    <w:rsid w:val="6DEF560B"/>
    <w:rsid w:val="6DF11960"/>
    <w:rsid w:val="6DF162FB"/>
    <w:rsid w:val="6DF20202"/>
    <w:rsid w:val="6DF229AE"/>
    <w:rsid w:val="6DF2446B"/>
    <w:rsid w:val="6DF27E1D"/>
    <w:rsid w:val="6DF332FA"/>
    <w:rsid w:val="6DF337EC"/>
    <w:rsid w:val="6DF350A8"/>
    <w:rsid w:val="6DF40E20"/>
    <w:rsid w:val="6DF51DE1"/>
    <w:rsid w:val="6DF57072"/>
    <w:rsid w:val="6DF61C7D"/>
    <w:rsid w:val="6DF64B98"/>
    <w:rsid w:val="6DF65AF3"/>
    <w:rsid w:val="6DF66946"/>
    <w:rsid w:val="6DF70F3D"/>
    <w:rsid w:val="6DF80910"/>
    <w:rsid w:val="6DF826BE"/>
    <w:rsid w:val="6DF835FD"/>
    <w:rsid w:val="6DF8446C"/>
    <w:rsid w:val="6DF901E4"/>
    <w:rsid w:val="6DF95F1D"/>
    <w:rsid w:val="6DF963FF"/>
    <w:rsid w:val="6DFA4688"/>
    <w:rsid w:val="6DFA50EA"/>
    <w:rsid w:val="6DFA6436"/>
    <w:rsid w:val="6DFA7423"/>
    <w:rsid w:val="6DFB0400"/>
    <w:rsid w:val="6DFB21AE"/>
    <w:rsid w:val="6DFB3020"/>
    <w:rsid w:val="6DFB3F5C"/>
    <w:rsid w:val="6DFB52A0"/>
    <w:rsid w:val="6DFB5D0A"/>
    <w:rsid w:val="6DFC171B"/>
    <w:rsid w:val="6DFC340E"/>
    <w:rsid w:val="6DFC4B4F"/>
    <w:rsid w:val="6DFD1A82"/>
    <w:rsid w:val="6DFD4EF9"/>
    <w:rsid w:val="6DFD5F26"/>
    <w:rsid w:val="6DFD7CD4"/>
    <w:rsid w:val="6DFE032C"/>
    <w:rsid w:val="6DFE0991"/>
    <w:rsid w:val="6DFE42BD"/>
    <w:rsid w:val="6DFE57FA"/>
    <w:rsid w:val="6DFE5C2B"/>
    <w:rsid w:val="6DFE5D2E"/>
    <w:rsid w:val="6DFE7481"/>
    <w:rsid w:val="6DFF1C9E"/>
    <w:rsid w:val="6DFF34D0"/>
    <w:rsid w:val="6DFF3A4C"/>
    <w:rsid w:val="6DFF3F0F"/>
    <w:rsid w:val="6E001573"/>
    <w:rsid w:val="6E004960"/>
    <w:rsid w:val="6E005A16"/>
    <w:rsid w:val="6E007490"/>
    <w:rsid w:val="6E0077C5"/>
    <w:rsid w:val="6E011532"/>
    <w:rsid w:val="6E011D4F"/>
    <w:rsid w:val="6E016B9B"/>
    <w:rsid w:val="6E020E0C"/>
    <w:rsid w:val="6E02353D"/>
    <w:rsid w:val="6E0252EB"/>
    <w:rsid w:val="6E027099"/>
    <w:rsid w:val="6E030710"/>
    <w:rsid w:val="6E0435E6"/>
    <w:rsid w:val="6E0446E6"/>
    <w:rsid w:val="6E0472B5"/>
    <w:rsid w:val="6E05302D"/>
    <w:rsid w:val="6E05339E"/>
    <w:rsid w:val="6E056B89"/>
    <w:rsid w:val="6E0607D2"/>
    <w:rsid w:val="6E0628E0"/>
    <w:rsid w:val="6E0641AC"/>
    <w:rsid w:val="6E0656F5"/>
    <w:rsid w:val="6E06782E"/>
    <w:rsid w:val="6E0702F0"/>
    <w:rsid w:val="6E070521"/>
    <w:rsid w:val="6E070B53"/>
    <w:rsid w:val="6E072901"/>
    <w:rsid w:val="6E080427"/>
    <w:rsid w:val="6E0830F2"/>
    <w:rsid w:val="6E085B93"/>
    <w:rsid w:val="6E094B27"/>
    <w:rsid w:val="6E095813"/>
    <w:rsid w:val="6E097CA4"/>
    <w:rsid w:val="6E0A5754"/>
    <w:rsid w:val="6E0B0332"/>
    <w:rsid w:val="6E0B0643"/>
    <w:rsid w:val="6E0B1A73"/>
    <w:rsid w:val="6E0B3AA9"/>
    <w:rsid w:val="6E0C0963"/>
    <w:rsid w:val="6E0C4183"/>
    <w:rsid w:val="6E0C6798"/>
    <w:rsid w:val="6E0C6856"/>
    <w:rsid w:val="6E0C7539"/>
    <w:rsid w:val="6E0C7F17"/>
    <w:rsid w:val="6E0D446A"/>
    <w:rsid w:val="6E0E0133"/>
    <w:rsid w:val="6E0E02BD"/>
    <w:rsid w:val="6E0E1B48"/>
    <w:rsid w:val="6E0E5823"/>
    <w:rsid w:val="6E0E6F43"/>
    <w:rsid w:val="6E0E7540"/>
    <w:rsid w:val="6E0F03E5"/>
    <w:rsid w:val="6E0F6CB3"/>
    <w:rsid w:val="6E0F7A08"/>
    <w:rsid w:val="6E104455"/>
    <w:rsid w:val="6E10519E"/>
    <w:rsid w:val="6E1141A4"/>
    <w:rsid w:val="6E120AE6"/>
    <w:rsid w:val="6E125634"/>
    <w:rsid w:val="6E130205"/>
    <w:rsid w:val="6E1312A6"/>
    <w:rsid w:val="6E134345"/>
    <w:rsid w:val="6E134A4E"/>
    <w:rsid w:val="6E13574A"/>
    <w:rsid w:val="6E135C5A"/>
    <w:rsid w:val="6E142B25"/>
    <w:rsid w:val="6E143C86"/>
    <w:rsid w:val="6E144266"/>
    <w:rsid w:val="6E14672F"/>
    <w:rsid w:val="6E146DCC"/>
    <w:rsid w:val="6E147DCA"/>
    <w:rsid w:val="6E15121F"/>
    <w:rsid w:val="6E153270"/>
    <w:rsid w:val="6E1636BE"/>
    <w:rsid w:val="6E1641F5"/>
    <w:rsid w:val="6E166A0C"/>
    <w:rsid w:val="6E1678EE"/>
    <w:rsid w:val="6E167B7B"/>
    <w:rsid w:val="6E170B25"/>
    <w:rsid w:val="6E17171B"/>
    <w:rsid w:val="6E17526D"/>
    <w:rsid w:val="6E180971"/>
    <w:rsid w:val="6E1814A6"/>
    <w:rsid w:val="6E181A2F"/>
    <w:rsid w:val="6E182D60"/>
    <w:rsid w:val="6E18428E"/>
    <w:rsid w:val="6E184B0E"/>
    <w:rsid w:val="6E1868BC"/>
    <w:rsid w:val="6E187783"/>
    <w:rsid w:val="6E192634"/>
    <w:rsid w:val="6E192936"/>
    <w:rsid w:val="6E193E12"/>
    <w:rsid w:val="6E194469"/>
    <w:rsid w:val="6E1A0886"/>
    <w:rsid w:val="6E1A6DB9"/>
    <w:rsid w:val="6E1B1568"/>
    <w:rsid w:val="6E1B63AC"/>
    <w:rsid w:val="6E1B6F8D"/>
    <w:rsid w:val="6E1B7E27"/>
    <w:rsid w:val="6E1C12B7"/>
    <w:rsid w:val="6E1C29F8"/>
    <w:rsid w:val="6E1D2124"/>
    <w:rsid w:val="6E1E0F9B"/>
    <w:rsid w:val="6E1E2FD5"/>
    <w:rsid w:val="6E1E5318"/>
    <w:rsid w:val="6E1E5E7C"/>
    <w:rsid w:val="6E1F3866"/>
    <w:rsid w:val="6E1F5E9D"/>
    <w:rsid w:val="6E1F7C38"/>
    <w:rsid w:val="6E201C15"/>
    <w:rsid w:val="6E2027C3"/>
    <w:rsid w:val="6E202809"/>
    <w:rsid w:val="6E205FE3"/>
    <w:rsid w:val="6E207944"/>
    <w:rsid w:val="6E213094"/>
    <w:rsid w:val="6E217E67"/>
    <w:rsid w:val="6E221924"/>
    <w:rsid w:val="6E225129"/>
    <w:rsid w:val="6E22773B"/>
    <w:rsid w:val="6E2300D5"/>
    <w:rsid w:val="6E241705"/>
    <w:rsid w:val="6E2434B3"/>
    <w:rsid w:val="6E245261"/>
    <w:rsid w:val="6E250FD9"/>
    <w:rsid w:val="6E253860"/>
    <w:rsid w:val="6E25452A"/>
    <w:rsid w:val="6E2551E6"/>
    <w:rsid w:val="6E256177"/>
    <w:rsid w:val="6E25722B"/>
    <w:rsid w:val="6E2619CF"/>
    <w:rsid w:val="6E26547D"/>
    <w:rsid w:val="6E2711F5"/>
    <w:rsid w:val="6E272600"/>
    <w:rsid w:val="6E274D51"/>
    <w:rsid w:val="6E276AFF"/>
    <w:rsid w:val="6E290AC9"/>
    <w:rsid w:val="6E292877"/>
    <w:rsid w:val="6E296D1B"/>
    <w:rsid w:val="6E2A4841"/>
    <w:rsid w:val="6E2A65EF"/>
    <w:rsid w:val="6E2B2A93"/>
    <w:rsid w:val="6E2B3541"/>
    <w:rsid w:val="6E2C036B"/>
    <w:rsid w:val="6E2C05BA"/>
    <w:rsid w:val="6E2C063E"/>
    <w:rsid w:val="6E2C1505"/>
    <w:rsid w:val="6E2C17BD"/>
    <w:rsid w:val="6E2C2368"/>
    <w:rsid w:val="6E2C680B"/>
    <w:rsid w:val="6E2C697C"/>
    <w:rsid w:val="6E2C6CC8"/>
    <w:rsid w:val="6E2D397D"/>
    <w:rsid w:val="6E2D4C09"/>
    <w:rsid w:val="6E2D4CC1"/>
    <w:rsid w:val="6E2E60E0"/>
    <w:rsid w:val="6E2E629D"/>
    <w:rsid w:val="6E2E7E8E"/>
    <w:rsid w:val="6E2F0598"/>
    <w:rsid w:val="6E2F0E46"/>
    <w:rsid w:val="6E2F0E6E"/>
    <w:rsid w:val="6E2F2E4B"/>
    <w:rsid w:val="6E2F3C06"/>
    <w:rsid w:val="6E2F67E2"/>
    <w:rsid w:val="6E2F772D"/>
    <w:rsid w:val="6E3000AA"/>
    <w:rsid w:val="6E3074D3"/>
    <w:rsid w:val="6E315BD0"/>
    <w:rsid w:val="6E323217"/>
    <w:rsid w:val="6E331948"/>
    <w:rsid w:val="6E3336F6"/>
    <w:rsid w:val="6E33725F"/>
    <w:rsid w:val="6E337B9A"/>
    <w:rsid w:val="6E34121C"/>
    <w:rsid w:val="6E341A44"/>
    <w:rsid w:val="6E344F23"/>
    <w:rsid w:val="6E34647A"/>
    <w:rsid w:val="6E35161C"/>
    <w:rsid w:val="6E3531DF"/>
    <w:rsid w:val="6E3556C0"/>
    <w:rsid w:val="6E356225"/>
    <w:rsid w:val="6E35746E"/>
    <w:rsid w:val="6E361438"/>
    <w:rsid w:val="6E3631E6"/>
    <w:rsid w:val="6E364A2F"/>
    <w:rsid w:val="6E3659C8"/>
    <w:rsid w:val="6E370799"/>
    <w:rsid w:val="6E3722BA"/>
    <w:rsid w:val="6E37413C"/>
    <w:rsid w:val="6E380A90"/>
    <w:rsid w:val="6E386F5E"/>
    <w:rsid w:val="6E39167E"/>
    <w:rsid w:val="6E391F20"/>
    <w:rsid w:val="6E393228"/>
    <w:rsid w:val="6E396833"/>
    <w:rsid w:val="6E3979C1"/>
    <w:rsid w:val="6E3A0F28"/>
    <w:rsid w:val="6E3A33B0"/>
    <w:rsid w:val="6E3A4840"/>
    <w:rsid w:val="6E3A4A84"/>
    <w:rsid w:val="6E3A58E8"/>
    <w:rsid w:val="6E3B07FD"/>
    <w:rsid w:val="6E3B25AB"/>
    <w:rsid w:val="6E3B2C19"/>
    <w:rsid w:val="6E3B40E8"/>
    <w:rsid w:val="6E3B6A4F"/>
    <w:rsid w:val="6E3B79C6"/>
    <w:rsid w:val="6E3C0F77"/>
    <w:rsid w:val="6E3C3ED7"/>
    <w:rsid w:val="6E3D0ECE"/>
    <w:rsid w:val="6E3D2B0F"/>
    <w:rsid w:val="6E3D3472"/>
    <w:rsid w:val="6E3D4575"/>
    <w:rsid w:val="6E3E1D36"/>
    <w:rsid w:val="6E3E31C1"/>
    <w:rsid w:val="6E3F02ED"/>
    <w:rsid w:val="6E3F209B"/>
    <w:rsid w:val="6E3F653F"/>
    <w:rsid w:val="6E402B70"/>
    <w:rsid w:val="6E4043AC"/>
    <w:rsid w:val="6E405E13"/>
    <w:rsid w:val="6E407BC1"/>
    <w:rsid w:val="6E411B42"/>
    <w:rsid w:val="6E412B8D"/>
    <w:rsid w:val="6E412E28"/>
    <w:rsid w:val="6E413283"/>
    <w:rsid w:val="6E414065"/>
    <w:rsid w:val="6E423939"/>
    <w:rsid w:val="6E427DDD"/>
    <w:rsid w:val="6E430774"/>
    <w:rsid w:val="6E432276"/>
    <w:rsid w:val="6E435BA3"/>
    <w:rsid w:val="6E443B55"/>
    <w:rsid w:val="6E445903"/>
    <w:rsid w:val="6E446803"/>
    <w:rsid w:val="6E4476B1"/>
    <w:rsid w:val="6E454D7F"/>
    <w:rsid w:val="6E46167B"/>
    <w:rsid w:val="6E463BF4"/>
    <w:rsid w:val="6E464524"/>
    <w:rsid w:val="6E4712B1"/>
    <w:rsid w:val="6E4716FC"/>
    <w:rsid w:val="6E4753F3"/>
    <w:rsid w:val="6E4770F5"/>
    <w:rsid w:val="6E480F08"/>
    <w:rsid w:val="6E49116B"/>
    <w:rsid w:val="6E494409"/>
    <w:rsid w:val="6E494CC8"/>
    <w:rsid w:val="6E4A0A40"/>
    <w:rsid w:val="6E4B2605"/>
    <w:rsid w:val="6E4B4EE4"/>
    <w:rsid w:val="6E4B6C92"/>
    <w:rsid w:val="6E4B6F06"/>
    <w:rsid w:val="6E4C2E04"/>
    <w:rsid w:val="6E4C47B8"/>
    <w:rsid w:val="6E4C5841"/>
    <w:rsid w:val="6E4E0408"/>
    <w:rsid w:val="6E4E22DE"/>
    <w:rsid w:val="6E4E6782"/>
    <w:rsid w:val="6E4E6836"/>
    <w:rsid w:val="6E4F6056"/>
    <w:rsid w:val="6E4F6A92"/>
    <w:rsid w:val="6E4F6D17"/>
    <w:rsid w:val="6E4F7FF6"/>
    <w:rsid w:val="6E5001A7"/>
    <w:rsid w:val="6E5075FC"/>
    <w:rsid w:val="6E510020"/>
    <w:rsid w:val="6E51067A"/>
    <w:rsid w:val="6E512D78"/>
    <w:rsid w:val="6E514CED"/>
    <w:rsid w:val="6E524208"/>
    <w:rsid w:val="6E526272"/>
    <w:rsid w:val="6E526F1D"/>
    <w:rsid w:val="6E531FEA"/>
    <w:rsid w:val="6E533D98"/>
    <w:rsid w:val="6E535698"/>
    <w:rsid w:val="6E535B46"/>
    <w:rsid w:val="6E540CFB"/>
    <w:rsid w:val="6E5463F4"/>
    <w:rsid w:val="6E546850"/>
    <w:rsid w:val="6E551251"/>
    <w:rsid w:val="6E5518BE"/>
    <w:rsid w:val="6E552B89"/>
    <w:rsid w:val="6E55366C"/>
    <w:rsid w:val="6E553C41"/>
    <w:rsid w:val="6E557B10"/>
    <w:rsid w:val="6E5652E6"/>
    <w:rsid w:val="6E565636"/>
    <w:rsid w:val="6E5671A6"/>
    <w:rsid w:val="6E56746B"/>
    <w:rsid w:val="6E571C17"/>
    <w:rsid w:val="6E573888"/>
    <w:rsid w:val="6E574EE8"/>
    <w:rsid w:val="6E576839"/>
    <w:rsid w:val="6E5813AF"/>
    <w:rsid w:val="6E58315D"/>
    <w:rsid w:val="6E5852EF"/>
    <w:rsid w:val="6E587601"/>
    <w:rsid w:val="6E597DC9"/>
    <w:rsid w:val="6E5A0C83"/>
    <w:rsid w:val="6E5A13F6"/>
    <w:rsid w:val="6E5A5127"/>
    <w:rsid w:val="6E5A6ED5"/>
    <w:rsid w:val="6E5A7C3A"/>
    <w:rsid w:val="6E5B1B92"/>
    <w:rsid w:val="6E5B49FB"/>
    <w:rsid w:val="6E5B6053"/>
    <w:rsid w:val="6E5C0E9F"/>
    <w:rsid w:val="6E5C30C2"/>
    <w:rsid w:val="6E5C6BF4"/>
    <w:rsid w:val="6E5C7E8B"/>
    <w:rsid w:val="6E5D0773"/>
    <w:rsid w:val="6E5D0EF9"/>
    <w:rsid w:val="6E5D131B"/>
    <w:rsid w:val="6E5D4C17"/>
    <w:rsid w:val="6E5D69C5"/>
    <w:rsid w:val="6E5E1FEF"/>
    <w:rsid w:val="6E5E2591"/>
    <w:rsid w:val="6E5F0152"/>
    <w:rsid w:val="6E5F09C7"/>
    <w:rsid w:val="6E5F3178"/>
    <w:rsid w:val="6E5F4684"/>
    <w:rsid w:val="6E5F680C"/>
    <w:rsid w:val="6E5F79C5"/>
    <w:rsid w:val="6E600263"/>
    <w:rsid w:val="6E602011"/>
    <w:rsid w:val="6E605F62"/>
    <w:rsid w:val="6E61110D"/>
    <w:rsid w:val="6E612A2C"/>
    <w:rsid w:val="6E61573D"/>
    <w:rsid w:val="6E6164B5"/>
    <w:rsid w:val="6E620FF1"/>
    <w:rsid w:val="6E621798"/>
    <w:rsid w:val="6E62222D"/>
    <w:rsid w:val="6E6223EF"/>
    <w:rsid w:val="6E623CFD"/>
    <w:rsid w:val="6E6265D7"/>
    <w:rsid w:val="6E635C34"/>
    <w:rsid w:val="6E63661D"/>
    <w:rsid w:val="6E640DFA"/>
    <w:rsid w:val="6E642252"/>
    <w:rsid w:val="6E645FA5"/>
    <w:rsid w:val="6E646681"/>
    <w:rsid w:val="6E646C78"/>
    <w:rsid w:val="6E647D53"/>
    <w:rsid w:val="6E650F3D"/>
    <w:rsid w:val="6E6510F1"/>
    <w:rsid w:val="6E652292"/>
    <w:rsid w:val="6E654C23"/>
    <w:rsid w:val="6E657628"/>
    <w:rsid w:val="6E66128D"/>
    <w:rsid w:val="6E661D1D"/>
    <w:rsid w:val="6E663ACB"/>
    <w:rsid w:val="6E66587A"/>
    <w:rsid w:val="6E6715F2"/>
    <w:rsid w:val="6E6718F1"/>
    <w:rsid w:val="6E6736D0"/>
    <w:rsid w:val="6E676A88"/>
    <w:rsid w:val="6E68155B"/>
    <w:rsid w:val="6E6905EC"/>
    <w:rsid w:val="6E6935BC"/>
    <w:rsid w:val="6E695D14"/>
    <w:rsid w:val="6E697118"/>
    <w:rsid w:val="6E6A17AB"/>
    <w:rsid w:val="6E6A391F"/>
    <w:rsid w:val="6E6A4944"/>
    <w:rsid w:val="6E6A6DC5"/>
    <w:rsid w:val="6E6B2E90"/>
    <w:rsid w:val="6E6B7334"/>
    <w:rsid w:val="6E6C09B6"/>
    <w:rsid w:val="6E6C2C5C"/>
    <w:rsid w:val="6E6C4E5A"/>
    <w:rsid w:val="6E6C6C08"/>
    <w:rsid w:val="6E6D1059"/>
    <w:rsid w:val="6E6D76CF"/>
    <w:rsid w:val="6E6E0BD2"/>
    <w:rsid w:val="6E6E472E"/>
    <w:rsid w:val="6E6F0923"/>
    <w:rsid w:val="6E6F2909"/>
    <w:rsid w:val="6E6F4BC0"/>
    <w:rsid w:val="6E6F7CD0"/>
    <w:rsid w:val="6E7004A6"/>
    <w:rsid w:val="6E700D11"/>
    <w:rsid w:val="6E70494A"/>
    <w:rsid w:val="6E704C8A"/>
    <w:rsid w:val="6E7066F8"/>
    <w:rsid w:val="6E710C21"/>
    <w:rsid w:val="6E712470"/>
    <w:rsid w:val="6E7129A0"/>
    <w:rsid w:val="6E71421E"/>
    <w:rsid w:val="6E7177B0"/>
    <w:rsid w:val="6E7225D7"/>
    <w:rsid w:val="6E72350C"/>
    <w:rsid w:val="6E7270D1"/>
    <w:rsid w:val="6E7308D0"/>
    <w:rsid w:val="6E730E0D"/>
    <w:rsid w:val="6E731D44"/>
    <w:rsid w:val="6E732515"/>
    <w:rsid w:val="6E74088D"/>
    <w:rsid w:val="6E7449D1"/>
    <w:rsid w:val="6E744EA7"/>
    <w:rsid w:val="6E752A23"/>
    <w:rsid w:val="6E752E05"/>
    <w:rsid w:val="6E756B4D"/>
    <w:rsid w:val="6E761835"/>
    <w:rsid w:val="6E762587"/>
    <w:rsid w:val="6E774A93"/>
    <w:rsid w:val="6E775CD9"/>
    <w:rsid w:val="6E7837FF"/>
    <w:rsid w:val="6E7855AD"/>
    <w:rsid w:val="6E7864C4"/>
    <w:rsid w:val="6E794348"/>
    <w:rsid w:val="6E794AB0"/>
    <w:rsid w:val="6E796073"/>
    <w:rsid w:val="6E7973B3"/>
    <w:rsid w:val="6E7977B1"/>
    <w:rsid w:val="6E7A1325"/>
    <w:rsid w:val="6E7A4869"/>
    <w:rsid w:val="6E7A79B2"/>
    <w:rsid w:val="6E7B09C0"/>
    <w:rsid w:val="6E7B76F4"/>
    <w:rsid w:val="6E7C32EF"/>
    <w:rsid w:val="6E7C509D"/>
    <w:rsid w:val="6E7D1856"/>
    <w:rsid w:val="6E7D2BC3"/>
    <w:rsid w:val="6E7F4B8D"/>
    <w:rsid w:val="6E7F4BBE"/>
    <w:rsid w:val="6E7F693B"/>
    <w:rsid w:val="6E80314B"/>
    <w:rsid w:val="6E805B45"/>
    <w:rsid w:val="6E81018A"/>
    <w:rsid w:val="6E81072A"/>
    <w:rsid w:val="6E810905"/>
    <w:rsid w:val="6E8126B3"/>
    <w:rsid w:val="6E817E1D"/>
    <w:rsid w:val="6E8201DA"/>
    <w:rsid w:val="6E821BA6"/>
    <w:rsid w:val="6E821F66"/>
    <w:rsid w:val="6E822670"/>
    <w:rsid w:val="6E8379F2"/>
    <w:rsid w:val="6E837C02"/>
    <w:rsid w:val="6E8403F6"/>
    <w:rsid w:val="6E8418F9"/>
    <w:rsid w:val="6E843F52"/>
    <w:rsid w:val="6E8442D1"/>
    <w:rsid w:val="6E851A78"/>
    <w:rsid w:val="6E852F21"/>
    <w:rsid w:val="6E866C79"/>
    <w:rsid w:val="6E867A25"/>
    <w:rsid w:val="6E872E47"/>
    <w:rsid w:val="6E873A42"/>
    <w:rsid w:val="6E8757F0"/>
    <w:rsid w:val="6E881C94"/>
    <w:rsid w:val="6E887399"/>
    <w:rsid w:val="6E88740E"/>
    <w:rsid w:val="6E891568"/>
    <w:rsid w:val="6E895A0C"/>
    <w:rsid w:val="6E8969AB"/>
    <w:rsid w:val="6E896EA8"/>
    <w:rsid w:val="6E8977BA"/>
    <w:rsid w:val="6E8A17C8"/>
    <w:rsid w:val="6E8A319E"/>
    <w:rsid w:val="6E8A4E3C"/>
    <w:rsid w:val="6E8A6321"/>
    <w:rsid w:val="6E8B1784"/>
    <w:rsid w:val="6E8B26A2"/>
    <w:rsid w:val="6E8B3795"/>
    <w:rsid w:val="6E8B3926"/>
    <w:rsid w:val="6E8B3FA5"/>
    <w:rsid w:val="6E8B4675"/>
    <w:rsid w:val="6E8C5829"/>
    <w:rsid w:val="6E8D188A"/>
    <w:rsid w:val="6E8E1402"/>
    <w:rsid w:val="6E8E3022"/>
    <w:rsid w:val="6E8E4DD0"/>
    <w:rsid w:val="6E8E6923"/>
    <w:rsid w:val="6E8E7FE4"/>
    <w:rsid w:val="6E8F15D9"/>
    <w:rsid w:val="6E8F41AA"/>
    <w:rsid w:val="6E900B48"/>
    <w:rsid w:val="6E9028F6"/>
    <w:rsid w:val="6E902A69"/>
    <w:rsid w:val="6E904049"/>
    <w:rsid w:val="6E91041D"/>
    <w:rsid w:val="6E911FDE"/>
    <w:rsid w:val="6E92169B"/>
    <w:rsid w:val="6E925AAF"/>
    <w:rsid w:val="6E927932"/>
    <w:rsid w:val="6E930639"/>
    <w:rsid w:val="6E93082B"/>
    <w:rsid w:val="6E934195"/>
    <w:rsid w:val="6E941424"/>
    <w:rsid w:val="6E941BF7"/>
    <w:rsid w:val="6E941F38"/>
    <w:rsid w:val="6E946C94"/>
    <w:rsid w:val="6E9477C4"/>
    <w:rsid w:val="6E9479BA"/>
    <w:rsid w:val="6E9502B0"/>
    <w:rsid w:val="6E9543B1"/>
    <w:rsid w:val="6E95676A"/>
    <w:rsid w:val="6E96230F"/>
    <w:rsid w:val="6E963A05"/>
    <w:rsid w:val="6E970129"/>
    <w:rsid w:val="6E971ED7"/>
    <w:rsid w:val="6E97555C"/>
    <w:rsid w:val="6E9755D3"/>
    <w:rsid w:val="6E9772F9"/>
    <w:rsid w:val="6E977A01"/>
    <w:rsid w:val="6E980D47"/>
    <w:rsid w:val="6E98550D"/>
    <w:rsid w:val="6E990DB2"/>
    <w:rsid w:val="6E993260"/>
    <w:rsid w:val="6E993FD8"/>
    <w:rsid w:val="6E99525C"/>
    <w:rsid w:val="6E9957B4"/>
    <w:rsid w:val="6E996A07"/>
    <w:rsid w:val="6E9A12BD"/>
    <w:rsid w:val="6E9A19C7"/>
    <w:rsid w:val="6E9A3775"/>
    <w:rsid w:val="6E9A5523"/>
    <w:rsid w:val="6E9B1450"/>
    <w:rsid w:val="6E9B274D"/>
    <w:rsid w:val="6E9B4AD3"/>
    <w:rsid w:val="6E9C025F"/>
    <w:rsid w:val="6E9C129B"/>
    <w:rsid w:val="6E9C17A8"/>
    <w:rsid w:val="6E9C3981"/>
    <w:rsid w:val="6E9C74ED"/>
    <w:rsid w:val="6E9D3265"/>
    <w:rsid w:val="6E9D506D"/>
    <w:rsid w:val="6E9D67AE"/>
    <w:rsid w:val="6E9D7DB7"/>
    <w:rsid w:val="6E9F2B3A"/>
    <w:rsid w:val="6E9F4F2E"/>
    <w:rsid w:val="6E9F6FDD"/>
    <w:rsid w:val="6EA00FF9"/>
    <w:rsid w:val="6EA02B71"/>
    <w:rsid w:val="6EA0355A"/>
    <w:rsid w:val="6EA0512F"/>
    <w:rsid w:val="6EA05D5D"/>
    <w:rsid w:val="6EA07C30"/>
    <w:rsid w:val="6EA14B04"/>
    <w:rsid w:val="6EA15DD0"/>
    <w:rsid w:val="6EA168B2"/>
    <w:rsid w:val="6EA2087C"/>
    <w:rsid w:val="6EA2262A"/>
    <w:rsid w:val="6EA25B6B"/>
    <w:rsid w:val="6EA27A4F"/>
    <w:rsid w:val="6EA40AB5"/>
    <w:rsid w:val="6EA42846"/>
    <w:rsid w:val="6EA445F4"/>
    <w:rsid w:val="6EA463A2"/>
    <w:rsid w:val="6EA6036C"/>
    <w:rsid w:val="6EA6153B"/>
    <w:rsid w:val="6EA6162E"/>
    <w:rsid w:val="6EA6211A"/>
    <w:rsid w:val="6EA62ED6"/>
    <w:rsid w:val="6EA67860"/>
    <w:rsid w:val="6EA70CF0"/>
    <w:rsid w:val="6EA77A67"/>
    <w:rsid w:val="6EA840E4"/>
    <w:rsid w:val="6EA909AD"/>
    <w:rsid w:val="6EA91C0A"/>
    <w:rsid w:val="6EA939B8"/>
    <w:rsid w:val="6EA949A4"/>
    <w:rsid w:val="6EA975E8"/>
    <w:rsid w:val="6EA97711"/>
    <w:rsid w:val="6EA97E5C"/>
    <w:rsid w:val="6EAA0DB2"/>
    <w:rsid w:val="6EAA2ABE"/>
    <w:rsid w:val="6EAA2C51"/>
    <w:rsid w:val="6EAA5773"/>
    <w:rsid w:val="6EAB5982"/>
    <w:rsid w:val="6EAB7671"/>
    <w:rsid w:val="6EAB7730"/>
    <w:rsid w:val="6EAC1B47"/>
    <w:rsid w:val="6EAD11A6"/>
    <w:rsid w:val="6EAD16FA"/>
    <w:rsid w:val="6EAD2366"/>
    <w:rsid w:val="6EAD26CB"/>
    <w:rsid w:val="6EAD62A3"/>
    <w:rsid w:val="6EAD6BE2"/>
    <w:rsid w:val="6EAD794E"/>
    <w:rsid w:val="6EAE3DA2"/>
    <w:rsid w:val="6EAE5472"/>
    <w:rsid w:val="6EAE5FF2"/>
    <w:rsid w:val="6EAE7221"/>
    <w:rsid w:val="6EAE7733"/>
    <w:rsid w:val="6EAF0B78"/>
    <w:rsid w:val="6EAF0BC3"/>
    <w:rsid w:val="6EAF3120"/>
    <w:rsid w:val="6EAF44A0"/>
    <w:rsid w:val="6EAF4C3A"/>
    <w:rsid w:val="6EAF50A7"/>
    <w:rsid w:val="6EAF5E3D"/>
    <w:rsid w:val="6EB011EB"/>
    <w:rsid w:val="6EB02F99"/>
    <w:rsid w:val="6EB034E3"/>
    <w:rsid w:val="6EB03A00"/>
    <w:rsid w:val="6EB04C24"/>
    <w:rsid w:val="6EB04D47"/>
    <w:rsid w:val="6EB11CA8"/>
    <w:rsid w:val="6EB124F1"/>
    <w:rsid w:val="6EB160B4"/>
    <w:rsid w:val="6EB20388"/>
    <w:rsid w:val="6EB20ABF"/>
    <w:rsid w:val="6EB30189"/>
    <w:rsid w:val="6EB308A9"/>
    <w:rsid w:val="6EB32A89"/>
    <w:rsid w:val="6EB341D7"/>
    <w:rsid w:val="6EB34837"/>
    <w:rsid w:val="6EB41E64"/>
    <w:rsid w:val="6EB424D3"/>
    <w:rsid w:val="6EB44314"/>
    <w:rsid w:val="6EB44A35"/>
    <w:rsid w:val="6EB460FD"/>
    <w:rsid w:val="6EB47688"/>
    <w:rsid w:val="6EB563D5"/>
    <w:rsid w:val="6EB56801"/>
    <w:rsid w:val="6EB620EA"/>
    <w:rsid w:val="6EB62C72"/>
    <w:rsid w:val="6EB63269"/>
    <w:rsid w:val="6EB64A32"/>
    <w:rsid w:val="6EB719DE"/>
    <w:rsid w:val="6EB77565"/>
    <w:rsid w:val="6EB8009F"/>
    <w:rsid w:val="6EB81E4D"/>
    <w:rsid w:val="6EB825CC"/>
    <w:rsid w:val="6EB83E57"/>
    <w:rsid w:val="6EB87F35"/>
    <w:rsid w:val="6EB92EDE"/>
    <w:rsid w:val="6EB96428"/>
    <w:rsid w:val="6EBA31BA"/>
    <w:rsid w:val="6EBA37B1"/>
    <w:rsid w:val="6EBA3E17"/>
    <w:rsid w:val="6EBA5BC5"/>
    <w:rsid w:val="6EBA5CD6"/>
    <w:rsid w:val="6EBA636C"/>
    <w:rsid w:val="6EBB05F6"/>
    <w:rsid w:val="6EBB20C4"/>
    <w:rsid w:val="6EBB21E2"/>
    <w:rsid w:val="6EBB5E17"/>
    <w:rsid w:val="6EBB6845"/>
    <w:rsid w:val="6EBB7166"/>
    <w:rsid w:val="6EBB7479"/>
    <w:rsid w:val="6EBB7F75"/>
    <w:rsid w:val="6EBC069A"/>
    <w:rsid w:val="6EBC193D"/>
    <w:rsid w:val="6EBC36EB"/>
    <w:rsid w:val="6EBC7481"/>
    <w:rsid w:val="6EBC7B8F"/>
    <w:rsid w:val="6EBC7C68"/>
    <w:rsid w:val="6EBD1212"/>
    <w:rsid w:val="6EBD1288"/>
    <w:rsid w:val="6EBD4657"/>
    <w:rsid w:val="6EBD4F8D"/>
    <w:rsid w:val="6EBE3907"/>
    <w:rsid w:val="6EBE56B6"/>
    <w:rsid w:val="6EBE58CD"/>
    <w:rsid w:val="6EBE650C"/>
    <w:rsid w:val="6EBF0413"/>
    <w:rsid w:val="6EBF4F8A"/>
    <w:rsid w:val="6EBF6F77"/>
    <w:rsid w:val="6EBF7737"/>
    <w:rsid w:val="6EC02FD8"/>
    <w:rsid w:val="6EC07690"/>
    <w:rsid w:val="6EC16F54"/>
    <w:rsid w:val="6EC176D2"/>
    <w:rsid w:val="6EC21563"/>
    <w:rsid w:val="6EC24A7A"/>
    <w:rsid w:val="6EC32CCC"/>
    <w:rsid w:val="6EC411F0"/>
    <w:rsid w:val="6EC41959"/>
    <w:rsid w:val="6EC425A0"/>
    <w:rsid w:val="6EC42D65"/>
    <w:rsid w:val="6EC4357F"/>
    <w:rsid w:val="6EC4452A"/>
    <w:rsid w:val="6EC46564"/>
    <w:rsid w:val="6EC50905"/>
    <w:rsid w:val="6EC51435"/>
    <w:rsid w:val="6EC51FF4"/>
    <w:rsid w:val="6EC56817"/>
    <w:rsid w:val="6EC61516"/>
    <w:rsid w:val="6EC6353C"/>
    <w:rsid w:val="6EC64279"/>
    <w:rsid w:val="6EC6456A"/>
    <w:rsid w:val="6EC66318"/>
    <w:rsid w:val="6EC72090"/>
    <w:rsid w:val="6EC8176A"/>
    <w:rsid w:val="6EC87B0E"/>
    <w:rsid w:val="6EC9405A"/>
    <w:rsid w:val="6EC95249"/>
    <w:rsid w:val="6EC95E08"/>
    <w:rsid w:val="6EC96E0C"/>
    <w:rsid w:val="6ECA02E6"/>
    <w:rsid w:val="6ECB0739"/>
    <w:rsid w:val="6ECB1B80"/>
    <w:rsid w:val="6ECB3504"/>
    <w:rsid w:val="6ECC0B8D"/>
    <w:rsid w:val="6ECC28D0"/>
    <w:rsid w:val="6ECC2CBC"/>
    <w:rsid w:val="6ECC3656"/>
    <w:rsid w:val="6ECC76A7"/>
    <w:rsid w:val="6ECD3B4B"/>
    <w:rsid w:val="6ECD46AE"/>
    <w:rsid w:val="6ECD58F9"/>
    <w:rsid w:val="6ECE0683"/>
    <w:rsid w:val="6ECE1671"/>
    <w:rsid w:val="6ECE1BA8"/>
    <w:rsid w:val="6ECE3270"/>
    <w:rsid w:val="6ECE341F"/>
    <w:rsid w:val="6ECE4ABB"/>
    <w:rsid w:val="6ECE4AE0"/>
    <w:rsid w:val="6ECE55DC"/>
    <w:rsid w:val="6ECE73F1"/>
    <w:rsid w:val="6ECF339E"/>
    <w:rsid w:val="6ECF6A6C"/>
    <w:rsid w:val="6ECF78C3"/>
    <w:rsid w:val="6ED00F45"/>
    <w:rsid w:val="6ED0363B"/>
    <w:rsid w:val="6ED05124"/>
    <w:rsid w:val="6ED053E9"/>
    <w:rsid w:val="6ED07197"/>
    <w:rsid w:val="6ED07EFC"/>
    <w:rsid w:val="6ED10D86"/>
    <w:rsid w:val="6ED1305E"/>
    <w:rsid w:val="6ED135FD"/>
    <w:rsid w:val="6ED15AA2"/>
    <w:rsid w:val="6ED21161"/>
    <w:rsid w:val="6ED22F0F"/>
    <w:rsid w:val="6ED24CBD"/>
    <w:rsid w:val="6ED26E43"/>
    <w:rsid w:val="6ED345CF"/>
    <w:rsid w:val="6ED36C87"/>
    <w:rsid w:val="6ED37FBE"/>
    <w:rsid w:val="6ED4093E"/>
    <w:rsid w:val="6ED44ED9"/>
    <w:rsid w:val="6ED50C51"/>
    <w:rsid w:val="6ED51249"/>
    <w:rsid w:val="6ED547AD"/>
    <w:rsid w:val="6ED5537B"/>
    <w:rsid w:val="6ED554AF"/>
    <w:rsid w:val="6ED566E7"/>
    <w:rsid w:val="6ED651FE"/>
    <w:rsid w:val="6ED6693F"/>
    <w:rsid w:val="6ED70525"/>
    <w:rsid w:val="6ED720E1"/>
    <w:rsid w:val="6ED749C9"/>
    <w:rsid w:val="6ED7624D"/>
    <w:rsid w:val="6ED76777"/>
    <w:rsid w:val="6ED77DCF"/>
    <w:rsid w:val="6ED819CF"/>
    <w:rsid w:val="6ED83B49"/>
    <w:rsid w:val="6ED8604B"/>
    <w:rsid w:val="6ED91ED1"/>
    <w:rsid w:val="6ED924EF"/>
    <w:rsid w:val="6ED92677"/>
    <w:rsid w:val="6ED942BA"/>
    <w:rsid w:val="6EDA0016"/>
    <w:rsid w:val="6EDA30B5"/>
    <w:rsid w:val="6EDA3B7F"/>
    <w:rsid w:val="6EDA41E8"/>
    <w:rsid w:val="6EDA5EDF"/>
    <w:rsid w:val="6EDA5EEB"/>
    <w:rsid w:val="6EDB18E4"/>
    <w:rsid w:val="6EDB2BC6"/>
    <w:rsid w:val="6EDB4C12"/>
    <w:rsid w:val="6EDC0F9E"/>
    <w:rsid w:val="6EDC1070"/>
    <w:rsid w:val="6EDC1FE0"/>
    <w:rsid w:val="6EDC320D"/>
    <w:rsid w:val="6EDC48A1"/>
    <w:rsid w:val="6EDC6E70"/>
    <w:rsid w:val="6EDD1615"/>
    <w:rsid w:val="6EDD18B4"/>
    <w:rsid w:val="6EDD3662"/>
    <w:rsid w:val="6EDD3C41"/>
    <w:rsid w:val="6EDD6B31"/>
    <w:rsid w:val="6EDE50D1"/>
    <w:rsid w:val="6EDF0FE8"/>
    <w:rsid w:val="6EDF22FE"/>
    <w:rsid w:val="6EDF339C"/>
    <w:rsid w:val="6EDF395E"/>
    <w:rsid w:val="6EDF562C"/>
    <w:rsid w:val="6EDF6561"/>
    <w:rsid w:val="6EDF6A55"/>
    <w:rsid w:val="6EDF73DA"/>
    <w:rsid w:val="6EE018D7"/>
    <w:rsid w:val="6EE01B59"/>
    <w:rsid w:val="6EE03FD2"/>
    <w:rsid w:val="6EE07F39"/>
    <w:rsid w:val="6EE113A4"/>
    <w:rsid w:val="6EE13152"/>
    <w:rsid w:val="6EE132F8"/>
    <w:rsid w:val="6EE17982"/>
    <w:rsid w:val="6EE212EA"/>
    <w:rsid w:val="6EE24EE2"/>
    <w:rsid w:val="6EE2514B"/>
    <w:rsid w:val="6EE26A42"/>
    <w:rsid w:val="6EE3336E"/>
    <w:rsid w:val="6EE341EF"/>
    <w:rsid w:val="6EE35898"/>
    <w:rsid w:val="6EE36ECA"/>
    <w:rsid w:val="6EE40325"/>
    <w:rsid w:val="6EE40F43"/>
    <w:rsid w:val="6EE41070"/>
    <w:rsid w:val="6EE42C42"/>
    <w:rsid w:val="6EE43595"/>
    <w:rsid w:val="6EE449F0"/>
    <w:rsid w:val="6EE4529F"/>
    <w:rsid w:val="6EE47802"/>
    <w:rsid w:val="6EE50BFF"/>
    <w:rsid w:val="6EE518A3"/>
    <w:rsid w:val="6EE53863"/>
    <w:rsid w:val="6EE60768"/>
    <w:rsid w:val="6EE64C0C"/>
    <w:rsid w:val="6EE65A1F"/>
    <w:rsid w:val="6EE65DAF"/>
    <w:rsid w:val="6EE66434"/>
    <w:rsid w:val="6EE669BA"/>
    <w:rsid w:val="6EE80984"/>
    <w:rsid w:val="6EE80D54"/>
    <w:rsid w:val="6EE82732"/>
    <w:rsid w:val="6EE8346D"/>
    <w:rsid w:val="6EE844E0"/>
    <w:rsid w:val="6EE84527"/>
    <w:rsid w:val="6EE8620D"/>
    <w:rsid w:val="6EE86BDB"/>
    <w:rsid w:val="6EE915EB"/>
    <w:rsid w:val="6EE92007"/>
    <w:rsid w:val="6EE921E4"/>
    <w:rsid w:val="6EE92BDF"/>
    <w:rsid w:val="6EEA26C7"/>
    <w:rsid w:val="6EEA3289"/>
    <w:rsid w:val="6EEA46FD"/>
    <w:rsid w:val="6EEA6245"/>
    <w:rsid w:val="6EEA7AC9"/>
    <w:rsid w:val="6EEB2223"/>
    <w:rsid w:val="6EEB2CC8"/>
    <w:rsid w:val="6EEB5D7F"/>
    <w:rsid w:val="6EEB6642"/>
    <w:rsid w:val="6EEC171A"/>
    <w:rsid w:val="6EEC3FF6"/>
    <w:rsid w:val="6EEC4330"/>
    <w:rsid w:val="6EED02B1"/>
    <w:rsid w:val="6EED1AF7"/>
    <w:rsid w:val="6EED1B95"/>
    <w:rsid w:val="6EED2365"/>
    <w:rsid w:val="6EED5DC3"/>
    <w:rsid w:val="6EED7D49"/>
    <w:rsid w:val="6EEE0D01"/>
    <w:rsid w:val="6EEE3485"/>
    <w:rsid w:val="6EEE3AC1"/>
    <w:rsid w:val="6EEE586F"/>
    <w:rsid w:val="6EEF0E44"/>
    <w:rsid w:val="6EEF22B6"/>
    <w:rsid w:val="6EEF2A9F"/>
    <w:rsid w:val="6EEF6099"/>
    <w:rsid w:val="6EF0119C"/>
    <w:rsid w:val="6EF015E7"/>
    <w:rsid w:val="6EF0306B"/>
    <w:rsid w:val="6EF0451F"/>
    <w:rsid w:val="6EF11E06"/>
    <w:rsid w:val="6EF12878"/>
    <w:rsid w:val="6EF235B1"/>
    <w:rsid w:val="6EF2710D"/>
    <w:rsid w:val="6EF3593B"/>
    <w:rsid w:val="6EF35E67"/>
    <w:rsid w:val="6EF36651"/>
    <w:rsid w:val="6EF4219C"/>
    <w:rsid w:val="6EF42B29"/>
    <w:rsid w:val="6EF4315A"/>
    <w:rsid w:val="6EF472F7"/>
    <w:rsid w:val="6EF47329"/>
    <w:rsid w:val="6EF530A1"/>
    <w:rsid w:val="6EF54AE0"/>
    <w:rsid w:val="6EF55661"/>
    <w:rsid w:val="6EF56BFD"/>
    <w:rsid w:val="6EF57375"/>
    <w:rsid w:val="6EF62C5A"/>
    <w:rsid w:val="6EF6460A"/>
    <w:rsid w:val="6EF72976"/>
    <w:rsid w:val="6EF73374"/>
    <w:rsid w:val="6EF74724"/>
    <w:rsid w:val="6EF8018D"/>
    <w:rsid w:val="6EF946EB"/>
    <w:rsid w:val="6EF94940"/>
    <w:rsid w:val="6EF959BC"/>
    <w:rsid w:val="6EF966EE"/>
    <w:rsid w:val="6EFA06B8"/>
    <w:rsid w:val="6EFA3169"/>
    <w:rsid w:val="6EFA6420"/>
    <w:rsid w:val="6EFB1233"/>
    <w:rsid w:val="6EFB1B0C"/>
    <w:rsid w:val="6EFB45F9"/>
    <w:rsid w:val="6EFB4B62"/>
    <w:rsid w:val="6EFB4DC9"/>
    <w:rsid w:val="6EFB5A89"/>
    <w:rsid w:val="6EFB5F87"/>
    <w:rsid w:val="6EFC1D3A"/>
    <w:rsid w:val="6EFC4430"/>
    <w:rsid w:val="6EFC7901"/>
    <w:rsid w:val="6EFD4952"/>
    <w:rsid w:val="6EFE122F"/>
    <w:rsid w:val="6EFF182A"/>
    <w:rsid w:val="6EFF2372"/>
    <w:rsid w:val="6EFF461E"/>
    <w:rsid w:val="6EFF4FDA"/>
    <w:rsid w:val="6EFF5CCE"/>
    <w:rsid w:val="6EFF7A7C"/>
    <w:rsid w:val="6F007EE5"/>
    <w:rsid w:val="6F015349"/>
    <w:rsid w:val="6F0155A2"/>
    <w:rsid w:val="6F02167F"/>
    <w:rsid w:val="6F022D8B"/>
    <w:rsid w:val="6F0230C8"/>
    <w:rsid w:val="6F0244CC"/>
    <w:rsid w:val="6F027F4A"/>
    <w:rsid w:val="6F03131A"/>
    <w:rsid w:val="6F032E48"/>
    <w:rsid w:val="6F0357BE"/>
    <w:rsid w:val="6F03756C"/>
    <w:rsid w:val="6F0435A4"/>
    <w:rsid w:val="6F0448B2"/>
    <w:rsid w:val="6F045092"/>
    <w:rsid w:val="6F046DEC"/>
    <w:rsid w:val="6F046E40"/>
    <w:rsid w:val="6F05027C"/>
    <w:rsid w:val="6F050E73"/>
    <w:rsid w:val="6F060E0B"/>
    <w:rsid w:val="6F062BB9"/>
    <w:rsid w:val="6F070E5F"/>
    <w:rsid w:val="6F071C5C"/>
    <w:rsid w:val="6F076404"/>
    <w:rsid w:val="6F08033E"/>
    <w:rsid w:val="6F0815AB"/>
    <w:rsid w:val="6F084B83"/>
    <w:rsid w:val="6F09172B"/>
    <w:rsid w:val="6F094457"/>
    <w:rsid w:val="6F0A08FB"/>
    <w:rsid w:val="6F0A2C5E"/>
    <w:rsid w:val="6F0B4673"/>
    <w:rsid w:val="6F0B557E"/>
    <w:rsid w:val="6F0B6421"/>
    <w:rsid w:val="6F0B74CB"/>
    <w:rsid w:val="6F0C162D"/>
    <w:rsid w:val="6F0D15DF"/>
    <w:rsid w:val="6F0D2199"/>
    <w:rsid w:val="6F0D409E"/>
    <w:rsid w:val="6F0D612C"/>
    <w:rsid w:val="6F0D6517"/>
    <w:rsid w:val="6F0E4B5F"/>
    <w:rsid w:val="6F0E7CBF"/>
    <w:rsid w:val="6F0F1C24"/>
    <w:rsid w:val="6F0F4163"/>
    <w:rsid w:val="6F0F587A"/>
    <w:rsid w:val="6F0F5F11"/>
    <w:rsid w:val="6F0F6223"/>
    <w:rsid w:val="6F101C89"/>
    <w:rsid w:val="6F10286B"/>
    <w:rsid w:val="6F104CD7"/>
    <w:rsid w:val="6F104E83"/>
    <w:rsid w:val="6F1057E5"/>
    <w:rsid w:val="6F1073A6"/>
    <w:rsid w:val="6F110F7A"/>
    <w:rsid w:val="6F115B2B"/>
    <w:rsid w:val="6F11681F"/>
    <w:rsid w:val="6F122880"/>
    <w:rsid w:val="6F1304BA"/>
    <w:rsid w:val="6F133D10"/>
    <w:rsid w:val="6F135451"/>
    <w:rsid w:val="6F135DC1"/>
    <w:rsid w:val="6F141779"/>
    <w:rsid w:val="6F143527"/>
    <w:rsid w:val="6F151B86"/>
    <w:rsid w:val="6F154891"/>
    <w:rsid w:val="6F157599"/>
    <w:rsid w:val="6F160ED6"/>
    <w:rsid w:val="6F161201"/>
    <w:rsid w:val="6F161513"/>
    <w:rsid w:val="6F163899"/>
    <w:rsid w:val="6F164925"/>
    <w:rsid w:val="6F1654F2"/>
    <w:rsid w:val="6F1709DB"/>
    <w:rsid w:val="6F173018"/>
    <w:rsid w:val="6F17593C"/>
    <w:rsid w:val="6F177B94"/>
    <w:rsid w:val="6F183F9D"/>
    <w:rsid w:val="6F1866F2"/>
    <w:rsid w:val="6F190B3E"/>
    <w:rsid w:val="6F1928EC"/>
    <w:rsid w:val="6F193003"/>
    <w:rsid w:val="6F193D36"/>
    <w:rsid w:val="6F1960A7"/>
    <w:rsid w:val="6F1965ED"/>
    <w:rsid w:val="6F1976A6"/>
    <w:rsid w:val="6F1A145E"/>
    <w:rsid w:val="6F1A3BE3"/>
    <w:rsid w:val="6F1A46D3"/>
    <w:rsid w:val="6F1A6664"/>
    <w:rsid w:val="6F1B0958"/>
    <w:rsid w:val="6F1B2B08"/>
    <w:rsid w:val="6F1C062E"/>
    <w:rsid w:val="6F1C29CD"/>
    <w:rsid w:val="6F1C418A"/>
    <w:rsid w:val="6F1C75CB"/>
    <w:rsid w:val="6F1C7C44"/>
    <w:rsid w:val="6F1D10D4"/>
    <w:rsid w:val="6F1D2BD1"/>
    <w:rsid w:val="6F1E6154"/>
    <w:rsid w:val="6F1F3C7A"/>
    <w:rsid w:val="6F1F65C5"/>
    <w:rsid w:val="6F2035E0"/>
    <w:rsid w:val="6F204E84"/>
    <w:rsid w:val="6F205507"/>
    <w:rsid w:val="6F215C44"/>
    <w:rsid w:val="6F216275"/>
    <w:rsid w:val="6F2177A4"/>
    <w:rsid w:val="6F2179F2"/>
    <w:rsid w:val="6F222375"/>
    <w:rsid w:val="6F225983"/>
    <w:rsid w:val="6F2319BD"/>
    <w:rsid w:val="6F23376B"/>
    <w:rsid w:val="6F235519"/>
    <w:rsid w:val="6F240D41"/>
    <w:rsid w:val="6F241291"/>
    <w:rsid w:val="6F2447D1"/>
    <w:rsid w:val="6F247027"/>
    <w:rsid w:val="6F2474E3"/>
    <w:rsid w:val="6F252708"/>
    <w:rsid w:val="6F256125"/>
    <w:rsid w:val="6F257D2A"/>
    <w:rsid w:val="6F2614AD"/>
    <w:rsid w:val="6F262ECF"/>
    <w:rsid w:val="6F27612C"/>
    <w:rsid w:val="6F27744D"/>
    <w:rsid w:val="6F282B2F"/>
    <w:rsid w:val="6F286FD3"/>
    <w:rsid w:val="6F29138C"/>
    <w:rsid w:val="6F297677"/>
    <w:rsid w:val="6F2A2A84"/>
    <w:rsid w:val="6F2A2D4B"/>
    <w:rsid w:val="6F2A36D8"/>
    <w:rsid w:val="6F2A4AF9"/>
    <w:rsid w:val="6F2B0871"/>
    <w:rsid w:val="6F2B261F"/>
    <w:rsid w:val="6F2B6AC3"/>
    <w:rsid w:val="6F2B7182"/>
    <w:rsid w:val="6F2C465E"/>
    <w:rsid w:val="6F2C4671"/>
    <w:rsid w:val="6F2D16C3"/>
    <w:rsid w:val="6F2D283B"/>
    <w:rsid w:val="6F2D45E9"/>
    <w:rsid w:val="6F2D55C4"/>
    <w:rsid w:val="6F2E3C7B"/>
    <w:rsid w:val="6F2E3EBD"/>
    <w:rsid w:val="6F2F0361"/>
    <w:rsid w:val="6F2F210F"/>
    <w:rsid w:val="6F2F4C7B"/>
    <w:rsid w:val="6F2F65B3"/>
    <w:rsid w:val="6F310257"/>
    <w:rsid w:val="6F311D4B"/>
    <w:rsid w:val="6F3128C4"/>
    <w:rsid w:val="6F3168A6"/>
    <w:rsid w:val="6F3239AE"/>
    <w:rsid w:val="6F3242DC"/>
    <w:rsid w:val="6F326639"/>
    <w:rsid w:val="6F327A27"/>
    <w:rsid w:val="6F327E52"/>
    <w:rsid w:val="6F33219C"/>
    <w:rsid w:val="6F3439FC"/>
    <w:rsid w:val="6F345978"/>
    <w:rsid w:val="6F3468A7"/>
    <w:rsid w:val="6F347726"/>
    <w:rsid w:val="6F3516F0"/>
    <w:rsid w:val="6F35349E"/>
    <w:rsid w:val="6F353637"/>
    <w:rsid w:val="6F35524C"/>
    <w:rsid w:val="6F363A0A"/>
    <w:rsid w:val="6F363C09"/>
    <w:rsid w:val="6F3670AA"/>
    <w:rsid w:val="6F367DFF"/>
    <w:rsid w:val="6F370FC4"/>
    <w:rsid w:val="6F377216"/>
    <w:rsid w:val="6F38459B"/>
    <w:rsid w:val="6F385CDC"/>
    <w:rsid w:val="6F3911E0"/>
    <w:rsid w:val="6F3928AF"/>
    <w:rsid w:val="6F392F8E"/>
    <w:rsid w:val="6F394D3C"/>
    <w:rsid w:val="6F39716C"/>
    <w:rsid w:val="6F397FC7"/>
    <w:rsid w:val="6F3A0AB4"/>
    <w:rsid w:val="6F3B4F58"/>
    <w:rsid w:val="6F3B5D3E"/>
    <w:rsid w:val="6F3B633C"/>
    <w:rsid w:val="6F3B6D06"/>
    <w:rsid w:val="6F3C2A7E"/>
    <w:rsid w:val="6F3C2F1C"/>
    <w:rsid w:val="6F3C3AC3"/>
    <w:rsid w:val="6F3C4E3B"/>
    <w:rsid w:val="6F3C5A22"/>
    <w:rsid w:val="6F3C62FB"/>
    <w:rsid w:val="6F3C65DA"/>
    <w:rsid w:val="6F3C70D1"/>
    <w:rsid w:val="6F3D018E"/>
    <w:rsid w:val="6F3D03B5"/>
    <w:rsid w:val="6F3D3349"/>
    <w:rsid w:val="6F3D6F7D"/>
    <w:rsid w:val="6F3E05A4"/>
    <w:rsid w:val="6F3E223D"/>
    <w:rsid w:val="6F3E4F37"/>
    <w:rsid w:val="6F3E67F6"/>
    <w:rsid w:val="6F3E7B6B"/>
    <w:rsid w:val="6F3E7E0E"/>
    <w:rsid w:val="6F3F2FDE"/>
    <w:rsid w:val="6F400306"/>
    <w:rsid w:val="6F40256E"/>
    <w:rsid w:val="6F40400A"/>
    <w:rsid w:val="6F40431D"/>
    <w:rsid w:val="6F404714"/>
    <w:rsid w:val="6F410095"/>
    <w:rsid w:val="6F414601"/>
    <w:rsid w:val="6F41613A"/>
    <w:rsid w:val="6F4162E7"/>
    <w:rsid w:val="6F416B95"/>
    <w:rsid w:val="6F416D8D"/>
    <w:rsid w:val="6F42195E"/>
    <w:rsid w:val="6F421E67"/>
    <w:rsid w:val="6F4242A3"/>
    <w:rsid w:val="6F426195"/>
    <w:rsid w:val="6F433E0D"/>
    <w:rsid w:val="6F435BBB"/>
    <w:rsid w:val="6F4436E1"/>
    <w:rsid w:val="6F443CC4"/>
    <w:rsid w:val="6F4502DF"/>
    <w:rsid w:val="6F451933"/>
    <w:rsid w:val="6F454505"/>
    <w:rsid w:val="6F45756C"/>
    <w:rsid w:val="6F457B85"/>
    <w:rsid w:val="6F4634A3"/>
    <w:rsid w:val="6F466B9E"/>
    <w:rsid w:val="6F467459"/>
    <w:rsid w:val="6F470D60"/>
    <w:rsid w:val="6F471209"/>
    <w:rsid w:val="6F476F90"/>
    <w:rsid w:val="6F4809F1"/>
    <w:rsid w:val="6F480E85"/>
    <w:rsid w:val="6F481423"/>
    <w:rsid w:val="6F481539"/>
    <w:rsid w:val="6F483BAE"/>
    <w:rsid w:val="6F484F7F"/>
    <w:rsid w:val="6F494BEE"/>
    <w:rsid w:val="6F494FE4"/>
    <w:rsid w:val="6F49551F"/>
    <w:rsid w:val="6F496020"/>
    <w:rsid w:val="6F4A00F0"/>
    <w:rsid w:val="6F4A259C"/>
    <w:rsid w:val="6F4A555B"/>
    <w:rsid w:val="6F4B0F13"/>
    <w:rsid w:val="6F4B1580"/>
    <w:rsid w:val="6F4B2A10"/>
    <w:rsid w:val="6F4B2CC1"/>
    <w:rsid w:val="6F4B4A6F"/>
    <w:rsid w:val="6F4D4C8B"/>
    <w:rsid w:val="6F4D5330"/>
    <w:rsid w:val="6F4D6A39"/>
    <w:rsid w:val="6F4D6A71"/>
    <w:rsid w:val="6F4E4BEA"/>
    <w:rsid w:val="6F4F27B2"/>
    <w:rsid w:val="6F4F3F62"/>
    <w:rsid w:val="6F4F58F2"/>
    <w:rsid w:val="6F4F630E"/>
    <w:rsid w:val="6F502086"/>
    <w:rsid w:val="6F507AAE"/>
    <w:rsid w:val="6F51652A"/>
    <w:rsid w:val="6F521309"/>
    <w:rsid w:val="6F5222A2"/>
    <w:rsid w:val="6F523FB7"/>
    <w:rsid w:val="6F524050"/>
    <w:rsid w:val="6F5266CD"/>
    <w:rsid w:val="6F5314AB"/>
    <w:rsid w:val="6F5370A1"/>
    <w:rsid w:val="6F5376EC"/>
    <w:rsid w:val="6F54178C"/>
    <w:rsid w:val="6F543924"/>
    <w:rsid w:val="6F544703"/>
    <w:rsid w:val="6F547DC8"/>
    <w:rsid w:val="6F5508A9"/>
    <w:rsid w:val="6F5558EE"/>
    <w:rsid w:val="6F55769C"/>
    <w:rsid w:val="6F55779D"/>
    <w:rsid w:val="6F561264"/>
    <w:rsid w:val="6F563B40"/>
    <w:rsid w:val="6F571CCA"/>
    <w:rsid w:val="6F573414"/>
    <w:rsid w:val="6F574F56"/>
    <w:rsid w:val="6F5761C1"/>
    <w:rsid w:val="6F583B84"/>
    <w:rsid w:val="6F584BB0"/>
    <w:rsid w:val="6F5867BA"/>
    <w:rsid w:val="6F593630"/>
    <w:rsid w:val="6F595AB8"/>
    <w:rsid w:val="6F595F52"/>
    <w:rsid w:val="6F5A2F04"/>
    <w:rsid w:val="6F5A4CB2"/>
    <w:rsid w:val="6F5B1156"/>
    <w:rsid w:val="6F5B2505"/>
    <w:rsid w:val="6F5B7492"/>
    <w:rsid w:val="6F5B7934"/>
    <w:rsid w:val="6F5C4ECE"/>
    <w:rsid w:val="6F5D11ED"/>
    <w:rsid w:val="6F5D769E"/>
    <w:rsid w:val="6F5E1718"/>
    <w:rsid w:val="6F5E29F5"/>
    <w:rsid w:val="6F5E4B26"/>
    <w:rsid w:val="6F5E4F84"/>
    <w:rsid w:val="6F5F1D39"/>
    <w:rsid w:val="6F601C55"/>
    <w:rsid w:val="6F601DB4"/>
    <w:rsid w:val="6F6049BF"/>
    <w:rsid w:val="6F6057C3"/>
    <w:rsid w:val="6F60619F"/>
    <w:rsid w:val="6F606291"/>
    <w:rsid w:val="6F606DFD"/>
    <w:rsid w:val="6F61015E"/>
    <w:rsid w:val="6F6124E5"/>
    <w:rsid w:val="6F614293"/>
    <w:rsid w:val="6F617134"/>
    <w:rsid w:val="6F622519"/>
    <w:rsid w:val="6F624C36"/>
    <w:rsid w:val="6F6269D3"/>
    <w:rsid w:val="6F643647"/>
    <w:rsid w:val="6F643868"/>
    <w:rsid w:val="6F652A3D"/>
    <w:rsid w:val="6F652CD7"/>
    <w:rsid w:val="6F653D83"/>
    <w:rsid w:val="6F65602C"/>
    <w:rsid w:val="6F6560B7"/>
    <w:rsid w:val="6F656188"/>
    <w:rsid w:val="6F6629A9"/>
    <w:rsid w:val="6F664F0C"/>
    <w:rsid w:val="6F67111E"/>
    <w:rsid w:val="6F671739"/>
    <w:rsid w:val="6F674E23"/>
    <w:rsid w:val="6F675D4D"/>
    <w:rsid w:val="6F683679"/>
    <w:rsid w:val="6F683873"/>
    <w:rsid w:val="6F684F41"/>
    <w:rsid w:val="6F69170D"/>
    <w:rsid w:val="6F693EAA"/>
    <w:rsid w:val="6F6965FE"/>
    <w:rsid w:val="6F69719C"/>
    <w:rsid w:val="6F6A0A78"/>
    <w:rsid w:val="6F6A1399"/>
    <w:rsid w:val="6F6A248A"/>
    <w:rsid w:val="6F6A3147"/>
    <w:rsid w:val="6F6A37D0"/>
    <w:rsid w:val="6F6A3CDA"/>
    <w:rsid w:val="6F6A57DA"/>
    <w:rsid w:val="6F6B5112"/>
    <w:rsid w:val="6F6B6EC0"/>
    <w:rsid w:val="6F6C08B9"/>
    <w:rsid w:val="6F6C0936"/>
    <w:rsid w:val="6F6C22A6"/>
    <w:rsid w:val="6F6C296A"/>
    <w:rsid w:val="6F6C3363"/>
    <w:rsid w:val="6F6C4D9F"/>
    <w:rsid w:val="6F6D0E8A"/>
    <w:rsid w:val="6F6D3BF0"/>
    <w:rsid w:val="6F6D3C8B"/>
    <w:rsid w:val="6F6D49E6"/>
    <w:rsid w:val="6F6E3E4E"/>
    <w:rsid w:val="6F6F075E"/>
    <w:rsid w:val="6F6F1BAD"/>
    <w:rsid w:val="6F6F4C02"/>
    <w:rsid w:val="6F701E0B"/>
    <w:rsid w:val="6F703620"/>
    <w:rsid w:val="6F7044D6"/>
    <w:rsid w:val="6F71097A"/>
    <w:rsid w:val="6F7123E9"/>
    <w:rsid w:val="6F713B8D"/>
    <w:rsid w:val="6F715E6C"/>
    <w:rsid w:val="6F716DB1"/>
    <w:rsid w:val="6F72024E"/>
    <w:rsid w:val="6F721134"/>
    <w:rsid w:val="6F7246F2"/>
    <w:rsid w:val="6F724CD3"/>
    <w:rsid w:val="6F725BBB"/>
    <w:rsid w:val="6F7264A0"/>
    <w:rsid w:val="6F7272FC"/>
    <w:rsid w:val="6F72740C"/>
    <w:rsid w:val="6F736565"/>
    <w:rsid w:val="6F741C1C"/>
    <w:rsid w:val="6F742218"/>
    <w:rsid w:val="6F7436EB"/>
    <w:rsid w:val="6F743FC6"/>
    <w:rsid w:val="6F747B1F"/>
    <w:rsid w:val="6F751AEC"/>
    <w:rsid w:val="6F751F16"/>
    <w:rsid w:val="6F755C7D"/>
    <w:rsid w:val="6F765F90"/>
    <w:rsid w:val="6F76710D"/>
    <w:rsid w:val="6F767D3E"/>
    <w:rsid w:val="6F771D08"/>
    <w:rsid w:val="6F775864"/>
    <w:rsid w:val="6F78316E"/>
    <w:rsid w:val="6F7833FA"/>
    <w:rsid w:val="6F793C5D"/>
    <w:rsid w:val="6F795287"/>
    <w:rsid w:val="6F796A75"/>
    <w:rsid w:val="6F7976C6"/>
    <w:rsid w:val="6F79782E"/>
    <w:rsid w:val="6F7A7103"/>
    <w:rsid w:val="6F7B1AEF"/>
    <w:rsid w:val="6F7B3484"/>
    <w:rsid w:val="6F7B35A7"/>
    <w:rsid w:val="6F7B746F"/>
    <w:rsid w:val="6F7C10CD"/>
    <w:rsid w:val="6F7C183E"/>
    <w:rsid w:val="6F7C1866"/>
    <w:rsid w:val="6F7C218E"/>
    <w:rsid w:val="6F7C2E7B"/>
    <w:rsid w:val="6F7C2F7F"/>
    <w:rsid w:val="6F7C731F"/>
    <w:rsid w:val="6F7D1DDA"/>
    <w:rsid w:val="6F7D6903"/>
    <w:rsid w:val="6F7E4E45"/>
    <w:rsid w:val="6F7E6BF3"/>
    <w:rsid w:val="6F7F185B"/>
    <w:rsid w:val="6F7F3DC4"/>
    <w:rsid w:val="6F7F4719"/>
    <w:rsid w:val="6F801AD3"/>
    <w:rsid w:val="6F80296B"/>
    <w:rsid w:val="6F806E0F"/>
    <w:rsid w:val="6F811B7C"/>
    <w:rsid w:val="6F814220"/>
    <w:rsid w:val="6F8145F7"/>
    <w:rsid w:val="6F8166E3"/>
    <w:rsid w:val="6F8306AD"/>
    <w:rsid w:val="6F830C57"/>
    <w:rsid w:val="6F834209"/>
    <w:rsid w:val="6F83559C"/>
    <w:rsid w:val="6F841711"/>
    <w:rsid w:val="6F847BC8"/>
    <w:rsid w:val="6F852746"/>
    <w:rsid w:val="6F854425"/>
    <w:rsid w:val="6F85513A"/>
    <w:rsid w:val="6F855772"/>
    <w:rsid w:val="6F8561D3"/>
    <w:rsid w:val="6F8570D3"/>
    <w:rsid w:val="6F857B5B"/>
    <w:rsid w:val="6F857F81"/>
    <w:rsid w:val="6F8618CF"/>
    <w:rsid w:val="6F865AA7"/>
    <w:rsid w:val="6F8709A8"/>
    <w:rsid w:val="6F87179F"/>
    <w:rsid w:val="6F874ED2"/>
    <w:rsid w:val="6F87699D"/>
    <w:rsid w:val="6F877309"/>
    <w:rsid w:val="6F8808A5"/>
    <w:rsid w:val="6F880BDF"/>
    <w:rsid w:val="6F881522"/>
    <w:rsid w:val="6F881820"/>
    <w:rsid w:val="6F885315"/>
    <w:rsid w:val="6F885CC3"/>
    <w:rsid w:val="6F887A72"/>
    <w:rsid w:val="6F897DF0"/>
    <w:rsid w:val="6F8A1A3C"/>
    <w:rsid w:val="6F8A37EA"/>
    <w:rsid w:val="6F8A4E7F"/>
    <w:rsid w:val="6F8B0895"/>
    <w:rsid w:val="6F8B2FC1"/>
    <w:rsid w:val="6F8C121D"/>
    <w:rsid w:val="6F8C57B4"/>
    <w:rsid w:val="6F8C7562"/>
    <w:rsid w:val="6F8D32DA"/>
    <w:rsid w:val="6F8D3F04"/>
    <w:rsid w:val="6F8D5088"/>
    <w:rsid w:val="6F8D579A"/>
    <w:rsid w:val="6F8D6E36"/>
    <w:rsid w:val="6F8E6464"/>
    <w:rsid w:val="6F8F03DC"/>
    <w:rsid w:val="6F8F13F5"/>
    <w:rsid w:val="6F8F2BAE"/>
    <w:rsid w:val="6F8F6824"/>
    <w:rsid w:val="6F8F7052"/>
    <w:rsid w:val="6F902197"/>
    <w:rsid w:val="6F902209"/>
    <w:rsid w:val="6F902885"/>
    <w:rsid w:val="6F903365"/>
    <w:rsid w:val="6F904395"/>
    <w:rsid w:val="6F906926"/>
    <w:rsid w:val="6F907AA3"/>
    <w:rsid w:val="6F907CB4"/>
    <w:rsid w:val="6F912DCA"/>
    <w:rsid w:val="6F922668"/>
    <w:rsid w:val="6F9251A5"/>
    <w:rsid w:val="6F935109"/>
    <w:rsid w:val="6F9401C4"/>
    <w:rsid w:val="6F944668"/>
    <w:rsid w:val="6F947AC5"/>
    <w:rsid w:val="6F950F55"/>
    <w:rsid w:val="6F951E77"/>
    <w:rsid w:val="6F9523CE"/>
    <w:rsid w:val="6F952696"/>
    <w:rsid w:val="6F961C17"/>
    <w:rsid w:val="6F96218E"/>
    <w:rsid w:val="6F963F3C"/>
    <w:rsid w:val="6F975436"/>
    <w:rsid w:val="6F975F07"/>
    <w:rsid w:val="6F976446"/>
    <w:rsid w:val="6F977B87"/>
    <w:rsid w:val="6F98353C"/>
    <w:rsid w:val="6F984159"/>
    <w:rsid w:val="6F985A2D"/>
    <w:rsid w:val="6F98690F"/>
    <w:rsid w:val="6F9878D6"/>
    <w:rsid w:val="6F991C7F"/>
    <w:rsid w:val="6F9924A7"/>
    <w:rsid w:val="6F992534"/>
    <w:rsid w:val="6F9925EB"/>
    <w:rsid w:val="6F992C96"/>
    <w:rsid w:val="6F997ED1"/>
    <w:rsid w:val="6F997EF6"/>
    <w:rsid w:val="6F9A00FD"/>
    <w:rsid w:val="6F9A017B"/>
    <w:rsid w:val="6F9A1874"/>
    <w:rsid w:val="6F9A3937"/>
    <w:rsid w:val="6F9B09C4"/>
    <w:rsid w:val="6F9B4A4B"/>
    <w:rsid w:val="6F9B59F7"/>
    <w:rsid w:val="6F9B5ED0"/>
    <w:rsid w:val="6F9B73D8"/>
    <w:rsid w:val="6F9B77A5"/>
    <w:rsid w:val="6F9C141E"/>
    <w:rsid w:val="6F9C52CB"/>
    <w:rsid w:val="6F9D0A84"/>
    <w:rsid w:val="6F9D39F9"/>
    <w:rsid w:val="6F9D5DEF"/>
    <w:rsid w:val="6F9E0291"/>
    <w:rsid w:val="6F9E1043"/>
    <w:rsid w:val="6F9E12BF"/>
    <w:rsid w:val="6F9E3748"/>
    <w:rsid w:val="6F9F4BD8"/>
    <w:rsid w:val="6FA0300D"/>
    <w:rsid w:val="6FA03AB4"/>
    <w:rsid w:val="6FA04464"/>
    <w:rsid w:val="6FA04DBB"/>
    <w:rsid w:val="6FA077A9"/>
    <w:rsid w:val="6FA10B33"/>
    <w:rsid w:val="6FA128E1"/>
    <w:rsid w:val="6FA16271"/>
    <w:rsid w:val="6FA204B0"/>
    <w:rsid w:val="6FA21F76"/>
    <w:rsid w:val="6FA220C9"/>
    <w:rsid w:val="6FA22D64"/>
    <w:rsid w:val="6FA268BC"/>
    <w:rsid w:val="6FA26D85"/>
    <w:rsid w:val="6FA30647"/>
    <w:rsid w:val="6FA32AFD"/>
    <w:rsid w:val="6FA40CFB"/>
    <w:rsid w:val="6FA41694"/>
    <w:rsid w:val="6FA50623"/>
    <w:rsid w:val="6FA519C6"/>
    <w:rsid w:val="6FA5218B"/>
    <w:rsid w:val="6FA523D2"/>
    <w:rsid w:val="6FA539E9"/>
    <w:rsid w:val="6FA5414E"/>
    <w:rsid w:val="6FA542E6"/>
    <w:rsid w:val="6FA567E1"/>
    <w:rsid w:val="6FA67EF8"/>
    <w:rsid w:val="6FA70153"/>
    <w:rsid w:val="6FA81EC2"/>
    <w:rsid w:val="6FA87DE3"/>
    <w:rsid w:val="6FA970A3"/>
    <w:rsid w:val="6FAA067C"/>
    <w:rsid w:val="6FAA1261"/>
    <w:rsid w:val="6FAA3E8C"/>
    <w:rsid w:val="6FAB550E"/>
    <w:rsid w:val="6FAB5E04"/>
    <w:rsid w:val="6FAC19B2"/>
    <w:rsid w:val="6FAC3760"/>
    <w:rsid w:val="6FAC3C17"/>
    <w:rsid w:val="6FAC492E"/>
    <w:rsid w:val="6FAC4CFB"/>
    <w:rsid w:val="6FAC5D4C"/>
    <w:rsid w:val="6FAC7A2F"/>
    <w:rsid w:val="6FAC7C04"/>
    <w:rsid w:val="6FAC7EB0"/>
    <w:rsid w:val="6FAD1286"/>
    <w:rsid w:val="6FAD463C"/>
    <w:rsid w:val="6FAD65BB"/>
    <w:rsid w:val="6FAE210E"/>
    <w:rsid w:val="6FAF0FDA"/>
    <w:rsid w:val="6FAF14A2"/>
    <w:rsid w:val="6FAF245C"/>
    <w:rsid w:val="6FAF29A9"/>
    <w:rsid w:val="6FAF3250"/>
    <w:rsid w:val="6FAF46CD"/>
    <w:rsid w:val="6FAF4FFE"/>
    <w:rsid w:val="6FB059BF"/>
    <w:rsid w:val="6FB1014D"/>
    <w:rsid w:val="6FB10B9E"/>
    <w:rsid w:val="6FB10D76"/>
    <w:rsid w:val="6FB1521A"/>
    <w:rsid w:val="6FB16FC8"/>
    <w:rsid w:val="6FB20A92"/>
    <w:rsid w:val="6FB22D40"/>
    <w:rsid w:val="6FB23B15"/>
    <w:rsid w:val="6FB24AEE"/>
    <w:rsid w:val="6FB3214A"/>
    <w:rsid w:val="6FB33DB6"/>
    <w:rsid w:val="6FB344DE"/>
    <w:rsid w:val="6FB346BA"/>
    <w:rsid w:val="6FB40867"/>
    <w:rsid w:val="6FB55DCE"/>
    <w:rsid w:val="6FB645A0"/>
    <w:rsid w:val="6FB645DF"/>
    <w:rsid w:val="6FB653BD"/>
    <w:rsid w:val="6FB6638D"/>
    <w:rsid w:val="6FB66404"/>
    <w:rsid w:val="6FB70357"/>
    <w:rsid w:val="6FB7179E"/>
    <w:rsid w:val="6FB72105"/>
    <w:rsid w:val="6FB72E5F"/>
    <w:rsid w:val="6FB73EBB"/>
    <w:rsid w:val="6FB74896"/>
    <w:rsid w:val="6FB75FFE"/>
    <w:rsid w:val="6FB83F60"/>
    <w:rsid w:val="6FB84A00"/>
    <w:rsid w:val="6FB865A9"/>
    <w:rsid w:val="6FB87A70"/>
    <w:rsid w:val="6FB90350"/>
    <w:rsid w:val="6FB903DA"/>
    <w:rsid w:val="6FB93C38"/>
    <w:rsid w:val="6FB95E7D"/>
    <w:rsid w:val="6FBA1212"/>
    <w:rsid w:val="6FBA5048"/>
    <w:rsid w:val="6FBA53E3"/>
    <w:rsid w:val="6FBA6C8F"/>
    <w:rsid w:val="6FBB0D6D"/>
    <w:rsid w:val="6FBB1667"/>
    <w:rsid w:val="6FBB1BF5"/>
    <w:rsid w:val="6FBB43B1"/>
    <w:rsid w:val="6FBC052C"/>
    <w:rsid w:val="6FBC475A"/>
    <w:rsid w:val="6FBC771B"/>
    <w:rsid w:val="6FBD18A2"/>
    <w:rsid w:val="6FBD195B"/>
    <w:rsid w:val="6FBD1F52"/>
    <w:rsid w:val="6FBD3BBF"/>
    <w:rsid w:val="6FBD4DF8"/>
    <w:rsid w:val="6FBD5436"/>
    <w:rsid w:val="6FBD596D"/>
    <w:rsid w:val="6FBD6CD1"/>
    <w:rsid w:val="6FBD6E9C"/>
    <w:rsid w:val="6FBE2D32"/>
    <w:rsid w:val="6FBE3493"/>
    <w:rsid w:val="6FBE3A36"/>
    <w:rsid w:val="6FBE656C"/>
    <w:rsid w:val="6FBE6845"/>
    <w:rsid w:val="6FBF1BE8"/>
    <w:rsid w:val="6FBF20B4"/>
    <w:rsid w:val="6FBF6374"/>
    <w:rsid w:val="6FBF6C57"/>
    <w:rsid w:val="6FC00FB9"/>
    <w:rsid w:val="6FC06D93"/>
    <w:rsid w:val="6FC0782F"/>
    <w:rsid w:val="6FC14D32"/>
    <w:rsid w:val="6FC17FA0"/>
    <w:rsid w:val="6FC211D5"/>
    <w:rsid w:val="6FC22F57"/>
    <w:rsid w:val="6FC22F83"/>
    <w:rsid w:val="6FC30B16"/>
    <w:rsid w:val="6FC35714"/>
    <w:rsid w:val="6FC36CFC"/>
    <w:rsid w:val="6FC417FD"/>
    <w:rsid w:val="6FC41F27"/>
    <w:rsid w:val="6FC56542"/>
    <w:rsid w:val="6FC565D0"/>
    <w:rsid w:val="6FC5692A"/>
    <w:rsid w:val="6FC56DEE"/>
    <w:rsid w:val="6FC64095"/>
    <w:rsid w:val="6FC64CB1"/>
    <w:rsid w:val="6FC7059A"/>
    <w:rsid w:val="6FC71D2E"/>
    <w:rsid w:val="6FC72954"/>
    <w:rsid w:val="6FC76620"/>
    <w:rsid w:val="6FC767EC"/>
    <w:rsid w:val="6FC778CB"/>
    <w:rsid w:val="6FC8090C"/>
    <w:rsid w:val="6FC81193"/>
    <w:rsid w:val="6FC84312"/>
    <w:rsid w:val="6FC848B9"/>
    <w:rsid w:val="6FC860C0"/>
    <w:rsid w:val="6FC86318"/>
    <w:rsid w:val="6FC86949"/>
    <w:rsid w:val="6FC869B5"/>
    <w:rsid w:val="6FC94566"/>
    <w:rsid w:val="6FCA1FC1"/>
    <w:rsid w:val="6FCA2D8F"/>
    <w:rsid w:val="6FCA62DC"/>
    <w:rsid w:val="6FCB2765"/>
    <w:rsid w:val="6FCB2C0E"/>
    <w:rsid w:val="6FCB3EA6"/>
    <w:rsid w:val="6FCC19EA"/>
    <w:rsid w:val="6FCC1ECC"/>
    <w:rsid w:val="6FCC2DE3"/>
    <w:rsid w:val="6FCC2F49"/>
    <w:rsid w:val="6FCC3E02"/>
    <w:rsid w:val="6FCC5336"/>
    <w:rsid w:val="6FCC795E"/>
    <w:rsid w:val="6FCC7A17"/>
    <w:rsid w:val="6FCD1928"/>
    <w:rsid w:val="6FCD1B3C"/>
    <w:rsid w:val="6FCD2794"/>
    <w:rsid w:val="6FCD36D6"/>
    <w:rsid w:val="6FCE00D6"/>
    <w:rsid w:val="6FCE10E6"/>
    <w:rsid w:val="6FCE7B7A"/>
    <w:rsid w:val="6FCF1284"/>
    <w:rsid w:val="6FCF38F2"/>
    <w:rsid w:val="6FCF56A0"/>
    <w:rsid w:val="6FCF744E"/>
    <w:rsid w:val="6FD0340F"/>
    <w:rsid w:val="6FD03C8E"/>
    <w:rsid w:val="6FD04DB6"/>
    <w:rsid w:val="6FD07324"/>
    <w:rsid w:val="6FD10360"/>
    <w:rsid w:val="6FD111A8"/>
    <w:rsid w:val="6FD12176"/>
    <w:rsid w:val="6FD131C7"/>
    <w:rsid w:val="6FD172EB"/>
    <w:rsid w:val="6FD1766A"/>
    <w:rsid w:val="6FD21701"/>
    <w:rsid w:val="6FD23478"/>
    <w:rsid w:val="6FD24DDA"/>
    <w:rsid w:val="6FD252FB"/>
    <w:rsid w:val="6FD27122"/>
    <w:rsid w:val="6FD33AC8"/>
    <w:rsid w:val="6FD40F09"/>
    <w:rsid w:val="6FD42CB7"/>
    <w:rsid w:val="6FD531B8"/>
    <w:rsid w:val="6FD54E39"/>
    <w:rsid w:val="6FD604C6"/>
    <w:rsid w:val="6FD607DD"/>
    <w:rsid w:val="6FD60FB9"/>
    <w:rsid w:val="6FD630DD"/>
    <w:rsid w:val="6FD64C81"/>
    <w:rsid w:val="6FD65EB1"/>
    <w:rsid w:val="6FD66A2F"/>
    <w:rsid w:val="6FD70D49"/>
    <w:rsid w:val="6FD75926"/>
    <w:rsid w:val="6FD76303"/>
    <w:rsid w:val="6FD803DC"/>
    <w:rsid w:val="6FD809F9"/>
    <w:rsid w:val="6FD902CD"/>
    <w:rsid w:val="6FD90324"/>
    <w:rsid w:val="6FD918CA"/>
    <w:rsid w:val="6FD9207B"/>
    <w:rsid w:val="6FD944A5"/>
    <w:rsid w:val="6FD9651F"/>
    <w:rsid w:val="6FD974E5"/>
    <w:rsid w:val="6FDA091A"/>
    <w:rsid w:val="6FDB5DF3"/>
    <w:rsid w:val="6FDC0AE6"/>
    <w:rsid w:val="6FDC36EA"/>
    <w:rsid w:val="6FDC3ADE"/>
    <w:rsid w:val="6FDC5B78"/>
    <w:rsid w:val="6FDD1AA3"/>
    <w:rsid w:val="6FDD600F"/>
    <w:rsid w:val="6FDD7B90"/>
    <w:rsid w:val="6FDD7D9E"/>
    <w:rsid w:val="6FDD7DBD"/>
    <w:rsid w:val="6FDE0BDB"/>
    <w:rsid w:val="6FDE124B"/>
    <w:rsid w:val="6FDE58E3"/>
    <w:rsid w:val="6FE078AE"/>
    <w:rsid w:val="6FE07C0D"/>
    <w:rsid w:val="6FE11CB3"/>
    <w:rsid w:val="6FE160CC"/>
    <w:rsid w:val="6FE208B8"/>
    <w:rsid w:val="6FE210D7"/>
    <w:rsid w:val="6FE253D4"/>
    <w:rsid w:val="6FE256AB"/>
    <w:rsid w:val="6FE3114C"/>
    <w:rsid w:val="6FE31BB4"/>
    <w:rsid w:val="6FE32AAB"/>
    <w:rsid w:val="6FE32EFA"/>
    <w:rsid w:val="6FE36AEE"/>
    <w:rsid w:val="6FE40D44"/>
    <w:rsid w:val="6FE44C01"/>
    <w:rsid w:val="6FE4739E"/>
    <w:rsid w:val="6FE50A20"/>
    <w:rsid w:val="6FE5243D"/>
    <w:rsid w:val="6FE54EC4"/>
    <w:rsid w:val="6FE55FA0"/>
    <w:rsid w:val="6FE56C72"/>
    <w:rsid w:val="6FE60363"/>
    <w:rsid w:val="6FE606EB"/>
    <w:rsid w:val="6FE70C3C"/>
    <w:rsid w:val="6FE74798"/>
    <w:rsid w:val="6FE74F58"/>
    <w:rsid w:val="6FE80510"/>
    <w:rsid w:val="6FE8057A"/>
    <w:rsid w:val="6FE80E39"/>
    <w:rsid w:val="6FE85E1F"/>
    <w:rsid w:val="6FE86762"/>
    <w:rsid w:val="6FE949B4"/>
    <w:rsid w:val="6FEA072C"/>
    <w:rsid w:val="6FEA08BF"/>
    <w:rsid w:val="6FEA24DA"/>
    <w:rsid w:val="6FEA4288"/>
    <w:rsid w:val="6FEB5A67"/>
    <w:rsid w:val="6FEC0000"/>
    <w:rsid w:val="6FEC1DAE"/>
    <w:rsid w:val="6FEC6252"/>
    <w:rsid w:val="6FED13ED"/>
    <w:rsid w:val="6FEE1FCA"/>
    <w:rsid w:val="6FEE6EAC"/>
    <w:rsid w:val="6FEE70E9"/>
    <w:rsid w:val="6FEF155C"/>
    <w:rsid w:val="6FEF1B60"/>
    <w:rsid w:val="6FEF3153"/>
    <w:rsid w:val="6FEF4FD6"/>
    <w:rsid w:val="6FEF5D43"/>
    <w:rsid w:val="6FEF7210"/>
    <w:rsid w:val="6FEF7AF1"/>
    <w:rsid w:val="6FF00490"/>
    <w:rsid w:val="6FF01FEC"/>
    <w:rsid w:val="6FF02727"/>
    <w:rsid w:val="6FF02FF0"/>
    <w:rsid w:val="6FF0358B"/>
    <w:rsid w:val="6FF03D41"/>
    <w:rsid w:val="6FF04731"/>
    <w:rsid w:val="6FF07097"/>
    <w:rsid w:val="6FF11ABB"/>
    <w:rsid w:val="6FF12272"/>
    <w:rsid w:val="6FF13869"/>
    <w:rsid w:val="6FF15D70"/>
    <w:rsid w:val="6FF173C5"/>
    <w:rsid w:val="6FF22EEA"/>
    <w:rsid w:val="6FF272E2"/>
    <w:rsid w:val="6FF32F4F"/>
    <w:rsid w:val="6FF36580"/>
    <w:rsid w:val="6FF373A0"/>
    <w:rsid w:val="6FF375E1"/>
    <w:rsid w:val="6FF414DF"/>
    <w:rsid w:val="6FF43359"/>
    <w:rsid w:val="6FF5054A"/>
    <w:rsid w:val="6FF51CAF"/>
    <w:rsid w:val="6FF54A4C"/>
    <w:rsid w:val="6FF57074"/>
    <w:rsid w:val="6FF60E7F"/>
    <w:rsid w:val="6FF61A33"/>
    <w:rsid w:val="6FF628C3"/>
    <w:rsid w:val="6FF62C2D"/>
    <w:rsid w:val="6FF631DD"/>
    <w:rsid w:val="6FF66EED"/>
    <w:rsid w:val="6FF70753"/>
    <w:rsid w:val="6FF72EC3"/>
    <w:rsid w:val="6FF80181"/>
    <w:rsid w:val="6FF869A5"/>
    <w:rsid w:val="6FF874EF"/>
    <w:rsid w:val="6FF957E3"/>
    <w:rsid w:val="6FF97DB2"/>
    <w:rsid w:val="6FFB0243"/>
    <w:rsid w:val="6FFB1E59"/>
    <w:rsid w:val="6FFB24BA"/>
    <w:rsid w:val="6FFB46E7"/>
    <w:rsid w:val="6FFB50D1"/>
    <w:rsid w:val="6FFC335D"/>
    <w:rsid w:val="6FFC5590"/>
    <w:rsid w:val="6FFD3FBC"/>
    <w:rsid w:val="6FFD5537"/>
    <w:rsid w:val="6FFD6D35"/>
    <w:rsid w:val="6FFE55F4"/>
    <w:rsid w:val="6FFE7D34"/>
    <w:rsid w:val="6FFF1338"/>
    <w:rsid w:val="6FFF5101"/>
    <w:rsid w:val="6FFF782D"/>
    <w:rsid w:val="70001CFE"/>
    <w:rsid w:val="700020CD"/>
    <w:rsid w:val="70002AE5"/>
    <w:rsid w:val="70003AAC"/>
    <w:rsid w:val="7000585A"/>
    <w:rsid w:val="700133AC"/>
    <w:rsid w:val="700156B6"/>
    <w:rsid w:val="70016B46"/>
    <w:rsid w:val="70023F50"/>
    <w:rsid w:val="70025A76"/>
    <w:rsid w:val="70027A8D"/>
    <w:rsid w:val="7003534A"/>
    <w:rsid w:val="700370F8"/>
    <w:rsid w:val="70037CFB"/>
    <w:rsid w:val="700417EE"/>
    <w:rsid w:val="70050663"/>
    <w:rsid w:val="700510C2"/>
    <w:rsid w:val="70052223"/>
    <w:rsid w:val="70052E70"/>
    <w:rsid w:val="700554C7"/>
    <w:rsid w:val="70057314"/>
    <w:rsid w:val="700606AD"/>
    <w:rsid w:val="700613A9"/>
    <w:rsid w:val="700659A1"/>
    <w:rsid w:val="70066957"/>
    <w:rsid w:val="7007135D"/>
    <w:rsid w:val="7007308C"/>
    <w:rsid w:val="70073C29"/>
    <w:rsid w:val="70074E3A"/>
    <w:rsid w:val="70082960"/>
    <w:rsid w:val="70085F18"/>
    <w:rsid w:val="70093147"/>
    <w:rsid w:val="700A09F5"/>
    <w:rsid w:val="700A3BA7"/>
    <w:rsid w:val="700A3EA9"/>
    <w:rsid w:val="700A492A"/>
    <w:rsid w:val="700A7EA9"/>
    <w:rsid w:val="700B0D3E"/>
    <w:rsid w:val="700B50F6"/>
    <w:rsid w:val="700C06A3"/>
    <w:rsid w:val="700C2451"/>
    <w:rsid w:val="700C41FF"/>
    <w:rsid w:val="700D50E9"/>
    <w:rsid w:val="700D6CC2"/>
    <w:rsid w:val="700D7F77"/>
    <w:rsid w:val="700E441B"/>
    <w:rsid w:val="700E44A9"/>
    <w:rsid w:val="700F0193"/>
    <w:rsid w:val="700F1F41"/>
    <w:rsid w:val="700F3CEF"/>
    <w:rsid w:val="700F5351"/>
    <w:rsid w:val="701025DA"/>
    <w:rsid w:val="7010344F"/>
    <w:rsid w:val="70113A6A"/>
    <w:rsid w:val="70115CB9"/>
    <w:rsid w:val="7011663B"/>
    <w:rsid w:val="70117A67"/>
    <w:rsid w:val="701218D9"/>
    <w:rsid w:val="70123259"/>
    <w:rsid w:val="7012437E"/>
    <w:rsid w:val="7012558D"/>
    <w:rsid w:val="70127ACB"/>
    <w:rsid w:val="70130F5B"/>
    <w:rsid w:val="70131A31"/>
    <w:rsid w:val="70132776"/>
    <w:rsid w:val="701337DF"/>
    <w:rsid w:val="70140F04"/>
    <w:rsid w:val="70141305"/>
    <w:rsid w:val="701423EB"/>
    <w:rsid w:val="701557A9"/>
    <w:rsid w:val="70157E72"/>
    <w:rsid w:val="701632CF"/>
    <w:rsid w:val="7016507D"/>
    <w:rsid w:val="70166DF5"/>
    <w:rsid w:val="70180DF5"/>
    <w:rsid w:val="70184181"/>
    <w:rsid w:val="70194B6E"/>
    <w:rsid w:val="701953EF"/>
    <w:rsid w:val="7019691C"/>
    <w:rsid w:val="70197BC1"/>
    <w:rsid w:val="701A2DBF"/>
    <w:rsid w:val="701A692C"/>
    <w:rsid w:val="701B0542"/>
    <w:rsid w:val="701B2694"/>
    <w:rsid w:val="701B2C9B"/>
    <w:rsid w:val="701B4072"/>
    <w:rsid w:val="701B6420"/>
    <w:rsid w:val="701B6B38"/>
    <w:rsid w:val="701B6F23"/>
    <w:rsid w:val="701B76ED"/>
    <w:rsid w:val="701C0B7D"/>
    <w:rsid w:val="701C374E"/>
    <w:rsid w:val="701D0108"/>
    <w:rsid w:val="701D28B0"/>
    <w:rsid w:val="701D2FB6"/>
    <w:rsid w:val="701D3C14"/>
    <w:rsid w:val="701D465E"/>
    <w:rsid w:val="701D4BDE"/>
    <w:rsid w:val="701D640C"/>
    <w:rsid w:val="701E17CD"/>
    <w:rsid w:val="701E3B8B"/>
    <w:rsid w:val="701E6CE1"/>
    <w:rsid w:val="701F51F2"/>
    <w:rsid w:val="70200A03"/>
    <w:rsid w:val="702020CF"/>
    <w:rsid w:val="7020414E"/>
    <w:rsid w:val="7021355F"/>
    <w:rsid w:val="70216130"/>
    <w:rsid w:val="70220571"/>
    <w:rsid w:val="70223A22"/>
    <w:rsid w:val="702249EF"/>
    <w:rsid w:val="702275C0"/>
    <w:rsid w:val="7022796B"/>
    <w:rsid w:val="70227D10"/>
    <w:rsid w:val="70231548"/>
    <w:rsid w:val="7023779A"/>
    <w:rsid w:val="702468A3"/>
    <w:rsid w:val="70251764"/>
    <w:rsid w:val="70253512"/>
    <w:rsid w:val="702614A8"/>
    <w:rsid w:val="70264800"/>
    <w:rsid w:val="702754DC"/>
    <w:rsid w:val="70275C90"/>
    <w:rsid w:val="70275FDC"/>
    <w:rsid w:val="70281E21"/>
    <w:rsid w:val="70287DD8"/>
    <w:rsid w:val="70291255"/>
    <w:rsid w:val="70292A3B"/>
    <w:rsid w:val="70293003"/>
    <w:rsid w:val="702938F2"/>
    <w:rsid w:val="70294DB1"/>
    <w:rsid w:val="70295063"/>
    <w:rsid w:val="702A0B29"/>
    <w:rsid w:val="702A1C8F"/>
    <w:rsid w:val="702A28D7"/>
    <w:rsid w:val="702A2D46"/>
    <w:rsid w:val="702A443E"/>
    <w:rsid w:val="702A69EC"/>
    <w:rsid w:val="702A6D7B"/>
    <w:rsid w:val="702B68F1"/>
    <w:rsid w:val="702B7124"/>
    <w:rsid w:val="702B71E2"/>
    <w:rsid w:val="702B7F07"/>
    <w:rsid w:val="702C0F97"/>
    <w:rsid w:val="702C2AF3"/>
    <w:rsid w:val="702C3243"/>
    <w:rsid w:val="702C48A1"/>
    <w:rsid w:val="702C4F2D"/>
    <w:rsid w:val="702C664F"/>
    <w:rsid w:val="702C6BE3"/>
    <w:rsid w:val="702C72CB"/>
    <w:rsid w:val="702D7747"/>
    <w:rsid w:val="702E0619"/>
    <w:rsid w:val="702E23C7"/>
    <w:rsid w:val="702E26CE"/>
    <w:rsid w:val="702E3DFB"/>
    <w:rsid w:val="702E5B63"/>
    <w:rsid w:val="702E78E6"/>
    <w:rsid w:val="702F0734"/>
    <w:rsid w:val="702F1DBD"/>
    <w:rsid w:val="702F613F"/>
    <w:rsid w:val="702F7AA9"/>
    <w:rsid w:val="703021ED"/>
    <w:rsid w:val="703060EC"/>
    <w:rsid w:val="70310109"/>
    <w:rsid w:val="70311913"/>
    <w:rsid w:val="70311EB7"/>
    <w:rsid w:val="703137EA"/>
    <w:rsid w:val="70323AD0"/>
    <w:rsid w:val="703244E4"/>
    <w:rsid w:val="703270B5"/>
    <w:rsid w:val="70333E81"/>
    <w:rsid w:val="70335C2F"/>
    <w:rsid w:val="70336E04"/>
    <w:rsid w:val="7033729D"/>
    <w:rsid w:val="703379DD"/>
    <w:rsid w:val="703419A7"/>
    <w:rsid w:val="70345337"/>
    <w:rsid w:val="70351D66"/>
    <w:rsid w:val="70356542"/>
    <w:rsid w:val="70357BF9"/>
    <w:rsid w:val="7036127C"/>
    <w:rsid w:val="7036571F"/>
    <w:rsid w:val="7037082E"/>
    <w:rsid w:val="703716AB"/>
    <w:rsid w:val="70373C68"/>
    <w:rsid w:val="703802C8"/>
    <w:rsid w:val="70381498"/>
    <w:rsid w:val="703817E6"/>
    <w:rsid w:val="70382E45"/>
    <w:rsid w:val="70383246"/>
    <w:rsid w:val="70384CF8"/>
    <w:rsid w:val="70390D6C"/>
    <w:rsid w:val="70392C76"/>
    <w:rsid w:val="703A3509"/>
    <w:rsid w:val="703A4106"/>
    <w:rsid w:val="703A4437"/>
    <w:rsid w:val="703A5210"/>
    <w:rsid w:val="703A5847"/>
    <w:rsid w:val="703A6FBE"/>
    <w:rsid w:val="703A77EF"/>
    <w:rsid w:val="703B0F88"/>
    <w:rsid w:val="703B2526"/>
    <w:rsid w:val="703B4AE4"/>
    <w:rsid w:val="703B5596"/>
    <w:rsid w:val="703D085C"/>
    <w:rsid w:val="703E3800"/>
    <w:rsid w:val="703E6382"/>
    <w:rsid w:val="703F2826"/>
    <w:rsid w:val="703F45D4"/>
    <w:rsid w:val="703F6560"/>
    <w:rsid w:val="7040034C"/>
    <w:rsid w:val="70404510"/>
    <w:rsid w:val="70404A53"/>
    <w:rsid w:val="70406B57"/>
    <w:rsid w:val="70411408"/>
    <w:rsid w:val="70413A40"/>
    <w:rsid w:val="70417745"/>
    <w:rsid w:val="7042225A"/>
    <w:rsid w:val="70422316"/>
    <w:rsid w:val="70423FD9"/>
    <w:rsid w:val="70425E72"/>
    <w:rsid w:val="704273D4"/>
    <w:rsid w:val="70430929"/>
    <w:rsid w:val="70433C68"/>
    <w:rsid w:val="7043462E"/>
    <w:rsid w:val="70436406"/>
    <w:rsid w:val="704368F9"/>
    <w:rsid w:val="70436E7F"/>
    <w:rsid w:val="704424A2"/>
    <w:rsid w:val="70442DD1"/>
    <w:rsid w:val="70447695"/>
    <w:rsid w:val="70447E3C"/>
    <w:rsid w:val="70451219"/>
    <w:rsid w:val="7045295A"/>
    <w:rsid w:val="70455813"/>
    <w:rsid w:val="70455963"/>
    <w:rsid w:val="7046087A"/>
    <w:rsid w:val="70463FE0"/>
    <w:rsid w:val="70470F25"/>
    <w:rsid w:val="704716DB"/>
    <w:rsid w:val="70471E3D"/>
    <w:rsid w:val="70473489"/>
    <w:rsid w:val="70473AE4"/>
    <w:rsid w:val="70473E15"/>
    <w:rsid w:val="70477E4B"/>
    <w:rsid w:val="70480FAF"/>
    <w:rsid w:val="7048670A"/>
    <w:rsid w:val="704936A5"/>
    <w:rsid w:val="7049620D"/>
    <w:rsid w:val="70497201"/>
    <w:rsid w:val="70497B9A"/>
    <w:rsid w:val="70497BDD"/>
    <w:rsid w:val="704A07CB"/>
    <w:rsid w:val="704A143A"/>
    <w:rsid w:val="704A2F79"/>
    <w:rsid w:val="704A3DAD"/>
    <w:rsid w:val="704A4D27"/>
    <w:rsid w:val="704B11CB"/>
    <w:rsid w:val="704C0A9F"/>
    <w:rsid w:val="704C36F1"/>
    <w:rsid w:val="704C4F43"/>
    <w:rsid w:val="704C5A11"/>
    <w:rsid w:val="704C651B"/>
    <w:rsid w:val="704C6CF1"/>
    <w:rsid w:val="704D10EC"/>
    <w:rsid w:val="704D257C"/>
    <w:rsid w:val="704E4817"/>
    <w:rsid w:val="704F058F"/>
    <w:rsid w:val="704F233D"/>
    <w:rsid w:val="704F2823"/>
    <w:rsid w:val="704F3F09"/>
    <w:rsid w:val="704F4C1B"/>
    <w:rsid w:val="704F4E9C"/>
    <w:rsid w:val="704F6283"/>
    <w:rsid w:val="704F65DD"/>
    <w:rsid w:val="70500EDB"/>
    <w:rsid w:val="70503067"/>
    <w:rsid w:val="705067E1"/>
    <w:rsid w:val="70512559"/>
    <w:rsid w:val="70514307"/>
    <w:rsid w:val="7051697B"/>
    <w:rsid w:val="705240DA"/>
    <w:rsid w:val="7053007F"/>
    <w:rsid w:val="70531E2E"/>
    <w:rsid w:val="705424B1"/>
    <w:rsid w:val="70543D2E"/>
    <w:rsid w:val="70545BA6"/>
    <w:rsid w:val="70546581"/>
    <w:rsid w:val="705471E8"/>
    <w:rsid w:val="70550D0E"/>
    <w:rsid w:val="7055204A"/>
    <w:rsid w:val="70555808"/>
    <w:rsid w:val="70556C5F"/>
    <w:rsid w:val="705625A4"/>
    <w:rsid w:val="70562E59"/>
    <w:rsid w:val="705636CC"/>
    <w:rsid w:val="70567B70"/>
    <w:rsid w:val="70574D6F"/>
    <w:rsid w:val="70575432"/>
    <w:rsid w:val="70577E95"/>
    <w:rsid w:val="70580F19"/>
    <w:rsid w:val="70580FB1"/>
    <w:rsid w:val="705838E8"/>
    <w:rsid w:val="70585696"/>
    <w:rsid w:val="7058635C"/>
    <w:rsid w:val="7058659F"/>
    <w:rsid w:val="70587444"/>
    <w:rsid w:val="70590B1F"/>
    <w:rsid w:val="705931BC"/>
    <w:rsid w:val="70595F0F"/>
    <w:rsid w:val="70597145"/>
    <w:rsid w:val="705A5EB4"/>
    <w:rsid w:val="705A6F8C"/>
    <w:rsid w:val="705B0CE2"/>
    <w:rsid w:val="705B24A5"/>
    <w:rsid w:val="705B4B80"/>
    <w:rsid w:val="705B5186"/>
    <w:rsid w:val="705B5902"/>
    <w:rsid w:val="705B6F34"/>
    <w:rsid w:val="705C33D8"/>
    <w:rsid w:val="705C4C02"/>
    <w:rsid w:val="705D27E4"/>
    <w:rsid w:val="705D6996"/>
    <w:rsid w:val="705E2B33"/>
    <w:rsid w:val="705E4AE5"/>
    <w:rsid w:val="705F0DF3"/>
    <w:rsid w:val="705F156B"/>
    <w:rsid w:val="705F4991"/>
    <w:rsid w:val="705F4C76"/>
    <w:rsid w:val="705F60D2"/>
    <w:rsid w:val="705F6A24"/>
    <w:rsid w:val="7060279C"/>
    <w:rsid w:val="7060454A"/>
    <w:rsid w:val="70605E21"/>
    <w:rsid w:val="706077F1"/>
    <w:rsid w:val="706109EE"/>
    <w:rsid w:val="706140EB"/>
    <w:rsid w:val="706202C3"/>
    <w:rsid w:val="70626D18"/>
    <w:rsid w:val="70630BB2"/>
    <w:rsid w:val="70631713"/>
    <w:rsid w:val="70632C35"/>
    <w:rsid w:val="7064352B"/>
    <w:rsid w:val="7064403B"/>
    <w:rsid w:val="70644C30"/>
    <w:rsid w:val="70644EDD"/>
    <w:rsid w:val="70645DE9"/>
    <w:rsid w:val="7064616C"/>
    <w:rsid w:val="70647373"/>
    <w:rsid w:val="70647EDF"/>
    <w:rsid w:val="70651B61"/>
    <w:rsid w:val="70652068"/>
    <w:rsid w:val="70655F83"/>
    <w:rsid w:val="70660296"/>
    <w:rsid w:val="7067272E"/>
    <w:rsid w:val="70675862"/>
    <w:rsid w:val="7068269D"/>
    <w:rsid w:val="70682E98"/>
    <w:rsid w:val="706846D0"/>
    <w:rsid w:val="70687184"/>
    <w:rsid w:val="70690258"/>
    <w:rsid w:val="70690614"/>
    <w:rsid w:val="70691651"/>
    <w:rsid w:val="70693C97"/>
    <w:rsid w:val="706978A3"/>
    <w:rsid w:val="706A5A3D"/>
    <w:rsid w:val="706A7177"/>
    <w:rsid w:val="706B2599"/>
    <w:rsid w:val="706B361B"/>
    <w:rsid w:val="706C1141"/>
    <w:rsid w:val="706C1619"/>
    <w:rsid w:val="706C26FA"/>
    <w:rsid w:val="706C2EEF"/>
    <w:rsid w:val="706C48C2"/>
    <w:rsid w:val="706C4FFD"/>
    <w:rsid w:val="706C63C4"/>
    <w:rsid w:val="706C7393"/>
    <w:rsid w:val="706D1B66"/>
    <w:rsid w:val="706D1DD0"/>
    <w:rsid w:val="706D7810"/>
    <w:rsid w:val="706E0EF4"/>
    <w:rsid w:val="706E4EB9"/>
    <w:rsid w:val="706E64CA"/>
    <w:rsid w:val="706E6C67"/>
    <w:rsid w:val="706E7D4A"/>
    <w:rsid w:val="706F09F5"/>
    <w:rsid w:val="706F181E"/>
    <w:rsid w:val="706F1DE3"/>
    <w:rsid w:val="706F478E"/>
    <w:rsid w:val="706F5F82"/>
    <w:rsid w:val="70700C31"/>
    <w:rsid w:val="70700FEC"/>
    <w:rsid w:val="70702C25"/>
    <w:rsid w:val="70704CF0"/>
    <w:rsid w:val="70707286"/>
    <w:rsid w:val="70710506"/>
    <w:rsid w:val="707116FD"/>
    <w:rsid w:val="70716758"/>
    <w:rsid w:val="70717342"/>
    <w:rsid w:val="70721977"/>
    <w:rsid w:val="70730722"/>
    <w:rsid w:val="707324D0"/>
    <w:rsid w:val="70734C41"/>
    <w:rsid w:val="70737120"/>
    <w:rsid w:val="70740CEF"/>
    <w:rsid w:val="70741DA4"/>
    <w:rsid w:val="70742BB6"/>
    <w:rsid w:val="70750A94"/>
    <w:rsid w:val="70751CF7"/>
    <w:rsid w:val="70752122"/>
    <w:rsid w:val="7075449A"/>
    <w:rsid w:val="70754CD6"/>
    <w:rsid w:val="70756248"/>
    <w:rsid w:val="70763D6E"/>
    <w:rsid w:val="70765B1C"/>
    <w:rsid w:val="70765DAC"/>
    <w:rsid w:val="707660A9"/>
    <w:rsid w:val="707732A5"/>
    <w:rsid w:val="70774359"/>
    <w:rsid w:val="70780901"/>
    <w:rsid w:val="70781894"/>
    <w:rsid w:val="70781B95"/>
    <w:rsid w:val="707840A8"/>
    <w:rsid w:val="70787A0E"/>
    <w:rsid w:val="70787AE6"/>
    <w:rsid w:val="70792C58"/>
    <w:rsid w:val="707A1AB0"/>
    <w:rsid w:val="707A20B1"/>
    <w:rsid w:val="707A2CDA"/>
    <w:rsid w:val="707A560C"/>
    <w:rsid w:val="707A7900"/>
    <w:rsid w:val="707B4B52"/>
    <w:rsid w:val="707B75D6"/>
    <w:rsid w:val="707C18E2"/>
    <w:rsid w:val="707C3B37"/>
    <w:rsid w:val="707C50AD"/>
    <w:rsid w:val="707C55FA"/>
    <w:rsid w:val="707C6A9D"/>
    <w:rsid w:val="707D334E"/>
    <w:rsid w:val="707D5BB8"/>
    <w:rsid w:val="707E21DC"/>
    <w:rsid w:val="707E2AEB"/>
    <w:rsid w:val="707F0963"/>
    <w:rsid w:val="707F2C23"/>
    <w:rsid w:val="707F3F7B"/>
    <w:rsid w:val="70807AF6"/>
    <w:rsid w:val="70812F2A"/>
    <w:rsid w:val="70814BED"/>
    <w:rsid w:val="70816738"/>
    <w:rsid w:val="708244C1"/>
    <w:rsid w:val="70834AC0"/>
    <w:rsid w:val="708404D0"/>
    <w:rsid w:val="7084521C"/>
    <w:rsid w:val="70850D38"/>
    <w:rsid w:val="70856B87"/>
    <w:rsid w:val="70860455"/>
    <w:rsid w:val="70862203"/>
    <w:rsid w:val="708741CD"/>
    <w:rsid w:val="70875B31"/>
    <w:rsid w:val="70875F7B"/>
    <w:rsid w:val="70881259"/>
    <w:rsid w:val="70882BF8"/>
    <w:rsid w:val="70893AA1"/>
    <w:rsid w:val="708975A2"/>
    <w:rsid w:val="708A0CE7"/>
    <w:rsid w:val="708A15C7"/>
    <w:rsid w:val="708A6388"/>
    <w:rsid w:val="708A6A28"/>
    <w:rsid w:val="708A7DC4"/>
    <w:rsid w:val="708B3D2C"/>
    <w:rsid w:val="708B5462"/>
    <w:rsid w:val="708B5A6B"/>
    <w:rsid w:val="708B7819"/>
    <w:rsid w:val="708C17E3"/>
    <w:rsid w:val="708C2124"/>
    <w:rsid w:val="708C3591"/>
    <w:rsid w:val="708C533F"/>
    <w:rsid w:val="708D6E77"/>
    <w:rsid w:val="708E0E9F"/>
    <w:rsid w:val="708E10B8"/>
    <w:rsid w:val="708E1132"/>
    <w:rsid w:val="708E3C26"/>
    <w:rsid w:val="708E6837"/>
    <w:rsid w:val="708F2E56"/>
    <w:rsid w:val="708F3BB6"/>
    <w:rsid w:val="708F6BDE"/>
    <w:rsid w:val="708F6DAD"/>
    <w:rsid w:val="70901BD7"/>
    <w:rsid w:val="70903082"/>
    <w:rsid w:val="70904662"/>
    <w:rsid w:val="70907503"/>
    <w:rsid w:val="70910BA8"/>
    <w:rsid w:val="70913D73"/>
    <w:rsid w:val="709223F1"/>
    <w:rsid w:val="70922AE7"/>
    <w:rsid w:val="7092388A"/>
    <w:rsid w:val="70923F09"/>
    <w:rsid w:val="70930CB0"/>
    <w:rsid w:val="709439EE"/>
    <w:rsid w:val="7094419B"/>
    <w:rsid w:val="70950790"/>
    <w:rsid w:val="70952446"/>
    <w:rsid w:val="70953098"/>
    <w:rsid w:val="709541F4"/>
    <w:rsid w:val="709561C1"/>
    <w:rsid w:val="70960D72"/>
    <w:rsid w:val="709616C4"/>
    <w:rsid w:val="70963C86"/>
    <w:rsid w:val="70967631"/>
    <w:rsid w:val="70973B3D"/>
    <w:rsid w:val="70974410"/>
    <w:rsid w:val="70977577"/>
    <w:rsid w:val="70980188"/>
    <w:rsid w:val="7098146D"/>
    <w:rsid w:val="70981F36"/>
    <w:rsid w:val="70983772"/>
    <w:rsid w:val="70983CE4"/>
    <w:rsid w:val="70985FB7"/>
    <w:rsid w:val="70986013"/>
    <w:rsid w:val="709866F7"/>
    <w:rsid w:val="70986C6E"/>
    <w:rsid w:val="70990BCD"/>
    <w:rsid w:val="70991167"/>
    <w:rsid w:val="7099175E"/>
    <w:rsid w:val="70991A29"/>
    <w:rsid w:val="70995FB2"/>
    <w:rsid w:val="70997290"/>
    <w:rsid w:val="709A3F00"/>
    <w:rsid w:val="709A54C7"/>
    <w:rsid w:val="709A7A5C"/>
    <w:rsid w:val="709B5583"/>
    <w:rsid w:val="709C21CA"/>
    <w:rsid w:val="709C2F3A"/>
    <w:rsid w:val="709C4BE4"/>
    <w:rsid w:val="709C5690"/>
    <w:rsid w:val="709C572B"/>
    <w:rsid w:val="709C5A61"/>
    <w:rsid w:val="709C7235"/>
    <w:rsid w:val="709D12FB"/>
    <w:rsid w:val="709D4536"/>
    <w:rsid w:val="709D579F"/>
    <w:rsid w:val="709D670B"/>
    <w:rsid w:val="709D754D"/>
    <w:rsid w:val="709E37F6"/>
    <w:rsid w:val="709E45FA"/>
    <w:rsid w:val="709F1517"/>
    <w:rsid w:val="709F32C5"/>
    <w:rsid w:val="70A00DEB"/>
    <w:rsid w:val="70A02449"/>
    <w:rsid w:val="70A02B99"/>
    <w:rsid w:val="70A0748B"/>
    <w:rsid w:val="70A14B9D"/>
    <w:rsid w:val="70A14DEC"/>
    <w:rsid w:val="70A1528F"/>
    <w:rsid w:val="70A15E85"/>
    <w:rsid w:val="70A22DB5"/>
    <w:rsid w:val="70A26117"/>
    <w:rsid w:val="70A26D11"/>
    <w:rsid w:val="70A372A8"/>
    <w:rsid w:val="70A408DB"/>
    <w:rsid w:val="70A46B2D"/>
    <w:rsid w:val="70A60867"/>
    <w:rsid w:val="70A628A5"/>
    <w:rsid w:val="70A64653"/>
    <w:rsid w:val="70A703CB"/>
    <w:rsid w:val="70A705B6"/>
    <w:rsid w:val="70A72179"/>
    <w:rsid w:val="70A81A46"/>
    <w:rsid w:val="70A82764"/>
    <w:rsid w:val="70A833E2"/>
    <w:rsid w:val="70A85F58"/>
    <w:rsid w:val="70A95B2B"/>
    <w:rsid w:val="70A95EF1"/>
    <w:rsid w:val="70AA32F7"/>
    <w:rsid w:val="70AB1C6A"/>
    <w:rsid w:val="70AB6363"/>
    <w:rsid w:val="70AB7EBB"/>
    <w:rsid w:val="70AC2F98"/>
    <w:rsid w:val="70AC377E"/>
    <w:rsid w:val="70AC59E2"/>
    <w:rsid w:val="70AC7790"/>
    <w:rsid w:val="70AD4222"/>
    <w:rsid w:val="70AD5DD1"/>
    <w:rsid w:val="70AD6FF9"/>
    <w:rsid w:val="70AE0EA4"/>
    <w:rsid w:val="70AE3508"/>
    <w:rsid w:val="70AE3D5C"/>
    <w:rsid w:val="70AE516A"/>
    <w:rsid w:val="70AE52B6"/>
    <w:rsid w:val="70AE736D"/>
    <w:rsid w:val="70AF1919"/>
    <w:rsid w:val="70AF751B"/>
    <w:rsid w:val="70B003E0"/>
    <w:rsid w:val="70B0102E"/>
    <w:rsid w:val="70B02DA9"/>
    <w:rsid w:val="70B120BD"/>
    <w:rsid w:val="70B12FF8"/>
    <w:rsid w:val="70B1389B"/>
    <w:rsid w:val="70B14DA6"/>
    <w:rsid w:val="70B1597A"/>
    <w:rsid w:val="70B17E8A"/>
    <w:rsid w:val="70B256C9"/>
    <w:rsid w:val="70B259A3"/>
    <w:rsid w:val="70B30B1E"/>
    <w:rsid w:val="70B316F3"/>
    <w:rsid w:val="70B34303"/>
    <w:rsid w:val="70B34EE2"/>
    <w:rsid w:val="70B34FC2"/>
    <w:rsid w:val="70B36D70"/>
    <w:rsid w:val="70B442FB"/>
    <w:rsid w:val="70B5273A"/>
    <w:rsid w:val="70B54896"/>
    <w:rsid w:val="70B56644"/>
    <w:rsid w:val="70B623BC"/>
    <w:rsid w:val="70B7060E"/>
    <w:rsid w:val="70B717EC"/>
    <w:rsid w:val="70B71A4B"/>
    <w:rsid w:val="70B745B8"/>
    <w:rsid w:val="70B76860"/>
    <w:rsid w:val="70B8153B"/>
    <w:rsid w:val="70B81583"/>
    <w:rsid w:val="70B84386"/>
    <w:rsid w:val="70B93DCF"/>
    <w:rsid w:val="70BA00FF"/>
    <w:rsid w:val="70BA1EAD"/>
    <w:rsid w:val="70BA2D73"/>
    <w:rsid w:val="70BA3C5B"/>
    <w:rsid w:val="70BA6A2B"/>
    <w:rsid w:val="70BB725F"/>
    <w:rsid w:val="70BB79D3"/>
    <w:rsid w:val="70BC1927"/>
    <w:rsid w:val="70BC3E77"/>
    <w:rsid w:val="70BC60A7"/>
    <w:rsid w:val="70BC6940"/>
    <w:rsid w:val="70BC6F94"/>
    <w:rsid w:val="70BD199D"/>
    <w:rsid w:val="70BD374B"/>
    <w:rsid w:val="70BD5BE1"/>
    <w:rsid w:val="70BD7A42"/>
    <w:rsid w:val="70BF1788"/>
    <w:rsid w:val="70BF205D"/>
    <w:rsid w:val="70BF3967"/>
    <w:rsid w:val="70BF422E"/>
    <w:rsid w:val="70BF4753"/>
    <w:rsid w:val="70BF683C"/>
    <w:rsid w:val="70BF6F14"/>
    <w:rsid w:val="70BF74C3"/>
    <w:rsid w:val="70BF7CCC"/>
    <w:rsid w:val="70C0289D"/>
    <w:rsid w:val="70C049EF"/>
    <w:rsid w:val="70C04FE9"/>
    <w:rsid w:val="70C0637E"/>
    <w:rsid w:val="70C07698"/>
    <w:rsid w:val="70C12669"/>
    <w:rsid w:val="70C1323B"/>
    <w:rsid w:val="70C14FE6"/>
    <w:rsid w:val="70C2057C"/>
    <w:rsid w:val="70C20D61"/>
    <w:rsid w:val="70C23B06"/>
    <w:rsid w:val="70C25205"/>
    <w:rsid w:val="70C268FE"/>
    <w:rsid w:val="70C26FB3"/>
    <w:rsid w:val="70C279EE"/>
    <w:rsid w:val="70C3121E"/>
    <w:rsid w:val="70C3294F"/>
    <w:rsid w:val="70C3324C"/>
    <w:rsid w:val="70C34E17"/>
    <w:rsid w:val="70C370F6"/>
    <w:rsid w:val="70C40921"/>
    <w:rsid w:val="70C40F7D"/>
    <w:rsid w:val="70C41986"/>
    <w:rsid w:val="70C42ABD"/>
    <w:rsid w:val="70C44AD9"/>
    <w:rsid w:val="70C51518"/>
    <w:rsid w:val="70C525FF"/>
    <w:rsid w:val="70C62214"/>
    <w:rsid w:val="70C64CF5"/>
    <w:rsid w:val="70C64FCE"/>
    <w:rsid w:val="70C70ED4"/>
    <w:rsid w:val="70C745CA"/>
    <w:rsid w:val="70C75955"/>
    <w:rsid w:val="70C82A0E"/>
    <w:rsid w:val="70C84BF0"/>
    <w:rsid w:val="70C853B2"/>
    <w:rsid w:val="70C920F0"/>
    <w:rsid w:val="70C96594"/>
    <w:rsid w:val="70CA0C1A"/>
    <w:rsid w:val="70CA1199"/>
    <w:rsid w:val="70CA1EDA"/>
    <w:rsid w:val="70CA62CD"/>
    <w:rsid w:val="70CA6520"/>
    <w:rsid w:val="70CA7CF6"/>
    <w:rsid w:val="70CB230C"/>
    <w:rsid w:val="70CB47DD"/>
    <w:rsid w:val="70CB5E68"/>
    <w:rsid w:val="70CB6663"/>
    <w:rsid w:val="70CC398E"/>
    <w:rsid w:val="70CC6728"/>
    <w:rsid w:val="70CD2B6C"/>
    <w:rsid w:val="70CD6084"/>
    <w:rsid w:val="70CD6290"/>
    <w:rsid w:val="70CD7E32"/>
    <w:rsid w:val="70CE3BAA"/>
    <w:rsid w:val="70CE4EA1"/>
    <w:rsid w:val="70CE5958"/>
    <w:rsid w:val="70CE64A7"/>
    <w:rsid w:val="70CE6A45"/>
    <w:rsid w:val="70CE768E"/>
    <w:rsid w:val="70CE7706"/>
    <w:rsid w:val="70CF0F02"/>
    <w:rsid w:val="70CF58FB"/>
    <w:rsid w:val="70D00C51"/>
    <w:rsid w:val="70D016D0"/>
    <w:rsid w:val="70D01D0F"/>
    <w:rsid w:val="70D10A62"/>
    <w:rsid w:val="70D12818"/>
    <w:rsid w:val="70D15474"/>
    <w:rsid w:val="70D171F6"/>
    <w:rsid w:val="70D17A14"/>
    <w:rsid w:val="70D25448"/>
    <w:rsid w:val="70D32F6E"/>
    <w:rsid w:val="70D33040"/>
    <w:rsid w:val="70D35283"/>
    <w:rsid w:val="70D3612E"/>
    <w:rsid w:val="70D36804"/>
    <w:rsid w:val="70D424BE"/>
    <w:rsid w:val="70D475D2"/>
    <w:rsid w:val="70D527EE"/>
    <w:rsid w:val="70D54620"/>
    <w:rsid w:val="70D54F38"/>
    <w:rsid w:val="70D56CE6"/>
    <w:rsid w:val="70D625E7"/>
    <w:rsid w:val="70D6284C"/>
    <w:rsid w:val="70D6480D"/>
    <w:rsid w:val="70D70CB1"/>
    <w:rsid w:val="70D7278D"/>
    <w:rsid w:val="70D72A5F"/>
    <w:rsid w:val="70D73F01"/>
    <w:rsid w:val="70D75F53"/>
    <w:rsid w:val="70D7630B"/>
    <w:rsid w:val="70D77694"/>
    <w:rsid w:val="70D80585"/>
    <w:rsid w:val="70D81204"/>
    <w:rsid w:val="70D818EC"/>
    <w:rsid w:val="70D82359"/>
    <w:rsid w:val="70D86148"/>
    <w:rsid w:val="70D86EFD"/>
    <w:rsid w:val="70D91FB4"/>
    <w:rsid w:val="70D94A29"/>
    <w:rsid w:val="70DA1B9D"/>
    <w:rsid w:val="70DA209F"/>
    <w:rsid w:val="70DA254F"/>
    <w:rsid w:val="70DA42FD"/>
    <w:rsid w:val="70DA48D4"/>
    <w:rsid w:val="70DB22C5"/>
    <w:rsid w:val="70DB664D"/>
    <w:rsid w:val="70DC0075"/>
    <w:rsid w:val="70DC0935"/>
    <w:rsid w:val="70DC59B7"/>
    <w:rsid w:val="70DD1E39"/>
    <w:rsid w:val="70DD3506"/>
    <w:rsid w:val="70DD3DED"/>
    <w:rsid w:val="70DD4996"/>
    <w:rsid w:val="70DD6FE3"/>
    <w:rsid w:val="70DE0486"/>
    <w:rsid w:val="70DE203F"/>
    <w:rsid w:val="70DF36C1"/>
    <w:rsid w:val="70DF5DB7"/>
    <w:rsid w:val="70DF7B65"/>
    <w:rsid w:val="70E00746"/>
    <w:rsid w:val="70E01E87"/>
    <w:rsid w:val="70E024F0"/>
    <w:rsid w:val="70E02DEB"/>
    <w:rsid w:val="70E03949"/>
    <w:rsid w:val="70E13317"/>
    <w:rsid w:val="70E138DD"/>
    <w:rsid w:val="70E1568B"/>
    <w:rsid w:val="70E16790"/>
    <w:rsid w:val="70E21403"/>
    <w:rsid w:val="70E246EF"/>
    <w:rsid w:val="70E37655"/>
    <w:rsid w:val="70E402C9"/>
    <w:rsid w:val="70E460B4"/>
    <w:rsid w:val="70E46F2A"/>
    <w:rsid w:val="70E470C7"/>
    <w:rsid w:val="70E53128"/>
    <w:rsid w:val="70E57D74"/>
    <w:rsid w:val="70E60E46"/>
    <w:rsid w:val="70E60EF4"/>
    <w:rsid w:val="70E62CA2"/>
    <w:rsid w:val="70E65244"/>
    <w:rsid w:val="70E67ED5"/>
    <w:rsid w:val="70E745F5"/>
    <w:rsid w:val="70E76A1A"/>
    <w:rsid w:val="70E76DAA"/>
    <w:rsid w:val="70E83529"/>
    <w:rsid w:val="70E909E4"/>
    <w:rsid w:val="70E92792"/>
    <w:rsid w:val="70E96E64"/>
    <w:rsid w:val="70EA459A"/>
    <w:rsid w:val="70EA72FC"/>
    <w:rsid w:val="70EB02B8"/>
    <w:rsid w:val="70EB158A"/>
    <w:rsid w:val="70EB475C"/>
    <w:rsid w:val="70EB7636"/>
    <w:rsid w:val="70EC56BB"/>
    <w:rsid w:val="70ED18BA"/>
    <w:rsid w:val="70ED3FB0"/>
    <w:rsid w:val="70ED448B"/>
    <w:rsid w:val="70ED65D6"/>
    <w:rsid w:val="70EE1B56"/>
    <w:rsid w:val="70EE5FFA"/>
    <w:rsid w:val="70EE7DA8"/>
    <w:rsid w:val="70EF0F16"/>
    <w:rsid w:val="70EF6296"/>
    <w:rsid w:val="70F0023B"/>
    <w:rsid w:val="70F017AA"/>
    <w:rsid w:val="70F01D72"/>
    <w:rsid w:val="70F02FB9"/>
    <w:rsid w:val="70F03B20"/>
    <w:rsid w:val="70F0573A"/>
    <w:rsid w:val="70F058CE"/>
    <w:rsid w:val="70F10D07"/>
    <w:rsid w:val="70F1165C"/>
    <w:rsid w:val="70F133F4"/>
    <w:rsid w:val="70F15002"/>
    <w:rsid w:val="70F17653"/>
    <w:rsid w:val="70F215B8"/>
    <w:rsid w:val="70F25AEA"/>
    <w:rsid w:val="70F33611"/>
    <w:rsid w:val="70F34DE8"/>
    <w:rsid w:val="70F41EF8"/>
    <w:rsid w:val="70F439BF"/>
    <w:rsid w:val="70F43BB9"/>
    <w:rsid w:val="70F43FCC"/>
    <w:rsid w:val="70F44F53"/>
    <w:rsid w:val="70F45858"/>
    <w:rsid w:val="70F51137"/>
    <w:rsid w:val="70F52EE5"/>
    <w:rsid w:val="70F536C8"/>
    <w:rsid w:val="70F573CC"/>
    <w:rsid w:val="70F640AD"/>
    <w:rsid w:val="70F679C3"/>
    <w:rsid w:val="70F71ADF"/>
    <w:rsid w:val="70F73101"/>
    <w:rsid w:val="70F74EAF"/>
    <w:rsid w:val="70F75072"/>
    <w:rsid w:val="70F7553D"/>
    <w:rsid w:val="70F76073"/>
    <w:rsid w:val="70F760F8"/>
    <w:rsid w:val="70F80C27"/>
    <w:rsid w:val="70F83D9B"/>
    <w:rsid w:val="70F84783"/>
    <w:rsid w:val="70F84C7E"/>
    <w:rsid w:val="70F92A2E"/>
    <w:rsid w:val="70F95886"/>
    <w:rsid w:val="70F95D30"/>
    <w:rsid w:val="70F96CEE"/>
    <w:rsid w:val="70F97E5D"/>
    <w:rsid w:val="70FA499F"/>
    <w:rsid w:val="70FA4D98"/>
    <w:rsid w:val="70FA5A9B"/>
    <w:rsid w:val="70FA674D"/>
    <w:rsid w:val="70FA6D60"/>
    <w:rsid w:val="70FB11A3"/>
    <w:rsid w:val="70FB30B9"/>
    <w:rsid w:val="70FB5E78"/>
    <w:rsid w:val="70FB6A8F"/>
    <w:rsid w:val="70FB7484"/>
    <w:rsid w:val="70FB78FE"/>
    <w:rsid w:val="70FC0717"/>
    <w:rsid w:val="70FC2D88"/>
    <w:rsid w:val="70FC4273"/>
    <w:rsid w:val="70FD13AF"/>
    <w:rsid w:val="70FD3ECA"/>
    <w:rsid w:val="70FE2299"/>
    <w:rsid w:val="70FE448F"/>
    <w:rsid w:val="70FE48DD"/>
    <w:rsid w:val="70FE623D"/>
    <w:rsid w:val="70FE6C17"/>
    <w:rsid w:val="70FE6DC1"/>
    <w:rsid w:val="70FF247C"/>
    <w:rsid w:val="70FF34C2"/>
    <w:rsid w:val="70FF3D63"/>
    <w:rsid w:val="71002309"/>
    <w:rsid w:val="71004F16"/>
    <w:rsid w:val="7100515F"/>
    <w:rsid w:val="71005C71"/>
    <w:rsid w:val="710215B3"/>
    <w:rsid w:val="71021EFF"/>
    <w:rsid w:val="71022B7F"/>
    <w:rsid w:val="71022EF1"/>
    <w:rsid w:val="710248D9"/>
    <w:rsid w:val="710250A6"/>
    <w:rsid w:val="710250C1"/>
    <w:rsid w:val="71025602"/>
    <w:rsid w:val="71031896"/>
    <w:rsid w:val="71031AA6"/>
    <w:rsid w:val="71033854"/>
    <w:rsid w:val="71034431"/>
    <w:rsid w:val="710366B1"/>
    <w:rsid w:val="7104137A"/>
    <w:rsid w:val="71041673"/>
    <w:rsid w:val="7104581E"/>
    <w:rsid w:val="71045968"/>
    <w:rsid w:val="710475CC"/>
    <w:rsid w:val="71051A02"/>
    <w:rsid w:val="71053F3B"/>
    <w:rsid w:val="710547B5"/>
    <w:rsid w:val="71054C1C"/>
    <w:rsid w:val="71055209"/>
    <w:rsid w:val="71062507"/>
    <w:rsid w:val="7106491C"/>
    <w:rsid w:val="71066391"/>
    <w:rsid w:val="71066EA0"/>
    <w:rsid w:val="71070737"/>
    <w:rsid w:val="71072C18"/>
    <w:rsid w:val="71076E47"/>
    <w:rsid w:val="71077777"/>
    <w:rsid w:val="71082014"/>
    <w:rsid w:val="71082F8A"/>
    <w:rsid w:val="710864C2"/>
    <w:rsid w:val="710870BC"/>
    <w:rsid w:val="7108771B"/>
    <w:rsid w:val="710927C7"/>
    <w:rsid w:val="71092E34"/>
    <w:rsid w:val="71093F00"/>
    <w:rsid w:val="71094BE2"/>
    <w:rsid w:val="71096990"/>
    <w:rsid w:val="71097952"/>
    <w:rsid w:val="710A0DE2"/>
    <w:rsid w:val="710A4A2D"/>
    <w:rsid w:val="710A6C70"/>
    <w:rsid w:val="710A6D7E"/>
    <w:rsid w:val="710B1759"/>
    <w:rsid w:val="710B2708"/>
    <w:rsid w:val="710B2E9E"/>
    <w:rsid w:val="710B44B6"/>
    <w:rsid w:val="710B6BAC"/>
    <w:rsid w:val="710C542A"/>
    <w:rsid w:val="710C62D3"/>
    <w:rsid w:val="710C6B75"/>
    <w:rsid w:val="710C7266"/>
    <w:rsid w:val="710D063A"/>
    <w:rsid w:val="710D46D2"/>
    <w:rsid w:val="710E21F8"/>
    <w:rsid w:val="710E28F9"/>
    <w:rsid w:val="710E75EA"/>
    <w:rsid w:val="710F37C4"/>
    <w:rsid w:val="710F7003"/>
    <w:rsid w:val="71100A82"/>
    <w:rsid w:val="711021FB"/>
    <w:rsid w:val="7110583A"/>
    <w:rsid w:val="71105F71"/>
    <w:rsid w:val="71110CB5"/>
    <w:rsid w:val="71121CE9"/>
    <w:rsid w:val="71123A97"/>
    <w:rsid w:val="711244B1"/>
    <w:rsid w:val="71124D16"/>
    <w:rsid w:val="71125845"/>
    <w:rsid w:val="711279E3"/>
    <w:rsid w:val="71127D51"/>
    <w:rsid w:val="711351C4"/>
    <w:rsid w:val="7113780F"/>
    <w:rsid w:val="711409EE"/>
    <w:rsid w:val="7114413D"/>
    <w:rsid w:val="71145179"/>
    <w:rsid w:val="71145A61"/>
    <w:rsid w:val="711464D0"/>
    <w:rsid w:val="71153329"/>
    <w:rsid w:val="71153587"/>
    <w:rsid w:val="71155335"/>
    <w:rsid w:val="7115600A"/>
    <w:rsid w:val="71163697"/>
    <w:rsid w:val="711710AD"/>
    <w:rsid w:val="71175551"/>
    <w:rsid w:val="711772FF"/>
    <w:rsid w:val="711807A5"/>
    <w:rsid w:val="71183556"/>
    <w:rsid w:val="71183EA7"/>
    <w:rsid w:val="71184E25"/>
    <w:rsid w:val="71186BD3"/>
    <w:rsid w:val="7119088B"/>
    <w:rsid w:val="71190F8C"/>
    <w:rsid w:val="7119421C"/>
    <w:rsid w:val="711A04F4"/>
    <w:rsid w:val="711A0B9D"/>
    <w:rsid w:val="711A1D7B"/>
    <w:rsid w:val="711B38F2"/>
    <w:rsid w:val="711B5FAA"/>
    <w:rsid w:val="711C2B67"/>
    <w:rsid w:val="711C66C3"/>
    <w:rsid w:val="711D079C"/>
    <w:rsid w:val="711D243B"/>
    <w:rsid w:val="711D41EA"/>
    <w:rsid w:val="711D4E21"/>
    <w:rsid w:val="711E20F1"/>
    <w:rsid w:val="711E32B9"/>
    <w:rsid w:val="711E4949"/>
    <w:rsid w:val="711E56C5"/>
    <w:rsid w:val="711F4406"/>
    <w:rsid w:val="711F61B4"/>
    <w:rsid w:val="711F6BA9"/>
    <w:rsid w:val="711F7F62"/>
    <w:rsid w:val="71202DBA"/>
    <w:rsid w:val="712067C7"/>
    <w:rsid w:val="7121017E"/>
    <w:rsid w:val="71211937"/>
    <w:rsid w:val="71211F2C"/>
    <w:rsid w:val="71217069"/>
    <w:rsid w:val="71224B2C"/>
    <w:rsid w:val="712330CA"/>
    <w:rsid w:val="71233EF6"/>
    <w:rsid w:val="71234381"/>
    <w:rsid w:val="71235C9B"/>
    <w:rsid w:val="71235CA4"/>
    <w:rsid w:val="71241AA6"/>
    <w:rsid w:val="71243666"/>
    <w:rsid w:val="71243EB9"/>
    <w:rsid w:val="71245578"/>
    <w:rsid w:val="712559EA"/>
    <w:rsid w:val="71257ACF"/>
    <w:rsid w:val="71257C6E"/>
    <w:rsid w:val="712612F0"/>
    <w:rsid w:val="712637C3"/>
    <w:rsid w:val="71264AB9"/>
    <w:rsid w:val="7126707D"/>
    <w:rsid w:val="71267D14"/>
    <w:rsid w:val="7127184D"/>
    <w:rsid w:val="71272170"/>
    <w:rsid w:val="71272EDB"/>
    <w:rsid w:val="712735A6"/>
    <w:rsid w:val="71273F6D"/>
    <w:rsid w:val="71277761"/>
    <w:rsid w:val="71277E7C"/>
    <w:rsid w:val="7128150C"/>
    <w:rsid w:val="712831B2"/>
    <w:rsid w:val="7128436B"/>
    <w:rsid w:val="71287C51"/>
    <w:rsid w:val="712903CC"/>
    <w:rsid w:val="71290DE0"/>
    <w:rsid w:val="71291AA1"/>
    <w:rsid w:val="712A1FC5"/>
    <w:rsid w:val="712A4257"/>
    <w:rsid w:val="712A5284"/>
    <w:rsid w:val="712B2ADD"/>
    <w:rsid w:val="712B2DAA"/>
    <w:rsid w:val="712B4B58"/>
    <w:rsid w:val="712B7FCB"/>
    <w:rsid w:val="712C0A08"/>
    <w:rsid w:val="712D203C"/>
    <w:rsid w:val="712D267F"/>
    <w:rsid w:val="712D6B22"/>
    <w:rsid w:val="712E0C9C"/>
    <w:rsid w:val="712E1DC8"/>
    <w:rsid w:val="712E4649"/>
    <w:rsid w:val="712E50C7"/>
    <w:rsid w:val="712E63F7"/>
    <w:rsid w:val="712F1B9B"/>
    <w:rsid w:val="712F289B"/>
    <w:rsid w:val="712F2B3D"/>
    <w:rsid w:val="712F3AFF"/>
    <w:rsid w:val="712F47EA"/>
    <w:rsid w:val="713003C1"/>
    <w:rsid w:val="71302AFD"/>
    <w:rsid w:val="71303DC6"/>
    <w:rsid w:val="713056CA"/>
    <w:rsid w:val="713056CE"/>
    <w:rsid w:val="71306613"/>
    <w:rsid w:val="71306D3B"/>
    <w:rsid w:val="71307911"/>
    <w:rsid w:val="71312AC5"/>
    <w:rsid w:val="7132172F"/>
    <w:rsid w:val="71326A6A"/>
    <w:rsid w:val="7133147E"/>
    <w:rsid w:val="71340D5C"/>
    <w:rsid w:val="71341C5F"/>
    <w:rsid w:val="71346C20"/>
    <w:rsid w:val="71347526"/>
    <w:rsid w:val="713502C9"/>
    <w:rsid w:val="713554DF"/>
    <w:rsid w:val="713559D7"/>
    <w:rsid w:val="7135696F"/>
    <w:rsid w:val="713729D0"/>
    <w:rsid w:val="713752AB"/>
    <w:rsid w:val="713779A1"/>
    <w:rsid w:val="71381023"/>
    <w:rsid w:val="713855A1"/>
    <w:rsid w:val="71391341"/>
    <w:rsid w:val="71397275"/>
    <w:rsid w:val="713A4D9B"/>
    <w:rsid w:val="713A6780"/>
    <w:rsid w:val="713B18F3"/>
    <w:rsid w:val="713B7C54"/>
    <w:rsid w:val="713C0B14"/>
    <w:rsid w:val="713C399D"/>
    <w:rsid w:val="713D365E"/>
    <w:rsid w:val="713D4EA6"/>
    <w:rsid w:val="713E28A3"/>
    <w:rsid w:val="713F1162"/>
    <w:rsid w:val="713F23B2"/>
    <w:rsid w:val="713F347A"/>
    <w:rsid w:val="713F7762"/>
    <w:rsid w:val="714025F2"/>
    <w:rsid w:val="71404DC3"/>
    <w:rsid w:val="714125CE"/>
    <w:rsid w:val="71413F85"/>
    <w:rsid w:val="7141437C"/>
    <w:rsid w:val="71414D49"/>
    <w:rsid w:val="7141612A"/>
    <w:rsid w:val="71416653"/>
    <w:rsid w:val="71430D86"/>
    <w:rsid w:val="71431EA2"/>
    <w:rsid w:val="71433A6D"/>
    <w:rsid w:val="71435628"/>
    <w:rsid w:val="71436346"/>
    <w:rsid w:val="71436686"/>
    <w:rsid w:val="71441BEA"/>
    <w:rsid w:val="714425EE"/>
    <w:rsid w:val="71443DB1"/>
    <w:rsid w:val="714455C1"/>
    <w:rsid w:val="7144725F"/>
    <w:rsid w:val="714479C8"/>
    <w:rsid w:val="71453E6C"/>
    <w:rsid w:val="71456328"/>
    <w:rsid w:val="71456464"/>
    <w:rsid w:val="714569D0"/>
    <w:rsid w:val="71463740"/>
    <w:rsid w:val="7146559A"/>
    <w:rsid w:val="71475702"/>
    <w:rsid w:val="71477263"/>
    <w:rsid w:val="71477283"/>
    <w:rsid w:val="71477B32"/>
    <w:rsid w:val="714808A7"/>
    <w:rsid w:val="71482132"/>
    <w:rsid w:val="7148276E"/>
    <w:rsid w:val="7148395C"/>
    <w:rsid w:val="7148570A"/>
    <w:rsid w:val="7148642D"/>
    <w:rsid w:val="71487BB2"/>
    <w:rsid w:val="71487D25"/>
    <w:rsid w:val="71493231"/>
    <w:rsid w:val="71494DE5"/>
    <w:rsid w:val="71495AA5"/>
    <w:rsid w:val="71495ECF"/>
    <w:rsid w:val="714A088A"/>
    <w:rsid w:val="714A1482"/>
    <w:rsid w:val="714A535B"/>
    <w:rsid w:val="714B0D57"/>
    <w:rsid w:val="714B26D4"/>
    <w:rsid w:val="714B29B0"/>
    <w:rsid w:val="714B7705"/>
    <w:rsid w:val="714C07F7"/>
    <w:rsid w:val="714C1F4A"/>
    <w:rsid w:val="714C3766"/>
    <w:rsid w:val="714C6975"/>
    <w:rsid w:val="714D0F73"/>
    <w:rsid w:val="714D13E5"/>
    <w:rsid w:val="714D2D21"/>
    <w:rsid w:val="714D4ACF"/>
    <w:rsid w:val="714D4C8C"/>
    <w:rsid w:val="714D6337"/>
    <w:rsid w:val="714E6CDB"/>
    <w:rsid w:val="714E77C7"/>
    <w:rsid w:val="714F25CA"/>
    <w:rsid w:val="71500E04"/>
    <w:rsid w:val="71502811"/>
    <w:rsid w:val="71503577"/>
    <w:rsid w:val="715045BF"/>
    <w:rsid w:val="71504CB8"/>
    <w:rsid w:val="7150603A"/>
    <w:rsid w:val="715060B2"/>
    <w:rsid w:val="7150636D"/>
    <w:rsid w:val="715067B1"/>
    <w:rsid w:val="71511DF8"/>
    <w:rsid w:val="71520337"/>
    <w:rsid w:val="7152165C"/>
    <w:rsid w:val="715220E5"/>
    <w:rsid w:val="71526589"/>
    <w:rsid w:val="71535E5D"/>
    <w:rsid w:val="715372B7"/>
    <w:rsid w:val="71541EF8"/>
    <w:rsid w:val="715437F7"/>
    <w:rsid w:val="71544003"/>
    <w:rsid w:val="71544AC9"/>
    <w:rsid w:val="715450C2"/>
    <w:rsid w:val="71547591"/>
    <w:rsid w:val="71547887"/>
    <w:rsid w:val="715553CD"/>
    <w:rsid w:val="71555F59"/>
    <w:rsid w:val="715605B1"/>
    <w:rsid w:val="71566079"/>
    <w:rsid w:val="71570364"/>
    <w:rsid w:val="71571FBA"/>
    <w:rsid w:val="71573B9F"/>
    <w:rsid w:val="7157594D"/>
    <w:rsid w:val="715759D2"/>
    <w:rsid w:val="7158131A"/>
    <w:rsid w:val="71581524"/>
    <w:rsid w:val="71581E5C"/>
    <w:rsid w:val="71593474"/>
    <w:rsid w:val="71596E12"/>
    <w:rsid w:val="71597917"/>
    <w:rsid w:val="715A543E"/>
    <w:rsid w:val="715A66C2"/>
    <w:rsid w:val="715B2CB5"/>
    <w:rsid w:val="715B3690"/>
    <w:rsid w:val="715B5300"/>
    <w:rsid w:val="715C7408"/>
    <w:rsid w:val="715D018E"/>
    <w:rsid w:val="715D46EB"/>
    <w:rsid w:val="715D75D2"/>
    <w:rsid w:val="715E0A8A"/>
    <w:rsid w:val="715E368C"/>
    <w:rsid w:val="715E4F2E"/>
    <w:rsid w:val="715E62C4"/>
    <w:rsid w:val="715E6CDC"/>
    <w:rsid w:val="715F1BDC"/>
    <w:rsid w:val="715F4802"/>
    <w:rsid w:val="7161057A"/>
    <w:rsid w:val="716167CC"/>
    <w:rsid w:val="7162598C"/>
    <w:rsid w:val="71630796"/>
    <w:rsid w:val="71632544"/>
    <w:rsid w:val="71632EFF"/>
    <w:rsid w:val="716342F2"/>
    <w:rsid w:val="716344D9"/>
    <w:rsid w:val="71634C94"/>
    <w:rsid w:val="716360A0"/>
    <w:rsid w:val="71641D97"/>
    <w:rsid w:val="71641E18"/>
    <w:rsid w:val="716445BE"/>
    <w:rsid w:val="716562BC"/>
    <w:rsid w:val="71661920"/>
    <w:rsid w:val="71662987"/>
    <w:rsid w:val="71663DE2"/>
    <w:rsid w:val="71664213"/>
    <w:rsid w:val="71666EDE"/>
    <w:rsid w:val="7167036E"/>
    <w:rsid w:val="71671D9D"/>
    <w:rsid w:val="7167300F"/>
    <w:rsid w:val="716730F9"/>
    <w:rsid w:val="716817FE"/>
    <w:rsid w:val="71681909"/>
    <w:rsid w:val="716851C6"/>
    <w:rsid w:val="71687B5B"/>
    <w:rsid w:val="716907C5"/>
    <w:rsid w:val="71692C8E"/>
    <w:rsid w:val="716943CF"/>
    <w:rsid w:val="71697008"/>
    <w:rsid w:val="71697A56"/>
    <w:rsid w:val="716A2212"/>
    <w:rsid w:val="716A38D3"/>
    <w:rsid w:val="716A6D1D"/>
    <w:rsid w:val="716B13F9"/>
    <w:rsid w:val="716B18C0"/>
    <w:rsid w:val="716B1BD6"/>
    <w:rsid w:val="716C522F"/>
    <w:rsid w:val="716C76A7"/>
    <w:rsid w:val="716D2A38"/>
    <w:rsid w:val="716D33C3"/>
    <w:rsid w:val="716D3DF1"/>
    <w:rsid w:val="716D41E0"/>
    <w:rsid w:val="716D5171"/>
    <w:rsid w:val="716D6F1F"/>
    <w:rsid w:val="716F16D1"/>
    <w:rsid w:val="716F3541"/>
    <w:rsid w:val="716F713B"/>
    <w:rsid w:val="716F71A9"/>
    <w:rsid w:val="716F7CAE"/>
    <w:rsid w:val="717007BD"/>
    <w:rsid w:val="71702BF6"/>
    <w:rsid w:val="71703B38"/>
    <w:rsid w:val="71704C61"/>
    <w:rsid w:val="71705691"/>
    <w:rsid w:val="71712C88"/>
    <w:rsid w:val="71713FF1"/>
    <w:rsid w:val="717152D4"/>
    <w:rsid w:val="717165A8"/>
    <w:rsid w:val="717169A4"/>
    <w:rsid w:val="717171CA"/>
    <w:rsid w:val="71722787"/>
    <w:rsid w:val="71722E9B"/>
    <w:rsid w:val="717276BF"/>
    <w:rsid w:val="7173160F"/>
    <w:rsid w:val="71731D37"/>
    <w:rsid w:val="717402AD"/>
    <w:rsid w:val="717410B3"/>
    <w:rsid w:val="71746183"/>
    <w:rsid w:val="717464FF"/>
    <w:rsid w:val="71747EB3"/>
    <w:rsid w:val="71752277"/>
    <w:rsid w:val="71752771"/>
    <w:rsid w:val="7175478A"/>
    <w:rsid w:val="71755543"/>
    <w:rsid w:val="71755DD4"/>
    <w:rsid w:val="71756AF0"/>
    <w:rsid w:val="717604C9"/>
    <w:rsid w:val="71761774"/>
    <w:rsid w:val="71761CBC"/>
    <w:rsid w:val="71771B4C"/>
    <w:rsid w:val="7177214E"/>
    <w:rsid w:val="71773693"/>
    <w:rsid w:val="71775FF0"/>
    <w:rsid w:val="71777D9E"/>
    <w:rsid w:val="717805AF"/>
    <w:rsid w:val="717815BF"/>
    <w:rsid w:val="71787FD9"/>
    <w:rsid w:val="71793333"/>
    <w:rsid w:val="717937F0"/>
    <w:rsid w:val="71793B16"/>
    <w:rsid w:val="71793EC4"/>
    <w:rsid w:val="717A0CE2"/>
    <w:rsid w:val="717A187F"/>
    <w:rsid w:val="717A5889"/>
    <w:rsid w:val="717A5A95"/>
    <w:rsid w:val="717A67EB"/>
    <w:rsid w:val="717B021D"/>
    <w:rsid w:val="717B3478"/>
    <w:rsid w:val="717B3F21"/>
    <w:rsid w:val="717B5AE0"/>
    <w:rsid w:val="717C0814"/>
    <w:rsid w:val="717C0B8B"/>
    <w:rsid w:val="717C0C66"/>
    <w:rsid w:val="717C1858"/>
    <w:rsid w:val="717C3606"/>
    <w:rsid w:val="717C4B0F"/>
    <w:rsid w:val="717C53B4"/>
    <w:rsid w:val="717D735E"/>
    <w:rsid w:val="717E2572"/>
    <w:rsid w:val="717E2EDA"/>
    <w:rsid w:val="717E41EA"/>
    <w:rsid w:val="717E6B17"/>
    <w:rsid w:val="717F18C5"/>
    <w:rsid w:val="718030F6"/>
    <w:rsid w:val="71804EA4"/>
    <w:rsid w:val="718054A5"/>
    <w:rsid w:val="71816C22"/>
    <w:rsid w:val="71816EA7"/>
    <w:rsid w:val="71821C2A"/>
    <w:rsid w:val="718257C5"/>
    <w:rsid w:val="71834649"/>
    <w:rsid w:val="71844269"/>
    <w:rsid w:val="71844EC8"/>
    <w:rsid w:val="71846206"/>
    <w:rsid w:val="7185070D"/>
    <w:rsid w:val="718524BB"/>
    <w:rsid w:val="718524D4"/>
    <w:rsid w:val="718538F7"/>
    <w:rsid w:val="71867FE1"/>
    <w:rsid w:val="71871547"/>
    <w:rsid w:val="71871B01"/>
    <w:rsid w:val="71873424"/>
    <w:rsid w:val="71875C3A"/>
    <w:rsid w:val="71877958"/>
    <w:rsid w:val="71883C15"/>
    <w:rsid w:val="71883D59"/>
    <w:rsid w:val="718A3708"/>
    <w:rsid w:val="718A3F7A"/>
    <w:rsid w:val="718A4DE6"/>
    <w:rsid w:val="718A5D23"/>
    <w:rsid w:val="718B17AE"/>
    <w:rsid w:val="718B2668"/>
    <w:rsid w:val="718B3849"/>
    <w:rsid w:val="718C2E97"/>
    <w:rsid w:val="718C592E"/>
    <w:rsid w:val="718D136F"/>
    <w:rsid w:val="718D5813"/>
    <w:rsid w:val="718D6E07"/>
    <w:rsid w:val="718D75C1"/>
    <w:rsid w:val="718E1E6E"/>
    <w:rsid w:val="718E5902"/>
    <w:rsid w:val="718E7887"/>
    <w:rsid w:val="718F158B"/>
    <w:rsid w:val="718F3339"/>
    <w:rsid w:val="718F50E7"/>
    <w:rsid w:val="718F60EA"/>
    <w:rsid w:val="718F6E95"/>
    <w:rsid w:val="718F72C4"/>
    <w:rsid w:val="71900E5F"/>
    <w:rsid w:val="71901525"/>
    <w:rsid w:val="71901D7D"/>
    <w:rsid w:val="7190214B"/>
    <w:rsid w:val="71910494"/>
    <w:rsid w:val="719131D9"/>
    <w:rsid w:val="719143B7"/>
    <w:rsid w:val="719170B1"/>
    <w:rsid w:val="71937A1B"/>
    <w:rsid w:val="71940950"/>
    <w:rsid w:val="71942031"/>
    <w:rsid w:val="719426FE"/>
    <w:rsid w:val="71946BA2"/>
    <w:rsid w:val="71947B79"/>
    <w:rsid w:val="71950224"/>
    <w:rsid w:val="71952497"/>
    <w:rsid w:val="719533EC"/>
    <w:rsid w:val="71954AED"/>
    <w:rsid w:val="71956476"/>
    <w:rsid w:val="71960D17"/>
    <w:rsid w:val="71961B86"/>
    <w:rsid w:val="7196487C"/>
    <w:rsid w:val="719721EE"/>
    <w:rsid w:val="71973142"/>
    <w:rsid w:val="71975D0C"/>
    <w:rsid w:val="71977C6C"/>
    <w:rsid w:val="719808DD"/>
    <w:rsid w:val="71985233"/>
    <w:rsid w:val="71993C60"/>
    <w:rsid w:val="719941B8"/>
    <w:rsid w:val="71995F66"/>
    <w:rsid w:val="71997D14"/>
    <w:rsid w:val="719A115A"/>
    <w:rsid w:val="719A3421"/>
    <w:rsid w:val="719A3A8C"/>
    <w:rsid w:val="719A5494"/>
    <w:rsid w:val="719A7E35"/>
    <w:rsid w:val="719B1CDE"/>
    <w:rsid w:val="719B1D4F"/>
    <w:rsid w:val="719B22AD"/>
    <w:rsid w:val="719C06EE"/>
    <w:rsid w:val="719C15B2"/>
    <w:rsid w:val="719C5A56"/>
    <w:rsid w:val="719D1B7E"/>
    <w:rsid w:val="719E17CE"/>
    <w:rsid w:val="719E2397"/>
    <w:rsid w:val="719E357C"/>
    <w:rsid w:val="719F3EBB"/>
    <w:rsid w:val="719F4345"/>
    <w:rsid w:val="719F5BDF"/>
    <w:rsid w:val="719F7B0F"/>
    <w:rsid w:val="71A010A2"/>
    <w:rsid w:val="71A01CD2"/>
    <w:rsid w:val="71A01D5B"/>
    <w:rsid w:val="71A02407"/>
    <w:rsid w:val="71A0414B"/>
    <w:rsid w:val="71A1306D"/>
    <w:rsid w:val="71A130D0"/>
    <w:rsid w:val="71A14E1B"/>
    <w:rsid w:val="71A16BC9"/>
    <w:rsid w:val="71A212BE"/>
    <w:rsid w:val="71A2374C"/>
    <w:rsid w:val="71A24560"/>
    <w:rsid w:val="71A26C49"/>
    <w:rsid w:val="71A27CD0"/>
    <w:rsid w:val="71A301AC"/>
    <w:rsid w:val="71A31429"/>
    <w:rsid w:val="71A32941"/>
    <w:rsid w:val="71A35927"/>
    <w:rsid w:val="71A359F0"/>
    <w:rsid w:val="71A36DE5"/>
    <w:rsid w:val="71A3793F"/>
    <w:rsid w:val="71A37DA0"/>
    <w:rsid w:val="71A42651"/>
    <w:rsid w:val="71A43873"/>
    <w:rsid w:val="71A51DB9"/>
    <w:rsid w:val="71A52B5D"/>
    <w:rsid w:val="71A52EE1"/>
    <w:rsid w:val="71A52F55"/>
    <w:rsid w:val="71A53F07"/>
    <w:rsid w:val="71A5490B"/>
    <w:rsid w:val="71A57103"/>
    <w:rsid w:val="71A604C3"/>
    <w:rsid w:val="71A60683"/>
    <w:rsid w:val="71A617A0"/>
    <w:rsid w:val="71A6182B"/>
    <w:rsid w:val="71A620DD"/>
    <w:rsid w:val="71A62431"/>
    <w:rsid w:val="71A71502"/>
    <w:rsid w:val="71A74F9E"/>
    <w:rsid w:val="71A75025"/>
    <w:rsid w:val="71A75801"/>
    <w:rsid w:val="71A768D5"/>
    <w:rsid w:val="71A843FB"/>
    <w:rsid w:val="71A861A9"/>
    <w:rsid w:val="71A863C8"/>
    <w:rsid w:val="71A86DAF"/>
    <w:rsid w:val="71A87F57"/>
    <w:rsid w:val="71A90BC9"/>
    <w:rsid w:val="71A93A3A"/>
    <w:rsid w:val="71A9768A"/>
    <w:rsid w:val="71AA0173"/>
    <w:rsid w:val="71AA0D5F"/>
    <w:rsid w:val="71AB4182"/>
    <w:rsid w:val="71AB5612"/>
    <w:rsid w:val="71AB5C99"/>
    <w:rsid w:val="71AB7A47"/>
    <w:rsid w:val="71AC1373"/>
    <w:rsid w:val="71AC2F57"/>
    <w:rsid w:val="71AC3601"/>
    <w:rsid w:val="71AC3EEB"/>
    <w:rsid w:val="71AC5779"/>
    <w:rsid w:val="71AD1A11"/>
    <w:rsid w:val="71AD1A63"/>
    <w:rsid w:val="71AD37BF"/>
    <w:rsid w:val="71AD5FD6"/>
    <w:rsid w:val="71AD6B3F"/>
    <w:rsid w:val="71AF0F59"/>
    <w:rsid w:val="71AF1059"/>
    <w:rsid w:val="71AF12E6"/>
    <w:rsid w:val="71AF216E"/>
    <w:rsid w:val="71AF2EF1"/>
    <w:rsid w:val="71AF4F24"/>
    <w:rsid w:val="71AF5789"/>
    <w:rsid w:val="71AF7537"/>
    <w:rsid w:val="71B006A5"/>
    <w:rsid w:val="71B04F17"/>
    <w:rsid w:val="71B0505E"/>
    <w:rsid w:val="71B05423"/>
    <w:rsid w:val="71B06541"/>
    <w:rsid w:val="71B132B0"/>
    <w:rsid w:val="71B14B1C"/>
    <w:rsid w:val="71B21498"/>
    <w:rsid w:val="71B26913"/>
    <w:rsid w:val="71B27028"/>
    <w:rsid w:val="71B277AA"/>
    <w:rsid w:val="71B305AA"/>
    <w:rsid w:val="71B35F61"/>
    <w:rsid w:val="71B40FF2"/>
    <w:rsid w:val="71B44B4E"/>
    <w:rsid w:val="71B46975"/>
    <w:rsid w:val="71B5371E"/>
    <w:rsid w:val="71B57E05"/>
    <w:rsid w:val="71B64125"/>
    <w:rsid w:val="71B6668C"/>
    <w:rsid w:val="71B72890"/>
    <w:rsid w:val="71B73BB5"/>
    <w:rsid w:val="71B763EC"/>
    <w:rsid w:val="71B7759E"/>
    <w:rsid w:val="71B82A38"/>
    <w:rsid w:val="71B838D5"/>
    <w:rsid w:val="71B903B6"/>
    <w:rsid w:val="71B92164"/>
    <w:rsid w:val="71B94C50"/>
    <w:rsid w:val="71B95485"/>
    <w:rsid w:val="71B96608"/>
    <w:rsid w:val="71B9677C"/>
    <w:rsid w:val="71BA3C77"/>
    <w:rsid w:val="71BA7B5D"/>
    <w:rsid w:val="71BB2380"/>
    <w:rsid w:val="71BB2536"/>
    <w:rsid w:val="71BB412E"/>
    <w:rsid w:val="71BB5107"/>
    <w:rsid w:val="71BB5491"/>
    <w:rsid w:val="71BB5EDC"/>
    <w:rsid w:val="71BC25F2"/>
    <w:rsid w:val="71BC3A02"/>
    <w:rsid w:val="71BC4A8A"/>
    <w:rsid w:val="71BC6597"/>
    <w:rsid w:val="71BC7CD8"/>
    <w:rsid w:val="71BD2BEF"/>
    <w:rsid w:val="71BD5A4F"/>
    <w:rsid w:val="71BE0EB7"/>
    <w:rsid w:val="71BE1D76"/>
    <w:rsid w:val="71BE3C1E"/>
    <w:rsid w:val="71BE49AC"/>
    <w:rsid w:val="71BE65AE"/>
    <w:rsid w:val="71BE777B"/>
    <w:rsid w:val="71BE7BB3"/>
    <w:rsid w:val="71BF565B"/>
    <w:rsid w:val="71BF6659"/>
    <w:rsid w:val="71C047A0"/>
    <w:rsid w:val="71C048E0"/>
    <w:rsid w:val="71C07159"/>
    <w:rsid w:val="71C07997"/>
    <w:rsid w:val="71C15567"/>
    <w:rsid w:val="71C163A8"/>
    <w:rsid w:val="71C1726B"/>
    <w:rsid w:val="71C21A16"/>
    <w:rsid w:val="71C22409"/>
    <w:rsid w:val="71C27838"/>
    <w:rsid w:val="71C31235"/>
    <w:rsid w:val="71C32FE3"/>
    <w:rsid w:val="71C34D91"/>
    <w:rsid w:val="71C422F7"/>
    <w:rsid w:val="71C43C13"/>
    <w:rsid w:val="71C4646A"/>
    <w:rsid w:val="71C50280"/>
    <w:rsid w:val="71C50B09"/>
    <w:rsid w:val="71C531D6"/>
    <w:rsid w:val="71C54FAD"/>
    <w:rsid w:val="71C55182"/>
    <w:rsid w:val="71C64881"/>
    <w:rsid w:val="71C805F9"/>
    <w:rsid w:val="71C81ADD"/>
    <w:rsid w:val="71C81E07"/>
    <w:rsid w:val="71C823A7"/>
    <w:rsid w:val="71C84B3A"/>
    <w:rsid w:val="71C85B51"/>
    <w:rsid w:val="71C8627B"/>
    <w:rsid w:val="71C8684B"/>
    <w:rsid w:val="71C879D4"/>
    <w:rsid w:val="71C93E4C"/>
    <w:rsid w:val="71C941BF"/>
    <w:rsid w:val="71C96148"/>
    <w:rsid w:val="71CA092A"/>
    <w:rsid w:val="71CA25C3"/>
    <w:rsid w:val="71CA4371"/>
    <w:rsid w:val="71CA5A5C"/>
    <w:rsid w:val="71CA611F"/>
    <w:rsid w:val="71CB12E6"/>
    <w:rsid w:val="71CB4BFC"/>
    <w:rsid w:val="71CC00E9"/>
    <w:rsid w:val="71CC3277"/>
    <w:rsid w:val="71CC608C"/>
    <w:rsid w:val="71CD0512"/>
    <w:rsid w:val="71CD3E62"/>
    <w:rsid w:val="71CD480E"/>
    <w:rsid w:val="71CD74FF"/>
    <w:rsid w:val="71CD751C"/>
    <w:rsid w:val="71CE0425"/>
    <w:rsid w:val="71CF357D"/>
    <w:rsid w:val="71CF42B0"/>
    <w:rsid w:val="71CF7BDA"/>
    <w:rsid w:val="71D05564"/>
    <w:rsid w:val="71D07433"/>
    <w:rsid w:val="71D074AE"/>
    <w:rsid w:val="71D10A5A"/>
    <w:rsid w:val="71D13952"/>
    <w:rsid w:val="71D15700"/>
    <w:rsid w:val="71D16685"/>
    <w:rsid w:val="71D16BD8"/>
    <w:rsid w:val="71D21372"/>
    <w:rsid w:val="71D21478"/>
    <w:rsid w:val="71D21EFE"/>
    <w:rsid w:val="71D23226"/>
    <w:rsid w:val="71D247CC"/>
    <w:rsid w:val="71D24CBF"/>
    <w:rsid w:val="71D27618"/>
    <w:rsid w:val="71D27F8A"/>
    <w:rsid w:val="71D304EF"/>
    <w:rsid w:val="71D31C3F"/>
    <w:rsid w:val="71D40D4C"/>
    <w:rsid w:val="71D4481E"/>
    <w:rsid w:val="71D44CB3"/>
    <w:rsid w:val="71D45D66"/>
    <w:rsid w:val="71D46B4E"/>
    <w:rsid w:val="71D46F9E"/>
    <w:rsid w:val="71D477B2"/>
    <w:rsid w:val="71D47EC1"/>
    <w:rsid w:val="71D5087F"/>
    <w:rsid w:val="71D523D1"/>
    <w:rsid w:val="71D61D0F"/>
    <w:rsid w:val="71D62D16"/>
    <w:rsid w:val="71D7083C"/>
    <w:rsid w:val="71D72E66"/>
    <w:rsid w:val="71D76A8E"/>
    <w:rsid w:val="71D76AF4"/>
    <w:rsid w:val="71D77E06"/>
    <w:rsid w:val="71D84CE0"/>
    <w:rsid w:val="71D90A58"/>
    <w:rsid w:val="71D945B4"/>
    <w:rsid w:val="71DA1D9E"/>
    <w:rsid w:val="71DA4D50"/>
    <w:rsid w:val="71DB032D"/>
    <w:rsid w:val="71DB657E"/>
    <w:rsid w:val="71DC2FB0"/>
    <w:rsid w:val="71DC40A5"/>
    <w:rsid w:val="71DC4440"/>
    <w:rsid w:val="71DC57AF"/>
    <w:rsid w:val="71DD22F7"/>
    <w:rsid w:val="71DD3E42"/>
    <w:rsid w:val="71DD5D41"/>
    <w:rsid w:val="71DE1BCB"/>
    <w:rsid w:val="71DE5190"/>
    <w:rsid w:val="71DE7E1D"/>
    <w:rsid w:val="71DF6C24"/>
    <w:rsid w:val="71E0149B"/>
    <w:rsid w:val="71E01DE7"/>
    <w:rsid w:val="71E03B95"/>
    <w:rsid w:val="71E04502"/>
    <w:rsid w:val="71E05943"/>
    <w:rsid w:val="71E116BB"/>
    <w:rsid w:val="71E13469"/>
    <w:rsid w:val="71E300E0"/>
    <w:rsid w:val="71E371E1"/>
    <w:rsid w:val="71E434D2"/>
    <w:rsid w:val="71E45398"/>
    <w:rsid w:val="71E47E76"/>
    <w:rsid w:val="71E50BD2"/>
    <w:rsid w:val="71E523F4"/>
    <w:rsid w:val="71E52F59"/>
    <w:rsid w:val="71E56029"/>
    <w:rsid w:val="71E573FD"/>
    <w:rsid w:val="71E57482"/>
    <w:rsid w:val="71E57950"/>
    <w:rsid w:val="71E65CF2"/>
    <w:rsid w:val="71E67BCC"/>
    <w:rsid w:val="71E700C3"/>
    <w:rsid w:val="71E747B0"/>
    <w:rsid w:val="71E76CD1"/>
    <w:rsid w:val="71E92128"/>
    <w:rsid w:val="71E94118"/>
    <w:rsid w:val="71E95E31"/>
    <w:rsid w:val="71E96CF5"/>
    <w:rsid w:val="71E97B9E"/>
    <w:rsid w:val="71EA0570"/>
    <w:rsid w:val="71EA4A14"/>
    <w:rsid w:val="71EA67C2"/>
    <w:rsid w:val="71EA6E9F"/>
    <w:rsid w:val="71EB40A4"/>
    <w:rsid w:val="71EB6ED1"/>
    <w:rsid w:val="71EC3F35"/>
    <w:rsid w:val="71EC5C12"/>
    <w:rsid w:val="71EC71D7"/>
    <w:rsid w:val="71ED0060"/>
    <w:rsid w:val="71EE754A"/>
    <w:rsid w:val="71EF04D1"/>
    <w:rsid w:val="71EF1909"/>
    <w:rsid w:val="71EF202A"/>
    <w:rsid w:val="71EF3DD8"/>
    <w:rsid w:val="71EF5B86"/>
    <w:rsid w:val="71F05487"/>
    <w:rsid w:val="71F0601F"/>
    <w:rsid w:val="71F118FE"/>
    <w:rsid w:val="71F17B50"/>
    <w:rsid w:val="71F212F1"/>
    <w:rsid w:val="71F22282"/>
    <w:rsid w:val="71F22BB6"/>
    <w:rsid w:val="71F238C8"/>
    <w:rsid w:val="71F2616F"/>
    <w:rsid w:val="71F30B5A"/>
    <w:rsid w:val="71F31B1A"/>
    <w:rsid w:val="71F34871"/>
    <w:rsid w:val="71F35BD6"/>
    <w:rsid w:val="71F413EE"/>
    <w:rsid w:val="71F426C7"/>
    <w:rsid w:val="71F43E08"/>
    <w:rsid w:val="71F47C4A"/>
    <w:rsid w:val="71F57FBF"/>
    <w:rsid w:val="71F60C84"/>
    <w:rsid w:val="71F65166"/>
    <w:rsid w:val="71F66728"/>
    <w:rsid w:val="71F6680B"/>
    <w:rsid w:val="71F6797B"/>
    <w:rsid w:val="71F7105F"/>
    <w:rsid w:val="71F72C8D"/>
    <w:rsid w:val="71F76873"/>
    <w:rsid w:val="71F80EDE"/>
    <w:rsid w:val="71F82718"/>
    <w:rsid w:val="71F83C19"/>
    <w:rsid w:val="71F86164"/>
    <w:rsid w:val="71F87130"/>
    <w:rsid w:val="71F9054D"/>
    <w:rsid w:val="71F905DE"/>
    <w:rsid w:val="71F92EA9"/>
    <w:rsid w:val="71F948D9"/>
    <w:rsid w:val="71F94C57"/>
    <w:rsid w:val="71F950A9"/>
    <w:rsid w:val="71F96A05"/>
    <w:rsid w:val="71FA6539"/>
    <w:rsid w:val="71FA7C7A"/>
    <w:rsid w:val="71FB277D"/>
    <w:rsid w:val="71FB3C3C"/>
    <w:rsid w:val="71FB452B"/>
    <w:rsid w:val="71FB4681"/>
    <w:rsid w:val="71FC1DBA"/>
    <w:rsid w:val="71FC2C99"/>
    <w:rsid w:val="71FD4747"/>
    <w:rsid w:val="71FD4E21"/>
    <w:rsid w:val="71FD6F90"/>
    <w:rsid w:val="71FE187B"/>
    <w:rsid w:val="71FE2CD4"/>
    <w:rsid w:val="71FE401B"/>
    <w:rsid w:val="71FE5D45"/>
    <w:rsid w:val="71FF2F19"/>
    <w:rsid w:val="71FF5A0F"/>
    <w:rsid w:val="71FF6CE0"/>
    <w:rsid w:val="71FF7E19"/>
    <w:rsid w:val="720016F8"/>
    <w:rsid w:val="720023AB"/>
    <w:rsid w:val="72003494"/>
    <w:rsid w:val="72005FE5"/>
    <w:rsid w:val="72007BEE"/>
    <w:rsid w:val="72007D93"/>
    <w:rsid w:val="72010E5B"/>
    <w:rsid w:val="720158B9"/>
    <w:rsid w:val="72021D5D"/>
    <w:rsid w:val="72030821"/>
    <w:rsid w:val="720348C6"/>
    <w:rsid w:val="72035AD5"/>
    <w:rsid w:val="72037883"/>
    <w:rsid w:val="720421BC"/>
    <w:rsid w:val="7204621A"/>
    <w:rsid w:val="720535FB"/>
    <w:rsid w:val="72054D8D"/>
    <w:rsid w:val="72062ED0"/>
    <w:rsid w:val="720634FA"/>
    <w:rsid w:val="72065AAB"/>
    <w:rsid w:val="72070B3D"/>
    <w:rsid w:val="72072200"/>
    <w:rsid w:val="7207227E"/>
    <w:rsid w:val="72074CDD"/>
    <w:rsid w:val="72081FCD"/>
    <w:rsid w:val="72086C48"/>
    <w:rsid w:val="720918D3"/>
    <w:rsid w:val="720930EC"/>
    <w:rsid w:val="7209642D"/>
    <w:rsid w:val="720A02BB"/>
    <w:rsid w:val="720A29C0"/>
    <w:rsid w:val="720A602E"/>
    <w:rsid w:val="720A7175"/>
    <w:rsid w:val="720B5CEA"/>
    <w:rsid w:val="720C2BDC"/>
    <w:rsid w:val="720C498A"/>
    <w:rsid w:val="720C6738"/>
    <w:rsid w:val="720D24B0"/>
    <w:rsid w:val="720D425E"/>
    <w:rsid w:val="720D4316"/>
    <w:rsid w:val="720D4729"/>
    <w:rsid w:val="720E062F"/>
    <w:rsid w:val="720E2078"/>
    <w:rsid w:val="720E2299"/>
    <w:rsid w:val="720E2C0A"/>
    <w:rsid w:val="720E4399"/>
    <w:rsid w:val="720E5A2E"/>
    <w:rsid w:val="720E5E3F"/>
    <w:rsid w:val="720F01EF"/>
    <w:rsid w:val="720F142F"/>
    <w:rsid w:val="720F1B67"/>
    <w:rsid w:val="720F33B8"/>
    <w:rsid w:val="720F6228"/>
    <w:rsid w:val="720F7FD6"/>
    <w:rsid w:val="72111FA0"/>
    <w:rsid w:val="72113D4E"/>
    <w:rsid w:val="721147C0"/>
    <w:rsid w:val="72121874"/>
    <w:rsid w:val="721246C9"/>
    <w:rsid w:val="72125C50"/>
    <w:rsid w:val="72127391"/>
    <w:rsid w:val="72127AC5"/>
    <w:rsid w:val="72135D18"/>
    <w:rsid w:val="721360C7"/>
    <w:rsid w:val="721379D9"/>
    <w:rsid w:val="72141A90"/>
    <w:rsid w:val="721455EC"/>
    <w:rsid w:val="72156603"/>
    <w:rsid w:val="721645D1"/>
    <w:rsid w:val="72165809"/>
    <w:rsid w:val="7217238C"/>
    <w:rsid w:val="72175AFD"/>
    <w:rsid w:val="72181AC2"/>
    <w:rsid w:val="7218332F"/>
    <w:rsid w:val="72187A67"/>
    <w:rsid w:val="721904C7"/>
    <w:rsid w:val="72191290"/>
    <w:rsid w:val="72191617"/>
    <w:rsid w:val="72192C03"/>
    <w:rsid w:val="721A30A8"/>
    <w:rsid w:val="721A325A"/>
    <w:rsid w:val="721A4655"/>
    <w:rsid w:val="721B2E1F"/>
    <w:rsid w:val="721B4BCD"/>
    <w:rsid w:val="721B697B"/>
    <w:rsid w:val="721B6FB3"/>
    <w:rsid w:val="721C4779"/>
    <w:rsid w:val="721D0945"/>
    <w:rsid w:val="721D0C8E"/>
    <w:rsid w:val="721D18D3"/>
    <w:rsid w:val="721D26F3"/>
    <w:rsid w:val="721D6B97"/>
    <w:rsid w:val="721D6C76"/>
    <w:rsid w:val="721D6DF3"/>
    <w:rsid w:val="721E25DF"/>
    <w:rsid w:val="721E450C"/>
    <w:rsid w:val="721E511D"/>
    <w:rsid w:val="721E646B"/>
    <w:rsid w:val="721F7926"/>
    <w:rsid w:val="72200435"/>
    <w:rsid w:val="72201995"/>
    <w:rsid w:val="7220386F"/>
    <w:rsid w:val="72207574"/>
    <w:rsid w:val="72210BEB"/>
    <w:rsid w:val="722111CB"/>
    <w:rsid w:val="722148AD"/>
    <w:rsid w:val="72221E3F"/>
    <w:rsid w:val="72224A54"/>
    <w:rsid w:val="72225F5B"/>
    <w:rsid w:val="72227D09"/>
    <w:rsid w:val="72231346"/>
    <w:rsid w:val="72231699"/>
    <w:rsid w:val="72231CD3"/>
    <w:rsid w:val="72232A9E"/>
    <w:rsid w:val="72235642"/>
    <w:rsid w:val="72244ED7"/>
    <w:rsid w:val="72247B3B"/>
    <w:rsid w:val="72247D1F"/>
    <w:rsid w:val="722515A8"/>
    <w:rsid w:val="72255807"/>
    <w:rsid w:val="72255B55"/>
    <w:rsid w:val="722577FA"/>
    <w:rsid w:val="722640C6"/>
    <w:rsid w:val="72265F7C"/>
    <w:rsid w:val="72271CEF"/>
    <w:rsid w:val="72275320"/>
    <w:rsid w:val="722777C2"/>
    <w:rsid w:val="72281098"/>
    <w:rsid w:val="7228367B"/>
    <w:rsid w:val="722872EA"/>
    <w:rsid w:val="722905FA"/>
    <w:rsid w:val="72291313"/>
    <w:rsid w:val="7229485D"/>
    <w:rsid w:val="7229553C"/>
    <w:rsid w:val="72297566"/>
    <w:rsid w:val="72297CE6"/>
    <w:rsid w:val="722A11E8"/>
    <w:rsid w:val="722A7366"/>
    <w:rsid w:val="722B50D7"/>
    <w:rsid w:val="722B793A"/>
    <w:rsid w:val="722C306B"/>
    <w:rsid w:val="722D2858"/>
    <w:rsid w:val="722D5109"/>
    <w:rsid w:val="722D7006"/>
    <w:rsid w:val="722E2B52"/>
    <w:rsid w:val="722E4900"/>
    <w:rsid w:val="722E5519"/>
    <w:rsid w:val="722F0678"/>
    <w:rsid w:val="722F2426"/>
    <w:rsid w:val="722F6137"/>
    <w:rsid w:val="722F677F"/>
    <w:rsid w:val="72311097"/>
    <w:rsid w:val="7231225D"/>
    <w:rsid w:val="72312642"/>
    <w:rsid w:val="723143F0"/>
    <w:rsid w:val="7231619E"/>
    <w:rsid w:val="72320433"/>
    <w:rsid w:val="723217F7"/>
    <w:rsid w:val="72324A62"/>
    <w:rsid w:val="7232523A"/>
    <w:rsid w:val="72331572"/>
    <w:rsid w:val="7233509D"/>
    <w:rsid w:val="723428E3"/>
    <w:rsid w:val="723462E7"/>
    <w:rsid w:val="72347A3D"/>
    <w:rsid w:val="72361171"/>
    <w:rsid w:val="72361D4D"/>
    <w:rsid w:val="7236453D"/>
    <w:rsid w:val="72367718"/>
    <w:rsid w:val="72367C59"/>
    <w:rsid w:val="723759DB"/>
    <w:rsid w:val="723810AB"/>
    <w:rsid w:val="723839D1"/>
    <w:rsid w:val="72384DBC"/>
    <w:rsid w:val="723852BB"/>
    <w:rsid w:val="7238577F"/>
    <w:rsid w:val="723914F7"/>
    <w:rsid w:val="723A39CB"/>
    <w:rsid w:val="723A59EF"/>
    <w:rsid w:val="723C3381"/>
    <w:rsid w:val="723C62EB"/>
    <w:rsid w:val="723D0E21"/>
    <w:rsid w:val="723D0FE7"/>
    <w:rsid w:val="723D234C"/>
    <w:rsid w:val="723D2D95"/>
    <w:rsid w:val="723D4B43"/>
    <w:rsid w:val="723E387A"/>
    <w:rsid w:val="723F4D5F"/>
    <w:rsid w:val="723F6274"/>
    <w:rsid w:val="723F7BAF"/>
    <w:rsid w:val="72404200"/>
    <w:rsid w:val="72404633"/>
    <w:rsid w:val="724051C6"/>
    <w:rsid w:val="724063E2"/>
    <w:rsid w:val="72406E13"/>
    <w:rsid w:val="724203AC"/>
    <w:rsid w:val="7242215A"/>
    <w:rsid w:val="7242215D"/>
    <w:rsid w:val="724265FE"/>
    <w:rsid w:val="724347A4"/>
    <w:rsid w:val="72440D8F"/>
    <w:rsid w:val="72442376"/>
    <w:rsid w:val="724423BC"/>
    <w:rsid w:val="724454B6"/>
    <w:rsid w:val="724519E3"/>
    <w:rsid w:val="72451C4A"/>
    <w:rsid w:val="7245221F"/>
    <w:rsid w:val="724539F8"/>
    <w:rsid w:val="72457E9C"/>
    <w:rsid w:val="72461F6E"/>
    <w:rsid w:val="72465A47"/>
    <w:rsid w:val="7247228B"/>
    <w:rsid w:val="72473C14"/>
    <w:rsid w:val="724759C2"/>
    <w:rsid w:val="72475FCF"/>
    <w:rsid w:val="72477551"/>
    <w:rsid w:val="724803AD"/>
    <w:rsid w:val="724834E8"/>
    <w:rsid w:val="72485503"/>
    <w:rsid w:val="72486002"/>
    <w:rsid w:val="7248745F"/>
    <w:rsid w:val="7249173A"/>
    <w:rsid w:val="72492030"/>
    <w:rsid w:val="72493FF7"/>
    <w:rsid w:val="72496005"/>
    <w:rsid w:val="7249798C"/>
    <w:rsid w:val="724A27E4"/>
    <w:rsid w:val="724A34C0"/>
    <w:rsid w:val="724A3704"/>
    <w:rsid w:val="724B05AD"/>
    <w:rsid w:val="724B3278"/>
    <w:rsid w:val="724B4D34"/>
    <w:rsid w:val="724B6753"/>
    <w:rsid w:val="724B706A"/>
    <w:rsid w:val="724C0203"/>
    <w:rsid w:val="724C09B1"/>
    <w:rsid w:val="724C122A"/>
    <w:rsid w:val="724C160B"/>
    <w:rsid w:val="724C1CCE"/>
    <w:rsid w:val="724C2FD8"/>
    <w:rsid w:val="724D0AFE"/>
    <w:rsid w:val="724D1E41"/>
    <w:rsid w:val="724D5C91"/>
    <w:rsid w:val="724E0824"/>
    <w:rsid w:val="724E26A6"/>
    <w:rsid w:val="724E4FA2"/>
    <w:rsid w:val="724F2AC9"/>
    <w:rsid w:val="724F4877"/>
    <w:rsid w:val="724F5EA2"/>
    <w:rsid w:val="724F780C"/>
    <w:rsid w:val="72500743"/>
    <w:rsid w:val="72500C91"/>
    <w:rsid w:val="72502255"/>
    <w:rsid w:val="72503E82"/>
    <w:rsid w:val="72504DF4"/>
    <w:rsid w:val="72507332"/>
    <w:rsid w:val="7251017E"/>
    <w:rsid w:val="7251036B"/>
    <w:rsid w:val="725105EF"/>
    <w:rsid w:val="725107C2"/>
    <w:rsid w:val="72510822"/>
    <w:rsid w:val="725125F7"/>
    <w:rsid w:val="72514479"/>
    <w:rsid w:val="72514A93"/>
    <w:rsid w:val="72515FC0"/>
    <w:rsid w:val="725237EE"/>
    <w:rsid w:val="72523DCD"/>
    <w:rsid w:val="72525067"/>
    <w:rsid w:val="725257DE"/>
    <w:rsid w:val="725268F2"/>
    <w:rsid w:val="7253138F"/>
    <w:rsid w:val="725325B9"/>
    <w:rsid w:val="72536115"/>
    <w:rsid w:val="725400DF"/>
    <w:rsid w:val="725414D9"/>
    <w:rsid w:val="72541E8D"/>
    <w:rsid w:val="72541F51"/>
    <w:rsid w:val="7254352B"/>
    <w:rsid w:val="7254553B"/>
    <w:rsid w:val="725455B8"/>
    <w:rsid w:val="72547143"/>
    <w:rsid w:val="72553024"/>
    <w:rsid w:val="725620A9"/>
    <w:rsid w:val="72563E57"/>
    <w:rsid w:val="72565C05"/>
    <w:rsid w:val="725676CF"/>
    <w:rsid w:val="72572EF3"/>
    <w:rsid w:val="725813DB"/>
    <w:rsid w:val="7258197D"/>
    <w:rsid w:val="7258372B"/>
    <w:rsid w:val="72587BCF"/>
    <w:rsid w:val="725926A9"/>
    <w:rsid w:val="725956F5"/>
    <w:rsid w:val="7259599E"/>
    <w:rsid w:val="725974A3"/>
    <w:rsid w:val="725A2FB5"/>
    <w:rsid w:val="725B0732"/>
    <w:rsid w:val="725B146D"/>
    <w:rsid w:val="725B5B0E"/>
    <w:rsid w:val="725C04A6"/>
    <w:rsid w:val="725C6621"/>
    <w:rsid w:val="725D2CDD"/>
    <w:rsid w:val="725D51E5"/>
    <w:rsid w:val="725D6F93"/>
    <w:rsid w:val="725D777E"/>
    <w:rsid w:val="725E2D0C"/>
    <w:rsid w:val="725F094D"/>
    <w:rsid w:val="725F0958"/>
    <w:rsid w:val="725F0975"/>
    <w:rsid w:val="725F0F5E"/>
    <w:rsid w:val="72600832"/>
    <w:rsid w:val="726056E6"/>
    <w:rsid w:val="72614C18"/>
    <w:rsid w:val="72620A4E"/>
    <w:rsid w:val="726227FC"/>
    <w:rsid w:val="726245AA"/>
    <w:rsid w:val="72642581"/>
    <w:rsid w:val="726447C6"/>
    <w:rsid w:val="72646574"/>
    <w:rsid w:val="7265409A"/>
    <w:rsid w:val="7265547D"/>
    <w:rsid w:val="72655E48"/>
    <w:rsid w:val="72664129"/>
    <w:rsid w:val="72671BC0"/>
    <w:rsid w:val="726729E8"/>
    <w:rsid w:val="72675BA3"/>
    <w:rsid w:val="72677E12"/>
    <w:rsid w:val="72683EF4"/>
    <w:rsid w:val="72684737"/>
    <w:rsid w:val="72685687"/>
    <w:rsid w:val="72691DDC"/>
    <w:rsid w:val="72693B8A"/>
    <w:rsid w:val="72694909"/>
    <w:rsid w:val="72694AD2"/>
    <w:rsid w:val="72694F06"/>
    <w:rsid w:val="72695938"/>
    <w:rsid w:val="72697ED9"/>
    <w:rsid w:val="726A0763"/>
    <w:rsid w:val="726A2AAA"/>
    <w:rsid w:val="726A345E"/>
    <w:rsid w:val="726A56C4"/>
    <w:rsid w:val="726B28A3"/>
    <w:rsid w:val="726B3F64"/>
    <w:rsid w:val="726B5B54"/>
    <w:rsid w:val="726C03C6"/>
    <w:rsid w:val="726C367A"/>
    <w:rsid w:val="726C53CA"/>
    <w:rsid w:val="726C5429"/>
    <w:rsid w:val="726E11A1"/>
    <w:rsid w:val="726E2190"/>
    <w:rsid w:val="726E2199"/>
    <w:rsid w:val="726E2F4F"/>
    <w:rsid w:val="726E417E"/>
    <w:rsid w:val="726E598B"/>
    <w:rsid w:val="726F016F"/>
    <w:rsid w:val="726F07C8"/>
    <w:rsid w:val="726F33D9"/>
    <w:rsid w:val="726F4F19"/>
    <w:rsid w:val="726F6CC7"/>
    <w:rsid w:val="726F6CE2"/>
    <w:rsid w:val="72700380"/>
    <w:rsid w:val="72702DD6"/>
    <w:rsid w:val="7270316B"/>
    <w:rsid w:val="72703DC2"/>
    <w:rsid w:val="727051DB"/>
    <w:rsid w:val="72710C91"/>
    <w:rsid w:val="7271277B"/>
    <w:rsid w:val="727147ED"/>
    <w:rsid w:val="72715487"/>
    <w:rsid w:val="7271666B"/>
    <w:rsid w:val="727206B1"/>
    <w:rsid w:val="72722654"/>
    <w:rsid w:val="72727AFB"/>
    <w:rsid w:val="72733B5C"/>
    <w:rsid w:val="72744FEC"/>
    <w:rsid w:val="72750781"/>
    <w:rsid w:val="72750C00"/>
    <w:rsid w:val="72752E54"/>
    <w:rsid w:val="72754072"/>
    <w:rsid w:val="72760055"/>
    <w:rsid w:val="72762CB8"/>
    <w:rsid w:val="72763559"/>
    <w:rsid w:val="727662A7"/>
    <w:rsid w:val="727724DD"/>
    <w:rsid w:val="727750AE"/>
    <w:rsid w:val="7278201F"/>
    <w:rsid w:val="72783DCD"/>
    <w:rsid w:val="727840ED"/>
    <w:rsid w:val="72787DE2"/>
    <w:rsid w:val="72791E41"/>
    <w:rsid w:val="727A02F8"/>
    <w:rsid w:val="727A3825"/>
    <w:rsid w:val="727A7849"/>
    <w:rsid w:val="727A7B45"/>
    <w:rsid w:val="727A7F8F"/>
    <w:rsid w:val="727B0722"/>
    <w:rsid w:val="727B566C"/>
    <w:rsid w:val="727C377E"/>
    <w:rsid w:val="727D13E4"/>
    <w:rsid w:val="727D1BD4"/>
    <w:rsid w:val="727D437C"/>
    <w:rsid w:val="727D4532"/>
    <w:rsid w:val="727E1565"/>
    <w:rsid w:val="727E6F0A"/>
    <w:rsid w:val="727F059A"/>
    <w:rsid w:val="727F1ACA"/>
    <w:rsid w:val="727F33AE"/>
    <w:rsid w:val="727F434D"/>
    <w:rsid w:val="727F4F4A"/>
    <w:rsid w:val="72800ED4"/>
    <w:rsid w:val="72802C82"/>
    <w:rsid w:val="72803435"/>
    <w:rsid w:val="72807126"/>
    <w:rsid w:val="72815085"/>
    <w:rsid w:val="728170D6"/>
    <w:rsid w:val="72817EA4"/>
    <w:rsid w:val="72820D88"/>
    <w:rsid w:val="728269FA"/>
    <w:rsid w:val="72830A80"/>
    <w:rsid w:val="7283124A"/>
    <w:rsid w:val="72834520"/>
    <w:rsid w:val="72836D52"/>
    <w:rsid w:val="728409C4"/>
    <w:rsid w:val="72841DA1"/>
    <w:rsid w:val="72843020"/>
    <w:rsid w:val="728478D2"/>
    <w:rsid w:val="72847D1C"/>
    <w:rsid w:val="72850298"/>
    <w:rsid w:val="72851BFC"/>
    <w:rsid w:val="72852482"/>
    <w:rsid w:val="728564EA"/>
    <w:rsid w:val="7286033A"/>
    <w:rsid w:val="72865A0F"/>
    <w:rsid w:val="728704B4"/>
    <w:rsid w:val="72871FD2"/>
    <w:rsid w:val="72872262"/>
    <w:rsid w:val="72873462"/>
    <w:rsid w:val="728848F2"/>
    <w:rsid w:val="72885662"/>
    <w:rsid w:val="72886033"/>
    <w:rsid w:val="7289422C"/>
    <w:rsid w:val="72895FDA"/>
    <w:rsid w:val="728A316A"/>
    <w:rsid w:val="728A3B01"/>
    <w:rsid w:val="728A58AF"/>
    <w:rsid w:val="728B1D53"/>
    <w:rsid w:val="728B1DE3"/>
    <w:rsid w:val="728B4C75"/>
    <w:rsid w:val="728B4FA7"/>
    <w:rsid w:val="728B65E1"/>
    <w:rsid w:val="728B7568"/>
    <w:rsid w:val="728C26A1"/>
    <w:rsid w:val="728C5ACB"/>
    <w:rsid w:val="728C6F1C"/>
    <w:rsid w:val="728C7879"/>
    <w:rsid w:val="728D2438"/>
    <w:rsid w:val="728D4581"/>
    <w:rsid w:val="728D524E"/>
    <w:rsid w:val="728D5C3E"/>
    <w:rsid w:val="728D7DFB"/>
    <w:rsid w:val="728E539F"/>
    <w:rsid w:val="728F0CF3"/>
    <w:rsid w:val="728F1117"/>
    <w:rsid w:val="728F48BB"/>
    <w:rsid w:val="72904D02"/>
    <w:rsid w:val="729055BB"/>
    <w:rsid w:val="72907369"/>
    <w:rsid w:val="729076B1"/>
    <w:rsid w:val="729113FE"/>
    <w:rsid w:val="72912784"/>
    <w:rsid w:val="729137CD"/>
    <w:rsid w:val="72914E8F"/>
    <w:rsid w:val="72920575"/>
    <w:rsid w:val="729227DA"/>
    <w:rsid w:val="729273B4"/>
    <w:rsid w:val="729329B5"/>
    <w:rsid w:val="72936E59"/>
    <w:rsid w:val="7294076C"/>
    <w:rsid w:val="729437C1"/>
    <w:rsid w:val="72952BD1"/>
    <w:rsid w:val="72952EE5"/>
    <w:rsid w:val="72954D05"/>
    <w:rsid w:val="7296028E"/>
    <w:rsid w:val="729624A5"/>
    <w:rsid w:val="72964253"/>
    <w:rsid w:val="72966C0C"/>
    <w:rsid w:val="72966EF6"/>
    <w:rsid w:val="72970B06"/>
    <w:rsid w:val="72972F57"/>
    <w:rsid w:val="7297468D"/>
    <w:rsid w:val="72976025"/>
    <w:rsid w:val="72981944"/>
    <w:rsid w:val="7298446F"/>
    <w:rsid w:val="729906F2"/>
    <w:rsid w:val="72992A2C"/>
    <w:rsid w:val="72995877"/>
    <w:rsid w:val="729A01E8"/>
    <w:rsid w:val="729A1F96"/>
    <w:rsid w:val="729A3D44"/>
    <w:rsid w:val="729A4C6C"/>
    <w:rsid w:val="729A622B"/>
    <w:rsid w:val="729B151B"/>
    <w:rsid w:val="729B512F"/>
    <w:rsid w:val="729B5D0E"/>
    <w:rsid w:val="729B5F95"/>
    <w:rsid w:val="729B7ABC"/>
    <w:rsid w:val="729C3F60"/>
    <w:rsid w:val="729D20E0"/>
    <w:rsid w:val="729D3834"/>
    <w:rsid w:val="729D38E1"/>
    <w:rsid w:val="729E0259"/>
    <w:rsid w:val="729E4018"/>
    <w:rsid w:val="729E49E9"/>
    <w:rsid w:val="729F184D"/>
    <w:rsid w:val="729F3B51"/>
    <w:rsid w:val="729F57FE"/>
    <w:rsid w:val="72A03324"/>
    <w:rsid w:val="72A042BA"/>
    <w:rsid w:val="72A050D2"/>
    <w:rsid w:val="72A11576"/>
    <w:rsid w:val="72A12033"/>
    <w:rsid w:val="72A13C5F"/>
    <w:rsid w:val="72A14009"/>
    <w:rsid w:val="72A14EA6"/>
    <w:rsid w:val="72A1623B"/>
    <w:rsid w:val="72A20E4A"/>
    <w:rsid w:val="72A31040"/>
    <w:rsid w:val="72A314FA"/>
    <w:rsid w:val="72A3476F"/>
    <w:rsid w:val="72A35A2C"/>
    <w:rsid w:val="72A362A9"/>
    <w:rsid w:val="72A41893"/>
    <w:rsid w:val="72A4268E"/>
    <w:rsid w:val="72A4298A"/>
    <w:rsid w:val="72A434DA"/>
    <w:rsid w:val="72A44BC2"/>
    <w:rsid w:val="72A46970"/>
    <w:rsid w:val="72A46A4B"/>
    <w:rsid w:val="72A46B5C"/>
    <w:rsid w:val="72A46FEE"/>
    <w:rsid w:val="72A640C8"/>
    <w:rsid w:val="72A669EB"/>
    <w:rsid w:val="72A70177"/>
    <w:rsid w:val="72A70FA9"/>
    <w:rsid w:val="72A714F1"/>
    <w:rsid w:val="72A746B3"/>
    <w:rsid w:val="72A75950"/>
    <w:rsid w:val="72A75B91"/>
    <w:rsid w:val="72A76461"/>
    <w:rsid w:val="72A77E7B"/>
    <w:rsid w:val="72A815A9"/>
    <w:rsid w:val="72A816B0"/>
    <w:rsid w:val="72A849E9"/>
    <w:rsid w:val="72A858A4"/>
    <w:rsid w:val="72A9042B"/>
    <w:rsid w:val="72A90FFE"/>
    <w:rsid w:val="72A93598"/>
    <w:rsid w:val="72A93F87"/>
    <w:rsid w:val="72A9656A"/>
    <w:rsid w:val="72A96592"/>
    <w:rsid w:val="72A9667D"/>
    <w:rsid w:val="72AA07D4"/>
    <w:rsid w:val="72AA2F12"/>
    <w:rsid w:val="72AA67FC"/>
    <w:rsid w:val="72AA7CFF"/>
    <w:rsid w:val="72AA7F3D"/>
    <w:rsid w:val="72AB31BB"/>
    <w:rsid w:val="72AB3ACF"/>
    <w:rsid w:val="72AB41A3"/>
    <w:rsid w:val="72AB713A"/>
    <w:rsid w:val="72AD2107"/>
    <w:rsid w:val="72AD526C"/>
    <w:rsid w:val="72AD5CA1"/>
    <w:rsid w:val="72AE2AAD"/>
    <w:rsid w:val="72AE3BD5"/>
    <w:rsid w:val="72AE3C93"/>
    <w:rsid w:val="72AE5A41"/>
    <w:rsid w:val="72AF0030"/>
    <w:rsid w:val="72AF15AE"/>
    <w:rsid w:val="72AF1607"/>
    <w:rsid w:val="72AF30A6"/>
    <w:rsid w:val="72AF5315"/>
    <w:rsid w:val="72B017B9"/>
    <w:rsid w:val="72B0183E"/>
    <w:rsid w:val="72B042D6"/>
    <w:rsid w:val="72B07584"/>
    <w:rsid w:val="72B1108D"/>
    <w:rsid w:val="72B15531"/>
    <w:rsid w:val="72B16DA9"/>
    <w:rsid w:val="72B22EB9"/>
    <w:rsid w:val="72B3010F"/>
    <w:rsid w:val="72B312A9"/>
    <w:rsid w:val="72B33057"/>
    <w:rsid w:val="72B3358B"/>
    <w:rsid w:val="72B3549E"/>
    <w:rsid w:val="72B378C6"/>
    <w:rsid w:val="72B37C80"/>
    <w:rsid w:val="72B50B7E"/>
    <w:rsid w:val="72B50F45"/>
    <w:rsid w:val="72B55021"/>
    <w:rsid w:val="72B55F43"/>
    <w:rsid w:val="72B56DCF"/>
    <w:rsid w:val="72B666A4"/>
    <w:rsid w:val="72B77225"/>
    <w:rsid w:val="72B77970"/>
    <w:rsid w:val="72B80445"/>
    <w:rsid w:val="72B8066E"/>
    <w:rsid w:val="72B81EB0"/>
    <w:rsid w:val="72B868C0"/>
    <w:rsid w:val="72B87332"/>
    <w:rsid w:val="72B92F2E"/>
    <w:rsid w:val="72B93030"/>
    <w:rsid w:val="72B94182"/>
    <w:rsid w:val="72B94E61"/>
    <w:rsid w:val="72BA2638"/>
    <w:rsid w:val="72BA43E6"/>
    <w:rsid w:val="72BA6194"/>
    <w:rsid w:val="72BB015E"/>
    <w:rsid w:val="72BB05E4"/>
    <w:rsid w:val="72BB1F0C"/>
    <w:rsid w:val="72BB3D1D"/>
    <w:rsid w:val="72BC0C11"/>
    <w:rsid w:val="72BC18D5"/>
    <w:rsid w:val="72BC63B0"/>
    <w:rsid w:val="72BC6E4B"/>
    <w:rsid w:val="72BD3ED6"/>
    <w:rsid w:val="72BD7A32"/>
    <w:rsid w:val="72BF054F"/>
    <w:rsid w:val="72BF0CD3"/>
    <w:rsid w:val="72BF19FC"/>
    <w:rsid w:val="72BF37AA"/>
    <w:rsid w:val="72BF48C9"/>
    <w:rsid w:val="72BF7C4E"/>
    <w:rsid w:val="72C07A50"/>
    <w:rsid w:val="72C11984"/>
    <w:rsid w:val="72C11EC9"/>
    <w:rsid w:val="72C139C6"/>
    <w:rsid w:val="72C14DB2"/>
    <w:rsid w:val="72C22153"/>
    <w:rsid w:val="72C2329A"/>
    <w:rsid w:val="72C2773E"/>
    <w:rsid w:val="72C30AE4"/>
    <w:rsid w:val="72C335DB"/>
    <w:rsid w:val="72C35E57"/>
    <w:rsid w:val="72C40DC1"/>
    <w:rsid w:val="72C41F74"/>
    <w:rsid w:val="72C45265"/>
    <w:rsid w:val="72C50CE1"/>
    <w:rsid w:val="72C52CB6"/>
    <w:rsid w:val="72C53382"/>
    <w:rsid w:val="72C53404"/>
    <w:rsid w:val="72C54B39"/>
    <w:rsid w:val="72C60FDD"/>
    <w:rsid w:val="72C619A7"/>
    <w:rsid w:val="72C708B1"/>
    <w:rsid w:val="72C708F5"/>
    <w:rsid w:val="72C72BE9"/>
    <w:rsid w:val="72C74D55"/>
    <w:rsid w:val="72C847CA"/>
    <w:rsid w:val="72C84FE5"/>
    <w:rsid w:val="72C915D4"/>
    <w:rsid w:val="72C94629"/>
    <w:rsid w:val="72CA3BD2"/>
    <w:rsid w:val="72CA5DE6"/>
    <w:rsid w:val="72CB03A1"/>
    <w:rsid w:val="72CB5599"/>
    <w:rsid w:val="72CB5DE1"/>
    <w:rsid w:val="72CB65F3"/>
    <w:rsid w:val="72CB6E80"/>
    <w:rsid w:val="72CC0706"/>
    <w:rsid w:val="72CC236B"/>
    <w:rsid w:val="72CC3140"/>
    <w:rsid w:val="72CC4CF8"/>
    <w:rsid w:val="72CC5EC7"/>
    <w:rsid w:val="72CD00E4"/>
    <w:rsid w:val="72CD2F61"/>
    <w:rsid w:val="72CD4767"/>
    <w:rsid w:val="72CE162F"/>
    <w:rsid w:val="72CE349D"/>
    <w:rsid w:val="72CE60E3"/>
    <w:rsid w:val="72CE7E91"/>
    <w:rsid w:val="72CF0555"/>
    <w:rsid w:val="72CF5309"/>
    <w:rsid w:val="72CF624E"/>
    <w:rsid w:val="72D00517"/>
    <w:rsid w:val="72D03C09"/>
    <w:rsid w:val="72D04ECB"/>
    <w:rsid w:val="72D05428"/>
    <w:rsid w:val="72D059B7"/>
    <w:rsid w:val="72D06168"/>
    <w:rsid w:val="72D072B6"/>
    <w:rsid w:val="72D07765"/>
    <w:rsid w:val="72D1172F"/>
    <w:rsid w:val="72D13225"/>
    <w:rsid w:val="72D134DE"/>
    <w:rsid w:val="72D207DF"/>
    <w:rsid w:val="72D22C21"/>
    <w:rsid w:val="72D27149"/>
    <w:rsid w:val="72D27981"/>
    <w:rsid w:val="72D354A8"/>
    <w:rsid w:val="72D37256"/>
    <w:rsid w:val="72D40328"/>
    <w:rsid w:val="72D41126"/>
    <w:rsid w:val="72D45ADD"/>
    <w:rsid w:val="72D466F0"/>
    <w:rsid w:val="72D467AC"/>
    <w:rsid w:val="72D47729"/>
    <w:rsid w:val="72D477F2"/>
    <w:rsid w:val="72D51220"/>
    <w:rsid w:val="72D51C6B"/>
    <w:rsid w:val="72D52FCE"/>
    <w:rsid w:val="72D54D7C"/>
    <w:rsid w:val="72D60AF4"/>
    <w:rsid w:val="72D62206"/>
    <w:rsid w:val="72D63326"/>
    <w:rsid w:val="72D66B55"/>
    <w:rsid w:val="72D749EE"/>
    <w:rsid w:val="72D74F98"/>
    <w:rsid w:val="72D752CA"/>
    <w:rsid w:val="72D75A96"/>
    <w:rsid w:val="72D82ABE"/>
    <w:rsid w:val="72D8486C"/>
    <w:rsid w:val="72D84923"/>
    <w:rsid w:val="72D86CA9"/>
    <w:rsid w:val="72D92F52"/>
    <w:rsid w:val="72D9520E"/>
    <w:rsid w:val="72DA05E4"/>
    <w:rsid w:val="72DA39A5"/>
    <w:rsid w:val="72DA4A88"/>
    <w:rsid w:val="72DA4D9E"/>
    <w:rsid w:val="72DA6836"/>
    <w:rsid w:val="72DC01FB"/>
    <w:rsid w:val="72DC25AE"/>
    <w:rsid w:val="72DC7124"/>
    <w:rsid w:val="72DC734E"/>
    <w:rsid w:val="72DD00D4"/>
    <w:rsid w:val="72DD425C"/>
    <w:rsid w:val="72DD6326"/>
    <w:rsid w:val="72DE2B1B"/>
    <w:rsid w:val="72DE6D9C"/>
    <w:rsid w:val="72DF0CD1"/>
    <w:rsid w:val="72DF1468"/>
    <w:rsid w:val="72DF209E"/>
    <w:rsid w:val="72DF3E4C"/>
    <w:rsid w:val="72E04D55"/>
    <w:rsid w:val="72E07C0B"/>
    <w:rsid w:val="72E11F57"/>
    <w:rsid w:val="72E12BDD"/>
    <w:rsid w:val="72E15E16"/>
    <w:rsid w:val="72E2292C"/>
    <w:rsid w:val="72E2393D"/>
    <w:rsid w:val="72E24355"/>
    <w:rsid w:val="72E254FD"/>
    <w:rsid w:val="72E256EB"/>
    <w:rsid w:val="72E26262"/>
    <w:rsid w:val="72E400F2"/>
    <w:rsid w:val="72E4155E"/>
    <w:rsid w:val="72E41784"/>
    <w:rsid w:val="72E41F78"/>
    <w:rsid w:val="72E43211"/>
    <w:rsid w:val="72E43B2E"/>
    <w:rsid w:val="72E47518"/>
    <w:rsid w:val="72E512AD"/>
    <w:rsid w:val="72E529EE"/>
    <w:rsid w:val="72E52DF6"/>
    <w:rsid w:val="72E54533"/>
    <w:rsid w:val="72E640ED"/>
    <w:rsid w:val="72E651DB"/>
    <w:rsid w:val="72E66F89"/>
    <w:rsid w:val="72E728F2"/>
    <w:rsid w:val="72E72D01"/>
    <w:rsid w:val="72E75D2B"/>
    <w:rsid w:val="72E8136F"/>
    <w:rsid w:val="72E871A5"/>
    <w:rsid w:val="72E87706"/>
    <w:rsid w:val="72E90827"/>
    <w:rsid w:val="72E90B33"/>
    <w:rsid w:val="72E927FF"/>
    <w:rsid w:val="72E94CCB"/>
    <w:rsid w:val="72E95BEF"/>
    <w:rsid w:val="72E96A79"/>
    <w:rsid w:val="72EA266B"/>
    <w:rsid w:val="72EA42DF"/>
    <w:rsid w:val="72EB27F1"/>
    <w:rsid w:val="72EB4B0D"/>
    <w:rsid w:val="72EB511F"/>
    <w:rsid w:val="72EC0317"/>
    <w:rsid w:val="72EC32E8"/>
    <w:rsid w:val="72EC3BDB"/>
    <w:rsid w:val="72EC6569"/>
    <w:rsid w:val="72EC65AF"/>
    <w:rsid w:val="72EC7CF0"/>
    <w:rsid w:val="72ED0FAD"/>
    <w:rsid w:val="72ED47BB"/>
    <w:rsid w:val="72ED64A7"/>
    <w:rsid w:val="72EE0533"/>
    <w:rsid w:val="72EE51E1"/>
    <w:rsid w:val="72EE5689"/>
    <w:rsid w:val="72EF5B06"/>
    <w:rsid w:val="72EF6671"/>
    <w:rsid w:val="72F01BB6"/>
    <w:rsid w:val="72F0605A"/>
    <w:rsid w:val="72F07E08"/>
    <w:rsid w:val="72F1233B"/>
    <w:rsid w:val="72F1592E"/>
    <w:rsid w:val="72F160DE"/>
    <w:rsid w:val="72F21DD2"/>
    <w:rsid w:val="72F22421"/>
    <w:rsid w:val="72F23D3A"/>
    <w:rsid w:val="72F26512"/>
    <w:rsid w:val="72F27721"/>
    <w:rsid w:val="72F316A6"/>
    <w:rsid w:val="72F329DE"/>
    <w:rsid w:val="72F338B1"/>
    <w:rsid w:val="72F33F62"/>
    <w:rsid w:val="72F378F8"/>
    <w:rsid w:val="72F50DA2"/>
    <w:rsid w:val="72F53670"/>
    <w:rsid w:val="72F5541E"/>
    <w:rsid w:val="72F62232"/>
    <w:rsid w:val="72F6429B"/>
    <w:rsid w:val="72F6532E"/>
    <w:rsid w:val="72F773E8"/>
    <w:rsid w:val="72F80E64"/>
    <w:rsid w:val="72F82F14"/>
    <w:rsid w:val="72F83160"/>
    <w:rsid w:val="72F84F0E"/>
    <w:rsid w:val="72F861B0"/>
    <w:rsid w:val="72F86293"/>
    <w:rsid w:val="72FA16E4"/>
    <w:rsid w:val="72FA2121"/>
    <w:rsid w:val="72FA3784"/>
    <w:rsid w:val="72FA6ED8"/>
    <w:rsid w:val="72FC3174"/>
    <w:rsid w:val="72FC67AC"/>
    <w:rsid w:val="72FC77E5"/>
    <w:rsid w:val="72FD0776"/>
    <w:rsid w:val="72FD0C65"/>
    <w:rsid w:val="72FD35DD"/>
    <w:rsid w:val="72FD42D3"/>
    <w:rsid w:val="72FD6FF9"/>
    <w:rsid w:val="72FE0705"/>
    <w:rsid w:val="72FE23DD"/>
    <w:rsid w:val="72FE3538"/>
    <w:rsid w:val="72FE5336"/>
    <w:rsid w:val="72FF004B"/>
    <w:rsid w:val="72FF44EF"/>
    <w:rsid w:val="72FF4E4D"/>
    <w:rsid w:val="730028E8"/>
    <w:rsid w:val="73002FCB"/>
    <w:rsid w:val="73003298"/>
    <w:rsid w:val="73004B59"/>
    <w:rsid w:val="73006E8D"/>
    <w:rsid w:val="73007CD7"/>
    <w:rsid w:val="73010267"/>
    <w:rsid w:val="730104D4"/>
    <w:rsid w:val="73012015"/>
    <w:rsid w:val="73012D8C"/>
    <w:rsid w:val="73013BB9"/>
    <w:rsid w:val="73013DC3"/>
    <w:rsid w:val="730167C8"/>
    <w:rsid w:val="73017757"/>
    <w:rsid w:val="730218E9"/>
    <w:rsid w:val="73021F16"/>
    <w:rsid w:val="73023438"/>
    <w:rsid w:val="73023802"/>
    <w:rsid w:val="73025D8D"/>
    <w:rsid w:val="73027B3B"/>
    <w:rsid w:val="730313C1"/>
    <w:rsid w:val="730324DC"/>
    <w:rsid w:val="730333A6"/>
    <w:rsid w:val="73035F77"/>
    <w:rsid w:val="73041B05"/>
    <w:rsid w:val="73045661"/>
    <w:rsid w:val="730467EB"/>
    <w:rsid w:val="73047731"/>
    <w:rsid w:val="73047CAA"/>
    <w:rsid w:val="73047F33"/>
    <w:rsid w:val="73050544"/>
    <w:rsid w:val="7305216D"/>
    <w:rsid w:val="7305515E"/>
    <w:rsid w:val="73057541"/>
    <w:rsid w:val="730613D9"/>
    <w:rsid w:val="73061D27"/>
    <w:rsid w:val="73063468"/>
    <w:rsid w:val="73064E79"/>
    <w:rsid w:val="7306587D"/>
    <w:rsid w:val="7306762B"/>
    <w:rsid w:val="73070593"/>
    <w:rsid w:val="7307339C"/>
    <w:rsid w:val="730753CF"/>
    <w:rsid w:val="73076EFF"/>
    <w:rsid w:val="73080146"/>
    <w:rsid w:val="730801A4"/>
    <w:rsid w:val="7308144C"/>
    <w:rsid w:val="730833A3"/>
    <w:rsid w:val="73083F12"/>
    <w:rsid w:val="730909DE"/>
    <w:rsid w:val="73090EC9"/>
    <w:rsid w:val="73091DE9"/>
    <w:rsid w:val="73095103"/>
    <w:rsid w:val="730A02B4"/>
    <w:rsid w:val="730B191D"/>
    <w:rsid w:val="730B446C"/>
    <w:rsid w:val="730B48BA"/>
    <w:rsid w:val="730B5872"/>
    <w:rsid w:val="730C008D"/>
    <w:rsid w:val="730C19B7"/>
    <w:rsid w:val="730D09BA"/>
    <w:rsid w:val="730D3CF4"/>
    <w:rsid w:val="730D50B6"/>
    <w:rsid w:val="730D6C0C"/>
    <w:rsid w:val="730E027D"/>
    <w:rsid w:val="730E3F29"/>
    <w:rsid w:val="730E64E0"/>
    <w:rsid w:val="730E682F"/>
    <w:rsid w:val="730E74B2"/>
    <w:rsid w:val="730F2726"/>
    <w:rsid w:val="731004AA"/>
    <w:rsid w:val="73100BB1"/>
    <w:rsid w:val="73102258"/>
    <w:rsid w:val="731070EB"/>
    <w:rsid w:val="73110FAE"/>
    <w:rsid w:val="73117D7E"/>
    <w:rsid w:val="731210AE"/>
    <w:rsid w:val="73122968"/>
    <w:rsid w:val="73124222"/>
    <w:rsid w:val="73130341"/>
    <w:rsid w:val="73131D48"/>
    <w:rsid w:val="73133AF6"/>
    <w:rsid w:val="7313464B"/>
    <w:rsid w:val="731358A4"/>
    <w:rsid w:val="73135A6C"/>
    <w:rsid w:val="73135C3F"/>
    <w:rsid w:val="7314390C"/>
    <w:rsid w:val="7314432B"/>
    <w:rsid w:val="73146EFC"/>
    <w:rsid w:val="73150142"/>
    <w:rsid w:val="7315161C"/>
    <w:rsid w:val="73157308"/>
    <w:rsid w:val="7315786E"/>
    <w:rsid w:val="73161C80"/>
    <w:rsid w:val="73162230"/>
    <w:rsid w:val="731627CE"/>
    <w:rsid w:val="7316338A"/>
    <w:rsid w:val="73163E19"/>
    <w:rsid w:val="73165394"/>
    <w:rsid w:val="73165AF5"/>
    <w:rsid w:val="73171838"/>
    <w:rsid w:val="73172CAC"/>
    <w:rsid w:val="731735E6"/>
    <w:rsid w:val="7317587D"/>
    <w:rsid w:val="7318110C"/>
    <w:rsid w:val="731825DF"/>
    <w:rsid w:val="7318735E"/>
    <w:rsid w:val="731955B0"/>
    <w:rsid w:val="731A1328"/>
    <w:rsid w:val="731A2D6E"/>
    <w:rsid w:val="731A30D6"/>
    <w:rsid w:val="731A4DE6"/>
    <w:rsid w:val="731A61B8"/>
    <w:rsid w:val="731A6C33"/>
    <w:rsid w:val="731B0A38"/>
    <w:rsid w:val="731B3B3C"/>
    <w:rsid w:val="731B4C66"/>
    <w:rsid w:val="731C0BFD"/>
    <w:rsid w:val="731C29AB"/>
    <w:rsid w:val="731D16EF"/>
    <w:rsid w:val="731D4975"/>
    <w:rsid w:val="731D5ADA"/>
    <w:rsid w:val="731D6723"/>
    <w:rsid w:val="731E2BC7"/>
    <w:rsid w:val="731E3DB2"/>
    <w:rsid w:val="731F06ED"/>
    <w:rsid w:val="731F249B"/>
    <w:rsid w:val="731F2952"/>
    <w:rsid w:val="731F5D5E"/>
    <w:rsid w:val="731F693F"/>
    <w:rsid w:val="73201B9F"/>
    <w:rsid w:val="73202B52"/>
    <w:rsid w:val="7320549F"/>
    <w:rsid w:val="73210070"/>
    <w:rsid w:val="73214465"/>
    <w:rsid w:val="73216213"/>
    <w:rsid w:val="73223D39"/>
    <w:rsid w:val="73236A99"/>
    <w:rsid w:val="73240D7C"/>
    <w:rsid w:val="73243F55"/>
    <w:rsid w:val="73247AB1"/>
    <w:rsid w:val="73253C02"/>
    <w:rsid w:val="73261311"/>
    <w:rsid w:val="73261A7B"/>
    <w:rsid w:val="73263829"/>
    <w:rsid w:val="73264957"/>
    <w:rsid w:val="73267CCD"/>
    <w:rsid w:val="732700DF"/>
    <w:rsid w:val="73275372"/>
    <w:rsid w:val="732775A1"/>
    <w:rsid w:val="7328175F"/>
    <w:rsid w:val="73281D30"/>
    <w:rsid w:val="73286802"/>
    <w:rsid w:val="73286E4A"/>
    <w:rsid w:val="7329156C"/>
    <w:rsid w:val="732950C8"/>
    <w:rsid w:val="73296E0F"/>
    <w:rsid w:val="732A002F"/>
    <w:rsid w:val="732A1122"/>
    <w:rsid w:val="732A1EB2"/>
    <w:rsid w:val="732B0E40"/>
    <w:rsid w:val="732B25B2"/>
    <w:rsid w:val="732B4922"/>
    <w:rsid w:val="732B52E4"/>
    <w:rsid w:val="732C4333"/>
    <w:rsid w:val="732C4F19"/>
    <w:rsid w:val="732C6966"/>
    <w:rsid w:val="732D1E02"/>
    <w:rsid w:val="732D789B"/>
    <w:rsid w:val="732D7989"/>
    <w:rsid w:val="732D7BE0"/>
    <w:rsid w:val="732E08D8"/>
    <w:rsid w:val="732E0930"/>
    <w:rsid w:val="732E0F5A"/>
    <w:rsid w:val="732E26DE"/>
    <w:rsid w:val="732E470E"/>
    <w:rsid w:val="732E4873"/>
    <w:rsid w:val="732E60FE"/>
    <w:rsid w:val="732E6B82"/>
    <w:rsid w:val="732E7F80"/>
    <w:rsid w:val="732F01D4"/>
    <w:rsid w:val="732F21D5"/>
    <w:rsid w:val="732F23C3"/>
    <w:rsid w:val="732F2BBE"/>
    <w:rsid w:val="732F3B04"/>
    <w:rsid w:val="732F6CEC"/>
    <w:rsid w:val="733028FA"/>
    <w:rsid w:val="73310FF5"/>
    <w:rsid w:val="73313BD5"/>
    <w:rsid w:val="733149D8"/>
    <w:rsid w:val="7331611C"/>
    <w:rsid w:val="733221CE"/>
    <w:rsid w:val="73322ADD"/>
    <w:rsid w:val="73327B0D"/>
    <w:rsid w:val="73334777"/>
    <w:rsid w:val="73335F46"/>
    <w:rsid w:val="73337CF4"/>
    <w:rsid w:val="73337F0D"/>
    <w:rsid w:val="73342B37"/>
    <w:rsid w:val="73345D5F"/>
    <w:rsid w:val="73351CBE"/>
    <w:rsid w:val="73353A6C"/>
    <w:rsid w:val="73357F10"/>
    <w:rsid w:val="73360E06"/>
    <w:rsid w:val="733676C5"/>
    <w:rsid w:val="73373C88"/>
    <w:rsid w:val="73375A36"/>
    <w:rsid w:val="733777E5"/>
    <w:rsid w:val="7338355D"/>
    <w:rsid w:val="7338490D"/>
    <w:rsid w:val="73384954"/>
    <w:rsid w:val="733956DB"/>
    <w:rsid w:val="733A1083"/>
    <w:rsid w:val="733A14C9"/>
    <w:rsid w:val="733A4E40"/>
    <w:rsid w:val="733A5527"/>
    <w:rsid w:val="733A5777"/>
    <w:rsid w:val="733A6238"/>
    <w:rsid w:val="733A70C3"/>
    <w:rsid w:val="733A72D5"/>
    <w:rsid w:val="733B02ED"/>
    <w:rsid w:val="733B33E0"/>
    <w:rsid w:val="733B47F5"/>
    <w:rsid w:val="733B56A7"/>
    <w:rsid w:val="733B62C7"/>
    <w:rsid w:val="733B673A"/>
    <w:rsid w:val="733C304D"/>
    <w:rsid w:val="733C4C78"/>
    <w:rsid w:val="733C68DD"/>
    <w:rsid w:val="733C7E21"/>
    <w:rsid w:val="733D0B73"/>
    <w:rsid w:val="733D2DB3"/>
    <w:rsid w:val="733D75B6"/>
    <w:rsid w:val="733D7B03"/>
    <w:rsid w:val="733E00D9"/>
    <w:rsid w:val="733E2B41"/>
    <w:rsid w:val="733E3405"/>
    <w:rsid w:val="733E496C"/>
    <w:rsid w:val="733E6DC5"/>
    <w:rsid w:val="733F0772"/>
    <w:rsid w:val="733F0D8F"/>
    <w:rsid w:val="733F2B3D"/>
    <w:rsid w:val="733F48EB"/>
    <w:rsid w:val="733F6699"/>
    <w:rsid w:val="734020D8"/>
    <w:rsid w:val="73403348"/>
    <w:rsid w:val="73410663"/>
    <w:rsid w:val="7341176D"/>
    <w:rsid w:val="734204B9"/>
    <w:rsid w:val="73430029"/>
    <w:rsid w:val="7343163D"/>
    <w:rsid w:val="73440153"/>
    <w:rsid w:val="73441498"/>
    <w:rsid w:val="73441CC9"/>
    <w:rsid w:val="73441F01"/>
    <w:rsid w:val="734463A5"/>
    <w:rsid w:val="73447A8D"/>
    <w:rsid w:val="73451759"/>
    <w:rsid w:val="734608FB"/>
    <w:rsid w:val="734616B7"/>
    <w:rsid w:val="73463696"/>
    <w:rsid w:val="73465C7A"/>
    <w:rsid w:val="734671BA"/>
    <w:rsid w:val="73467A28"/>
    <w:rsid w:val="73467AF6"/>
    <w:rsid w:val="734737A0"/>
    <w:rsid w:val="734819F2"/>
    <w:rsid w:val="734939BC"/>
    <w:rsid w:val="7349576A"/>
    <w:rsid w:val="73495B3B"/>
    <w:rsid w:val="734A1BC2"/>
    <w:rsid w:val="734A1F2E"/>
    <w:rsid w:val="734A299B"/>
    <w:rsid w:val="734A4AA8"/>
    <w:rsid w:val="734A5E12"/>
    <w:rsid w:val="734A7353"/>
    <w:rsid w:val="734A753D"/>
    <w:rsid w:val="734B113B"/>
    <w:rsid w:val="734B14E2"/>
    <w:rsid w:val="734B1B9C"/>
    <w:rsid w:val="734B3290"/>
    <w:rsid w:val="734B504A"/>
    <w:rsid w:val="734B7734"/>
    <w:rsid w:val="734C3D25"/>
    <w:rsid w:val="734C5BC6"/>
    <w:rsid w:val="734D182C"/>
    <w:rsid w:val="734D525A"/>
    <w:rsid w:val="734E2D80"/>
    <w:rsid w:val="734E4B2E"/>
    <w:rsid w:val="734E7FFD"/>
    <w:rsid w:val="734F0FD2"/>
    <w:rsid w:val="734F56E3"/>
    <w:rsid w:val="734F6DDC"/>
    <w:rsid w:val="735005C7"/>
    <w:rsid w:val="735008A6"/>
    <w:rsid w:val="73502E3D"/>
    <w:rsid w:val="73503460"/>
    <w:rsid w:val="73506AF8"/>
    <w:rsid w:val="73506FE8"/>
    <w:rsid w:val="73512CCA"/>
    <w:rsid w:val="73515143"/>
    <w:rsid w:val="73515A0E"/>
    <w:rsid w:val="73520AC2"/>
    <w:rsid w:val="73521A35"/>
    <w:rsid w:val="73522870"/>
    <w:rsid w:val="7352461E"/>
    <w:rsid w:val="735322B2"/>
    <w:rsid w:val="73533EAF"/>
    <w:rsid w:val="735503D9"/>
    <w:rsid w:val="73551D91"/>
    <w:rsid w:val="73552E88"/>
    <w:rsid w:val="7355410F"/>
    <w:rsid w:val="7355581F"/>
    <w:rsid w:val="73555EBD"/>
    <w:rsid w:val="73556342"/>
    <w:rsid w:val="73556F95"/>
    <w:rsid w:val="7356031E"/>
    <w:rsid w:val="73561F7D"/>
    <w:rsid w:val="73566F34"/>
    <w:rsid w:val="7357013F"/>
    <w:rsid w:val="73571880"/>
    <w:rsid w:val="73571FDB"/>
    <w:rsid w:val="735744E1"/>
    <w:rsid w:val="73574F13"/>
    <w:rsid w:val="735754B8"/>
    <w:rsid w:val="735760D9"/>
    <w:rsid w:val="73577E87"/>
    <w:rsid w:val="73581E92"/>
    <w:rsid w:val="73584C2C"/>
    <w:rsid w:val="7358643A"/>
    <w:rsid w:val="73590D52"/>
    <w:rsid w:val="73595630"/>
    <w:rsid w:val="73597808"/>
    <w:rsid w:val="735A21CD"/>
    <w:rsid w:val="735A24C5"/>
    <w:rsid w:val="735A34D3"/>
    <w:rsid w:val="735A6AC0"/>
    <w:rsid w:val="735B1691"/>
    <w:rsid w:val="735C13E0"/>
    <w:rsid w:val="735C36EF"/>
    <w:rsid w:val="735C62F8"/>
    <w:rsid w:val="735E0AC7"/>
    <w:rsid w:val="735E12E8"/>
    <w:rsid w:val="735E4D17"/>
    <w:rsid w:val="735F0AE9"/>
    <w:rsid w:val="735F1CAA"/>
    <w:rsid w:val="735F3022"/>
    <w:rsid w:val="735F6D3B"/>
    <w:rsid w:val="73605A33"/>
    <w:rsid w:val="73605D7B"/>
    <w:rsid w:val="73610D05"/>
    <w:rsid w:val="73612AB3"/>
    <w:rsid w:val="73613DC2"/>
    <w:rsid w:val="73614861"/>
    <w:rsid w:val="73624FB6"/>
    <w:rsid w:val="736308BE"/>
    <w:rsid w:val="73633683"/>
    <w:rsid w:val="73634A7D"/>
    <w:rsid w:val="73635527"/>
    <w:rsid w:val="7363682B"/>
    <w:rsid w:val="736425A4"/>
    <w:rsid w:val="736435FE"/>
    <w:rsid w:val="73644352"/>
    <w:rsid w:val="736507F6"/>
    <w:rsid w:val="73654C57"/>
    <w:rsid w:val="73655314"/>
    <w:rsid w:val="736600CA"/>
    <w:rsid w:val="73666173"/>
    <w:rsid w:val="7366631C"/>
    <w:rsid w:val="736740C5"/>
    <w:rsid w:val="73677A56"/>
    <w:rsid w:val="73677C34"/>
    <w:rsid w:val="736810C4"/>
    <w:rsid w:val="73682094"/>
    <w:rsid w:val="736829FA"/>
    <w:rsid w:val="736868D7"/>
    <w:rsid w:val="73691B05"/>
    <w:rsid w:val="73692554"/>
    <w:rsid w:val="73693FEA"/>
    <w:rsid w:val="736A4CB9"/>
    <w:rsid w:val="736A5E0C"/>
    <w:rsid w:val="736B1B84"/>
    <w:rsid w:val="736B56E0"/>
    <w:rsid w:val="736B748E"/>
    <w:rsid w:val="736C0ED5"/>
    <w:rsid w:val="736C5550"/>
    <w:rsid w:val="736C6F37"/>
    <w:rsid w:val="736D1458"/>
    <w:rsid w:val="736D5622"/>
    <w:rsid w:val="736E2C65"/>
    <w:rsid w:val="736E4F36"/>
    <w:rsid w:val="736E51D0"/>
    <w:rsid w:val="736E6F7E"/>
    <w:rsid w:val="736F2172"/>
    <w:rsid w:val="736F23EC"/>
    <w:rsid w:val="736F3422"/>
    <w:rsid w:val="736F4CB3"/>
    <w:rsid w:val="736F63C6"/>
    <w:rsid w:val="736F77D9"/>
    <w:rsid w:val="736F7856"/>
    <w:rsid w:val="73700CE6"/>
    <w:rsid w:val="73700F48"/>
    <w:rsid w:val="73715858"/>
    <w:rsid w:val="73715DD6"/>
    <w:rsid w:val="73722F12"/>
    <w:rsid w:val="73724CC1"/>
    <w:rsid w:val="73726A6F"/>
    <w:rsid w:val="73727918"/>
    <w:rsid w:val="73734595"/>
    <w:rsid w:val="7374189F"/>
    <w:rsid w:val="737427E7"/>
    <w:rsid w:val="737454E9"/>
    <w:rsid w:val="737473EC"/>
    <w:rsid w:val="7375030D"/>
    <w:rsid w:val="7375233D"/>
    <w:rsid w:val="737547B1"/>
    <w:rsid w:val="7375655F"/>
    <w:rsid w:val="737607E1"/>
    <w:rsid w:val="73764B58"/>
    <w:rsid w:val="737658DF"/>
    <w:rsid w:val="73766299"/>
    <w:rsid w:val="73770529"/>
    <w:rsid w:val="737720DF"/>
    <w:rsid w:val="7377233F"/>
    <w:rsid w:val="73774085"/>
    <w:rsid w:val="737740C4"/>
    <w:rsid w:val="7378016B"/>
    <w:rsid w:val="73781AE6"/>
    <w:rsid w:val="7378254C"/>
    <w:rsid w:val="7379782F"/>
    <w:rsid w:val="737A1DC7"/>
    <w:rsid w:val="737A34D9"/>
    <w:rsid w:val="737A4969"/>
    <w:rsid w:val="737A5923"/>
    <w:rsid w:val="737A60AA"/>
    <w:rsid w:val="737B1022"/>
    <w:rsid w:val="737B3522"/>
    <w:rsid w:val="737C169B"/>
    <w:rsid w:val="737C20A7"/>
    <w:rsid w:val="737C5B3F"/>
    <w:rsid w:val="737C7563"/>
    <w:rsid w:val="737C78ED"/>
    <w:rsid w:val="737E18B7"/>
    <w:rsid w:val="737E1B01"/>
    <w:rsid w:val="737E2F11"/>
    <w:rsid w:val="737E3665"/>
    <w:rsid w:val="737E5413"/>
    <w:rsid w:val="737E5EBB"/>
    <w:rsid w:val="737F118B"/>
    <w:rsid w:val="737F249B"/>
    <w:rsid w:val="737F2F3A"/>
    <w:rsid w:val="737F73DD"/>
    <w:rsid w:val="737F7477"/>
    <w:rsid w:val="738007DB"/>
    <w:rsid w:val="73800E3B"/>
    <w:rsid w:val="73813156"/>
    <w:rsid w:val="73814F04"/>
    <w:rsid w:val="73816CB2"/>
    <w:rsid w:val="73816F68"/>
    <w:rsid w:val="73820031"/>
    <w:rsid w:val="73820F58"/>
    <w:rsid w:val="738265A6"/>
    <w:rsid w:val="738307E8"/>
    <w:rsid w:val="7383089D"/>
    <w:rsid w:val="73830C7C"/>
    <w:rsid w:val="73832670"/>
    <w:rsid w:val="73832A2A"/>
    <w:rsid w:val="738343C2"/>
    <w:rsid w:val="73834578"/>
    <w:rsid w:val="73836ECE"/>
    <w:rsid w:val="7384715C"/>
    <w:rsid w:val="738531BD"/>
    <w:rsid w:val="738549F4"/>
    <w:rsid w:val="73860117"/>
    <w:rsid w:val="7386076C"/>
    <w:rsid w:val="73860D36"/>
    <w:rsid w:val="73861F99"/>
    <w:rsid w:val="7386251A"/>
    <w:rsid w:val="738656F7"/>
    <w:rsid w:val="73871C90"/>
    <w:rsid w:val="7387660A"/>
    <w:rsid w:val="7387721E"/>
    <w:rsid w:val="73880040"/>
    <w:rsid w:val="73880BB2"/>
    <w:rsid w:val="73881563"/>
    <w:rsid w:val="738844E4"/>
    <w:rsid w:val="73886292"/>
    <w:rsid w:val="7388747A"/>
    <w:rsid w:val="73891B3E"/>
    <w:rsid w:val="738925E4"/>
    <w:rsid w:val="73893DB8"/>
    <w:rsid w:val="738961A8"/>
    <w:rsid w:val="738A025C"/>
    <w:rsid w:val="738A079E"/>
    <w:rsid w:val="738A200A"/>
    <w:rsid w:val="738B18DE"/>
    <w:rsid w:val="738B5D82"/>
    <w:rsid w:val="738B702F"/>
    <w:rsid w:val="738B7B30"/>
    <w:rsid w:val="738C04BF"/>
    <w:rsid w:val="738C0C86"/>
    <w:rsid w:val="738C7822"/>
    <w:rsid w:val="738D1AFA"/>
    <w:rsid w:val="738D1B74"/>
    <w:rsid w:val="738D38A8"/>
    <w:rsid w:val="738D5656"/>
    <w:rsid w:val="738D621C"/>
    <w:rsid w:val="738E13CF"/>
    <w:rsid w:val="738F072A"/>
    <w:rsid w:val="738F4117"/>
    <w:rsid w:val="738F7621"/>
    <w:rsid w:val="739002D0"/>
    <w:rsid w:val="73903399"/>
    <w:rsid w:val="73904FD5"/>
    <w:rsid w:val="73905147"/>
    <w:rsid w:val="73915642"/>
    <w:rsid w:val="73920EBF"/>
    <w:rsid w:val="73922BF0"/>
    <w:rsid w:val="73922C6D"/>
    <w:rsid w:val="73927111"/>
    <w:rsid w:val="73933B82"/>
    <w:rsid w:val="739369E5"/>
    <w:rsid w:val="739403BB"/>
    <w:rsid w:val="73951A44"/>
    <w:rsid w:val="7395212C"/>
    <w:rsid w:val="7395275D"/>
    <w:rsid w:val="73952CB2"/>
    <w:rsid w:val="7396222C"/>
    <w:rsid w:val="73964142"/>
    <w:rsid w:val="73965CF6"/>
    <w:rsid w:val="73966C01"/>
    <w:rsid w:val="73970283"/>
    <w:rsid w:val="73972979"/>
    <w:rsid w:val="73974688"/>
    <w:rsid w:val="7398078A"/>
    <w:rsid w:val="73981633"/>
    <w:rsid w:val="73982CA4"/>
    <w:rsid w:val="7399049F"/>
    <w:rsid w:val="739915E2"/>
    <w:rsid w:val="7399224D"/>
    <w:rsid w:val="7399244A"/>
    <w:rsid w:val="73993FFB"/>
    <w:rsid w:val="739A5FC5"/>
    <w:rsid w:val="739A7968"/>
    <w:rsid w:val="739B10F7"/>
    <w:rsid w:val="739B4217"/>
    <w:rsid w:val="739B6209"/>
    <w:rsid w:val="739B7204"/>
    <w:rsid w:val="739C3AEB"/>
    <w:rsid w:val="739C463F"/>
    <w:rsid w:val="739C656F"/>
    <w:rsid w:val="739C6C0B"/>
    <w:rsid w:val="739C7E44"/>
    <w:rsid w:val="739D7179"/>
    <w:rsid w:val="739E3136"/>
    <w:rsid w:val="739E31BE"/>
    <w:rsid w:val="739E5AB6"/>
    <w:rsid w:val="739E5ADD"/>
    <w:rsid w:val="739F2C29"/>
    <w:rsid w:val="739F538A"/>
    <w:rsid w:val="739F7639"/>
    <w:rsid w:val="73A01A34"/>
    <w:rsid w:val="73A03884"/>
    <w:rsid w:val="73A051F4"/>
    <w:rsid w:val="73A06DF4"/>
    <w:rsid w:val="73A070BE"/>
    <w:rsid w:val="73A103C3"/>
    <w:rsid w:val="73A11102"/>
    <w:rsid w:val="73A155A6"/>
    <w:rsid w:val="73A17354"/>
    <w:rsid w:val="73A23ACD"/>
    <w:rsid w:val="73A26A77"/>
    <w:rsid w:val="73A26DE2"/>
    <w:rsid w:val="73A279CB"/>
    <w:rsid w:val="73A309A3"/>
    <w:rsid w:val="73A3131E"/>
    <w:rsid w:val="73A31608"/>
    <w:rsid w:val="73A31B33"/>
    <w:rsid w:val="73A330CC"/>
    <w:rsid w:val="73A34E7A"/>
    <w:rsid w:val="73A41C0D"/>
    <w:rsid w:val="73A429A0"/>
    <w:rsid w:val="73A45509"/>
    <w:rsid w:val="73A51B69"/>
    <w:rsid w:val="73A55905"/>
    <w:rsid w:val="73A56E44"/>
    <w:rsid w:val="73A62BBC"/>
    <w:rsid w:val="73A647AE"/>
    <w:rsid w:val="73A66718"/>
    <w:rsid w:val="73A6715E"/>
    <w:rsid w:val="73A702C5"/>
    <w:rsid w:val="73A707EA"/>
    <w:rsid w:val="73A711B1"/>
    <w:rsid w:val="73A73AFE"/>
    <w:rsid w:val="73A750C7"/>
    <w:rsid w:val="73A803F0"/>
    <w:rsid w:val="73A806E2"/>
    <w:rsid w:val="73A81128"/>
    <w:rsid w:val="73A8286A"/>
    <w:rsid w:val="73A86557"/>
    <w:rsid w:val="73AA0E77"/>
    <w:rsid w:val="73AA26AC"/>
    <w:rsid w:val="73AA3A48"/>
    <w:rsid w:val="73AA445A"/>
    <w:rsid w:val="73AA4A93"/>
    <w:rsid w:val="73AB3967"/>
    <w:rsid w:val="73AB3D2F"/>
    <w:rsid w:val="73AB4DD3"/>
    <w:rsid w:val="73AB4ED8"/>
    <w:rsid w:val="73AD0F38"/>
    <w:rsid w:val="73AD16CB"/>
    <w:rsid w:val="73AD381B"/>
    <w:rsid w:val="73AD3F4B"/>
    <w:rsid w:val="73AD45E0"/>
    <w:rsid w:val="73AD522B"/>
    <w:rsid w:val="73AD77F7"/>
    <w:rsid w:val="73AE2C05"/>
    <w:rsid w:val="73AE5E19"/>
    <w:rsid w:val="73AE7C9B"/>
    <w:rsid w:val="73AF1A71"/>
    <w:rsid w:val="73AF270B"/>
    <w:rsid w:val="73AF381F"/>
    <w:rsid w:val="73AF3858"/>
    <w:rsid w:val="73AF3F96"/>
    <w:rsid w:val="73AF5163"/>
    <w:rsid w:val="73AF7CC3"/>
    <w:rsid w:val="73B01345"/>
    <w:rsid w:val="73B02DB1"/>
    <w:rsid w:val="73B057E9"/>
    <w:rsid w:val="73B07597"/>
    <w:rsid w:val="73B10D49"/>
    <w:rsid w:val="73B11269"/>
    <w:rsid w:val="73B12D65"/>
    <w:rsid w:val="73B13143"/>
    <w:rsid w:val="73B13A3B"/>
    <w:rsid w:val="73B219A5"/>
    <w:rsid w:val="73B22F73"/>
    <w:rsid w:val="73B242BE"/>
    <w:rsid w:val="73B250BD"/>
    <w:rsid w:val="73B25D69"/>
    <w:rsid w:val="73B31DE8"/>
    <w:rsid w:val="73B452D9"/>
    <w:rsid w:val="73B46783"/>
    <w:rsid w:val="73B46CC8"/>
    <w:rsid w:val="73B47087"/>
    <w:rsid w:val="73B476CA"/>
    <w:rsid w:val="73B50EC7"/>
    <w:rsid w:val="73B52DFF"/>
    <w:rsid w:val="73B55529"/>
    <w:rsid w:val="73B61051"/>
    <w:rsid w:val="73B61FEA"/>
    <w:rsid w:val="73B6372B"/>
    <w:rsid w:val="73B641C8"/>
    <w:rsid w:val="73B6653F"/>
    <w:rsid w:val="73B726D3"/>
    <w:rsid w:val="73B747F5"/>
    <w:rsid w:val="73B74BBB"/>
    <w:rsid w:val="73B74C74"/>
    <w:rsid w:val="73B83147"/>
    <w:rsid w:val="73B84D22"/>
    <w:rsid w:val="73B928EF"/>
    <w:rsid w:val="73B9469D"/>
    <w:rsid w:val="73B9644B"/>
    <w:rsid w:val="73BA096B"/>
    <w:rsid w:val="73BA1136"/>
    <w:rsid w:val="73BA21C4"/>
    <w:rsid w:val="73BB0416"/>
    <w:rsid w:val="73BB1DFB"/>
    <w:rsid w:val="73BB4017"/>
    <w:rsid w:val="73BB5BA3"/>
    <w:rsid w:val="73BC23E0"/>
    <w:rsid w:val="73BC418E"/>
    <w:rsid w:val="73BC4B00"/>
    <w:rsid w:val="73BD72EC"/>
    <w:rsid w:val="73BE077C"/>
    <w:rsid w:val="73BE334D"/>
    <w:rsid w:val="73BF2EAB"/>
    <w:rsid w:val="73BF304D"/>
    <w:rsid w:val="73BF47DD"/>
    <w:rsid w:val="73BF4D3B"/>
    <w:rsid w:val="73BF77DA"/>
    <w:rsid w:val="73C010F7"/>
    <w:rsid w:val="73C05A2C"/>
    <w:rsid w:val="73C05C6D"/>
    <w:rsid w:val="73C117A4"/>
    <w:rsid w:val="73C12814"/>
    <w:rsid w:val="73C13552"/>
    <w:rsid w:val="73C21CCE"/>
    <w:rsid w:val="73C31078"/>
    <w:rsid w:val="73C3315E"/>
    <w:rsid w:val="73C3551C"/>
    <w:rsid w:val="73C372CA"/>
    <w:rsid w:val="73C51294"/>
    <w:rsid w:val="73C51AD5"/>
    <w:rsid w:val="73C53042"/>
    <w:rsid w:val="73C60B68"/>
    <w:rsid w:val="73C6500C"/>
    <w:rsid w:val="73C66DBA"/>
    <w:rsid w:val="73C71425"/>
    <w:rsid w:val="73C748F9"/>
    <w:rsid w:val="73C80D84"/>
    <w:rsid w:val="73C843FF"/>
    <w:rsid w:val="73C848E1"/>
    <w:rsid w:val="73C911EC"/>
    <w:rsid w:val="73C92407"/>
    <w:rsid w:val="73C92A59"/>
    <w:rsid w:val="73C95A04"/>
    <w:rsid w:val="73CA0659"/>
    <w:rsid w:val="73CA18F0"/>
    <w:rsid w:val="73CA57A7"/>
    <w:rsid w:val="73CB41EE"/>
    <w:rsid w:val="73CB44C1"/>
    <w:rsid w:val="73CB617F"/>
    <w:rsid w:val="73CC2623"/>
    <w:rsid w:val="73CD1EF7"/>
    <w:rsid w:val="73CD4ADC"/>
    <w:rsid w:val="73CD639B"/>
    <w:rsid w:val="73CE0271"/>
    <w:rsid w:val="73CE3DC7"/>
    <w:rsid w:val="73CF3EC1"/>
    <w:rsid w:val="73CF4692"/>
    <w:rsid w:val="73D019E7"/>
    <w:rsid w:val="73D10333"/>
    <w:rsid w:val="73D15EDF"/>
    <w:rsid w:val="73D16BF2"/>
    <w:rsid w:val="73D17C39"/>
    <w:rsid w:val="73D20082"/>
    <w:rsid w:val="73D24415"/>
    <w:rsid w:val="73D25041"/>
    <w:rsid w:val="73D2750D"/>
    <w:rsid w:val="73D31512"/>
    <w:rsid w:val="73D332A1"/>
    <w:rsid w:val="73D43285"/>
    <w:rsid w:val="73D45D3D"/>
    <w:rsid w:val="73D50144"/>
    <w:rsid w:val="73D509D0"/>
    <w:rsid w:val="73D56FFD"/>
    <w:rsid w:val="73D6524F"/>
    <w:rsid w:val="73D65FA2"/>
    <w:rsid w:val="73D67E93"/>
    <w:rsid w:val="73D7089D"/>
    <w:rsid w:val="73D71E76"/>
    <w:rsid w:val="73D72D76"/>
    <w:rsid w:val="73D74B24"/>
    <w:rsid w:val="73D76183"/>
    <w:rsid w:val="73D8040D"/>
    <w:rsid w:val="73D80A04"/>
    <w:rsid w:val="73D81C3A"/>
    <w:rsid w:val="73D82886"/>
    <w:rsid w:val="73D832C2"/>
    <w:rsid w:val="73D8585A"/>
    <w:rsid w:val="73D9089C"/>
    <w:rsid w:val="73D90FE2"/>
    <w:rsid w:val="73D90FFB"/>
    <w:rsid w:val="73D94590"/>
    <w:rsid w:val="73D94D40"/>
    <w:rsid w:val="73D95384"/>
    <w:rsid w:val="73D97EF9"/>
    <w:rsid w:val="73DA223C"/>
    <w:rsid w:val="73DA3A6B"/>
    <w:rsid w:val="73DA4614"/>
    <w:rsid w:val="73DA58ED"/>
    <w:rsid w:val="73DB0AB8"/>
    <w:rsid w:val="73DB21E0"/>
    <w:rsid w:val="73DB2866"/>
    <w:rsid w:val="73DB2875"/>
    <w:rsid w:val="73DB376D"/>
    <w:rsid w:val="73DB3FB6"/>
    <w:rsid w:val="73DB534F"/>
    <w:rsid w:val="73DB5F81"/>
    <w:rsid w:val="73DC038C"/>
    <w:rsid w:val="73DC213A"/>
    <w:rsid w:val="73DD5247"/>
    <w:rsid w:val="73DE1F4E"/>
    <w:rsid w:val="73DE2356"/>
    <w:rsid w:val="73DE2937"/>
    <w:rsid w:val="73DE2E29"/>
    <w:rsid w:val="73DE3869"/>
    <w:rsid w:val="73DE3AB1"/>
    <w:rsid w:val="73DE78B6"/>
    <w:rsid w:val="73DE7D66"/>
    <w:rsid w:val="73DF2696"/>
    <w:rsid w:val="73DF3DC7"/>
    <w:rsid w:val="73DF6992"/>
    <w:rsid w:val="73E01156"/>
    <w:rsid w:val="73E01C2A"/>
    <w:rsid w:val="73E105F6"/>
    <w:rsid w:val="73E221DF"/>
    <w:rsid w:val="73E22A85"/>
    <w:rsid w:val="73E25879"/>
    <w:rsid w:val="73E30E39"/>
    <w:rsid w:val="73E31007"/>
    <w:rsid w:val="73E334C8"/>
    <w:rsid w:val="73E3796C"/>
    <w:rsid w:val="73E40391"/>
    <w:rsid w:val="73E45068"/>
    <w:rsid w:val="73E47426"/>
    <w:rsid w:val="73E536E4"/>
    <w:rsid w:val="73E55492"/>
    <w:rsid w:val="73E55634"/>
    <w:rsid w:val="73E612B4"/>
    <w:rsid w:val="73E67988"/>
    <w:rsid w:val="73E70E18"/>
    <w:rsid w:val="73E768C3"/>
    <w:rsid w:val="73E7745D"/>
    <w:rsid w:val="73E831D5"/>
    <w:rsid w:val="73E86D31"/>
    <w:rsid w:val="73E97A4A"/>
    <w:rsid w:val="73EA0CFB"/>
    <w:rsid w:val="73EA0EDA"/>
    <w:rsid w:val="73EA2AA9"/>
    <w:rsid w:val="73EA3366"/>
    <w:rsid w:val="73EA4415"/>
    <w:rsid w:val="73EA51AD"/>
    <w:rsid w:val="73EA6309"/>
    <w:rsid w:val="73EB05CF"/>
    <w:rsid w:val="73EB22F9"/>
    <w:rsid w:val="73EB236A"/>
    <w:rsid w:val="73EB5670"/>
    <w:rsid w:val="73EB6821"/>
    <w:rsid w:val="73EB7799"/>
    <w:rsid w:val="73EB7AB0"/>
    <w:rsid w:val="73EC4A73"/>
    <w:rsid w:val="73ED07EB"/>
    <w:rsid w:val="73ED4347"/>
    <w:rsid w:val="73ED5998"/>
    <w:rsid w:val="73ED721F"/>
    <w:rsid w:val="73EE25EE"/>
    <w:rsid w:val="73EE405D"/>
    <w:rsid w:val="73EE5BC3"/>
    <w:rsid w:val="73EF00BF"/>
    <w:rsid w:val="73EF1E6D"/>
    <w:rsid w:val="73EF32A8"/>
    <w:rsid w:val="73EF586B"/>
    <w:rsid w:val="73EF6311"/>
    <w:rsid w:val="73F04D4C"/>
    <w:rsid w:val="73F05BE5"/>
    <w:rsid w:val="73F06669"/>
    <w:rsid w:val="73F07FFF"/>
    <w:rsid w:val="73F12089"/>
    <w:rsid w:val="73F1375A"/>
    <w:rsid w:val="73F14A9B"/>
    <w:rsid w:val="73F152D1"/>
    <w:rsid w:val="73F20269"/>
    <w:rsid w:val="73F238FC"/>
    <w:rsid w:val="73F25C64"/>
    <w:rsid w:val="73F2766C"/>
    <w:rsid w:val="73F30453"/>
    <w:rsid w:val="73F41B79"/>
    <w:rsid w:val="73F41F8C"/>
    <w:rsid w:val="73F43927"/>
    <w:rsid w:val="73F456D6"/>
    <w:rsid w:val="73F501E7"/>
    <w:rsid w:val="73F5341C"/>
    <w:rsid w:val="73F54893"/>
    <w:rsid w:val="73F578D0"/>
    <w:rsid w:val="73F6144E"/>
    <w:rsid w:val="73F6747D"/>
    <w:rsid w:val="73F7204E"/>
    <w:rsid w:val="73F73CFA"/>
    <w:rsid w:val="73F751C6"/>
    <w:rsid w:val="73F76D4C"/>
    <w:rsid w:val="73F86908"/>
    <w:rsid w:val="73F8797C"/>
    <w:rsid w:val="73F90F3E"/>
    <w:rsid w:val="73F92CEC"/>
    <w:rsid w:val="73F9496E"/>
    <w:rsid w:val="73F94BF8"/>
    <w:rsid w:val="73F977FD"/>
    <w:rsid w:val="73FA0F03"/>
    <w:rsid w:val="73FA1085"/>
    <w:rsid w:val="73FA12E1"/>
    <w:rsid w:val="73FA1B15"/>
    <w:rsid w:val="73FB2F08"/>
    <w:rsid w:val="73FB4CB6"/>
    <w:rsid w:val="73FC0A2E"/>
    <w:rsid w:val="73FC1BD6"/>
    <w:rsid w:val="73FC27DC"/>
    <w:rsid w:val="73FC458A"/>
    <w:rsid w:val="73FD422D"/>
    <w:rsid w:val="73FD477F"/>
    <w:rsid w:val="73FE47A6"/>
    <w:rsid w:val="73FF181C"/>
    <w:rsid w:val="73FF318D"/>
    <w:rsid w:val="73FF6600"/>
    <w:rsid w:val="73FF709F"/>
    <w:rsid w:val="7400051E"/>
    <w:rsid w:val="740028E9"/>
    <w:rsid w:val="7400407A"/>
    <w:rsid w:val="74015CD1"/>
    <w:rsid w:val="74017DF2"/>
    <w:rsid w:val="74024296"/>
    <w:rsid w:val="74025471"/>
    <w:rsid w:val="74033B6B"/>
    <w:rsid w:val="74035919"/>
    <w:rsid w:val="7403605F"/>
    <w:rsid w:val="74040436"/>
    <w:rsid w:val="740404D8"/>
    <w:rsid w:val="74050E75"/>
    <w:rsid w:val="74051165"/>
    <w:rsid w:val="74051691"/>
    <w:rsid w:val="74052F11"/>
    <w:rsid w:val="74054DCB"/>
    <w:rsid w:val="74055B35"/>
    <w:rsid w:val="740563C2"/>
    <w:rsid w:val="74057244"/>
    <w:rsid w:val="7406024E"/>
    <w:rsid w:val="7406353F"/>
    <w:rsid w:val="74063B36"/>
    <w:rsid w:val="740718AD"/>
    <w:rsid w:val="740722AB"/>
    <w:rsid w:val="7407365B"/>
    <w:rsid w:val="7407412D"/>
    <w:rsid w:val="74082A5B"/>
    <w:rsid w:val="74082FD3"/>
    <w:rsid w:val="740863C8"/>
    <w:rsid w:val="740873D3"/>
    <w:rsid w:val="7409160E"/>
    <w:rsid w:val="74092D22"/>
    <w:rsid w:val="74097195"/>
    <w:rsid w:val="740A1223"/>
    <w:rsid w:val="740A3A87"/>
    <w:rsid w:val="740A3A9A"/>
    <w:rsid w:val="740A5F00"/>
    <w:rsid w:val="740A6CA7"/>
    <w:rsid w:val="740A6D83"/>
    <w:rsid w:val="740A7301"/>
    <w:rsid w:val="740A7A8A"/>
    <w:rsid w:val="740A7D83"/>
    <w:rsid w:val="740B1651"/>
    <w:rsid w:val="740B1954"/>
    <w:rsid w:val="740B2A1F"/>
    <w:rsid w:val="740C0C71"/>
    <w:rsid w:val="740C16A3"/>
    <w:rsid w:val="740C2DE4"/>
    <w:rsid w:val="740C41EF"/>
    <w:rsid w:val="740C658E"/>
    <w:rsid w:val="740C6EC3"/>
    <w:rsid w:val="740C788F"/>
    <w:rsid w:val="740D2C3B"/>
    <w:rsid w:val="740D32C1"/>
    <w:rsid w:val="740D4274"/>
    <w:rsid w:val="740D49E9"/>
    <w:rsid w:val="740D6797"/>
    <w:rsid w:val="740E1600"/>
    <w:rsid w:val="740E3197"/>
    <w:rsid w:val="740E3F4A"/>
    <w:rsid w:val="740E71EB"/>
    <w:rsid w:val="740F0761"/>
    <w:rsid w:val="740F1765"/>
    <w:rsid w:val="740F1E79"/>
    <w:rsid w:val="740F6AE2"/>
    <w:rsid w:val="740F6B94"/>
    <w:rsid w:val="74100036"/>
    <w:rsid w:val="74100752"/>
    <w:rsid w:val="74113EFA"/>
    <w:rsid w:val="741142DD"/>
    <w:rsid w:val="74115665"/>
    <w:rsid w:val="74116287"/>
    <w:rsid w:val="74122000"/>
    <w:rsid w:val="7412392F"/>
    <w:rsid w:val="74123DAE"/>
    <w:rsid w:val="74124682"/>
    <w:rsid w:val="74126C56"/>
    <w:rsid w:val="74130252"/>
    <w:rsid w:val="741344B8"/>
    <w:rsid w:val="74145D78"/>
    <w:rsid w:val="74146953"/>
    <w:rsid w:val="74147B26"/>
    <w:rsid w:val="74157A8F"/>
    <w:rsid w:val="74162289"/>
    <w:rsid w:val="7416389E"/>
    <w:rsid w:val="74163E96"/>
    <w:rsid w:val="7416564C"/>
    <w:rsid w:val="74166A67"/>
    <w:rsid w:val="74171201"/>
    <w:rsid w:val="741713C4"/>
    <w:rsid w:val="741714DE"/>
    <w:rsid w:val="74176E93"/>
    <w:rsid w:val="74177616"/>
    <w:rsid w:val="74177EF7"/>
    <w:rsid w:val="74185868"/>
    <w:rsid w:val="74187E69"/>
    <w:rsid w:val="74190556"/>
    <w:rsid w:val="74193A2F"/>
    <w:rsid w:val="74193AD0"/>
    <w:rsid w:val="7419457A"/>
    <w:rsid w:val="7419513C"/>
    <w:rsid w:val="74196033"/>
    <w:rsid w:val="741B0EB4"/>
    <w:rsid w:val="741B5358"/>
    <w:rsid w:val="741B5E97"/>
    <w:rsid w:val="741B61E8"/>
    <w:rsid w:val="741B7106"/>
    <w:rsid w:val="741C4C2C"/>
    <w:rsid w:val="741C64FF"/>
    <w:rsid w:val="741C732D"/>
    <w:rsid w:val="741D2628"/>
    <w:rsid w:val="741D3841"/>
    <w:rsid w:val="741D42DE"/>
    <w:rsid w:val="741D67F2"/>
    <w:rsid w:val="741E2752"/>
    <w:rsid w:val="741E51F9"/>
    <w:rsid w:val="741E6BF6"/>
    <w:rsid w:val="741E793C"/>
    <w:rsid w:val="741F520A"/>
    <w:rsid w:val="741F539B"/>
    <w:rsid w:val="741F7660"/>
    <w:rsid w:val="7420296E"/>
    <w:rsid w:val="7420471D"/>
    <w:rsid w:val="742064CB"/>
    <w:rsid w:val="742069BA"/>
    <w:rsid w:val="74207DB6"/>
    <w:rsid w:val="74210C4D"/>
    <w:rsid w:val="74213B7A"/>
    <w:rsid w:val="74213D85"/>
    <w:rsid w:val="74220495"/>
    <w:rsid w:val="74221482"/>
    <w:rsid w:val="7422441D"/>
    <w:rsid w:val="74226729"/>
    <w:rsid w:val="74232C88"/>
    <w:rsid w:val="7423380A"/>
    <w:rsid w:val="7423420D"/>
    <w:rsid w:val="74235FBB"/>
    <w:rsid w:val="7423649A"/>
    <w:rsid w:val="742460E6"/>
    <w:rsid w:val="74251D33"/>
    <w:rsid w:val="74253798"/>
    <w:rsid w:val="7425398B"/>
    <w:rsid w:val="742541DA"/>
    <w:rsid w:val="74263486"/>
    <w:rsid w:val="742703B1"/>
    <w:rsid w:val="742739B5"/>
    <w:rsid w:val="74273CFD"/>
    <w:rsid w:val="74275AAB"/>
    <w:rsid w:val="742779EC"/>
    <w:rsid w:val="74281823"/>
    <w:rsid w:val="74282B7B"/>
    <w:rsid w:val="742835D1"/>
    <w:rsid w:val="742837DB"/>
    <w:rsid w:val="74283B1F"/>
    <w:rsid w:val="74293ACB"/>
    <w:rsid w:val="742A2244"/>
    <w:rsid w:val="742A3172"/>
    <w:rsid w:val="742A559B"/>
    <w:rsid w:val="742A5D78"/>
    <w:rsid w:val="742A5EB3"/>
    <w:rsid w:val="742A636D"/>
    <w:rsid w:val="742B279C"/>
    <w:rsid w:val="742B3769"/>
    <w:rsid w:val="742B38CB"/>
    <w:rsid w:val="742B4AA4"/>
    <w:rsid w:val="742B746E"/>
    <w:rsid w:val="742C05E7"/>
    <w:rsid w:val="742C06DE"/>
    <w:rsid w:val="742C1313"/>
    <w:rsid w:val="742C30C1"/>
    <w:rsid w:val="742C4E6F"/>
    <w:rsid w:val="742C5E8F"/>
    <w:rsid w:val="742D0BE7"/>
    <w:rsid w:val="742D1EBF"/>
    <w:rsid w:val="742D6E39"/>
    <w:rsid w:val="742E3A49"/>
    <w:rsid w:val="742E4F45"/>
    <w:rsid w:val="742E553C"/>
    <w:rsid w:val="742F18D2"/>
    <w:rsid w:val="742F2D95"/>
    <w:rsid w:val="742F34F0"/>
    <w:rsid w:val="742F4960"/>
    <w:rsid w:val="743021DF"/>
    <w:rsid w:val="7430541B"/>
    <w:rsid w:val="7430612A"/>
    <w:rsid w:val="74312486"/>
    <w:rsid w:val="74312F5D"/>
    <w:rsid w:val="74313014"/>
    <w:rsid w:val="7431366F"/>
    <w:rsid w:val="7431692A"/>
    <w:rsid w:val="74321816"/>
    <w:rsid w:val="74324450"/>
    <w:rsid w:val="74324AFF"/>
    <w:rsid w:val="74324D74"/>
    <w:rsid w:val="7432705F"/>
    <w:rsid w:val="74327154"/>
    <w:rsid w:val="74331D80"/>
    <w:rsid w:val="743337E4"/>
    <w:rsid w:val="74335144"/>
    <w:rsid w:val="74343D24"/>
    <w:rsid w:val="7434402B"/>
    <w:rsid w:val="7434641A"/>
    <w:rsid w:val="74346E1B"/>
    <w:rsid w:val="743508AF"/>
    <w:rsid w:val="74353480"/>
    <w:rsid w:val="743553DE"/>
    <w:rsid w:val="7435547A"/>
    <w:rsid w:val="74363F40"/>
    <w:rsid w:val="74370F44"/>
    <w:rsid w:val="74373814"/>
    <w:rsid w:val="743756A7"/>
    <w:rsid w:val="74375AEB"/>
    <w:rsid w:val="74375FCC"/>
    <w:rsid w:val="7437673F"/>
    <w:rsid w:val="74384AB6"/>
    <w:rsid w:val="74387114"/>
    <w:rsid w:val="74387230"/>
    <w:rsid w:val="743908CB"/>
    <w:rsid w:val="74392365"/>
    <w:rsid w:val="743957DE"/>
    <w:rsid w:val="74396224"/>
    <w:rsid w:val="7439758C"/>
    <w:rsid w:val="743A0EAD"/>
    <w:rsid w:val="743A3291"/>
    <w:rsid w:val="743A3D40"/>
    <w:rsid w:val="743A5297"/>
    <w:rsid w:val="743B1556"/>
    <w:rsid w:val="743B3304"/>
    <w:rsid w:val="743B35D3"/>
    <w:rsid w:val="743B4721"/>
    <w:rsid w:val="743B50B2"/>
    <w:rsid w:val="743B743A"/>
    <w:rsid w:val="743C24D2"/>
    <w:rsid w:val="743D1C12"/>
    <w:rsid w:val="743D52CE"/>
    <w:rsid w:val="743D635F"/>
    <w:rsid w:val="743D6B0F"/>
    <w:rsid w:val="743E127E"/>
    <w:rsid w:val="743E367E"/>
    <w:rsid w:val="743E47E3"/>
    <w:rsid w:val="743E4BA3"/>
    <w:rsid w:val="743E7AEA"/>
    <w:rsid w:val="743F4532"/>
    <w:rsid w:val="743F5C73"/>
    <w:rsid w:val="743F7A89"/>
    <w:rsid w:val="7440091B"/>
    <w:rsid w:val="74404DBF"/>
    <w:rsid w:val="74406B6D"/>
    <w:rsid w:val="74413682"/>
    <w:rsid w:val="74416441"/>
    <w:rsid w:val="74420281"/>
    <w:rsid w:val="7442059D"/>
    <w:rsid w:val="74423B9E"/>
    <w:rsid w:val="74424693"/>
    <w:rsid w:val="7443214A"/>
    <w:rsid w:val="74433DAE"/>
    <w:rsid w:val="744353E1"/>
    <w:rsid w:val="7443665D"/>
    <w:rsid w:val="74445368"/>
    <w:rsid w:val="74450D51"/>
    <w:rsid w:val="744523D5"/>
    <w:rsid w:val="74452F8D"/>
    <w:rsid w:val="74454183"/>
    <w:rsid w:val="744566CD"/>
    <w:rsid w:val="74463A57"/>
    <w:rsid w:val="744652C0"/>
    <w:rsid w:val="744664FB"/>
    <w:rsid w:val="74470C8A"/>
    <w:rsid w:val="74471CA9"/>
    <w:rsid w:val="7447614D"/>
    <w:rsid w:val="74477EFB"/>
    <w:rsid w:val="744801AD"/>
    <w:rsid w:val="74480466"/>
    <w:rsid w:val="74485A21"/>
    <w:rsid w:val="74486B13"/>
    <w:rsid w:val="74487EAD"/>
    <w:rsid w:val="744918F6"/>
    <w:rsid w:val="74493C73"/>
    <w:rsid w:val="744959C1"/>
    <w:rsid w:val="744964FD"/>
    <w:rsid w:val="744A3547"/>
    <w:rsid w:val="744A79EB"/>
    <w:rsid w:val="744B1675"/>
    <w:rsid w:val="744B6DE7"/>
    <w:rsid w:val="744B7172"/>
    <w:rsid w:val="744C365C"/>
    <w:rsid w:val="744C6B36"/>
    <w:rsid w:val="744D4DE6"/>
    <w:rsid w:val="744D4F9C"/>
    <w:rsid w:val="744E0AB4"/>
    <w:rsid w:val="744E128A"/>
    <w:rsid w:val="744E2B97"/>
    <w:rsid w:val="744E2D29"/>
    <w:rsid w:val="744E3973"/>
    <w:rsid w:val="744F0B5E"/>
    <w:rsid w:val="744F0BCB"/>
    <w:rsid w:val="744F6DB0"/>
    <w:rsid w:val="74506530"/>
    <w:rsid w:val="74511518"/>
    <w:rsid w:val="74511B6C"/>
    <w:rsid w:val="745145CE"/>
    <w:rsid w:val="74515EAD"/>
    <w:rsid w:val="745229A8"/>
    <w:rsid w:val="74524028"/>
    <w:rsid w:val="745240E9"/>
    <w:rsid w:val="7453435B"/>
    <w:rsid w:val="74534AF2"/>
    <w:rsid w:val="745368A0"/>
    <w:rsid w:val="74542618"/>
    <w:rsid w:val="74547324"/>
    <w:rsid w:val="74547856"/>
    <w:rsid w:val="745545AE"/>
    <w:rsid w:val="7456013E"/>
    <w:rsid w:val="74561EEC"/>
    <w:rsid w:val="74563EFA"/>
    <w:rsid w:val="7456463B"/>
    <w:rsid w:val="74566390"/>
    <w:rsid w:val="74566F42"/>
    <w:rsid w:val="74571C02"/>
    <w:rsid w:val="745727B9"/>
    <w:rsid w:val="74573C49"/>
    <w:rsid w:val="74574BFF"/>
    <w:rsid w:val="7457538A"/>
    <w:rsid w:val="74575C64"/>
    <w:rsid w:val="745819B3"/>
    <w:rsid w:val="74583EB6"/>
    <w:rsid w:val="74585BAB"/>
    <w:rsid w:val="745919DD"/>
    <w:rsid w:val="7459262E"/>
    <w:rsid w:val="745A575B"/>
    <w:rsid w:val="745A7D11"/>
    <w:rsid w:val="745A7F35"/>
    <w:rsid w:val="745B39A7"/>
    <w:rsid w:val="745B5755"/>
    <w:rsid w:val="745B7503"/>
    <w:rsid w:val="745C662B"/>
    <w:rsid w:val="745C6DEC"/>
    <w:rsid w:val="745D14CD"/>
    <w:rsid w:val="745D327B"/>
    <w:rsid w:val="745E0DCD"/>
    <w:rsid w:val="745E0F4B"/>
    <w:rsid w:val="745E3944"/>
    <w:rsid w:val="745E44F3"/>
    <w:rsid w:val="745E5211"/>
    <w:rsid w:val="745E7A5F"/>
    <w:rsid w:val="745F3497"/>
    <w:rsid w:val="745F7FC9"/>
    <w:rsid w:val="746003DC"/>
    <w:rsid w:val="74600FBD"/>
    <w:rsid w:val="74602D6B"/>
    <w:rsid w:val="74604B19"/>
    <w:rsid w:val="74604FAC"/>
    <w:rsid w:val="746068D5"/>
    <w:rsid w:val="7460720F"/>
    <w:rsid w:val="74614EB2"/>
    <w:rsid w:val="74616D35"/>
    <w:rsid w:val="7462439A"/>
    <w:rsid w:val="746244C8"/>
    <w:rsid w:val="74624D35"/>
    <w:rsid w:val="746254A9"/>
    <w:rsid w:val="74625772"/>
    <w:rsid w:val="74626AE3"/>
    <w:rsid w:val="74627F06"/>
    <w:rsid w:val="74634609"/>
    <w:rsid w:val="74634917"/>
    <w:rsid w:val="74637F1A"/>
    <w:rsid w:val="74640AAD"/>
    <w:rsid w:val="7464542E"/>
    <w:rsid w:val="74650074"/>
    <w:rsid w:val="74650724"/>
    <w:rsid w:val="74654825"/>
    <w:rsid w:val="7465510A"/>
    <w:rsid w:val="746612F1"/>
    <w:rsid w:val="746639EF"/>
    <w:rsid w:val="7467234B"/>
    <w:rsid w:val="7467296B"/>
    <w:rsid w:val="74673706"/>
    <w:rsid w:val="7467373E"/>
    <w:rsid w:val="746740F9"/>
    <w:rsid w:val="74675EA7"/>
    <w:rsid w:val="74677882"/>
    <w:rsid w:val="74681C20"/>
    <w:rsid w:val="74683E56"/>
    <w:rsid w:val="7468630F"/>
    <w:rsid w:val="74687E72"/>
    <w:rsid w:val="74691755"/>
    <w:rsid w:val="746A5998"/>
    <w:rsid w:val="746B7A45"/>
    <w:rsid w:val="746B7A8B"/>
    <w:rsid w:val="746C0D90"/>
    <w:rsid w:val="746C5BB4"/>
    <w:rsid w:val="746C6120"/>
    <w:rsid w:val="746C7962"/>
    <w:rsid w:val="746D4F98"/>
    <w:rsid w:val="746D6233"/>
    <w:rsid w:val="746E0A40"/>
    <w:rsid w:val="746E42D3"/>
    <w:rsid w:val="746F09C2"/>
    <w:rsid w:val="746F1200"/>
    <w:rsid w:val="746F2E35"/>
    <w:rsid w:val="746F3105"/>
    <w:rsid w:val="746F5599"/>
    <w:rsid w:val="746F7452"/>
    <w:rsid w:val="746F7CCC"/>
    <w:rsid w:val="74706272"/>
    <w:rsid w:val="74712D98"/>
    <w:rsid w:val="74713CEA"/>
    <w:rsid w:val="74714858"/>
    <w:rsid w:val="74714F78"/>
    <w:rsid w:val="74715374"/>
    <w:rsid w:val="74716D26"/>
    <w:rsid w:val="747173C1"/>
    <w:rsid w:val="74721F92"/>
    <w:rsid w:val="7472484C"/>
    <w:rsid w:val="74732A9E"/>
    <w:rsid w:val="74736AA6"/>
    <w:rsid w:val="74736F42"/>
    <w:rsid w:val="747405C4"/>
    <w:rsid w:val="74740EDB"/>
    <w:rsid w:val="74743788"/>
    <w:rsid w:val="74744A68"/>
    <w:rsid w:val="74750913"/>
    <w:rsid w:val="747539E4"/>
    <w:rsid w:val="74755D42"/>
    <w:rsid w:val="747603BD"/>
    <w:rsid w:val="7476258E"/>
    <w:rsid w:val="7476433D"/>
    <w:rsid w:val="747651AB"/>
    <w:rsid w:val="747755ED"/>
    <w:rsid w:val="747800B5"/>
    <w:rsid w:val="74784559"/>
    <w:rsid w:val="74786307"/>
    <w:rsid w:val="747910F0"/>
    <w:rsid w:val="7479207F"/>
    <w:rsid w:val="74793E2D"/>
    <w:rsid w:val="74795BDB"/>
    <w:rsid w:val="747968C9"/>
    <w:rsid w:val="747A08A0"/>
    <w:rsid w:val="747A093D"/>
    <w:rsid w:val="747A2C16"/>
    <w:rsid w:val="747B2BE8"/>
    <w:rsid w:val="747B4785"/>
    <w:rsid w:val="747B5D3E"/>
    <w:rsid w:val="747B5DF7"/>
    <w:rsid w:val="747C3044"/>
    <w:rsid w:val="747C76EC"/>
    <w:rsid w:val="747D1B6F"/>
    <w:rsid w:val="747D2287"/>
    <w:rsid w:val="747D4771"/>
    <w:rsid w:val="747D56CB"/>
    <w:rsid w:val="747D743F"/>
    <w:rsid w:val="747E0535"/>
    <w:rsid w:val="747E0E9B"/>
    <w:rsid w:val="747E1443"/>
    <w:rsid w:val="747E144A"/>
    <w:rsid w:val="747E450D"/>
    <w:rsid w:val="747E5C1E"/>
    <w:rsid w:val="747E5FEE"/>
    <w:rsid w:val="747F07D5"/>
    <w:rsid w:val="747F5534"/>
    <w:rsid w:val="747F58E7"/>
    <w:rsid w:val="7480340D"/>
    <w:rsid w:val="748051BB"/>
    <w:rsid w:val="7481559C"/>
    <w:rsid w:val="748179EC"/>
    <w:rsid w:val="74820899"/>
    <w:rsid w:val="74820F33"/>
    <w:rsid w:val="74822CE1"/>
    <w:rsid w:val="74827185"/>
    <w:rsid w:val="74836A59"/>
    <w:rsid w:val="748406BD"/>
    <w:rsid w:val="74842075"/>
    <w:rsid w:val="74842EFD"/>
    <w:rsid w:val="748443A7"/>
    <w:rsid w:val="74844CAB"/>
    <w:rsid w:val="748466BA"/>
    <w:rsid w:val="748527D2"/>
    <w:rsid w:val="74856C75"/>
    <w:rsid w:val="748702F8"/>
    <w:rsid w:val="74871076"/>
    <w:rsid w:val="7487479C"/>
    <w:rsid w:val="74877D19"/>
    <w:rsid w:val="7488320D"/>
    <w:rsid w:val="74884354"/>
    <w:rsid w:val="7488500E"/>
    <w:rsid w:val="74890514"/>
    <w:rsid w:val="7489167B"/>
    <w:rsid w:val="748922C2"/>
    <w:rsid w:val="74894A36"/>
    <w:rsid w:val="7489557A"/>
    <w:rsid w:val="74895648"/>
    <w:rsid w:val="74895A9B"/>
    <w:rsid w:val="748A31AB"/>
    <w:rsid w:val="748A5624"/>
    <w:rsid w:val="748A603A"/>
    <w:rsid w:val="748A6AD8"/>
    <w:rsid w:val="748A7DE8"/>
    <w:rsid w:val="748C0004"/>
    <w:rsid w:val="748C1DB2"/>
    <w:rsid w:val="748C3B60"/>
    <w:rsid w:val="748C570A"/>
    <w:rsid w:val="748C590E"/>
    <w:rsid w:val="748C6809"/>
    <w:rsid w:val="748D1686"/>
    <w:rsid w:val="748D2D0A"/>
    <w:rsid w:val="748D5459"/>
    <w:rsid w:val="748D691D"/>
    <w:rsid w:val="748E3F31"/>
    <w:rsid w:val="748E5017"/>
    <w:rsid w:val="748E5B2A"/>
    <w:rsid w:val="748E60B2"/>
    <w:rsid w:val="748E670B"/>
    <w:rsid w:val="748E78D8"/>
    <w:rsid w:val="748E7A56"/>
    <w:rsid w:val="748F0D49"/>
    <w:rsid w:val="748F2630"/>
    <w:rsid w:val="748F2D38"/>
    <w:rsid w:val="748F3650"/>
    <w:rsid w:val="748F4A91"/>
    <w:rsid w:val="748F53FE"/>
    <w:rsid w:val="74904326"/>
    <w:rsid w:val="7490551B"/>
    <w:rsid w:val="7490789B"/>
    <w:rsid w:val="7491561A"/>
    <w:rsid w:val="749165AE"/>
    <w:rsid w:val="749169AB"/>
    <w:rsid w:val="749173C8"/>
    <w:rsid w:val="74926AD9"/>
    <w:rsid w:val="74927E3B"/>
    <w:rsid w:val="749312CB"/>
    <w:rsid w:val="74932A0C"/>
    <w:rsid w:val="74933140"/>
    <w:rsid w:val="74934EEE"/>
    <w:rsid w:val="74940C67"/>
    <w:rsid w:val="7494112F"/>
    <w:rsid w:val="7494275B"/>
    <w:rsid w:val="749427AD"/>
    <w:rsid w:val="74942A15"/>
    <w:rsid w:val="74945351"/>
    <w:rsid w:val="74952741"/>
    <w:rsid w:val="74956EB9"/>
    <w:rsid w:val="7496138D"/>
    <w:rsid w:val="74962C31"/>
    <w:rsid w:val="749649DF"/>
    <w:rsid w:val="74965ECB"/>
    <w:rsid w:val="7496678D"/>
    <w:rsid w:val="749667BC"/>
    <w:rsid w:val="749710DC"/>
    <w:rsid w:val="749725AC"/>
    <w:rsid w:val="749809E1"/>
    <w:rsid w:val="7499002B"/>
    <w:rsid w:val="74995AD5"/>
    <w:rsid w:val="7499627D"/>
    <w:rsid w:val="74996569"/>
    <w:rsid w:val="74996FAB"/>
    <w:rsid w:val="749A44CF"/>
    <w:rsid w:val="749A4C78"/>
    <w:rsid w:val="749A65CD"/>
    <w:rsid w:val="749A6F19"/>
    <w:rsid w:val="749A7D0E"/>
    <w:rsid w:val="749B0247"/>
    <w:rsid w:val="749B1FF5"/>
    <w:rsid w:val="749B7A5D"/>
    <w:rsid w:val="749C0749"/>
    <w:rsid w:val="749C3ABE"/>
    <w:rsid w:val="749D3FBF"/>
    <w:rsid w:val="749D48E7"/>
    <w:rsid w:val="749D5D6D"/>
    <w:rsid w:val="749D668F"/>
    <w:rsid w:val="749D7B1B"/>
    <w:rsid w:val="749E4E19"/>
    <w:rsid w:val="749E5641"/>
    <w:rsid w:val="749E63DE"/>
    <w:rsid w:val="749F1AE5"/>
    <w:rsid w:val="749F21E9"/>
    <w:rsid w:val="749F5422"/>
    <w:rsid w:val="749F67DC"/>
    <w:rsid w:val="74A0585D"/>
    <w:rsid w:val="74A126D6"/>
    <w:rsid w:val="74A1529D"/>
    <w:rsid w:val="74A1533D"/>
    <w:rsid w:val="74A164A0"/>
    <w:rsid w:val="74A20352"/>
    <w:rsid w:val="74A215D5"/>
    <w:rsid w:val="74A25132"/>
    <w:rsid w:val="74A25383"/>
    <w:rsid w:val="74A26F8A"/>
    <w:rsid w:val="74A31EFA"/>
    <w:rsid w:val="74A32EF7"/>
    <w:rsid w:val="74A40EAA"/>
    <w:rsid w:val="74A42250"/>
    <w:rsid w:val="74A43991"/>
    <w:rsid w:val="74A44479"/>
    <w:rsid w:val="74A4534E"/>
    <w:rsid w:val="74A470FC"/>
    <w:rsid w:val="74A477FE"/>
    <w:rsid w:val="74A52E74"/>
    <w:rsid w:val="74A54329"/>
    <w:rsid w:val="74A54C22"/>
    <w:rsid w:val="74A569D0"/>
    <w:rsid w:val="74A6611E"/>
    <w:rsid w:val="74A67741"/>
    <w:rsid w:val="74A736B2"/>
    <w:rsid w:val="74A82235"/>
    <w:rsid w:val="74A82FE7"/>
    <w:rsid w:val="74A9209D"/>
    <w:rsid w:val="74A92964"/>
    <w:rsid w:val="74A9452C"/>
    <w:rsid w:val="74AA14A7"/>
    <w:rsid w:val="74AB28D6"/>
    <w:rsid w:val="74AB66DC"/>
    <w:rsid w:val="74AC4202"/>
    <w:rsid w:val="74AC5FB0"/>
    <w:rsid w:val="74AD21F0"/>
    <w:rsid w:val="74AD5516"/>
    <w:rsid w:val="74AD6B8C"/>
    <w:rsid w:val="74AE07C7"/>
    <w:rsid w:val="74AE1D28"/>
    <w:rsid w:val="74AE5ED3"/>
    <w:rsid w:val="74AF2DDE"/>
    <w:rsid w:val="74AF47E2"/>
    <w:rsid w:val="74AF5AA0"/>
    <w:rsid w:val="74AF7363"/>
    <w:rsid w:val="74AF784E"/>
    <w:rsid w:val="74B00F7A"/>
    <w:rsid w:val="74B01F34"/>
    <w:rsid w:val="74B03CF2"/>
    <w:rsid w:val="74B0560D"/>
    <w:rsid w:val="74B07CC5"/>
    <w:rsid w:val="74B11819"/>
    <w:rsid w:val="74B15375"/>
    <w:rsid w:val="74B15F95"/>
    <w:rsid w:val="74B22D2F"/>
    <w:rsid w:val="74B24854"/>
    <w:rsid w:val="74B308B5"/>
    <w:rsid w:val="74B310ED"/>
    <w:rsid w:val="74B33A8A"/>
    <w:rsid w:val="74B371A0"/>
    <w:rsid w:val="74B3733F"/>
    <w:rsid w:val="74B43519"/>
    <w:rsid w:val="74B44E65"/>
    <w:rsid w:val="74B453E8"/>
    <w:rsid w:val="74B531D5"/>
    <w:rsid w:val="74B54916"/>
    <w:rsid w:val="74B60BDD"/>
    <w:rsid w:val="74B6390B"/>
    <w:rsid w:val="74B64716"/>
    <w:rsid w:val="74B65081"/>
    <w:rsid w:val="74B66189"/>
    <w:rsid w:val="74B66E2F"/>
    <w:rsid w:val="74B702B0"/>
    <w:rsid w:val="74B77420"/>
    <w:rsid w:val="74B77572"/>
    <w:rsid w:val="74B80DF9"/>
    <w:rsid w:val="74B84955"/>
    <w:rsid w:val="74B862DE"/>
    <w:rsid w:val="74B86703"/>
    <w:rsid w:val="74B94A52"/>
    <w:rsid w:val="74B95D5B"/>
    <w:rsid w:val="74B968D5"/>
    <w:rsid w:val="74B97CC2"/>
    <w:rsid w:val="74B97D58"/>
    <w:rsid w:val="74BA61F5"/>
    <w:rsid w:val="74BA74A4"/>
    <w:rsid w:val="74BB1F12"/>
    <w:rsid w:val="74BB2697"/>
    <w:rsid w:val="74BB60EF"/>
    <w:rsid w:val="74BC1824"/>
    <w:rsid w:val="74BC20D2"/>
    <w:rsid w:val="74BC29EE"/>
    <w:rsid w:val="74BC3521"/>
    <w:rsid w:val="74BC41E7"/>
    <w:rsid w:val="74BC7964"/>
    <w:rsid w:val="74BD01BD"/>
    <w:rsid w:val="74BD4F13"/>
    <w:rsid w:val="74BD5C2B"/>
    <w:rsid w:val="74BD640F"/>
    <w:rsid w:val="74BE41EE"/>
    <w:rsid w:val="74BE5B37"/>
    <w:rsid w:val="74BF01CB"/>
    <w:rsid w:val="74BF0740"/>
    <w:rsid w:val="74C01A29"/>
    <w:rsid w:val="74C0263A"/>
    <w:rsid w:val="74C02EB9"/>
    <w:rsid w:val="74C04F35"/>
    <w:rsid w:val="74C10DE1"/>
    <w:rsid w:val="74C14349"/>
    <w:rsid w:val="74C1528B"/>
    <w:rsid w:val="74C209FD"/>
    <w:rsid w:val="74C225D4"/>
    <w:rsid w:val="74C23A26"/>
    <w:rsid w:val="74C257D4"/>
    <w:rsid w:val="74C27582"/>
    <w:rsid w:val="74C303AA"/>
    <w:rsid w:val="74C4154C"/>
    <w:rsid w:val="74C432FA"/>
    <w:rsid w:val="74C4779E"/>
    <w:rsid w:val="74C507EF"/>
    <w:rsid w:val="74C50E20"/>
    <w:rsid w:val="74C6415A"/>
    <w:rsid w:val="74C652C4"/>
    <w:rsid w:val="74C658AD"/>
    <w:rsid w:val="74C7017F"/>
    <w:rsid w:val="74C7103C"/>
    <w:rsid w:val="74C71DE0"/>
    <w:rsid w:val="74C741E4"/>
    <w:rsid w:val="74C74B98"/>
    <w:rsid w:val="74C756DA"/>
    <w:rsid w:val="74C7648B"/>
    <w:rsid w:val="74C8164B"/>
    <w:rsid w:val="74C86EE7"/>
    <w:rsid w:val="74C90910"/>
    <w:rsid w:val="74C92ADB"/>
    <w:rsid w:val="74C94DB4"/>
    <w:rsid w:val="74C96B62"/>
    <w:rsid w:val="74CA36DE"/>
    <w:rsid w:val="74CA4688"/>
    <w:rsid w:val="74CA4F38"/>
    <w:rsid w:val="74CA66EC"/>
    <w:rsid w:val="74CA6A4A"/>
    <w:rsid w:val="74CA7969"/>
    <w:rsid w:val="74CA7BDE"/>
    <w:rsid w:val="74CB0B2C"/>
    <w:rsid w:val="74CB17E5"/>
    <w:rsid w:val="74CB28DA"/>
    <w:rsid w:val="74CB63C1"/>
    <w:rsid w:val="74CB6B3C"/>
    <w:rsid w:val="74CC0400"/>
    <w:rsid w:val="74CC21AE"/>
    <w:rsid w:val="74CC2B9D"/>
    <w:rsid w:val="74CC43C6"/>
    <w:rsid w:val="74CC6652"/>
    <w:rsid w:val="74CD0A98"/>
    <w:rsid w:val="74CD53BB"/>
    <w:rsid w:val="74CE02BE"/>
    <w:rsid w:val="74CE23CA"/>
    <w:rsid w:val="74CE4179"/>
    <w:rsid w:val="74CE4724"/>
    <w:rsid w:val="74CE54BD"/>
    <w:rsid w:val="74CE65DA"/>
    <w:rsid w:val="74CE7450"/>
    <w:rsid w:val="74CE760C"/>
    <w:rsid w:val="74CE7B30"/>
    <w:rsid w:val="74CF151E"/>
    <w:rsid w:val="74CF1C9F"/>
    <w:rsid w:val="74D00441"/>
    <w:rsid w:val="74D07BA6"/>
    <w:rsid w:val="74D07DDD"/>
    <w:rsid w:val="74D100EB"/>
    <w:rsid w:val="74D12214"/>
    <w:rsid w:val="74D13C69"/>
    <w:rsid w:val="74D13E3E"/>
    <w:rsid w:val="74D15A17"/>
    <w:rsid w:val="74D177C5"/>
    <w:rsid w:val="74D252CE"/>
    <w:rsid w:val="74D3178F"/>
    <w:rsid w:val="74D34866"/>
    <w:rsid w:val="74D35972"/>
    <w:rsid w:val="74D36F71"/>
    <w:rsid w:val="74D37FBD"/>
    <w:rsid w:val="74D4132F"/>
    <w:rsid w:val="74D41369"/>
    <w:rsid w:val="74D42D70"/>
    <w:rsid w:val="74D47953"/>
    <w:rsid w:val="74D53759"/>
    <w:rsid w:val="74D55507"/>
    <w:rsid w:val="74D6302D"/>
    <w:rsid w:val="74D6467B"/>
    <w:rsid w:val="74D67889"/>
    <w:rsid w:val="74D77E29"/>
    <w:rsid w:val="74D80B53"/>
    <w:rsid w:val="74D925D0"/>
    <w:rsid w:val="74D967E7"/>
    <w:rsid w:val="74D97494"/>
    <w:rsid w:val="74D97E42"/>
    <w:rsid w:val="74D97F76"/>
    <w:rsid w:val="74DA0C01"/>
    <w:rsid w:val="74DA0D6F"/>
    <w:rsid w:val="74DA536E"/>
    <w:rsid w:val="74DA5B41"/>
    <w:rsid w:val="74DB0643"/>
    <w:rsid w:val="74DB1708"/>
    <w:rsid w:val="74DB6631"/>
    <w:rsid w:val="74DC1C15"/>
    <w:rsid w:val="74DC3BE7"/>
    <w:rsid w:val="74DC4AE7"/>
    <w:rsid w:val="74DD23E1"/>
    <w:rsid w:val="74DD3B22"/>
    <w:rsid w:val="74DD43BC"/>
    <w:rsid w:val="74DD557B"/>
    <w:rsid w:val="74DD616A"/>
    <w:rsid w:val="74DD71F6"/>
    <w:rsid w:val="74DD7478"/>
    <w:rsid w:val="74DE387A"/>
    <w:rsid w:val="74DF1EE2"/>
    <w:rsid w:val="74DF4D01"/>
    <w:rsid w:val="74DF6386"/>
    <w:rsid w:val="74DF6A16"/>
    <w:rsid w:val="74E00C93"/>
    <w:rsid w:val="74E03EAC"/>
    <w:rsid w:val="74E052D3"/>
    <w:rsid w:val="74E05C5A"/>
    <w:rsid w:val="74E108D2"/>
    <w:rsid w:val="74E10D62"/>
    <w:rsid w:val="74E11303"/>
    <w:rsid w:val="74E120FE"/>
    <w:rsid w:val="74E136AD"/>
    <w:rsid w:val="74E13933"/>
    <w:rsid w:val="74E145D6"/>
    <w:rsid w:val="74E207C9"/>
    <w:rsid w:val="74E219D2"/>
    <w:rsid w:val="74E24BCD"/>
    <w:rsid w:val="74E27C24"/>
    <w:rsid w:val="74E33432"/>
    <w:rsid w:val="74E3460E"/>
    <w:rsid w:val="74E40E24"/>
    <w:rsid w:val="74E41BEE"/>
    <w:rsid w:val="74E420AE"/>
    <w:rsid w:val="74E44691"/>
    <w:rsid w:val="74E4574A"/>
    <w:rsid w:val="74E46180"/>
    <w:rsid w:val="74E474F8"/>
    <w:rsid w:val="74E50B73"/>
    <w:rsid w:val="74E514C2"/>
    <w:rsid w:val="74E54B1E"/>
    <w:rsid w:val="74E56252"/>
    <w:rsid w:val="74E610AC"/>
    <w:rsid w:val="74E64777"/>
    <w:rsid w:val="74E659D1"/>
    <w:rsid w:val="74E7256F"/>
    <w:rsid w:val="74E7348C"/>
    <w:rsid w:val="74E742AF"/>
    <w:rsid w:val="74E7523A"/>
    <w:rsid w:val="74E75974"/>
    <w:rsid w:val="74E76FE8"/>
    <w:rsid w:val="74E833CF"/>
    <w:rsid w:val="74E855D1"/>
    <w:rsid w:val="74E90FB2"/>
    <w:rsid w:val="74E92D60"/>
    <w:rsid w:val="74E96EF2"/>
    <w:rsid w:val="74E97204"/>
    <w:rsid w:val="74EA0887"/>
    <w:rsid w:val="74EA21C9"/>
    <w:rsid w:val="74EA4C40"/>
    <w:rsid w:val="74EA6126"/>
    <w:rsid w:val="74EB49E5"/>
    <w:rsid w:val="74EB4D2A"/>
    <w:rsid w:val="74EB5EA0"/>
    <w:rsid w:val="74EB6AD9"/>
    <w:rsid w:val="74EB79C8"/>
    <w:rsid w:val="74EC0280"/>
    <w:rsid w:val="74EC0AA3"/>
    <w:rsid w:val="74EC2851"/>
    <w:rsid w:val="74EC3A46"/>
    <w:rsid w:val="74EC45FF"/>
    <w:rsid w:val="74EC5383"/>
    <w:rsid w:val="74EC6149"/>
    <w:rsid w:val="74ED49EC"/>
    <w:rsid w:val="74EE0377"/>
    <w:rsid w:val="74EE4628"/>
    <w:rsid w:val="74EE65C9"/>
    <w:rsid w:val="74EF5803"/>
    <w:rsid w:val="74EF5C68"/>
    <w:rsid w:val="74F00593"/>
    <w:rsid w:val="74F040EF"/>
    <w:rsid w:val="74F05C86"/>
    <w:rsid w:val="74F073C7"/>
    <w:rsid w:val="74F14BAF"/>
    <w:rsid w:val="74F21CE7"/>
    <w:rsid w:val="74F23177"/>
    <w:rsid w:val="74F248B8"/>
    <w:rsid w:val="74F24B90"/>
    <w:rsid w:val="74F31E31"/>
    <w:rsid w:val="74F34607"/>
    <w:rsid w:val="74F3598D"/>
    <w:rsid w:val="74F41DAB"/>
    <w:rsid w:val="74F42F85"/>
    <w:rsid w:val="74F43F8B"/>
    <w:rsid w:val="74F4511C"/>
    <w:rsid w:val="74F471D8"/>
    <w:rsid w:val="74F47D2C"/>
    <w:rsid w:val="74F51705"/>
    <w:rsid w:val="74F51DA9"/>
    <w:rsid w:val="74F53239"/>
    <w:rsid w:val="74F55BA9"/>
    <w:rsid w:val="74F57957"/>
    <w:rsid w:val="74F636CF"/>
    <w:rsid w:val="74F646C9"/>
    <w:rsid w:val="74F6722B"/>
    <w:rsid w:val="74F71921"/>
    <w:rsid w:val="74F72F88"/>
    <w:rsid w:val="74F75E16"/>
    <w:rsid w:val="74F75E20"/>
    <w:rsid w:val="74F82FA3"/>
    <w:rsid w:val="74F8408F"/>
    <w:rsid w:val="74F87447"/>
    <w:rsid w:val="74F90095"/>
    <w:rsid w:val="74F91033"/>
    <w:rsid w:val="74F92F44"/>
    <w:rsid w:val="74F95A1F"/>
    <w:rsid w:val="74F96A47"/>
    <w:rsid w:val="74F97952"/>
    <w:rsid w:val="74FA1533"/>
    <w:rsid w:val="74FA1909"/>
    <w:rsid w:val="74FA304A"/>
    <w:rsid w:val="74FA31C0"/>
    <w:rsid w:val="74FA5D46"/>
    <w:rsid w:val="74FA5DFA"/>
    <w:rsid w:val="74FA6D1C"/>
    <w:rsid w:val="74FA7758"/>
    <w:rsid w:val="74FB05D9"/>
    <w:rsid w:val="74FB2A94"/>
    <w:rsid w:val="74FB343C"/>
    <w:rsid w:val="74FB422A"/>
    <w:rsid w:val="74FB6233"/>
    <w:rsid w:val="74FB7EBD"/>
    <w:rsid w:val="74FC0CE6"/>
    <w:rsid w:val="74FC158A"/>
    <w:rsid w:val="74FC6BF2"/>
    <w:rsid w:val="74FC6F38"/>
    <w:rsid w:val="74FD05BA"/>
    <w:rsid w:val="74FD0ADB"/>
    <w:rsid w:val="74FD6DFA"/>
    <w:rsid w:val="74FE1C0E"/>
    <w:rsid w:val="74FE4A86"/>
    <w:rsid w:val="74FE4AD9"/>
    <w:rsid w:val="74FE7D66"/>
    <w:rsid w:val="74FF2584"/>
    <w:rsid w:val="74FF2DE5"/>
    <w:rsid w:val="74FF4332"/>
    <w:rsid w:val="750000AA"/>
    <w:rsid w:val="75006486"/>
    <w:rsid w:val="7501454E"/>
    <w:rsid w:val="75016C0B"/>
    <w:rsid w:val="750202C6"/>
    <w:rsid w:val="75023325"/>
    <w:rsid w:val="75023E22"/>
    <w:rsid w:val="75034B41"/>
    <w:rsid w:val="7503583D"/>
    <w:rsid w:val="75036403"/>
    <w:rsid w:val="75042B46"/>
    <w:rsid w:val="75043F80"/>
    <w:rsid w:val="7504558C"/>
    <w:rsid w:val="75045B2E"/>
    <w:rsid w:val="750466C5"/>
    <w:rsid w:val="75046784"/>
    <w:rsid w:val="75046CCD"/>
    <w:rsid w:val="75047B9A"/>
    <w:rsid w:val="7505128E"/>
    <w:rsid w:val="750517A0"/>
    <w:rsid w:val="750522A1"/>
    <w:rsid w:val="75052C34"/>
    <w:rsid w:val="750556C0"/>
    <w:rsid w:val="75061904"/>
    <w:rsid w:val="75061B64"/>
    <w:rsid w:val="7506297E"/>
    <w:rsid w:val="75063912"/>
    <w:rsid w:val="75064209"/>
    <w:rsid w:val="75064C7B"/>
    <w:rsid w:val="750710F3"/>
    <w:rsid w:val="7507546F"/>
    <w:rsid w:val="7507564E"/>
    <w:rsid w:val="750758DC"/>
    <w:rsid w:val="75076C79"/>
    <w:rsid w:val="75083F0D"/>
    <w:rsid w:val="750879CE"/>
    <w:rsid w:val="75093403"/>
    <w:rsid w:val="750951B1"/>
    <w:rsid w:val="75095CEA"/>
    <w:rsid w:val="7509664B"/>
    <w:rsid w:val="75096F5F"/>
    <w:rsid w:val="750A0229"/>
    <w:rsid w:val="750A2B3F"/>
    <w:rsid w:val="750A2CD7"/>
    <w:rsid w:val="750B0F29"/>
    <w:rsid w:val="750B288E"/>
    <w:rsid w:val="750B717B"/>
    <w:rsid w:val="750C4CA1"/>
    <w:rsid w:val="750C5936"/>
    <w:rsid w:val="750C5F2D"/>
    <w:rsid w:val="750C6A4F"/>
    <w:rsid w:val="750D22BB"/>
    <w:rsid w:val="750D40D2"/>
    <w:rsid w:val="750D469B"/>
    <w:rsid w:val="750D50A6"/>
    <w:rsid w:val="750D68EF"/>
    <w:rsid w:val="750D7BBD"/>
    <w:rsid w:val="750E120F"/>
    <w:rsid w:val="750E215F"/>
    <w:rsid w:val="750E27C7"/>
    <w:rsid w:val="750E61A7"/>
    <w:rsid w:val="750E6C6B"/>
    <w:rsid w:val="750F341C"/>
    <w:rsid w:val="750F3819"/>
    <w:rsid w:val="750F6FEF"/>
    <w:rsid w:val="751002ED"/>
    <w:rsid w:val="751029E3"/>
    <w:rsid w:val="75104791"/>
    <w:rsid w:val="751108EE"/>
    <w:rsid w:val="75114065"/>
    <w:rsid w:val="75114E42"/>
    <w:rsid w:val="751175EA"/>
    <w:rsid w:val="751245D9"/>
    <w:rsid w:val="75127B90"/>
    <w:rsid w:val="751335E1"/>
    <w:rsid w:val="75133F30"/>
    <w:rsid w:val="7513602F"/>
    <w:rsid w:val="75136A90"/>
    <w:rsid w:val="75137DDD"/>
    <w:rsid w:val="75142914"/>
    <w:rsid w:val="75142BAA"/>
    <w:rsid w:val="75143913"/>
    <w:rsid w:val="751467C2"/>
    <w:rsid w:val="75147228"/>
    <w:rsid w:val="75151D4B"/>
    <w:rsid w:val="75157FF9"/>
    <w:rsid w:val="751610E2"/>
    <w:rsid w:val="7516167C"/>
    <w:rsid w:val="751653F3"/>
    <w:rsid w:val="75171D53"/>
    <w:rsid w:val="751737EE"/>
    <w:rsid w:val="751742A5"/>
    <w:rsid w:val="75175143"/>
    <w:rsid w:val="75175B20"/>
    <w:rsid w:val="75177463"/>
    <w:rsid w:val="75181898"/>
    <w:rsid w:val="751828EB"/>
    <w:rsid w:val="75183646"/>
    <w:rsid w:val="751853F4"/>
    <w:rsid w:val="751865D3"/>
    <w:rsid w:val="7518705C"/>
    <w:rsid w:val="7518774E"/>
    <w:rsid w:val="75187F00"/>
    <w:rsid w:val="7519571A"/>
    <w:rsid w:val="751A6853"/>
    <w:rsid w:val="751A73BE"/>
    <w:rsid w:val="751B3AC4"/>
    <w:rsid w:val="751B4639"/>
    <w:rsid w:val="751B4EE4"/>
    <w:rsid w:val="751C046E"/>
    <w:rsid w:val="751C3136"/>
    <w:rsid w:val="751C6DC0"/>
    <w:rsid w:val="751D0C5C"/>
    <w:rsid w:val="751D0F84"/>
    <w:rsid w:val="751D2F20"/>
    <w:rsid w:val="751D321A"/>
    <w:rsid w:val="751E0BB4"/>
    <w:rsid w:val="751F0002"/>
    <w:rsid w:val="751F38D5"/>
    <w:rsid w:val="751F43CC"/>
    <w:rsid w:val="751F49D4"/>
    <w:rsid w:val="751F6782"/>
    <w:rsid w:val="7520350B"/>
    <w:rsid w:val="752035F2"/>
    <w:rsid w:val="75204114"/>
    <w:rsid w:val="75213009"/>
    <w:rsid w:val="7521549D"/>
    <w:rsid w:val="7521601C"/>
    <w:rsid w:val="7521699E"/>
    <w:rsid w:val="75217E0F"/>
    <w:rsid w:val="75220020"/>
    <w:rsid w:val="752210C4"/>
    <w:rsid w:val="752244C4"/>
    <w:rsid w:val="75226272"/>
    <w:rsid w:val="75230249"/>
    <w:rsid w:val="75230389"/>
    <w:rsid w:val="75232716"/>
    <w:rsid w:val="75237230"/>
    <w:rsid w:val="7524023C"/>
    <w:rsid w:val="75241FEA"/>
    <w:rsid w:val="75243D99"/>
    <w:rsid w:val="75246D45"/>
    <w:rsid w:val="75263FB5"/>
    <w:rsid w:val="7526644A"/>
    <w:rsid w:val="752673EF"/>
    <w:rsid w:val="75267B11"/>
    <w:rsid w:val="752769C0"/>
    <w:rsid w:val="7528176C"/>
    <w:rsid w:val="75283D8A"/>
    <w:rsid w:val="752913AF"/>
    <w:rsid w:val="75291AE4"/>
    <w:rsid w:val="75295853"/>
    <w:rsid w:val="75297601"/>
    <w:rsid w:val="752A09E7"/>
    <w:rsid w:val="752A6F85"/>
    <w:rsid w:val="752B15CB"/>
    <w:rsid w:val="752B3379"/>
    <w:rsid w:val="752B3786"/>
    <w:rsid w:val="752C0E9F"/>
    <w:rsid w:val="752C5984"/>
    <w:rsid w:val="752D0A25"/>
    <w:rsid w:val="752D2858"/>
    <w:rsid w:val="752D3B88"/>
    <w:rsid w:val="752D470E"/>
    <w:rsid w:val="752D502B"/>
    <w:rsid w:val="752D5A67"/>
    <w:rsid w:val="752D648B"/>
    <w:rsid w:val="752D7368"/>
    <w:rsid w:val="752E10BB"/>
    <w:rsid w:val="752E598D"/>
    <w:rsid w:val="752E67C7"/>
    <w:rsid w:val="752F26EA"/>
    <w:rsid w:val="752F59E9"/>
    <w:rsid w:val="75301320"/>
    <w:rsid w:val="7530273D"/>
    <w:rsid w:val="7530574E"/>
    <w:rsid w:val="75306BE1"/>
    <w:rsid w:val="75312F89"/>
    <w:rsid w:val="75322959"/>
    <w:rsid w:val="753233B2"/>
    <w:rsid w:val="753242D5"/>
    <w:rsid w:val="75324707"/>
    <w:rsid w:val="7532674E"/>
    <w:rsid w:val="75327179"/>
    <w:rsid w:val="75330480"/>
    <w:rsid w:val="75331A99"/>
    <w:rsid w:val="7533222E"/>
    <w:rsid w:val="75332A49"/>
    <w:rsid w:val="75333435"/>
    <w:rsid w:val="75333EE8"/>
    <w:rsid w:val="75341AB0"/>
    <w:rsid w:val="75342AE0"/>
    <w:rsid w:val="75343457"/>
    <w:rsid w:val="75343681"/>
    <w:rsid w:val="7534466A"/>
    <w:rsid w:val="75345C96"/>
    <w:rsid w:val="753514A6"/>
    <w:rsid w:val="7535244A"/>
    <w:rsid w:val="75353C2E"/>
    <w:rsid w:val="753541F8"/>
    <w:rsid w:val="75355AFA"/>
    <w:rsid w:val="75355FA6"/>
    <w:rsid w:val="75357A48"/>
    <w:rsid w:val="75357D54"/>
    <w:rsid w:val="75360B18"/>
    <w:rsid w:val="75363ACC"/>
    <w:rsid w:val="75371D1E"/>
    <w:rsid w:val="75376C96"/>
    <w:rsid w:val="7537728D"/>
    <w:rsid w:val="75377F70"/>
    <w:rsid w:val="75381A33"/>
    <w:rsid w:val="75383718"/>
    <w:rsid w:val="75383CE8"/>
    <w:rsid w:val="7538447B"/>
    <w:rsid w:val="75386C7E"/>
    <w:rsid w:val="75387844"/>
    <w:rsid w:val="75387EA3"/>
    <w:rsid w:val="75391DB7"/>
    <w:rsid w:val="753949B8"/>
    <w:rsid w:val="753970E9"/>
    <w:rsid w:val="753A0D04"/>
    <w:rsid w:val="753A180E"/>
    <w:rsid w:val="753A28EB"/>
    <w:rsid w:val="753A3580"/>
    <w:rsid w:val="753A6D0B"/>
    <w:rsid w:val="753A6D9B"/>
    <w:rsid w:val="753A7A60"/>
    <w:rsid w:val="753B086D"/>
    <w:rsid w:val="753B10E2"/>
    <w:rsid w:val="753B1657"/>
    <w:rsid w:val="753B196C"/>
    <w:rsid w:val="753B2531"/>
    <w:rsid w:val="753C058F"/>
    <w:rsid w:val="753C37D8"/>
    <w:rsid w:val="753C5586"/>
    <w:rsid w:val="753C7334"/>
    <w:rsid w:val="753D2245"/>
    <w:rsid w:val="753D41D2"/>
    <w:rsid w:val="753D744D"/>
    <w:rsid w:val="753D7962"/>
    <w:rsid w:val="753E007F"/>
    <w:rsid w:val="753E00AE"/>
    <w:rsid w:val="753E1FF4"/>
    <w:rsid w:val="753E6F1E"/>
    <w:rsid w:val="753F0BD2"/>
    <w:rsid w:val="753F0F2E"/>
    <w:rsid w:val="753F20D8"/>
    <w:rsid w:val="753F3382"/>
    <w:rsid w:val="753F594E"/>
    <w:rsid w:val="753F6E24"/>
    <w:rsid w:val="754003F5"/>
    <w:rsid w:val="75400E19"/>
    <w:rsid w:val="7540572D"/>
    <w:rsid w:val="75407F81"/>
    <w:rsid w:val="75410530"/>
    <w:rsid w:val="75412B9C"/>
    <w:rsid w:val="7541494A"/>
    <w:rsid w:val="7543146E"/>
    <w:rsid w:val="75431C52"/>
    <w:rsid w:val="75436915"/>
    <w:rsid w:val="75444D6F"/>
    <w:rsid w:val="754461E9"/>
    <w:rsid w:val="7545427A"/>
    <w:rsid w:val="754601B3"/>
    <w:rsid w:val="75466405"/>
    <w:rsid w:val="75472320"/>
    <w:rsid w:val="75477BE6"/>
    <w:rsid w:val="75483F2B"/>
    <w:rsid w:val="75491A51"/>
    <w:rsid w:val="75497CA3"/>
    <w:rsid w:val="754A081F"/>
    <w:rsid w:val="754A7FD1"/>
    <w:rsid w:val="754B3A1B"/>
    <w:rsid w:val="754B57C9"/>
    <w:rsid w:val="754B7177"/>
    <w:rsid w:val="754C32EF"/>
    <w:rsid w:val="754C3F0D"/>
    <w:rsid w:val="754D1541"/>
    <w:rsid w:val="754D5AA2"/>
    <w:rsid w:val="754E0E15"/>
    <w:rsid w:val="754E350B"/>
    <w:rsid w:val="754E7067"/>
    <w:rsid w:val="754F1272"/>
    <w:rsid w:val="754F18A9"/>
    <w:rsid w:val="754F6794"/>
    <w:rsid w:val="75501031"/>
    <w:rsid w:val="75502702"/>
    <w:rsid w:val="75502DDF"/>
    <w:rsid w:val="75504B8E"/>
    <w:rsid w:val="7550563C"/>
    <w:rsid w:val="75510759"/>
    <w:rsid w:val="75510906"/>
    <w:rsid w:val="755119A9"/>
    <w:rsid w:val="75513B92"/>
    <w:rsid w:val="7551624A"/>
    <w:rsid w:val="75524DAA"/>
    <w:rsid w:val="75525022"/>
    <w:rsid w:val="75526B58"/>
    <w:rsid w:val="75531083"/>
    <w:rsid w:val="7553467E"/>
    <w:rsid w:val="75536724"/>
    <w:rsid w:val="7554127F"/>
    <w:rsid w:val="75542513"/>
    <w:rsid w:val="75543C54"/>
    <w:rsid w:val="7554437D"/>
    <w:rsid w:val="755462F2"/>
    <w:rsid w:val="755466E8"/>
    <w:rsid w:val="75551855"/>
    <w:rsid w:val="755521A4"/>
    <w:rsid w:val="75556648"/>
    <w:rsid w:val="755630C9"/>
    <w:rsid w:val="755655AF"/>
    <w:rsid w:val="75566574"/>
    <w:rsid w:val="75567D8E"/>
    <w:rsid w:val="755725D5"/>
    <w:rsid w:val="7557416E"/>
    <w:rsid w:val="75581C94"/>
    <w:rsid w:val="75582D27"/>
    <w:rsid w:val="7558409B"/>
    <w:rsid w:val="75587EE6"/>
    <w:rsid w:val="75592324"/>
    <w:rsid w:val="75594EF5"/>
    <w:rsid w:val="755A1EB0"/>
    <w:rsid w:val="755A3C5E"/>
    <w:rsid w:val="755A5A0C"/>
    <w:rsid w:val="755B5DCD"/>
    <w:rsid w:val="755C1784"/>
    <w:rsid w:val="755C2E16"/>
    <w:rsid w:val="755C70AD"/>
    <w:rsid w:val="755C79D6"/>
    <w:rsid w:val="755D2121"/>
    <w:rsid w:val="755D4D06"/>
    <w:rsid w:val="755D54FC"/>
    <w:rsid w:val="755D5C2B"/>
    <w:rsid w:val="755D74B7"/>
    <w:rsid w:val="755E374E"/>
    <w:rsid w:val="755E4A41"/>
    <w:rsid w:val="755E4E3F"/>
    <w:rsid w:val="755E6196"/>
    <w:rsid w:val="755E6B56"/>
    <w:rsid w:val="755F1275"/>
    <w:rsid w:val="755F3023"/>
    <w:rsid w:val="755F4D82"/>
    <w:rsid w:val="755F5897"/>
    <w:rsid w:val="755F5F9C"/>
    <w:rsid w:val="755F74C6"/>
    <w:rsid w:val="755F7626"/>
    <w:rsid w:val="75603A63"/>
    <w:rsid w:val="75611638"/>
    <w:rsid w:val="7561323F"/>
    <w:rsid w:val="75614FED"/>
    <w:rsid w:val="75615C16"/>
    <w:rsid w:val="75616D9B"/>
    <w:rsid w:val="756175DB"/>
    <w:rsid w:val="756205EC"/>
    <w:rsid w:val="7562160F"/>
    <w:rsid w:val="756224A1"/>
    <w:rsid w:val="756305D4"/>
    <w:rsid w:val="75630BE3"/>
    <w:rsid w:val="75630CAA"/>
    <w:rsid w:val="75630D65"/>
    <w:rsid w:val="7563305D"/>
    <w:rsid w:val="756353EA"/>
    <w:rsid w:val="75640639"/>
    <w:rsid w:val="75644065"/>
    <w:rsid w:val="75644ADD"/>
    <w:rsid w:val="75645ACD"/>
    <w:rsid w:val="7564688B"/>
    <w:rsid w:val="75646E05"/>
    <w:rsid w:val="75646EFD"/>
    <w:rsid w:val="756471B5"/>
    <w:rsid w:val="756501CE"/>
    <w:rsid w:val="756503B4"/>
    <w:rsid w:val="7565131A"/>
    <w:rsid w:val="75654242"/>
    <w:rsid w:val="75656C30"/>
    <w:rsid w:val="75660855"/>
    <w:rsid w:val="75662149"/>
    <w:rsid w:val="75662603"/>
    <w:rsid w:val="7566510A"/>
    <w:rsid w:val="756709E6"/>
    <w:rsid w:val="75671ED7"/>
    <w:rsid w:val="756774F9"/>
    <w:rsid w:val="75680129"/>
    <w:rsid w:val="7568355A"/>
    <w:rsid w:val="75683DA8"/>
    <w:rsid w:val="756845CD"/>
    <w:rsid w:val="7568576A"/>
    <w:rsid w:val="7568637B"/>
    <w:rsid w:val="75690105"/>
    <w:rsid w:val="756923CF"/>
    <w:rsid w:val="756932A9"/>
    <w:rsid w:val="75693EA1"/>
    <w:rsid w:val="7569433B"/>
    <w:rsid w:val="756955A6"/>
    <w:rsid w:val="756A4739"/>
    <w:rsid w:val="756A51F6"/>
    <w:rsid w:val="756A6F56"/>
    <w:rsid w:val="756A72C4"/>
    <w:rsid w:val="756B19C7"/>
    <w:rsid w:val="756B34F2"/>
    <w:rsid w:val="756B5E6B"/>
    <w:rsid w:val="756B7C19"/>
    <w:rsid w:val="756C079A"/>
    <w:rsid w:val="756D0609"/>
    <w:rsid w:val="756D1C2A"/>
    <w:rsid w:val="756D3991"/>
    <w:rsid w:val="756D47FB"/>
    <w:rsid w:val="756D573F"/>
    <w:rsid w:val="756E14B8"/>
    <w:rsid w:val="756E19D5"/>
    <w:rsid w:val="756E5152"/>
    <w:rsid w:val="756E5368"/>
    <w:rsid w:val="756E58BB"/>
    <w:rsid w:val="756E770A"/>
    <w:rsid w:val="756F711B"/>
    <w:rsid w:val="75701CEC"/>
    <w:rsid w:val="75703482"/>
    <w:rsid w:val="75706FDE"/>
    <w:rsid w:val="7571317C"/>
    <w:rsid w:val="75713E45"/>
    <w:rsid w:val="7571755A"/>
    <w:rsid w:val="75720FA8"/>
    <w:rsid w:val="757271DD"/>
    <w:rsid w:val="757271FA"/>
    <w:rsid w:val="7572775B"/>
    <w:rsid w:val="75727EC3"/>
    <w:rsid w:val="75731460"/>
    <w:rsid w:val="75734D20"/>
    <w:rsid w:val="75734E19"/>
    <w:rsid w:val="75735A9C"/>
    <w:rsid w:val="757361E8"/>
    <w:rsid w:val="75736ACE"/>
    <w:rsid w:val="75740A30"/>
    <w:rsid w:val="75742F72"/>
    <w:rsid w:val="75752846"/>
    <w:rsid w:val="757545F4"/>
    <w:rsid w:val="75764D82"/>
    <w:rsid w:val="75765B5E"/>
    <w:rsid w:val="75772D4D"/>
    <w:rsid w:val="75774810"/>
    <w:rsid w:val="757758AD"/>
    <w:rsid w:val="757765BE"/>
    <w:rsid w:val="75776FEE"/>
    <w:rsid w:val="757840E4"/>
    <w:rsid w:val="75790588"/>
    <w:rsid w:val="7579406A"/>
    <w:rsid w:val="757A15D8"/>
    <w:rsid w:val="757A1C0A"/>
    <w:rsid w:val="757A7E5C"/>
    <w:rsid w:val="757B56BE"/>
    <w:rsid w:val="757B7431"/>
    <w:rsid w:val="757C1BD6"/>
    <w:rsid w:val="757C1E26"/>
    <w:rsid w:val="757C3BD5"/>
    <w:rsid w:val="757C6DC8"/>
    <w:rsid w:val="757D0CD8"/>
    <w:rsid w:val="757D16FB"/>
    <w:rsid w:val="757D42F0"/>
    <w:rsid w:val="757E1548"/>
    <w:rsid w:val="757E592E"/>
    <w:rsid w:val="757E5B9F"/>
    <w:rsid w:val="757E794D"/>
    <w:rsid w:val="757F1917"/>
    <w:rsid w:val="757F36C5"/>
    <w:rsid w:val="7580095D"/>
    <w:rsid w:val="75801832"/>
    <w:rsid w:val="75802BED"/>
    <w:rsid w:val="75804640"/>
    <w:rsid w:val="75810554"/>
    <w:rsid w:val="758111EB"/>
    <w:rsid w:val="75812F99"/>
    <w:rsid w:val="758160A0"/>
    <w:rsid w:val="7582282F"/>
    <w:rsid w:val="75824101"/>
    <w:rsid w:val="75826D11"/>
    <w:rsid w:val="758331B5"/>
    <w:rsid w:val="75834F63"/>
    <w:rsid w:val="75835C5B"/>
    <w:rsid w:val="75836A21"/>
    <w:rsid w:val="75840CDB"/>
    <w:rsid w:val="75846316"/>
    <w:rsid w:val="75846F2D"/>
    <w:rsid w:val="75861C08"/>
    <w:rsid w:val="75861DE0"/>
    <w:rsid w:val="75864EA0"/>
    <w:rsid w:val="758652B4"/>
    <w:rsid w:val="75866801"/>
    <w:rsid w:val="758720DC"/>
    <w:rsid w:val="75874327"/>
    <w:rsid w:val="75874AC7"/>
    <w:rsid w:val="75877F73"/>
    <w:rsid w:val="758807CB"/>
    <w:rsid w:val="75882579"/>
    <w:rsid w:val="75884482"/>
    <w:rsid w:val="75886994"/>
    <w:rsid w:val="75892595"/>
    <w:rsid w:val="75892893"/>
    <w:rsid w:val="7589387E"/>
    <w:rsid w:val="75893930"/>
    <w:rsid w:val="75894543"/>
    <w:rsid w:val="75894B34"/>
    <w:rsid w:val="75895700"/>
    <w:rsid w:val="758962F1"/>
    <w:rsid w:val="75897427"/>
    <w:rsid w:val="758A3D23"/>
    <w:rsid w:val="758A5E65"/>
    <w:rsid w:val="758B02BC"/>
    <w:rsid w:val="758B0367"/>
    <w:rsid w:val="758B206A"/>
    <w:rsid w:val="758B3CF4"/>
    <w:rsid w:val="758B3E18"/>
    <w:rsid w:val="758C073A"/>
    <w:rsid w:val="758C1DEB"/>
    <w:rsid w:val="758C7D84"/>
    <w:rsid w:val="758C7F98"/>
    <w:rsid w:val="758D193E"/>
    <w:rsid w:val="758D194C"/>
    <w:rsid w:val="758D1F43"/>
    <w:rsid w:val="758D5DE2"/>
    <w:rsid w:val="758D6E48"/>
    <w:rsid w:val="758D7E54"/>
    <w:rsid w:val="758E26A4"/>
    <w:rsid w:val="758E3908"/>
    <w:rsid w:val="758F1B5A"/>
    <w:rsid w:val="758F3128"/>
    <w:rsid w:val="758F433D"/>
    <w:rsid w:val="758F6705"/>
    <w:rsid w:val="7590142E"/>
    <w:rsid w:val="759014B8"/>
    <w:rsid w:val="759058D2"/>
    <w:rsid w:val="75905CE3"/>
    <w:rsid w:val="75907680"/>
    <w:rsid w:val="75907B95"/>
    <w:rsid w:val="759149E0"/>
    <w:rsid w:val="7591595D"/>
    <w:rsid w:val="75916406"/>
    <w:rsid w:val="7592164A"/>
    <w:rsid w:val="759224B5"/>
    <w:rsid w:val="759233F8"/>
    <w:rsid w:val="75924904"/>
    <w:rsid w:val="759251A6"/>
    <w:rsid w:val="75930F1E"/>
    <w:rsid w:val="75932CCC"/>
    <w:rsid w:val="75933945"/>
    <w:rsid w:val="75934EFB"/>
    <w:rsid w:val="75936516"/>
    <w:rsid w:val="75943670"/>
    <w:rsid w:val="75943C67"/>
    <w:rsid w:val="759479A6"/>
    <w:rsid w:val="75952577"/>
    <w:rsid w:val="75952EE8"/>
    <w:rsid w:val="75954C96"/>
    <w:rsid w:val="75956A44"/>
    <w:rsid w:val="759613F7"/>
    <w:rsid w:val="75962E64"/>
    <w:rsid w:val="75970A0E"/>
    <w:rsid w:val="759727BC"/>
    <w:rsid w:val="75986327"/>
    <w:rsid w:val="75986535"/>
    <w:rsid w:val="75996A39"/>
    <w:rsid w:val="759977B7"/>
    <w:rsid w:val="759A04FF"/>
    <w:rsid w:val="759A22AD"/>
    <w:rsid w:val="759A405B"/>
    <w:rsid w:val="759A453A"/>
    <w:rsid w:val="759A66A5"/>
    <w:rsid w:val="759B396F"/>
    <w:rsid w:val="759B6A0E"/>
    <w:rsid w:val="759B7DA8"/>
    <w:rsid w:val="759C00BE"/>
    <w:rsid w:val="759C2E91"/>
    <w:rsid w:val="759C4277"/>
    <w:rsid w:val="759C7879"/>
    <w:rsid w:val="759C7DD3"/>
    <w:rsid w:val="759D0BB3"/>
    <w:rsid w:val="759D0D09"/>
    <w:rsid w:val="759D1221"/>
    <w:rsid w:val="759D4F9F"/>
    <w:rsid w:val="759D57FC"/>
    <w:rsid w:val="759E15E6"/>
    <w:rsid w:val="759E3629"/>
    <w:rsid w:val="759E3B4B"/>
    <w:rsid w:val="759E3C12"/>
    <w:rsid w:val="759E4985"/>
    <w:rsid w:val="759E7FEF"/>
    <w:rsid w:val="759F209F"/>
    <w:rsid w:val="759F4C80"/>
    <w:rsid w:val="759F78C3"/>
    <w:rsid w:val="75A02E60"/>
    <w:rsid w:val="75A03D67"/>
    <w:rsid w:val="75A051BD"/>
    <w:rsid w:val="75A05F49"/>
    <w:rsid w:val="75A1125C"/>
    <w:rsid w:val="75A1188D"/>
    <w:rsid w:val="75A121ED"/>
    <w:rsid w:val="75A12602"/>
    <w:rsid w:val="75A1363B"/>
    <w:rsid w:val="75A152AF"/>
    <w:rsid w:val="75A21FAA"/>
    <w:rsid w:val="75A24B7B"/>
    <w:rsid w:val="75A2558A"/>
    <w:rsid w:val="75A26463"/>
    <w:rsid w:val="75A31161"/>
    <w:rsid w:val="75A3343A"/>
    <w:rsid w:val="75A35605"/>
    <w:rsid w:val="75A3600B"/>
    <w:rsid w:val="75A4312B"/>
    <w:rsid w:val="75A44064"/>
    <w:rsid w:val="75A448CA"/>
    <w:rsid w:val="75A44E30"/>
    <w:rsid w:val="75A4749B"/>
    <w:rsid w:val="75A5160C"/>
    <w:rsid w:val="75A624BC"/>
    <w:rsid w:val="75A629FF"/>
    <w:rsid w:val="75A650F5"/>
    <w:rsid w:val="75A653D5"/>
    <w:rsid w:val="75A82C1C"/>
    <w:rsid w:val="75A872AC"/>
    <w:rsid w:val="75A9073C"/>
    <w:rsid w:val="75A90742"/>
    <w:rsid w:val="75A918E7"/>
    <w:rsid w:val="75A924F0"/>
    <w:rsid w:val="75A9396B"/>
    <w:rsid w:val="75AA2616"/>
    <w:rsid w:val="75AB44BA"/>
    <w:rsid w:val="75AB479D"/>
    <w:rsid w:val="75AB5DAD"/>
    <w:rsid w:val="75AB6268"/>
    <w:rsid w:val="75AC317E"/>
    <w:rsid w:val="75AC3F99"/>
    <w:rsid w:val="75AC49DD"/>
    <w:rsid w:val="75AC5198"/>
    <w:rsid w:val="75AC7E4B"/>
    <w:rsid w:val="75AD0232"/>
    <w:rsid w:val="75AD0300"/>
    <w:rsid w:val="75AD2E60"/>
    <w:rsid w:val="75AD3D8E"/>
    <w:rsid w:val="75AD666D"/>
    <w:rsid w:val="75AD797C"/>
    <w:rsid w:val="75AE3611"/>
    <w:rsid w:val="75AE7B06"/>
    <w:rsid w:val="75AF24B6"/>
    <w:rsid w:val="75AF3FAA"/>
    <w:rsid w:val="75AF58A5"/>
    <w:rsid w:val="75B02F99"/>
    <w:rsid w:val="75B0387E"/>
    <w:rsid w:val="75B1060F"/>
    <w:rsid w:val="75B20468"/>
    <w:rsid w:val="75B20FCF"/>
    <w:rsid w:val="75B24CB4"/>
    <w:rsid w:val="75B25848"/>
    <w:rsid w:val="75B2702A"/>
    <w:rsid w:val="75B275F6"/>
    <w:rsid w:val="75B3511C"/>
    <w:rsid w:val="75B4336E"/>
    <w:rsid w:val="75B443BF"/>
    <w:rsid w:val="75B509E3"/>
    <w:rsid w:val="75B55338"/>
    <w:rsid w:val="75B570E6"/>
    <w:rsid w:val="75B60F47"/>
    <w:rsid w:val="75B62CBA"/>
    <w:rsid w:val="75B65A56"/>
    <w:rsid w:val="75B67C45"/>
    <w:rsid w:val="75B70153"/>
    <w:rsid w:val="75B710B1"/>
    <w:rsid w:val="75B72D40"/>
    <w:rsid w:val="75B72E5F"/>
    <w:rsid w:val="75B74C0D"/>
    <w:rsid w:val="75B77D26"/>
    <w:rsid w:val="75B806CE"/>
    <w:rsid w:val="75B820F3"/>
    <w:rsid w:val="75B82733"/>
    <w:rsid w:val="75B83648"/>
    <w:rsid w:val="75B86DA1"/>
    <w:rsid w:val="75B90231"/>
    <w:rsid w:val="75B904F4"/>
    <w:rsid w:val="75B94196"/>
    <w:rsid w:val="75B96BD7"/>
    <w:rsid w:val="75B97B95"/>
    <w:rsid w:val="75BA05B7"/>
    <w:rsid w:val="75BA16C1"/>
    <w:rsid w:val="75BA294F"/>
    <w:rsid w:val="75BA46FD"/>
    <w:rsid w:val="75BA64AB"/>
    <w:rsid w:val="75BB2B51"/>
    <w:rsid w:val="75BB3D91"/>
    <w:rsid w:val="75BB6901"/>
    <w:rsid w:val="75BB6EF8"/>
    <w:rsid w:val="75BC026A"/>
    <w:rsid w:val="75BC0475"/>
    <w:rsid w:val="75BC66C7"/>
    <w:rsid w:val="75BC6A0D"/>
    <w:rsid w:val="75BD0DA2"/>
    <w:rsid w:val="75BD1B94"/>
    <w:rsid w:val="75BD1FD5"/>
    <w:rsid w:val="75BD4F55"/>
    <w:rsid w:val="75BD6BB2"/>
    <w:rsid w:val="75BE100A"/>
    <w:rsid w:val="75BE243F"/>
    <w:rsid w:val="75BE3629"/>
    <w:rsid w:val="75BE41ED"/>
    <w:rsid w:val="75BE5F9B"/>
    <w:rsid w:val="75BE625B"/>
    <w:rsid w:val="75BE780E"/>
    <w:rsid w:val="75BF0CCB"/>
    <w:rsid w:val="75BF1D13"/>
    <w:rsid w:val="75BF3AC1"/>
    <w:rsid w:val="75BF40A3"/>
    <w:rsid w:val="75BF65E4"/>
    <w:rsid w:val="75BF7F65"/>
    <w:rsid w:val="75C10104"/>
    <w:rsid w:val="75C12BF5"/>
    <w:rsid w:val="75C13CDD"/>
    <w:rsid w:val="75C13E6A"/>
    <w:rsid w:val="75C147ED"/>
    <w:rsid w:val="75C17FAE"/>
    <w:rsid w:val="75C20065"/>
    <w:rsid w:val="75C20707"/>
    <w:rsid w:val="75C25BD6"/>
    <w:rsid w:val="75C261D8"/>
    <w:rsid w:val="75C26CCB"/>
    <w:rsid w:val="75C27F9E"/>
    <w:rsid w:val="75C335B1"/>
    <w:rsid w:val="75C33C85"/>
    <w:rsid w:val="75C33EB4"/>
    <w:rsid w:val="75C34158"/>
    <w:rsid w:val="75C35F7A"/>
    <w:rsid w:val="75C37A55"/>
    <w:rsid w:val="75C45344"/>
    <w:rsid w:val="75C46A85"/>
    <w:rsid w:val="75C5187D"/>
    <w:rsid w:val="75C5557C"/>
    <w:rsid w:val="75C5675B"/>
    <w:rsid w:val="75C6009F"/>
    <w:rsid w:val="75C612F4"/>
    <w:rsid w:val="75C6178C"/>
    <w:rsid w:val="75C630A2"/>
    <w:rsid w:val="75C641AE"/>
    <w:rsid w:val="75C64841"/>
    <w:rsid w:val="75C74657"/>
    <w:rsid w:val="75C75406"/>
    <w:rsid w:val="75C80BC8"/>
    <w:rsid w:val="75C8506C"/>
    <w:rsid w:val="75C86896"/>
    <w:rsid w:val="75C86E1A"/>
    <w:rsid w:val="75C94940"/>
    <w:rsid w:val="75CA0673"/>
    <w:rsid w:val="75CA0DE4"/>
    <w:rsid w:val="75CA2B92"/>
    <w:rsid w:val="75CA6AF7"/>
    <w:rsid w:val="75CA6FB5"/>
    <w:rsid w:val="75CB06B8"/>
    <w:rsid w:val="75CB3660"/>
    <w:rsid w:val="75CB3D87"/>
    <w:rsid w:val="75CB4B5C"/>
    <w:rsid w:val="75CB690A"/>
    <w:rsid w:val="75CC2F04"/>
    <w:rsid w:val="75CD2682"/>
    <w:rsid w:val="75CD321F"/>
    <w:rsid w:val="75CD5EA2"/>
    <w:rsid w:val="75CD61DE"/>
    <w:rsid w:val="75CD66A7"/>
    <w:rsid w:val="75CE1209"/>
    <w:rsid w:val="75CE1F56"/>
    <w:rsid w:val="75CF2457"/>
    <w:rsid w:val="75CF58BE"/>
    <w:rsid w:val="75CF63FA"/>
    <w:rsid w:val="75D019B6"/>
    <w:rsid w:val="75D02172"/>
    <w:rsid w:val="75D03F20"/>
    <w:rsid w:val="75D1061E"/>
    <w:rsid w:val="75D17A91"/>
    <w:rsid w:val="75D21089"/>
    <w:rsid w:val="75D21A46"/>
    <w:rsid w:val="75D237F5"/>
    <w:rsid w:val="75D255B0"/>
    <w:rsid w:val="75D266AE"/>
    <w:rsid w:val="75D27C98"/>
    <w:rsid w:val="75D30D10"/>
    <w:rsid w:val="75D315DC"/>
    <w:rsid w:val="75D31BFB"/>
    <w:rsid w:val="75D31EE3"/>
    <w:rsid w:val="75D36983"/>
    <w:rsid w:val="75D37451"/>
    <w:rsid w:val="75D41399"/>
    <w:rsid w:val="75D41510"/>
    <w:rsid w:val="75D43A11"/>
    <w:rsid w:val="75D457BF"/>
    <w:rsid w:val="75D5113A"/>
    <w:rsid w:val="75D51537"/>
    <w:rsid w:val="75D532E5"/>
    <w:rsid w:val="75D67759"/>
    <w:rsid w:val="75D67789"/>
    <w:rsid w:val="75D7232A"/>
    <w:rsid w:val="75D732ED"/>
    <w:rsid w:val="75D73501"/>
    <w:rsid w:val="75D752AF"/>
    <w:rsid w:val="75D75C92"/>
    <w:rsid w:val="75D7705D"/>
    <w:rsid w:val="75D81209"/>
    <w:rsid w:val="75D81489"/>
    <w:rsid w:val="75D86AE0"/>
    <w:rsid w:val="75D91027"/>
    <w:rsid w:val="75D9208B"/>
    <w:rsid w:val="75D934E5"/>
    <w:rsid w:val="75D94B83"/>
    <w:rsid w:val="75DA0CAB"/>
    <w:rsid w:val="75DA22E9"/>
    <w:rsid w:val="75DA6B4D"/>
    <w:rsid w:val="75DB64B5"/>
    <w:rsid w:val="75DC0B17"/>
    <w:rsid w:val="75DC28C5"/>
    <w:rsid w:val="75DC563F"/>
    <w:rsid w:val="75DD0C1A"/>
    <w:rsid w:val="75DD0D71"/>
    <w:rsid w:val="75DD40E4"/>
    <w:rsid w:val="75DD4A5B"/>
    <w:rsid w:val="75DD619C"/>
    <w:rsid w:val="75DD6288"/>
    <w:rsid w:val="75DD628F"/>
    <w:rsid w:val="75DE03EB"/>
    <w:rsid w:val="75DE488F"/>
    <w:rsid w:val="75DE663D"/>
    <w:rsid w:val="75DF1F4C"/>
    <w:rsid w:val="75DF5F11"/>
    <w:rsid w:val="75DF6534"/>
    <w:rsid w:val="75E00C12"/>
    <w:rsid w:val="75E023B5"/>
    <w:rsid w:val="75E055F0"/>
    <w:rsid w:val="75E11C8A"/>
    <w:rsid w:val="75E141D7"/>
    <w:rsid w:val="75E1612D"/>
    <w:rsid w:val="75E17EDC"/>
    <w:rsid w:val="75E21B92"/>
    <w:rsid w:val="75E25897"/>
    <w:rsid w:val="75E308CD"/>
    <w:rsid w:val="75E308FE"/>
    <w:rsid w:val="75E339AD"/>
    <w:rsid w:val="75E33C54"/>
    <w:rsid w:val="75E4177A"/>
    <w:rsid w:val="75E43528"/>
    <w:rsid w:val="75E47073"/>
    <w:rsid w:val="75E557E8"/>
    <w:rsid w:val="75E55C1E"/>
    <w:rsid w:val="75E567BC"/>
    <w:rsid w:val="75E579CC"/>
    <w:rsid w:val="75E622AB"/>
    <w:rsid w:val="75E63744"/>
    <w:rsid w:val="75E654F2"/>
    <w:rsid w:val="75E672A0"/>
    <w:rsid w:val="75E75781"/>
    <w:rsid w:val="75E7607E"/>
    <w:rsid w:val="75E8126A"/>
    <w:rsid w:val="75E83018"/>
    <w:rsid w:val="75E832AF"/>
    <w:rsid w:val="75E85738"/>
    <w:rsid w:val="75E874BC"/>
    <w:rsid w:val="75E9032C"/>
    <w:rsid w:val="75E90518"/>
    <w:rsid w:val="75E90DC4"/>
    <w:rsid w:val="75E9202B"/>
    <w:rsid w:val="75E938B6"/>
    <w:rsid w:val="75E93EAD"/>
    <w:rsid w:val="75E97310"/>
    <w:rsid w:val="75EA2D6F"/>
    <w:rsid w:val="75EA3234"/>
    <w:rsid w:val="75EA4FE2"/>
    <w:rsid w:val="75EA6D90"/>
    <w:rsid w:val="75EB0D5A"/>
    <w:rsid w:val="75EB2B08"/>
    <w:rsid w:val="75EB6F14"/>
    <w:rsid w:val="75EC13AD"/>
    <w:rsid w:val="75EC1C9E"/>
    <w:rsid w:val="75ED2227"/>
    <w:rsid w:val="75ED59AB"/>
    <w:rsid w:val="75EE2171"/>
    <w:rsid w:val="75EE3701"/>
    <w:rsid w:val="75EE59E0"/>
    <w:rsid w:val="75EF084A"/>
    <w:rsid w:val="75EF25F8"/>
    <w:rsid w:val="75EF41F6"/>
    <w:rsid w:val="75F00D11"/>
    <w:rsid w:val="75F04BE7"/>
    <w:rsid w:val="75F052FA"/>
    <w:rsid w:val="75F06371"/>
    <w:rsid w:val="75F07DF0"/>
    <w:rsid w:val="75F145C2"/>
    <w:rsid w:val="75F15641"/>
    <w:rsid w:val="75F23E97"/>
    <w:rsid w:val="75F24764"/>
    <w:rsid w:val="75F257F1"/>
    <w:rsid w:val="75F25C45"/>
    <w:rsid w:val="75F32C15"/>
    <w:rsid w:val="75F32F93"/>
    <w:rsid w:val="75F34E3F"/>
    <w:rsid w:val="75F35BD2"/>
    <w:rsid w:val="75F36F0B"/>
    <w:rsid w:val="75F419BD"/>
    <w:rsid w:val="75F44423"/>
    <w:rsid w:val="75F47C0F"/>
    <w:rsid w:val="75F519CC"/>
    <w:rsid w:val="75F54172"/>
    <w:rsid w:val="75F54575"/>
    <w:rsid w:val="75F61BD9"/>
    <w:rsid w:val="75F62292"/>
    <w:rsid w:val="75F64A3E"/>
    <w:rsid w:val="75F65139"/>
    <w:rsid w:val="75F6612F"/>
    <w:rsid w:val="75F70141"/>
    <w:rsid w:val="75F774E3"/>
    <w:rsid w:val="75F775B9"/>
    <w:rsid w:val="75F776FF"/>
    <w:rsid w:val="75F87339"/>
    <w:rsid w:val="75F87720"/>
    <w:rsid w:val="75F90EDD"/>
    <w:rsid w:val="75F93477"/>
    <w:rsid w:val="75F96FD3"/>
    <w:rsid w:val="75FA0295"/>
    <w:rsid w:val="75FA5E46"/>
    <w:rsid w:val="75FB71EF"/>
    <w:rsid w:val="75FC0B87"/>
    <w:rsid w:val="75FC1474"/>
    <w:rsid w:val="75FC2F67"/>
    <w:rsid w:val="75FC4D15"/>
    <w:rsid w:val="75FC6E5B"/>
    <w:rsid w:val="75FD0F66"/>
    <w:rsid w:val="75FD3AF8"/>
    <w:rsid w:val="75FD6C16"/>
    <w:rsid w:val="75FD7CE1"/>
    <w:rsid w:val="75FE00A6"/>
    <w:rsid w:val="75FE0A8D"/>
    <w:rsid w:val="75FE283B"/>
    <w:rsid w:val="75FE2FA8"/>
    <w:rsid w:val="75FE42AB"/>
    <w:rsid w:val="75FE45EA"/>
    <w:rsid w:val="75FE5CA3"/>
    <w:rsid w:val="75FE6CDF"/>
    <w:rsid w:val="75FF0362"/>
    <w:rsid w:val="75FF672C"/>
    <w:rsid w:val="760035AB"/>
    <w:rsid w:val="76004806"/>
    <w:rsid w:val="76005CB5"/>
    <w:rsid w:val="7601057E"/>
    <w:rsid w:val="7601232C"/>
    <w:rsid w:val="76013E56"/>
    <w:rsid w:val="760140DA"/>
    <w:rsid w:val="76023F3E"/>
    <w:rsid w:val="7603556B"/>
    <w:rsid w:val="760360A4"/>
    <w:rsid w:val="76036776"/>
    <w:rsid w:val="76037E52"/>
    <w:rsid w:val="7604063D"/>
    <w:rsid w:val="76041BD9"/>
    <w:rsid w:val="760422F3"/>
    <w:rsid w:val="76051A12"/>
    <w:rsid w:val="76051E1C"/>
    <w:rsid w:val="76057F95"/>
    <w:rsid w:val="76060C94"/>
    <w:rsid w:val="76062B1F"/>
    <w:rsid w:val="76065B94"/>
    <w:rsid w:val="76067942"/>
    <w:rsid w:val="76072D30"/>
    <w:rsid w:val="7607544F"/>
    <w:rsid w:val="76077CC8"/>
    <w:rsid w:val="7608190C"/>
    <w:rsid w:val="760836BA"/>
    <w:rsid w:val="760925E8"/>
    <w:rsid w:val="7609780F"/>
    <w:rsid w:val="76097D6B"/>
    <w:rsid w:val="760A11E0"/>
    <w:rsid w:val="760A5684"/>
    <w:rsid w:val="760A5A1E"/>
    <w:rsid w:val="760A7432"/>
    <w:rsid w:val="760A7B8A"/>
    <w:rsid w:val="760B12BE"/>
    <w:rsid w:val="760B4F58"/>
    <w:rsid w:val="760C0F69"/>
    <w:rsid w:val="760C31AA"/>
    <w:rsid w:val="760C5361"/>
    <w:rsid w:val="760D004E"/>
    <w:rsid w:val="760D051D"/>
    <w:rsid w:val="760D23F9"/>
    <w:rsid w:val="760D2A7F"/>
    <w:rsid w:val="760D34E9"/>
    <w:rsid w:val="760D3AD9"/>
    <w:rsid w:val="760D6F22"/>
    <w:rsid w:val="760E4ACF"/>
    <w:rsid w:val="760E4FCA"/>
    <w:rsid w:val="760E5962"/>
    <w:rsid w:val="760F2C9B"/>
    <w:rsid w:val="760F40D7"/>
    <w:rsid w:val="760F4A49"/>
    <w:rsid w:val="760F52A5"/>
    <w:rsid w:val="760F67F7"/>
    <w:rsid w:val="76100FC1"/>
    <w:rsid w:val="7610256F"/>
    <w:rsid w:val="76102C40"/>
    <w:rsid w:val="76103A5F"/>
    <w:rsid w:val="7610431D"/>
    <w:rsid w:val="761058A1"/>
    <w:rsid w:val="76106B47"/>
    <w:rsid w:val="7610713E"/>
    <w:rsid w:val="761107C1"/>
    <w:rsid w:val="76116A13"/>
    <w:rsid w:val="76117CEB"/>
    <w:rsid w:val="76120095"/>
    <w:rsid w:val="76124DDB"/>
    <w:rsid w:val="76126042"/>
    <w:rsid w:val="761262E7"/>
    <w:rsid w:val="7613626B"/>
    <w:rsid w:val="761402B1"/>
    <w:rsid w:val="7614205F"/>
    <w:rsid w:val="76142D42"/>
    <w:rsid w:val="7614315C"/>
    <w:rsid w:val="761505A1"/>
    <w:rsid w:val="76155804"/>
    <w:rsid w:val="76157814"/>
    <w:rsid w:val="76157B85"/>
    <w:rsid w:val="76164029"/>
    <w:rsid w:val="76165DD7"/>
    <w:rsid w:val="76170DCC"/>
    <w:rsid w:val="76174C4D"/>
    <w:rsid w:val="7617607C"/>
    <w:rsid w:val="761762BD"/>
    <w:rsid w:val="761808C1"/>
    <w:rsid w:val="76181064"/>
    <w:rsid w:val="76184D40"/>
    <w:rsid w:val="7618515D"/>
    <w:rsid w:val="761865B3"/>
    <w:rsid w:val="76187F2E"/>
    <w:rsid w:val="76191423"/>
    <w:rsid w:val="76193959"/>
    <w:rsid w:val="7619671C"/>
    <w:rsid w:val="76197675"/>
    <w:rsid w:val="761A356D"/>
    <w:rsid w:val="761A4E2E"/>
    <w:rsid w:val="761A5220"/>
    <w:rsid w:val="761A613E"/>
    <w:rsid w:val="761B163F"/>
    <w:rsid w:val="761B33ED"/>
    <w:rsid w:val="761C0A5E"/>
    <w:rsid w:val="761C209B"/>
    <w:rsid w:val="761C5A2D"/>
    <w:rsid w:val="761C7166"/>
    <w:rsid w:val="761D2CD5"/>
    <w:rsid w:val="761E2EDE"/>
    <w:rsid w:val="761E4ABF"/>
    <w:rsid w:val="761E4C8C"/>
    <w:rsid w:val="761E6A3A"/>
    <w:rsid w:val="761F007B"/>
    <w:rsid w:val="761F3C5F"/>
    <w:rsid w:val="761F6DF4"/>
    <w:rsid w:val="76200A04"/>
    <w:rsid w:val="762027B2"/>
    <w:rsid w:val="76203C5A"/>
    <w:rsid w:val="76206C56"/>
    <w:rsid w:val="76207A77"/>
    <w:rsid w:val="76212261"/>
    <w:rsid w:val="762229CE"/>
    <w:rsid w:val="76224A60"/>
    <w:rsid w:val="762251E3"/>
    <w:rsid w:val="76230931"/>
    <w:rsid w:val="76231B42"/>
    <w:rsid w:val="762322A2"/>
    <w:rsid w:val="76236746"/>
    <w:rsid w:val="76236B63"/>
    <w:rsid w:val="76241DC1"/>
    <w:rsid w:val="76244030"/>
    <w:rsid w:val="76244623"/>
    <w:rsid w:val="76247D85"/>
    <w:rsid w:val="76250680"/>
    <w:rsid w:val="76253251"/>
    <w:rsid w:val="762532FA"/>
    <w:rsid w:val="7625426C"/>
    <w:rsid w:val="7625601A"/>
    <w:rsid w:val="76257DC8"/>
    <w:rsid w:val="76261D92"/>
    <w:rsid w:val="76263B40"/>
    <w:rsid w:val="7627393D"/>
    <w:rsid w:val="7628238A"/>
    <w:rsid w:val="76283D5C"/>
    <w:rsid w:val="76284548"/>
    <w:rsid w:val="76285B0A"/>
    <w:rsid w:val="762878B8"/>
    <w:rsid w:val="762964EE"/>
    <w:rsid w:val="762A3631"/>
    <w:rsid w:val="762A4A51"/>
    <w:rsid w:val="762A5C33"/>
    <w:rsid w:val="762B57F8"/>
    <w:rsid w:val="762B5982"/>
    <w:rsid w:val="762B70C3"/>
    <w:rsid w:val="762B73A9"/>
    <w:rsid w:val="762C2BBD"/>
    <w:rsid w:val="762C3096"/>
    <w:rsid w:val="762C55FB"/>
    <w:rsid w:val="762C64BB"/>
    <w:rsid w:val="762D19E3"/>
    <w:rsid w:val="762D4B20"/>
    <w:rsid w:val="762D4ECF"/>
    <w:rsid w:val="762E16DC"/>
    <w:rsid w:val="762E2E73"/>
    <w:rsid w:val="762E464F"/>
    <w:rsid w:val="762E6728"/>
    <w:rsid w:val="762E7530"/>
    <w:rsid w:val="762F0C47"/>
    <w:rsid w:val="762F50EB"/>
    <w:rsid w:val="762F6E99"/>
    <w:rsid w:val="7630676D"/>
    <w:rsid w:val="763077AC"/>
    <w:rsid w:val="76312C11"/>
    <w:rsid w:val="763149BF"/>
    <w:rsid w:val="76315255"/>
    <w:rsid w:val="76317661"/>
    <w:rsid w:val="76320737"/>
    <w:rsid w:val="763243C5"/>
    <w:rsid w:val="76325F3D"/>
    <w:rsid w:val="76332EBE"/>
    <w:rsid w:val="7633639C"/>
    <w:rsid w:val="763371CB"/>
    <w:rsid w:val="763408D8"/>
    <w:rsid w:val="763444AF"/>
    <w:rsid w:val="76347D47"/>
    <w:rsid w:val="7635099D"/>
    <w:rsid w:val="76361897"/>
    <w:rsid w:val="76361FD5"/>
    <w:rsid w:val="763641D6"/>
    <w:rsid w:val="76366479"/>
    <w:rsid w:val="76370F0D"/>
    <w:rsid w:val="76373B82"/>
    <w:rsid w:val="76375D4D"/>
    <w:rsid w:val="76377102"/>
    <w:rsid w:val="76377AFB"/>
    <w:rsid w:val="7638054D"/>
    <w:rsid w:val="7638098B"/>
    <w:rsid w:val="763866CB"/>
    <w:rsid w:val="76386AF6"/>
    <w:rsid w:val="7639113B"/>
    <w:rsid w:val="76391AC6"/>
    <w:rsid w:val="76391D49"/>
    <w:rsid w:val="76392B57"/>
    <w:rsid w:val="76395437"/>
    <w:rsid w:val="76396CC2"/>
    <w:rsid w:val="76397D18"/>
    <w:rsid w:val="763A1AA1"/>
    <w:rsid w:val="763A1D29"/>
    <w:rsid w:val="763A6FA4"/>
    <w:rsid w:val="763A78B0"/>
    <w:rsid w:val="763B3A90"/>
    <w:rsid w:val="763B41A3"/>
    <w:rsid w:val="763B661C"/>
    <w:rsid w:val="763B6BB8"/>
    <w:rsid w:val="763B70FF"/>
    <w:rsid w:val="763B7C4E"/>
    <w:rsid w:val="763C15B6"/>
    <w:rsid w:val="763C3364"/>
    <w:rsid w:val="763C5112"/>
    <w:rsid w:val="763D14D8"/>
    <w:rsid w:val="763D32E9"/>
    <w:rsid w:val="763D7808"/>
    <w:rsid w:val="763E081F"/>
    <w:rsid w:val="763E0E8A"/>
    <w:rsid w:val="763E2968"/>
    <w:rsid w:val="763E2F56"/>
    <w:rsid w:val="763E40F3"/>
    <w:rsid w:val="763E532E"/>
    <w:rsid w:val="763E536C"/>
    <w:rsid w:val="763E5539"/>
    <w:rsid w:val="763E70DC"/>
    <w:rsid w:val="764010A6"/>
    <w:rsid w:val="76404C02"/>
    <w:rsid w:val="764052D8"/>
    <w:rsid w:val="76405656"/>
    <w:rsid w:val="76407811"/>
    <w:rsid w:val="76410227"/>
    <w:rsid w:val="7641097A"/>
    <w:rsid w:val="76411BCB"/>
    <w:rsid w:val="76411C10"/>
    <w:rsid w:val="76411D90"/>
    <w:rsid w:val="7641206B"/>
    <w:rsid w:val="76423EBA"/>
    <w:rsid w:val="76424E1E"/>
    <w:rsid w:val="76430229"/>
    <w:rsid w:val="76432944"/>
    <w:rsid w:val="76432E21"/>
    <w:rsid w:val="76433CA8"/>
    <w:rsid w:val="76434C32"/>
    <w:rsid w:val="7643534A"/>
    <w:rsid w:val="764355B4"/>
    <w:rsid w:val="764364A0"/>
    <w:rsid w:val="7645046A"/>
    <w:rsid w:val="7645596F"/>
    <w:rsid w:val="764566BC"/>
    <w:rsid w:val="76463052"/>
    <w:rsid w:val="76463E9C"/>
    <w:rsid w:val="76465F91"/>
    <w:rsid w:val="76467051"/>
    <w:rsid w:val="76472434"/>
    <w:rsid w:val="76480EDA"/>
    <w:rsid w:val="76480F38"/>
    <w:rsid w:val="76481278"/>
    <w:rsid w:val="764813E1"/>
    <w:rsid w:val="76481D09"/>
    <w:rsid w:val="764861AD"/>
    <w:rsid w:val="764865EB"/>
    <w:rsid w:val="76487F5B"/>
    <w:rsid w:val="764922AA"/>
    <w:rsid w:val="7649264C"/>
    <w:rsid w:val="764928A0"/>
    <w:rsid w:val="76497A7B"/>
    <w:rsid w:val="764A0F0B"/>
    <w:rsid w:val="764A5A81"/>
    <w:rsid w:val="764A782F"/>
    <w:rsid w:val="764B2BE6"/>
    <w:rsid w:val="764B30E2"/>
    <w:rsid w:val="764B35A7"/>
    <w:rsid w:val="764B3BF3"/>
    <w:rsid w:val="764B4FE9"/>
    <w:rsid w:val="764B7633"/>
    <w:rsid w:val="764C2B9C"/>
    <w:rsid w:val="764C64A5"/>
    <w:rsid w:val="764C7A4B"/>
    <w:rsid w:val="764D1D92"/>
    <w:rsid w:val="764D37C3"/>
    <w:rsid w:val="764D4B5E"/>
    <w:rsid w:val="764D5571"/>
    <w:rsid w:val="764D587F"/>
    <w:rsid w:val="764D731F"/>
    <w:rsid w:val="764F1189"/>
    <w:rsid w:val="764F2508"/>
    <w:rsid w:val="764F2974"/>
    <w:rsid w:val="764F3097"/>
    <w:rsid w:val="764F32E3"/>
    <w:rsid w:val="764F38ED"/>
    <w:rsid w:val="764F753B"/>
    <w:rsid w:val="76500BBD"/>
    <w:rsid w:val="7650256E"/>
    <w:rsid w:val="76515061"/>
    <w:rsid w:val="76520CCA"/>
    <w:rsid w:val="7652226E"/>
    <w:rsid w:val="76522B87"/>
    <w:rsid w:val="76525B1A"/>
    <w:rsid w:val="76527081"/>
    <w:rsid w:val="76530DD9"/>
    <w:rsid w:val="76530E88"/>
    <w:rsid w:val="765336FE"/>
    <w:rsid w:val="76534E3F"/>
    <w:rsid w:val="765362CF"/>
    <w:rsid w:val="765441C3"/>
    <w:rsid w:val="76545884"/>
    <w:rsid w:val="765608C9"/>
    <w:rsid w:val="765637C0"/>
    <w:rsid w:val="765661D4"/>
    <w:rsid w:val="765717AA"/>
    <w:rsid w:val="76571F4C"/>
    <w:rsid w:val="76572D3C"/>
    <w:rsid w:val="76574C50"/>
    <w:rsid w:val="76576F81"/>
    <w:rsid w:val="76577B38"/>
    <w:rsid w:val="76585097"/>
    <w:rsid w:val="765860B4"/>
    <w:rsid w:val="765860DF"/>
    <w:rsid w:val="765860E0"/>
    <w:rsid w:val="765863F0"/>
    <w:rsid w:val="76591431"/>
    <w:rsid w:val="7659281B"/>
    <w:rsid w:val="76593F16"/>
    <w:rsid w:val="76595CC4"/>
    <w:rsid w:val="76597570"/>
    <w:rsid w:val="765A0A00"/>
    <w:rsid w:val="765A4BD0"/>
    <w:rsid w:val="765B1E90"/>
    <w:rsid w:val="765B2799"/>
    <w:rsid w:val="765B2F7D"/>
    <w:rsid w:val="765B5EE0"/>
    <w:rsid w:val="765B7BA5"/>
    <w:rsid w:val="765B7C8E"/>
    <w:rsid w:val="765C57B4"/>
    <w:rsid w:val="765C6A8D"/>
    <w:rsid w:val="765C734D"/>
    <w:rsid w:val="765C7557"/>
    <w:rsid w:val="765C7562"/>
    <w:rsid w:val="765E152C"/>
    <w:rsid w:val="765E32DA"/>
    <w:rsid w:val="765E777E"/>
    <w:rsid w:val="765F131E"/>
    <w:rsid w:val="765F1FA9"/>
    <w:rsid w:val="766034F6"/>
    <w:rsid w:val="766052A4"/>
    <w:rsid w:val="76605D02"/>
    <w:rsid w:val="76607052"/>
    <w:rsid w:val="766157B4"/>
    <w:rsid w:val="76617192"/>
    <w:rsid w:val="7662101C"/>
    <w:rsid w:val="7662372F"/>
    <w:rsid w:val="7662380B"/>
    <w:rsid w:val="766255B2"/>
    <w:rsid w:val="7662726E"/>
    <w:rsid w:val="766308F1"/>
    <w:rsid w:val="766321F8"/>
    <w:rsid w:val="766331F3"/>
    <w:rsid w:val="76633D26"/>
    <w:rsid w:val="76636B42"/>
    <w:rsid w:val="76637A2B"/>
    <w:rsid w:val="766528BB"/>
    <w:rsid w:val="766534E5"/>
    <w:rsid w:val="76654669"/>
    <w:rsid w:val="76661B74"/>
    <w:rsid w:val="76663F65"/>
    <w:rsid w:val="76664476"/>
    <w:rsid w:val="76665AF9"/>
    <w:rsid w:val="766703E1"/>
    <w:rsid w:val="766726EC"/>
    <w:rsid w:val="76674885"/>
    <w:rsid w:val="76676633"/>
    <w:rsid w:val="76685F07"/>
    <w:rsid w:val="766905FD"/>
    <w:rsid w:val="76692BEC"/>
    <w:rsid w:val="766935D1"/>
    <w:rsid w:val="76695353"/>
    <w:rsid w:val="76696CC0"/>
    <w:rsid w:val="766A04F5"/>
    <w:rsid w:val="766A1C30"/>
    <w:rsid w:val="766A30C6"/>
    <w:rsid w:val="766A6123"/>
    <w:rsid w:val="766A70CA"/>
    <w:rsid w:val="766B0B94"/>
    <w:rsid w:val="766C1742"/>
    <w:rsid w:val="766C1E9B"/>
    <w:rsid w:val="766C3F04"/>
    <w:rsid w:val="766C5328"/>
    <w:rsid w:val="766C59F7"/>
    <w:rsid w:val="766C74EB"/>
    <w:rsid w:val="766D1A47"/>
    <w:rsid w:val="766D496C"/>
    <w:rsid w:val="766D6E76"/>
    <w:rsid w:val="766D79C1"/>
    <w:rsid w:val="766E0306"/>
    <w:rsid w:val="766E1852"/>
    <w:rsid w:val="766E5C13"/>
    <w:rsid w:val="766F2A88"/>
    <w:rsid w:val="766F41A4"/>
    <w:rsid w:val="766F54E7"/>
    <w:rsid w:val="766F7295"/>
    <w:rsid w:val="7670020D"/>
    <w:rsid w:val="767103C8"/>
    <w:rsid w:val="76712B65"/>
    <w:rsid w:val="7671495D"/>
    <w:rsid w:val="76717217"/>
    <w:rsid w:val="76717A07"/>
    <w:rsid w:val="76721858"/>
    <w:rsid w:val="76726D86"/>
    <w:rsid w:val="76734162"/>
    <w:rsid w:val="767356D8"/>
    <w:rsid w:val="7673588A"/>
    <w:rsid w:val="76743903"/>
    <w:rsid w:val="76744178"/>
    <w:rsid w:val="7674659E"/>
    <w:rsid w:val="76750687"/>
    <w:rsid w:val="76752898"/>
    <w:rsid w:val="76755608"/>
    <w:rsid w:val="767573DC"/>
    <w:rsid w:val="76761A45"/>
    <w:rsid w:val="76764AC8"/>
    <w:rsid w:val="76765F68"/>
    <w:rsid w:val="76766876"/>
    <w:rsid w:val="76767F28"/>
    <w:rsid w:val="767713FD"/>
    <w:rsid w:val="7677439C"/>
    <w:rsid w:val="76776F30"/>
    <w:rsid w:val="767825EE"/>
    <w:rsid w:val="76782D47"/>
    <w:rsid w:val="76785955"/>
    <w:rsid w:val="76786071"/>
    <w:rsid w:val="76791A57"/>
    <w:rsid w:val="767945B8"/>
    <w:rsid w:val="76794708"/>
    <w:rsid w:val="76795419"/>
    <w:rsid w:val="767958D9"/>
    <w:rsid w:val="767A147A"/>
    <w:rsid w:val="767B20DE"/>
    <w:rsid w:val="767B3E8C"/>
    <w:rsid w:val="767B404B"/>
    <w:rsid w:val="767B46D4"/>
    <w:rsid w:val="767B6D10"/>
    <w:rsid w:val="767C19B2"/>
    <w:rsid w:val="767C3112"/>
    <w:rsid w:val="767C3D9A"/>
    <w:rsid w:val="767C54DB"/>
    <w:rsid w:val="767C7819"/>
    <w:rsid w:val="767D1D2E"/>
    <w:rsid w:val="767D696B"/>
    <w:rsid w:val="767D7C04"/>
    <w:rsid w:val="767E1BCE"/>
    <w:rsid w:val="767E2E6C"/>
    <w:rsid w:val="767E397C"/>
    <w:rsid w:val="767F128B"/>
    <w:rsid w:val="767F3B39"/>
    <w:rsid w:val="76800EE8"/>
    <w:rsid w:val="768014A2"/>
    <w:rsid w:val="76805946"/>
    <w:rsid w:val="76806B01"/>
    <w:rsid w:val="7681300E"/>
    <w:rsid w:val="76813BAB"/>
    <w:rsid w:val="76816FC9"/>
    <w:rsid w:val="7682047B"/>
    <w:rsid w:val="7682346D"/>
    <w:rsid w:val="7682521B"/>
    <w:rsid w:val="76827C0C"/>
    <w:rsid w:val="76830F93"/>
    <w:rsid w:val="768327DD"/>
    <w:rsid w:val="76832D41"/>
    <w:rsid w:val="768371E5"/>
    <w:rsid w:val="76840350"/>
    <w:rsid w:val="7684079A"/>
    <w:rsid w:val="76843C6D"/>
    <w:rsid w:val="7684657A"/>
    <w:rsid w:val="76853398"/>
    <w:rsid w:val="76854D0B"/>
    <w:rsid w:val="76856B91"/>
    <w:rsid w:val="76860519"/>
    <w:rsid w:val="76865DBE"/>
    <w:rsid w:val="76870A83"/>
    <w:rsid w:val="76870EAD"/>
    <w:rsid w:val="76872831"/>
    <w:rsid w:val="76875356"/>
    <w:rsid w:val="76880F39"/>
    <w:rsid w:val="7688705F"/>
    <w:rsid w:val="76893F42"/>
    <w:rsid w:val="768947FB"/>
    <w:rsid w:val="76895F2E"/>
    <w:rsid w:val="7689694D"/>
    <w:rsid w:val="768A2321"/>
    <w:rsid w:val="768A639E"/>
    <w:rsid w:val="768B23FF"/>
    <w:rsid w:val="768B4DD1"/>
    <w:rsid w:val="768C0891"/>
    <w:rsid w:val="768C30A3"/>
    <w:rsid w:val="768C388F"/>
    <w:rsid w:val="768C42EB"/>
    <w:rsid w:val="768C6099"/>
    <w:rsid w:val="768E0063"/>
    <w:rsid w:val="768F0D80"/>
    <w:rsid w:val="768F16E6"/>
    <w:rsid w:val="768F5476"/>
    <w:rsid w:val="768F7938"/>
    <w:rsid w:val="769048B8"/>
    <w:rsid w:val="769106A7"/>
    <w:rsid w:val="769136B0"/>
    <w:rsid w:val="76914B30"/>
    <w:rsid w:val="76914DF4"/>
    <w:rsid w:val="7691545E"/>
    <w:rsid w:val="76916271"/>
    <w:rsid w:val="76923EF7"/>
    <w:rsid w:val="76923F99"/>
    <w:rsid w:val="76930B82"/>
    <w:rsid w:val="769322EE"/>
    <w:rsid w:val="7693293B"/>
    <w:rsid w:val="76937428"/>
    <w:rsid w:val="769413F2"/>
    <w:rsid w:val="76941E6C"/>
    <w:rsid w:val="76946CFC"/>
    <w:rsid w:val="76947F6B"/>
    <w:rsid w:val="76951717"/>
    <w:rsid w:val="76951A95"/>
    <w:rsid w:val="76960CC6"/>
    <w:rsid w:val="7696369C"/>
    <w:rsid w:val="76965B16"/>
    <w:rsid w:val="76966F18"/>
    <w:rsid w:val="769671DB"/>
    <w:rsid w:val="7697011E"/>
    <w:rsid w:val="769703BB"/>
    <w:rsid w:val="76973AFD"/>
    <w:rsid w:val="769767EC"/>
    <w:rsid w:val="769819ED"/>
    <w:rsid w:val="76981E32"/>
    <w:rsid w:val="76982C90"/>
    <w:rsid w:val="76992564"/>
    <w:rsid w:val="769A1D62"/>
    <w:rsid w:val="769A1F95"/>
    <w:rsid w:val="769A5740"/>
    <w:rsid w:val="769A5E93"/>
    <w:rsid w:val="769A605D"/>
    <w:rsid w:val="769A6A08"/>
    <w:rsid w:val="769A787A"/>
    <w:rsid w:val="769B008A"/>
    <w:rsid w:val="769B04D6"/>
    <w:rsid w:val="769B452E"/>
    <w:rsid w:val="769B45AD"/>
    <w:rsid w:val="769B62DC"/>
    <w:rsid w:val="769C11B2"/>
    <w:rsid w:val="769C1D7B"/>
    <w:rsid w:val="769C3384"/>
    <w:rsid w:val="769C6B69"/>
    <w:rsid w:val="769D2054"/>
    <w:rsid w:val="769D32C5"/>
    <w:rsid w:val="769D788B"/>
    <w:rsid w:val="769D7AD8"/>
    <w:rsid w:val="769E443C"/>
    <w:rsid w:val="769E5DCD"/>
    <w:rsid w:val="769E68B0"/>
    <w:rsid w:val="769E6BD1"/>
    <w:rsid w:val="769E73E4"/>
    <w:rsid w:val="769E7B7B"/>
    <w:rsid w:val="769F1D04"/>
    <w:rsid w:val="769F401E"/>
    <w:rsid w:val="769F4FAD"/>
    <w:rsid w:val="76A01B45"/>
    <w:rsid w:val="76A01B50"/>
    <w:rsid w:val="76A038F3"/>
    <w:rsid w:val="76A07D97"/>
    <w:rsid w:val="76A15D30"/>
    <w:rsid w:val="76A20086"/>
    <w:rsid w:val="76A20E1E"/>
    <w:rsid w:val="76A21419"/>
    <w:rsid w:val="76A2431D"/>
    <w:rsid w:val="76A24DAF"/>
    <w:rsid w:val="76A258BD"/>
    <w:rsid w:val="76A30685"/>
    <w:rsid w:val="76A333E3"/>
    <w:rsid w:val="76A34FE3"/>
    <w:rsid w:val="76A35191"/>
    <w:rsid w:val="76A36213"/>
    <w:rsid w:val="76A36DB4"/>
    <w:rsid w:val="76A4009B"/>
    <w:rsid w:val="76A41635"/>
    <w:rsid w:val="76A45F84"/>
    <w:rsid w:val="76A46CC8"/>
    <w:rsid w:val="76A50F09"/>
    <w:rsid w:val="76A51DDD"/>
    <w:rsid w:val="76A527EF"/>
    <w:rsid w:val="76A53E71"/>
    <w:rsid w:val="76A553AD"/>
    <w:rsid w:val="76A55B76"/>
    <w:rsid w:val="76A5715B"/>
    <w:rsid w:val="76A6375C"/>
    <w:rsid w:val="76A71125"/>
    <w:rsid w:val="76A72ED3"/>
    <w:rsid w:val="76A74C81"/>
    <w:rsid w:val="76A85584"/>
    <w:rsid w:val="76A85B9C"/>
    <w:rsid w:val="76A93F50"/>
    <w:rsid w:val="76A96AA8"/>
    <w:rsid w:val="76A96C4B"/>
    <w:rsid w:val="76AA29C3"/>
    <w:rsid w:val="76AA406C"/>
    <w:rsid w:val="76AA4771"/>
    <w:rsid w:val="76AA5E7C"/>
    <w:rsid w:val="76AA651F"/>
    <w:rsid w:val="76AB520D"/>
    <w:rsid w:val="76AB5A3B"/>
    <w:rsid w:val="76AB6FB1"/>
    <w:rsid w:val="76AC2297"/>
    <w:rsid w:val="76AC673B"/>
    <w:rsid w:val="76AC735D"/>
    <w:rsid w:val="76AD0A9C"/>
    <w:rsid w:val="76AD371C"/>
    <w:rsid w:val="76AD4A02"/>
    <w:rsid w:val="76AD7DBE"/>
    <w:rsid w:val="76AE0DB2"/>
    <w:rsid w:val="76AE16A9"/>
    <w:rsid w:val="76AE24B4"/>
    <w:rsid w:val="76AE2693"/>
    <w:rsid w:val="76AE3643"/>
    <w:rsid w:val="76AE5B51"/>
    <w:rsid w:val="76AE6010"/>
    <w:rsid w:val="76AE70EE"/>
    <w:rsid w:val="76AF2244"/>
    <w:rsid w:val="76AF3B36"/>
    <w:rsid w:val="76AF3ECD"/>
    <w:rsid w:val="76AF5D16"/>
    <w:rsid w:val="76AF68FE"/>
    <w:rsid w:val="76AF724C"/>
    <w:rsid w:val="76AF7FDA"/>
    <w:rsid w:val="76B02C89"/>
    <w:rsid w:val="76B13D52"/>
    <w:rsid w:val="76B14119"/>
    <w:rsid w:val="76B15B00"/>
    <w:rsid w:val="76B178AE"/>
    <w:rsid w:val="76B211FE"/>
    <w:rsid w:val="76B255A9"/>
    <w:rsid w:val="76B2766F"/>
    <w:rsid w:val="76B32968"/>
    <w:rsid w:val="76B33626"/>
    <w:rsid w:val="76B34480"/>
    <w:rsid w:val="76B40DE1"/>
    <w:rsid w:val="76B4114C"/>
    <w:rsid w:val="76B455F0"/>
    <w:rsid w:val="76B4739E"/>
    <w:rsid w:val="76B57495"/>
    <w:rsid w:val="76B61368"/>
    <w:rsid w:val="76B63116"/>
    <w:rsid w:val="76B63913"/>
    <w:rsid w:val="76B64EC4"/>
    <w:rsid w:val="76B66AFB"/>
    <w:rsid w:val="76B723FF"/>
    <w:rsid w:val="76B75AA2"/>
    <w:rsid w:val="76B76D6E"/>
    <w:rsid w:val="76B77F6C"/>
    <w:rsid w:val="76B80C3C"/>
    <w:rsid w:val="76B81DEC"/>
    <w:rsid w:val="76B86E8E"/>
    <w:rsid w:val="76B901E0"/>
    <w:rsid w:val="76B928CA"/>
    <w:rsid w:val="76B92C06"/>
    <w:rsid w:val="76B9436E"/>
    <w:rsid w:val="76B949B4"/>
    <w:rsid w:val="76BA3D3B"/>
    <w:rsid w:val="76BA547C"/>
    <w:rsid w:val="76BA616D"/>
    <w:rsid w:val="76BA6CD2"/>
    <w:rsid w:val="76BB24DB"/>
    <w:rsid w:val="76BC3EBD"/>
    <w:rsid w:val="76BD1E41"/>
    <w:rsid w:val="76BD29B3"/>
    <w:rsid w:val="76BD44A5"/>
    <w:rsid w:val="76BD6253"/>
    <w:rsid w:val="76BE140E"/>
    <w:rsid w:val="76BF021D"/>
    <w:rsid w:val="76BF2F4B"/>
    <w:rsid w:val="76BF646F"/>
    <w:rsid w:val="76C02611"/>
    <w:rsid w:val="76C03F95"/>
    <w:rsid w:val="76C069C8"/>
    <w:rsid w:val="76C07AF1"/>
    <w:rsid w:val="76C10D84"/>
    <w:rsid w:val="76C13C0E"/>
    <w:rsid w:val="76C17AC3"/>
    <w:rsid w:val="76C20467"/>
    <w:rsid w:val="76C2320A"/>
    <w:rsid w:val="76C23768"/>
    <w:rsid w:val="76C23869"/>
    <w:rsid w:val="76C27D0D"/>
    <w:rsid w:val="76C3005A"/>
    <w:rsid w:val="76C30F80"/>
    <w:rsid w:val="76C37C6F"/>
    <w:rsid w:val="76C410FF"/>
    <w:rsid w:val="76C43A85"/>
    <w:rsid w:val="76C4494D"/>
    <w:rsid w:val="76C46745"/>
    <w:rsid w:val="76C4692C"/>
    <w:rsid w:val="76C47B5C"/>
    <w:rsid w:val="76C5123F"/>
    <w:rsid w:val="76C530C2"/>
    <w:rsid w:val="76C54F44"/>
    <w:rsid w:val="76C64558"/>
    <w:rsid w:val="76C64EAF"/>
    <w:rsid w:val="76C6687F"/>
    <w:rsid w:val="76C70512"/>
    <w:rsid w:val="76C735C0"/>
    <w:rsid w:val="76C7496C"/>
    <w:rsid w:val="76C75323"/>
    <w:rsid w:val="76C770D1"/>
    <w:rsid w:val="76C810F6"/>
    <w:rsid w:val="76C8263C"/>
    <w:rsid w:val="76C923A0"/>
    <w:rsid w:val="76C92E49"/>
    <w:rsid w:val="76C9709A"/>
    <w:rsid w:val="76CA0970"/>
    <w:rsid w:val="76CA4E14"/>
    <w:rsid w:val="76CB3187"/>
    <w:rsid w:val="76CC0B8C"/>
    <w:rsid w:val="76CC0D21"/>
    <w:rsid w:val="76CD04AB"/>
    <w:rsid w:val="76CD220E"/>
    <w:rsid w:val="76CD67DA"/>
    <w:rsid w:val="76CE094A"/>
    <w:rsid w:val="76CE5E52"/>
    <w:rsid w:val="76CE66B2"/>
    <w:rsid w:val="76CF41D8"/>
    <w:rsid w:val="76CF5F86"/>
    <w:rsid w:val="76CF6732"/>
    <w:rsid w:val="76CF7F0B"/>
    <w:rsid w:val="76D04E70"/>
    <w:rsid w:val="76D1198E"/>
    <w:rsid w:val="76D11CFE"/>
    <w:rsid w:val="76D17384"/>
    <w:rsid w:val="76D17F50"/>
    <w:rsid w:val="76D2131C"/>
    <w:rsid w:val="76D24066"/>
    <w:rsid w:val="76D244C1"/>
    <w:rsid w:val="76D24B93"/>
    <w:rsid w:val="76D31F1A"/>
    <w:rsid w:val="76D33CC8"/>
    <w:rsid w:val="76D33CEA"/>
    <w:rsid w:val="76D40BF4"/>
    <w:rsid w:val="76D417EE"/>
    <w:rsid w:val="76D44A02"/>
    <w:rsid w:val="76D46A2F"/>
    <w:rsid w:val="76D54E73"/>
    <w:rsid w:val="76D61D84"/>
    <w:rsid w:val="76D6490B"/>
    <w:rsid w:val="76D64A46"/>
    <w:rsid w:val="76D65566"/>
    <w:rsid w:val="76D67314"/>
    <w:rsid w:val="76D77575"/>
    <w:rsid w:val="76D8069B"/>
    <w:rsid w:val="76D812DE"/>
    <w:rsid w:val="76D87530"/>
    <w:rsid w:val="76D905DB"/>
    <w:rsid w:val="76DA32A9"/>
    <w:rsid w:val="76DA5EF6"/>
    <w:rsid w:val="76DA618C"/>
    <w:rsid w:val="76DB0DCF"/>
    <w:rsid w:val="76DB1E0E"/>
    <w:rsid w:val="76DB3D0E"/>
    <w:rsid w:val="76DB47B5"/>
    <w:rsid w:val="76DB492B"/>
    <w:rsid w:val="76DB4C87"/>
    <w:rsid w:val="76DB72D3"/>
    <w:rsid w:val="76DC5C45"/>
    <w:rsid w:val="76DC7E77"/>
    <w:rsid w:val="76DD06A3"/>
    <w:rsid w:val="76DD1CA6"/>
    <w:rsid w:val="76DD2CF8"/>
    <w:rsid w:val="76DD4B47"/>
    <w:rsid w:val="76DD681E"/>
    <w:rsid w:val="76DE441B"/>
    <w:rsid w:val="76DF1D88"/>
    <w:rsid w:val="76DF266D"/>
    <w:rsid w:val="76DF4620"/>
    <w:rsid w:val="76DF5D07"/>
    <w:rsid w:val="76DF7E80"/>
    <w:rsid w:val="76E01F41"/>
    <w:rsid w:val="76E07197"/>
    <w:rsid w:val="76E20871"/>
    <w:rsid w:val="76E217D8"/>
    <w:rsid w:val="76E22866"/>
    <w:rsid w:val="76E22F20"/>
    <w:rsid w:val="76E25746"/>
    <w:rsid w:val="76E25CB9"/>
    <w:rsid w:val="76E2609B"/>
    <w:rsid w:val="76E35B18"/>
    <w:rsid w:val="76E41A31"/>
    <w:rsid w:val="76E45845"/>
    <w:rsid w:val="76E463E5"/>
    <w:rsid w:val="76E46FA8"/>
    <w:rsid w:val="76E47C83"/>
    <w:rsid w:val="76E539FB"/>
    <w:rsid w:val="76E557A9"/>
    <w:rsid w:val="76E5605C"/>
    <w:rsid w:val="76E61C4D"/>
    <w:rsid w:val="76E6521D"/>
    <w:rsid w:val="76E71522"/>
    <w:rsid w:val="76E75D40"/>
    <w:rsid w:val="76E77696"/>
    <w:rsid w:val="76E77774"/>
    <w:rsid w:val="76E80BBD"/>
    <w:rsid w:val="76E84FD8"/>
    <w:rsid w:val="76E8508B"/>
    <w:rsid w:val="76E85E0B"/>
    <w:rsid w:val="76E904BC"/>
    <w:rsid w:val="76E9087B"/>
    <w:rsid w:val="76E934EC"/>
    <w:rsid w:val="76E9529A"/>
    <w:rsid w:val="76E96109"/>
    <w:rsid w:val="76E969F9"/>
    <w:rsid w:val="76E97048"/>
    <w:rsid w:val="76E97B76"/>
    <w:rsid w:val="76EA1012"/>
    <w:rsid w:val="76EA2E1A"/>
    <w:rsid w:val="76EA3112"/>
    <w:rsid w:val="76EA5000"/>
    <w:rsid w:val="76EA516E"/>
    <w:rsid w:val="76EA5275"/>
    <w:rsid w:val="76EA7819"/>
    <w:rsid w:val="76EB1505"/>
    <w:rsid w:val="76EB38DB"/>
    <w:rsid w:val="76EB5765"/>
    <w:rsid w:val="76EB7264"/>
    <w:rsid w:val="76EC07CC"/>
    <w:rsid w:val="76EC08E6"/>
    <w:rsid w:val="76EC35A6"/>
    <w:rsid w:val="76EC4BF9"/>
    <w:rsid w:val="76EC6B38"/>
    <w:rsid w:val="76ED08C1"/>
    <w:rsid w:val="76ED4304"/>
    <w:rsid w:val="76ED694A"/>
    <w:rsid w:val="76ED69CE"/>
    <w:rsid w:val="76EE0B02"/>
    <w:rsid w:val="76EE19B1"/>
    <w:rsid w:val="76EE28B0"/>
    <w:rsid w:val="76EE465E"/>
    <w:rsid w:val="76EF4421"/>
    <w:rsid w:val="76EF47B1"/>
    <w:rsid w:val="76EF6628"/>
    <w:rsid w:val="76EF6C8C"/>
    <w:rsid w:val="76F0487A"/>
    <w:rsid w:val="76F04965"/>
    <w:rsid w:val="76F105F2"/>
    <w:rsid w:val="76F10728"/>
    <w:rsid w:val="76F1130B"/>
    <w:rsid w:val="76F11BD0"/>
    <w:rsid w:val="76F1414E"/>
    <w:rsid w:val="76F150A2"/>
    <w:rsid w:val="76F1721F"/>
    <w:rsid w:val="76F2417D"/>
    <w:rsid w:val="76F31C74"/>
    <w:rsid w:val="76F32CB4"/>
    <w:rsid w:val="76F33935"/>
    <w:rsid w:val="76F373E4"/>
    <w:rsid w:val="76F37EC6"/>
    <w:rsid w:val="76F37F09"/>
    <w:rsid w:val="76F4164B"/>
    <w:rsid w:val="76F51E90"/>
    <w:rsid w:val="76F529B8"/>
    <w:rsid w:val="76F53C3E"/>
    <w:rsid w:val="76F55AFE"/>
    <w:rsid w:val="76F57F2D"/>
    <w:rsid w:val="76F60146"/>
    <w:rsid w:val="76F603C6"/>
    <w:rsid w:val="76F61765"/>
    <w:rsid w:val="76F628F8"/>
    <w:rsid w:val="76F63BE8"/>
    <w:rsid w:val="76F65C09"/>
    <w:rsid w:val="76F679B7"/>
    <w:rsid w:val="76F7284D"/>
    <w:rsid w:val="76F73DA7"/>
    <w:rsid w:val="76F8372F"/>
    <w:rsid w:val="76F854DD"/>
    <w:rsid w:val="76F87726"/>
    <w:rsid w:val="76F9147F"/>
    <w:rsid w:val="76F93003"/>
    <w:rsid w:val="76FA1255"/>
    <w:rsid w:val="76FA1A37"/>
    <w:rsid w:val="76FA1F58"/>
    <w:rsid w:val="76FA38FF"/>
    <w:rsid w:val="76FA3D9F"/>
    <w:rsid w:val="76FA74A7"/>
    <w:rsid w:val="76FB10D2"/>
    <w:rsid w:val="76FB368F"/>
    <w:rsid w:val="76FB6D7B"/>
    <w:rsid w:val="76FC1DDC"/>
    <w:rsid w:val="76FC3B74"/>
    <w:rsid w:val="76FC3BE4"/>
    <w:rsid w:val="76FD2AF3"/>
    <w:rsid w:val="76FD2D97"/>
    <w:rsid w:val="76FD6F97"/>
    <w:rsid w:val="76FD7B4F"/>
    <w:rsid w:val="76FE0619"/>
    <w:rsid w:val="76FE0FDF"/>
    <w:rsid w:val="76FE10CA"/>
    <w:rsid w:val="76FF2BE8"/>
    <w:rsid w:val="76FF4ABD"/>
    <w:rsid w:val="76FF6781"/>
    <w:rsid w:val="76FF686B"/>
    <w:rsid w:val="770040E7"/>
    <w:rsid w:val="77005040"/>
    <w:rsid w:val="77006603"/>
    <w:rsid w:val="77007A09"/>
    <w:rsid w:val="77007C11"/>
    <w:rsid w:val="770110A1"/>
    <w:rsid w:val="77011440"/>
    <w:rsid w:val="77013CC2"/>
    <w:rsid w:val="77017471"/>
    <w:rsid w:val="77020109"/>
    <w:rsid w:val="77022531"/>
    <w:rsid w:val="77024447"/>
    <w:rsid w:val="770245AD"/>
    <w:rsid w:val="7702635B"/>
    <w:rsid w:val="7702755A"/>
    <w:rsid w:val="77030C50"/>
    <w:rsid w:val="77031CCE"/>
    <w:rsid w:val="770339C1"/>
    <w:rsid w:val="77035102"/>
    <w:rsid w:val="77040325"/>
    <w:rsid w:val="770420D4"/>
    <w:rsid w:val="77043E82"/>
    <w:rsid w:val="770519A8"/>
    <w:rsid w:val="77056F4D"/>
    <w:rsid w:val="77057BFA"/>
    <w:rsid w:val="7706409E"/>
    <w:rsid w:val="77065E4C"/>
    <w:rsid w:val="77070172"/>
    <w:rsid w:val="770722B6"/>
    <w:rsid w:val="77072BFF"/>
    <w:rsid w:val="77073F57"/>
    <w:rsid w:val="77075563"/>
    <w:rsid w:val="77075720"/>
    <w:rsid w:val="77083B24"/>
    <w:rsid w:val="77084C62"/>
    <w:rsid w:val="77086156"/>
    <w:rsid w:val="77087D19"/>
    <w:rsid w:val="77091498"/>
    <w:rsid w:val="77097080"/>
    <w:rsid w:val="770976EA"/>
    <w:rsid w:val="770977BF"/>
    <w:rsid w:val="770B0473"/>
    <w:rsid w:val="770B16B4"/>
    <w:rsid w:val="770B3462"/>
    <w:rsid w:val="770C0F88"/>
    <w:rsid w:val="770C1883"/>
    <w:rsid w:val="770C2D36"/>
    <w:rsid w:val="770C41A6"/>
    <w:rsid w:val="770D5F29"/>
    <w:rsid w:val="770D7568"/>
    <w:rsid w:val="770E2F52"/>
    <w:rsid w:val="770E508F"/>
    <w:rsid w:val="770E5294"/>
    <w:rsid w:val="770F0C38"/>
    <w:rsid w:val="770F1B52"/>
    <w:rsid w:val="770F2826"/>
    <w:rsid w:val="770F623A"/>
    <w:rsid w:val="77100A78"/>
    <w:rsid w:val="771043CF"/>
    <w:rsid w:val="77106CCA"/>
    <w:rsid w:val="77106F83"/>
    <w:rsid w:val="771072C1"/>
    <w:rsid w:val="771126B5"/>
    <w:rsid w:val="77112A42"/>
    <w:rsid w:val="7711659E"/>
    <w:rsid w:val="77116A65"/>
    <w:rsid w:val="77117524"/>
    <w:rsid w:val="77130569"/>
    <w:rsid w:val="7713296A"/>
    <w:rsid w:val="77140350"/>
    <w:rsid w:val="771434BB"/>
    <w:rsid w:val="771508A0"/>
    <w:rsid w:val="771509A7"/>
    <w:rsid w:val="7715201F"/>
    <w:rsid w:val="771542E1"/>
    <w:rsid w:val="7715515E"/>
    <w:rsid w:val="7715521D"/>
    <w:rsid w:val="7715608F"/>
    <w:rsid w:val="77161E07"/>
    <w:rsid w:val="77161E37"/>
    <w:rsid w:val="771633B7"/>
    <w:rsid w:val="77166A9C"/>
    <w:rsid w:val="77167266"/>
    <w:rsid w:val="771676EB"/>
    <w:rsid w:val="771739AE"/>
    <w:rsid w:val="771816DB"/>
    <w:rsid w:val="77181D8C"/>
    <w:rsid w:val="77183DD1"/>
    <w:rsid w:val="77185B7F"/>
    <w:rsid w:val="77185E98"/>
    <w:rsid w:val="7718792D"/>
    <w:rsid w:val="77190E8F"/>
    <w:rsid w:val="77193289"/>
    <w:rsid w:val="77197802"/>
    <w:rsid w:val="771A07B8"/>
    <w:rsid w:val="771A18F7"/>
    <w:rsid w:val="771B3EF6"/>
    <w:rsid w:val="771B4819"/>
    <w:rsid w:val="771B741D"/>
    <w:rsid w:val="771C30D8"/>
    <w:rsid w:val="771C37E7"/>
    <w:rsid w:val="771C566F"/>
    <w:rsid w:val="771C7EA0"/>
    <w:rsid w:val="771D13E7"/>
    <w:rsid w:val="771D2638"/>
    <w:rsid w:val="771D297C"/>
    <w:rsid w:val="771D3195"/>
    <w:rsid w:val="771D4568"/>
    <w:rsid w:val="771D5467"/>
    <w:rsid w:val="771D7793"/>
    <w:rsid w:val="771E05C9"/>
    <w:rsid w:val="771E4B63"/>
    <w:rsid w:val="771E61BA"/>
    <w:rsid w:val="771F0981"/>
    <w:rsid w:val="771F0CBB"/>
    <w:rsid w:val="771F6F0D"/>
    <w:rsid w:val="7720462A"/>
    <w:rsid w:val="77204A34"/>
    <w:rsid w:val="77206199"/>
    <w:rsid w:val="772065A8"/>
    <w:rsid w:val="77212C85"/>
    <w:rsid w:val="77213FC1"/>
    <w:rsid w:val="772207AC"/>
    <w:rsid w:val="7722255A"/>
    <w:rsid w:val="77222ED2"/>
    <w:rsid w:val="772258EE"/>
    <w:rsid w:val="7723186A"/>
    <w:rsid w:val="77232328"/>
    <w:rsid w:val="77236A34"/>
    <w:rsid w:val="772372D2"/>
    <w:rsid w:val="77242776"/>
    <w:rsid w:val="7724443B"/>
    <w:rsid w:val="77244524"/>
    <w:rsid w:val="772462D2"/>
    <w:rsid w:val="77250524"/>
    <w:rsid w:val="7725204A"/>
    <w:rsid w:val="77253DF8"/>
    <w:rsid w:val="7726029C"/>
    <w:rsid w:val="77265594"/>
    <w:rsid w:val="77265F3D"/>
    <w:rsid w:val="77270549"/>
    <w:rsid w:val="77271C23"/>
    <w:rsid w:val="77272A31"/>
    <w:rsid w:val="77274014"/>
    <w:rsid w:val="77277B70"/>
    <w:rsid w:val="7728424C"/>
    <w:rsid w:val="77291B3A"/>
    <w:rsid w:val="77291ECA"/>
    <w:rsid w:val="77297D8C"/>
    <w:rsid w:val="772A02AD"/>
    <w:rsid w:val="772A108D"/>
    <w:rsid w:val="772A140E"/>
    <w:rsid w:val="772A3BEA"/>
    <w:rsid w:val="772B1789"/>
    <w:rsid w:val="772B3B04"/>
    <w:rsid w:val="772B58B2"/>
    <w:rsid w:val="772B6842"/>
    <w:rsid w:val="772B6C92"/>
    <w:rsid w:val="772C15B9"/>
    <w:rsid w:val="772C162A"/>
    <w:rsid w:val="772C2504"/>
    <w:rsid w:val="772C282D"/>
    <w:rsid w:val="772C2953"/>
    <w:rsid w:val="772C33D8"/>
    <w:rsid w:val="772C3A48"/>
    <w:rsid w:val="772C4CE8"/>
    <w:rsid w:val="772C5186"/>
    <w:rsid w:val="772C579E"/>
    <w:rsid w:val="772C6135"/>
    <w:rsid w:val="772D6C2E"/>
    <w:rsid w:val="772E0EFE"/>
    <w:rsid w:val="772E53A2"/>
    <w:rsid w:val="772F3A53"/>
    <w:rsid w:val="773017AB"/>
    <w:rsid w:val="773029DE"/>
    <w:rsid w:val="77304C77"/>
    <w:rsid w:val="773055AF"/>
    <w:rsid w:val="77313E6E"/>
    <w:rsid w:val="77322F0A"/>
    <w:rsid w:val="77324E93"/>
    <w:rsid w:val="77327ECF"/>
    <w:rsid w:val="773329B9"/>
    <w:rsid w:val="77334A1B"/>
    <w:rsid w:val="773442B4"/>
    <w:rsid w:val="773504DF"/>
    <w:rsid w:val="7735228D"/>
    <w:rsid w:val="7736177B"/>
    <w:rsid w:val="77364257"/>
    <w:rsid w:val="77366850"/>
    <w:rsid w:val="773675E6"/>
    <w:rsid w:val="773676A6"/>
    <w:rsid w:val="773724A9"/>
    <w:rsid w:val="773728B1"/>
    <w:rsid w:val="7737452D"/>
    <w:rsid w:val="773804D6"/>
    <w:rsid w:val="77381D7D"/>
    <w:rsid w:val="77383B2B"/>
    <w:rsid w:val="77383D41"/>
    <w:rsid w:val="77387FCF"/>
    <w:rsid w:val="77390BAA"/>
    <w:rsid w:val="77393651"/>
    <w:rsid w:val="77396244"/>
    <w:rsid w:val="77397B61"/>
    <w:rsid w:val="773A10E8"/>
    <w:rsid w:val="773A2721"/>
    <w:rsid w:val="773A3D47"/>
    <w:rsid w:val="773A5AF5"/>
    <w:rsid w:val="773A7DA2"/>
    <w:rsid w:val="773B26C2"/>
    <w:rsid w:val="773B7AF1"/>
    <w:rsid w:val="773C5DAF"/>
    <w:rsid w:val="773C5FA5"/>
    <w:rsid w:val="773C67FE"/>
    <w:rsid w:val="773C7ABF"/>
    <w:rsid w:val="773D55E5"/>
    <w:rsid w:val="773D5D28"/>
    <w:rsid w:val="773E47F4"/>
    <w:rsid w:val="773E6F4D"/>
    <w:rsid w:val="773E7BB3"/>
    <w:rsid w:val="773F310C"/>
    <w:rsid w:val="773F4EBA"/>
    <w:rsid w:val="77412E82"/>
    <w:rsid w:val="774150D6"/>
    <w:rsid w:val="77416E84"/>
    <w:rsid w:val="77420E4E"/>
    <w:rsid w:val="77422BFC"/>
    <w:rsid w:val="77422E8C"/>
    <w:rsid w:val="774249AA"/>
    <w:rsid w:val="77431BF7"/>
    <w:rsid w:val="7743202D"/>
    <w:rsid w:val="77432976"/>
    <w:rsid w:val="774345BB"/>
    <w:rsid w:val="774357A2"/>
    <w:rsid w:val="774424D0"/>
    <w:rsid w:val="7744507C"/>
    <w:rsid w:val="77445EF3"/>
    <w:rsid w:val="77452DDC"/>
    <w:rsid w:val="77452E9E"/>
    <w:rsid w:val="77456248"/>
    <w:rsid w:val="774626EC"/>
    <w:rsid w:val="77470212"/>
    <w:rsid w:val="77475455"/>
    <w:rsid w:val="77475E44"/>
    <w:rsid w:val="774776DB"/>
    <w:rsid w:val="77483836"/>
    <w:rsid w:val="77487A02"/>
    <w:rsid w:val="77491101"/>
    <w:rsid w:val="77493A0D"/>
    <w:rsid w:val="77495D38"/>
    <w:rsid w:val="774A0093"/>
    <w:rsid w:val="774A0D27"/>
    <w:rsid w:val="774A385E"/>
    <w:rsid w:val="774A57F8"/>
    <w:rsid w:val="774A6156"/>
    <w:rsid w:val="774B06EA"/>
    <w:rsid w:val="774B1AB0"/>
    <w:rsid w:val="774B31F1"/>
    <w:rsid w:val="774B6FE8"/>
    <w:rsid w:val="774C127B"/>
    <w:rsid w:val="774C193D"/>
    <w:rsid w:val="774C5829"/>
    <w:rsid w:val="774D4AD7"/>
    <w:rsid w:val="774D59A3"/>
    <w:rsid w:val="774E0CEC"/>
    <w:rsid w:val="774E1A31"/>
    <w:rsid w:val="774E39C2"/>
    <w:rsid w:val="774E47FE"/>
    <w:rsid w:val="774E48BB"/>
    <w:rsid w:val="774E76A8"/>
    <w:rsid w:val="774E77F3"/>
    <w:rsid w:val="774F73F7"/>
    <w:rsid w:val="77501364"/>
    <w:rsid w:val="77505319"/>
    <w:rsid w:val="77512E3F"/>
    <w:rsid w:val="77513458"/>
    <w:rsid w:val="77516029"/>
    <w:rsid w:val="77516D13"/>
    <w:rsid w:val="77517DB2"/>
    <w:rsid w:val="77525D78"/>
    <w:rsid w:val="775274B9"/>
    <w:rsid w:val="77535EA1"/>
    <w:rsid w:val="77536BB7"/>
    <w:rsid w:val="77537D00"/>
    <w:rsid w:val="77542963"/>
    <w:rsid w:val="77542FC1"/>
    <w:rsid w:val="775505BC"/>
    <w:rsid w:val="77550B81"/>
    <w:rsid w:val="7755292F"/>
    <w:rsid w:val="77555E3A"/>
    <w:rsid w:val="77557272"/>
    <w:rsid w:val="77560455"/>
    <w:rsid w:val="7756081D"/>
    <w:rsid w:val="77562203"/>
    <w:rsid w:val="7756306D"/>
    <w:rsid w:val="775646F9"/>
    <w:rsid w:val="77573C01"/>
    <w:rsid w:val="775748F9"/>
    <w:rsid w:val="77574B24"/>
    <w:rsid w:val="775766A7"/>
    <w:rsid w:val="77576A75"/>
    <w:rsid w:val="775778B0"/>
    <w:rsid w:val="77577A6C"/>
    <w:rsid w:val="775841CD"/>
    <w:rsid w:val="77584BEE"/>
    <w:rsid w:val="7759063E"/>
    <w:rsid w:val="77592DEC"/>
    <w:rsid w:val="775A1CF3"/>
    <w:rsid w:val="775A3094"/>
    <w:rsid w:val="775A6197"/>
    <w:rsid w:val="775A6214"/>
    <w:rsid w:val="775A7F45"/>
    <w:rsid w:val="775B0D47"/>
    <w:rsid w:val="775B158B"/>
    <w:rsid w:val="775B1CAC"/>
    <w:rsid w:val="775C0BE0"/>
    <w:rsid w:val="775C1071"/>
    <w:rsid w:val="775C1F10"/>
    <w:rsid w:val="775C3CBE"/>
    <w:rsid w:val="775D3592"/>
    <w:rsid w:val="775D45CC"/>
    <w:rsid w:val="775D4BD5"/>
    <w:rsid w:val="775D56E5"/>
    <w:rsid w:val="775F37AE"/>
    <w:rsid w:val="775F6EEC"/>
    <w:rsid w:val="775F730A"/>
    <w:rsid w:val="775F7DC9"/>
    <w:rsid w:val="7760037C"/>
    <w:rsid w:val="77601ABD"/>
    <w:rsid w:val="776021E0"/>
    <w:rsid w:val="77602A66"/>
    <w:rsid w:val="77610BA7"/>
    <w:rsid w:val="77612FB0"/>
    <w:rsid w:val="77613BEC"/>
    <w:rsid w:val="77617526"/>
    <w:rsid w:val="7763043E"/>
    <w:rsid w:val="7763212C"/>
    <w:rsid w:val="776326AC"/>
    <w:rsid w:val="77634516"/>
    <w:rsid w:val="776355E5"/>
    <w:rsid w:val="77637EA7"/>
    <w:rsid w:val="77642A41"/>
    <w:rsid w:val="77642B72"/>
    <w:rsid w:val="77642B76"/>
    <w:rsid w:val="77644920"/>
    <w:rsid w:val="77647315"/>
    <w:rsid w:val="77660396"/>
    <w:rsid w:val="77660A7F"/>
    <w:rsid w:val="77664168"/>
    <w:rsid w:val="77665407"/>
    <w:rsid w:val="7767024F"/>
    <w:rsid w:val="77670516"/>
    <w:rsid w:val="77670BC5"/>
    <w:rsid w:val="77672DB8"/>
    <w:rsid w:val="77674410"/>
    <w:rsid w:val="77675276"/>
    <w:rsid w:val="77675FEE"/>
    <w:rsid w:val="776808B4"/>
    <w:rsid w:val="77685B26"/>
    <w:rsid w:val="7768620E"/>
    <w:rsid w:val="77690189"/>
    <w:rsid w:val="77693EE1"/>
    <w:rsid w:val="77696125"/>
    <w:rsid w:val="776A1A51"/>
    <w:rsid w:val="776A3FFF"/>
    <w:rsid w:val="776A40A8"/>
    <w:rsid w:val="776B3F01"/>
    <w:rsid w:val="776B5CAF"/>
    <w:rsid w:val="776B7C09"/>
    <w:rsid w:val="776C14F0"/>
    <w:rsid w:val="776C1A27"/>
    <w:rsid w:val="776C5A77"/>
    <w:rsid w:val="776C6151"/>
    <w:rsid w:val="776C6411"/>
    <w:rsid w:val="776C78F9"/>
    <w:rsid w:val="776D04E7"/>
    <w:rsid w:val="776D606E"/>
    <w:rsid w:val="776E1C43"/>
    <w:rsid w:val="776E39F1"/>
    <w:rsid w:val="776F354E"/>
    <w:rsid w:val="776F3C10"/>
    <w:rsid w:val="776F3F7C"/>
    <w:rsid w:val="776F5BE1"/>
    <w:rsid w:val="77700C27"/>
    <w:rsid w:val="77701517"/>
    <w:rsid w:val="777015B2"/>
    <w:rsid w:val="77701CC3"/>
    <w:rsid w:val="777041EC"/>
    <w:rsid w:val="77704880"/>
    <w:rsid w:val="777059BB"/>
    <w:rsid w:val="77707769"/>
    <w:rsid w:val="77707E71"/>
    <w:rsid w:val="77713ED2"/>
    <w:rsid w:val="77716648"/>
    <w:rsid w:val="7771703D"/>
    <w:rsid w:val="77725362"/>
    <w:rsid w:val="77731007"/>
    <w:rsid w:val="77732DB5"/>
    <w:rsid w:val="77733A37"/>
    <w:rsid w:val="77737259"/>
    <w:rsid w:val="77737D91"/>
    <w:rsid w:val="7774021A"/>
    <w:rsid w:val="77740FB9"/>
    <w:rsid w:val="77742801"/>
    <w:rsid w:val="777433EF"/>
    <w:rsid w:val="77752853"/>
    <w:rsid w:val="77754D7F"/>
    <w:rsid w:val="777554FC"/>
    <w:rsid w:val="7776200D"/>
    <w:rsid w:val="77762421"/>
    <w:rsid w:val="77764653"/>
    <w:rsid w:val="777668B4"/>
    <w:rsid w:val="777670AD"/>
    <w:rsid w:val="7777246F"/>
    <w:rsid w:val="777728A5"/>
    <w:rsid w:val="77773352"/>
    <w:rsid w:val="77775173"/>
    <w:rsid w:val="77776E5F"/>
    <w:rsid w:val="777803CC"/>
    <w:rsid w:val="77785B75"/>
    <w:rsid w:val="77787801"/>
    <w:rsid w:val="77792664"/>
    <w:rsid w:val="77793BD1"/>
    <w:rsid w:val="77793EE4"/>
    <w:rsid w:val="7779431A"/>
    <w:rsid w:val="77796166"/>
    <w:rsid w:val="777971D1"/>
    <w:rsid w:val="777973D4"/>
    <w:rsid w:val="777A05E8"/>
    <w:rsid w:val="777A0A13"/>
    <w:rsid w:val="777A2396"/>
    <w:rsid w:val="777A3193"/>
    <w:rsid w:val="777A3AF4"/>
    <w:rsid w:val="777A5235"/>
    <w:rsid w:val="777B293F"/>
    <w:rsid w:val="777C1C45"/>
    <w:rsid w:val="777C610E"/>
    <w:rsid w:val="777D4695"/>
    <w:rsid w:val="777E5046"/>
    <w:rsid w:val="777F175A"/>
    <w:rsid w:val="777F5BFE"/>
    <w:rsid w:val="77802537"/>
    <w:rsid w:val="77806C07"/>
    <w:rsid w:val="77811976"/>
    <w:rsid w:val="77811EB5"/>
    <w:rsid w:val="77813724"/>
    <w:rsid w:val="77815190"/>
    <w:rsid w:val="77815746"/>
    <w:rsid w:val="7781576A"/>
    <w:rsid w:val="7781775B"/>
    <w:rsid w:val="77821E7F"/>
    <w:rsid w:val="77822DB4"/>
    <w:rsid w:val="77822FF8"/>
    <w:rsid w:val="77824E57"/>
    <w:rsid w:val="77826501"/>
    <w:rsid w:val="778323B5"/>
    <w:rsid w:val="7783749C"/>
    <w:rsid w:val="7784470A"/>
    <w:rsid w:val="77844FC2"/>
    <w:rsid w:val="77846D70"/>
    <w:rsid w:val="77847777"/>
    <w:rsid w:val="77855DA7"/>
    <w:rsid w:val="77855F46"/>
    <w:rsid w:val="7785739C"/>
    <w:rsid w:val="77862AE9"/>
    <w:rsid w:val="77863D15"/>
    <w:rsid w:val="77866F8C"/>
    <w:rsid w:val="77872906"/>
    <w:rsid w:val="778744A6"/>
    <w:rsid w:val="778760F8"/>
    <w:rsid w:val="77876861"/>
    <w:rsid w:val="77884AB3"/>
    <w:rsid w:val="7789082B"/>
    <w:rsid w:val="77892159"/>
    <w:rsid w:val="778925D9"/>
    <w:rsid w:val="77894387"/>
    <w:rsid w:val="77894570"/>
    <w:rsid w:val="778A22C8"/>
    <w:rsid w:val="778A61BA"/>
    <w:rsid w:val="778B1E0C"/>
    <w:rsid w:val="778B2EAC"/>
    <w:rsid w:val="778B6351"/>
    <w:rsid w:val="778C2A27"/>
    <w:rsid w:val="778C3E77"/>
    <w:rsid w:val="778D1F6A"/>
    <w:rsid w:val="778D20C9"/>
    <w:rsid w:val="778E4093"/>
    <w:rsid w:val="778E5E41"/>
    <w:rsid w:val="778E7BEF"/>
    <w:rsid w:val="778E7F4D"/>
    <w:rsid w:val="778F2E26"/>
    <w:rsid w:val="778F6569"/>
    <w:rsid w:val="77900B89"/>
    <w:rsid w:val="77901BB9"/>
    <w:rsid w:val="77905715"/>
    <w:rsid w:val="77905D1A"/>
    <w:rsid w:val="77907355"/>
    <w:rsid w:val="7790745B"/>
    <w:rsid w:val="7791148D"/>
    <w:rsid w:val="77915C1B"/>
    <w:rsid w:val="77917A16"/>
    <w:rsid w:val="779202B8"/>
    <w:rsid w:val="77921091"/>
    <w:rsid w:val="779218BF"/>
    <w:rsid w:val="7792494C"/>
    <w:rsid w:val="779276DF"/>
    <w:rsid w:val="77931781"/>
    <w:rsid w:val="77933457"/>
    <w:rsid w:val="77940587"/>
    <w:rsid w:val="77940F33"/>
    <w:rsid w:val="779416A9"/>
    <w:rsid w:val="779418AA"/>
    <w:rsid w:val="779501F2"/>
    <w:rsid w:val="779505E2"/>
    <w:rsid w:val="779506FC"/>
    <w:rsid w:val="77950F7E"/>
    <w:rsid w:val="77953487"/>
    <w:rsid w:val="77955421"/>
    <w:rsid w:val="77956538"/>
    <w:rsid w:val="77962B64"/>
    <w:rsid w:val="7796637D"/>
    <w:rsid w:val="77967B97"/>
    <w:rsid w:val="77972F48"/>
    <w:rsid w:val="77974CF6"/>
    <w:rsid w:val="7798281C"/>
    <w:rsid w:val="77996730"/>
    <w:rsid w:val="779A199D"/>
    <w:rsid w:val="779A2A38"/>
    <w:rsid w:val="779A47E6"/>
    <w:rsid w:val="779A63E0"/>
    <w:rsid w:val="779B0470"/>
    <w:rsid w:val="779C055E"/>
    <w:rsid w:val="779C05CF"/>
    <w:rsid w:val="779C230C"/>
    <w:rsid w:val="779C3C11"/>
    <w:rsid w:val="779C59FE"/>
    <w:rsid w:val="779C67B0"/>
    <w:rsid w:val="779C6C35"/>
    <w:rsid w:val="779C7005"/>
    <w:rsid w:val="779D001A"/>
    <w:rsid w:val="779D14EF"/>
    <w:rsid w:val="779D7E32"/>
    <w:rsid w:val="779E031E"/>
    <w:rsid w:val="779E03F1"/>
    <w:rsid w:val="779E2EEF"/>
    <w:rsid w:val="779E42D6"/>
    <w:rsid w:val="779F004E"/>
    <w:rsid w:val="779F1DFC"/>
    <w:rsid w:val="779F2919"/>
    <w:rsid w:val="779F3BAA"/>
    <w:rsid w:val="779F608B"/>
    <w:rsid w:val="77A128CD"/>
    <w:rsid w:val="77A13DC6"/>
    <w:rsid w:val="77A15B74"/>
    <w:rsid w:val="77A17922"/>
    <w:rsid w:val="77A203D8"/>
    <w:rsid w:val="77A22D00"/>
    <w:rsid w:val="77A2369A"/>
    <w:rsid w:val="77A24429"/>
    <w:rsid w:val="77A25449"/>
    <w:rsid w:val="77A318EC"/>
    <w:rsid w:val="77A358D1"/>
    <w:rsid w:val="77A40CBE"/>
    <w:rsid w:val="77A42FA2"/>
    <w:rsid w:val="77A439F6"/>
    <w:rsid w:val="77A450BF"/>
    <w:rsid w:val="77A45665"/>
    <w:rsid w:val="77A46D61"/>
    <w:rsid w:val="77A50300"/>
    <w:rsid w:val="77A613DD"/>
    <w:rsid w:val="77A61681"/>
    <w:rsid w:val="77A64252"/>
    <w:rsid w:val="77A6728C"/>
    <w:rsid w:val="77A74CFF"/>
    <w:rsid w:val="77A8333C"/>
    <w:rsid w:val="77A85155"/>
    <w:rsid w:val="77A86B72"/>
    <w:rsid w:val="77A92C7B"/>
    <w:rsid w:val="77A94328"/>
    <w:rsid w:val="77A959E9"/>
    <w:rsid w:val="77A967D7"/>
    <w:rsid w:val="77AA48B7"/>
    <w:rsid w:val="77AA4BA9"/>
    <w:rsid w:val="77AA5DA7"/>
    <w:rsid w:val="77AA79EB"/>
    <w:rsid w:val="77AB254F"/>
    <w:rsid w:val="77AB2922"/>
    <w:rsid w:val="77AB69F3"/>
    <w:rsid w:val="77AC0DAB"/>
    <w:rsid w:val="77AC0FA2"/>
    <w:rsid w:val="77AC24F6"/>
    <w:rsid w:val="77AC2560"/>
    <w:rsid w:val="77AD1554"/>
    <w:rsid w:val="77AD276B"/>
    <w:rsid w:val="77AD3270"/>
    <w:rsid w:val="77AD4519"/>
    <w:rsid w:val="77AD62C7"/>
    <w:rsid w:val="77AD768D"/>
    <w:rsid w:val="77AE203F"/>
    <w:rsid w:val="77AE29E4"/>
    <w:rsid w:val="77AE3DED"/>
    <w:rsid w:val="77AE7194"/>
    <w:rsid w:val="77AF34AB"/>
    <w:rsid w:val="77AF6EFB"/>
    <w:rsid w:val="77B04009"/>
    <w:rsid w:val="77B05DB7"/>
    <w:rsid w:val="77B119C2"/>
    <w:rsid w:val="77B17784"/>
    <w:rsid w:val="77B17ACF"/>
    <w:rsid w:val="77B227F5"/>
    <w:rsid w:val="77B244B3"/>
    <w:rsid w:val="77B27D81"/>
    <w:rsid w:val="77B358A8"/>
    <w:rsid w:val="77B37656"/>
    <w:rsid w:val="77B43AFA"/>
    <w:rsid w:val="77B43B46"/>
    <w:rsid w:val="77B45115"/>
    <w:rsid w:val="77B53CF7"/>
    <w:rsid w:val="77B5458D"/>
    <w:rsid w:val="77B5517C"/>
    <w:rsid w:val="77B56B1F"/>
    <w:rsid w:val="77B6061C"/>
    <w:rsid w:val="77B70BE8"/>
    <w:rsid w:val="77B70EF4"/>
    <w:rsid w:val="77B72606"/>
    <w:rsid w:val="77B75398"/>
    <w:rsid w:val="77B77146"/>
    <w:rsid w:val="77B77FF7"/>
    <w:rsid w:val="77B80FB0"/>
    <w:rsid w:val="77B84627"/>
    <w:rsid w:val="77B86EDF"/>
    <w:rsid w:val="77B871C7"/>
    <w:rsid w:val="77B87A5B"/>
    <w:rsid w:val="77B91110"/>
    <w:rsid w:val="77B94B5F"/>
    <w:rsid w:val="77B95AB1"/>
    <w:rsid w:val="77BA09E4"/>
    <w:rsid w:val="77BA2CA8"/>
    <w:rsid w:val="77BA349A"/>
    <w:rsid w:val="77BA43A1"/>
    <w:rsid w:val="77BA4E88"/>
    <w:rsid w:val="77BA6C36"/>
    <w:rsid w:val="77BA7782"/>
    <w:rsid w:val="77BB2417"/>
    <w:rsid w:val="77BB2D0B"/>
    <w:rsid w:val="77BB3B58"/>
    <w:rsid w:val="77BB6868"/>
    <w:rsid w:val="77BC2316"/>
    <w:rsid w:val="77BC650A"/>
    <w:rsid w:val="77BD012D"/>
    <w:rsid w:val="77BD2282"/>
    <w:rsid w:val="77BD3638"/>
    <w:rsid w:val="77BD61FA"/>
    <w:rsid w:val="77BE0D98"/>
    <w:rsid w:val="77BE24D9"/>
    <w:rsid w:val="77BE47B4"/>
    <w:rsid w:val="77BE60EB"/>
    <w:rsid w:val="77BF5FFA"/>
    <w:rsid w:val="77C02328"/>
    <w:rsid w:val="77C04DF9"/>
    <w:rsid w:val="77C05D84"/>
    <w:rsid w:val="77C11D73"/>
    <w:rsid w:val="77C16217"/>
    <w:rsid w:val="77C17AA6"/>
    <w:rsid w:val="77C17B3F"/>
    <w:rsid w:val="77C21831"/>
    <w:rsid w:val="77C27899"/>
    <w:rsid w:val="77C31ACD"/>
    <w:rsid w:val="77C35AEB"/>
    <w:rsid w:val="77C43611"/>
    <w:rsid w:val="77C47B8E"/>
    <w:rsid w:val="77C50C37"/>
    <w:rsid w:val="77C535B7"/>
    <w:rsid w:val="77C545BF"/>
    <w:rsid w:val="77C55396"/>
    <w:rsid w:val="77C60C6B"/>
    <w:rsid w:val="77C63F13"/>
    <w:rsid w:val="77C655DB"/>
    <w:rsid w:val="77C67389"/>
    <w:rsid w:val="77C6752A"/>
    <w:rsid w:val="77C720FB"/>
    <w:rsid w:val="77C72A7B"/>
    <w:rsid w:val="77C81863"/>
    <w:rsid w:val="77C83101"/>
    <w:rsid w:val="77C875A5"/>
    <w:rsid w:val="77C90C27"/>
    <w:rsid w:val="77C9452F"/>
    <w:rsid w:val="77C948CA"/>
    <w:rsid w:val="77C9707B"/>
    <w:rsid w:val="77C970E1"/>
    <w:rsid w:val="77C9789F"/>
    <w:rsid w:val="77CA50CB"/>
    <w:rsid w:val="77CA6CBD"/>
    <w:rsid w:val="77CB0E43"/>
    <w:rsid w:val="77CB216E"/>
    <w:rsid w:val="77CB71C5"/>
    <w:rsid w:val="77CB733A"/>
    <w:rsid w:val="77CC156A"/>
    <w:rsid w:val="77CC1DAA"/>
    <w:rsid w:val="77CC229C"/>
    <w:rsid w:val="77CC23A1"/>
    <w:rsid w:val="77CC339C"/>
    <w:rsid w:val="77CC5F6D"/>
    <w:rsid w:val="77CC60A6"/>
    <w:rsid w:val="77CC736C"/>
    <w:rsid w:val="77CC7F28"/>
    <w:rsid w:val="77CD43F6"/>
    <w:rsid w:val="77CD466B"/>
    <w:rsid w:val="77CD6AFA"/>
    <w:rsid w:val="77CE207F"/>
    <w:rsid w:val="77CE623E"/>
    <w:rsid w:val="77CF1B8C"/>
    <w:rsid w:val="77CF1D1D"/>
    <w:rsid w:val="77CF26E1"/>
    <w:rsid w:val="77D01FB6"/>
    <w:rsid w:val="77D03501"/>
    <w:rsid w:val="77D05FB8"/>
    <w:rsid w:val="77D0645A"/>
    <w:rsid w:val="77D117FB"/>
    <w:rsid w:val="77D13BA9"/>
    <w:rsid w:val="77D221D2"/>
    <w:rsid w:val="77D23095"/>
    <w:rsid w:val="77D27113"/>
    <w:rsid w:val="77D2720E"/>
    <w:rsid w:val="77D27F44"/>
    <w:rsid w:val="77D3069E"/>
    <w:rsid w:val="77D30A5E"/>
    <w:rsid w:val="77D31AA6"/>
    <w:rsid w:val="77D31AE0"/>
    <w:rsid w:val="77D31B2E"/>
    <w:rsid w:val="77D32050"/>
    <w:rsid w:val="77D329ED"/>
    <w:rsid w:val="77D3326F"/>
    <w:rsid w:val="77D41D63"/>
    <w:rsid w:val="77D43CB5"/>
    <w:rsid w:val="77D446FF"/>
    <w:rsid w:val="77D4513B"/>
    <w:rsid w:val="77D45F4A"/>
    <w:rsid w:val="77D47CF8"/>
    <w:rsid w:val="77D515D3"/>
    <w:rsid w:val="77D52C9A"/>
    <w:rsid w:val="77D53A70"/>
    <w:rsid w:val="77D5676F"/>
    <w:rsid w:val="77D575CC"/>
    <w:rsid w:val="77D6172C"/>
    <w:rsid w:val="77D61BF0"/>
    <w:rsid w:val="77D6701F"/>
    <w:rsid w:val="77D70467"/>
    <w:rsid w:val="77D73080"/>
    <w:rsid w:val="77D74CE3"/>
    <w:rsid w:val="77D80F72"/>
    <w:rsid w:val="77D8586D"/>
    <w:rsid w:val="77D870BC"/>
    <w:rsid w:val="77D930BA"/>
    <w:rsid w:val="77D93560"/>
    <w:rsid w:val="77D93D67"/>
    <w:rsid w:val="77D951C4"/>
    <w:rsid w:val="77D951E5"/>
    <w:rsid w:val="77D9530E"/>
    <w:rsid w:val="77D97032"/>
    <w:rsid w:val="77DA00CA"/>
    <w:rsid w:val="77DA0571"/>
    <w:rsid w:val="77DA1086"/>
    <w:rsid w:val="77DA2E34"/>
    <w:rsid w:val="77DB72D8"/>
    <w:rsid w:val="77DC3B3C"/>
    <w:rsid w:val="77DC4DFE"/>
    <w:rsid w:val="77DC5A62"/>
    <w:rsid w:val="77DC6BAC"/>
    <w:rsid w:val="77DD0567"/>
    <w:rsid w:val="77DD5650"/>
    <w:rsid w:val="77DD6EF2"/>
    <w:rsid w:val="77DD7E6D"/>
    <w:rsid w:val="77DE1915"/>
    <w:rsid w:val="77DE2925"/>
    <w:rsid w:val="77DE46D3"/>
    <w:rsid w:val="77DF044B"/>
    <w:rsid w:val="77DF1812"/>
    <w:rsid w:val="77E01636"/>
    <w:rsid w:val="77E048EF"/>
    <w:rsid w:val="77E12415"/>
    <w:rsid w:val="77E134ED"/>
    <w:rsid w:val="77E14132"/>
    <w:rsid w:val="77E14CE6"/>
    <w:rsid w:val="77E15F71"/>
    <w:rsid w:val="77E20193"/>
    <w:rsid w:val="77E23F9F"/>
    <w:rsid w:val="77E30807"/>
    <w:rsid w:val="77E32811"/>
    <w:rsid w:val="77E32D64"/>
    <w:rsid w:val="77E3305F"/>
    <w:rsid w:val="77E33DF2"/>
    <w:rsid w:val="77E3618D"/>
    <w:rsid w:val="77E37F3B"/>
    <w:rsid w:val="77E4293C"/>
    <w:rsid w:val="77E43CB3"/>
    <w:rsid w:val="77E512AF"/>
    <w:rsid w:val="77E55F64"/>
    <w:rsid w:val="77E617D9"/>
    <w:rsid w:val="77E64141"/>
    <w:rsid w:val="77E66B14"/>
    <w:rsid w:val="77E67A2B"/>
    <w:rsid w:val="77E77D66"/>
    <w:rsid w:val="77E81302"/>
    <w:rsid w:val="77E82FAF"/>
    <w:rsid w:val="77E837A3"/>
    <w:rsid w:val="77E83B26"/>
    <w:rsid w:val="77E84005"/>
    <w:rsid w:val="77E84B7B"/>
    <w:rsid w:val="77E85551"/>
    <w:rsid w:val="77E872FF"/>
    <w:rsid w:val="77E912C9"/>
    <w:rsid w:val="77E94426"/>
    <w:rsid w:val="77E97604"/>
    <w:rsid w:val="77EA4E5D"/>
    <w:rsid w:val="77EA526E"/>
    <w:rsid w:val="77EB5041"/>
    <w:rsid w:val="77EB5048"/>
    <w:rsid w:val="77EB6DF0"/>
    <w:rsid w:val="77EC1F98"/>
    <w:rsid w:val="77EC2986"/>
    <w:rsid w:val="77EC755D"/>
    <w:rsid w:val="77ED0A5E"/>
    <w:rsid w:val="77ED0DBA"/>
    <w:rsid w:val="77ED2B68"/>
    <w:rsid w:val="77ED4DD1"/>
    <w:rsid w:val="77EE637F"/>
    <w:rsid w:val="77EF1307"/>
    <w:rsid w:val="77EF2BD0"/>
    <w:rsid w:val="77EF4B32"/>
    <w:rsid w:val="77EF50EB"/>
    <w:rsid w:val="77EF68E0"/>
    <w:rsid w:val="77F008AA"/>
    <w:rsid w:val="77F01503"/>
    <w:rsid w:val="77F02658"/>
    <w:rsid w:val="77F04C98"/>
    <w:rsid w:val="77F06B98"/>
    <w:rsid w:val="77F07FAE"/>
    <w:rsid w:val="77F2017E"/>
    <w:rsid w:val="77F225CC"/>
    <w:rsid w:val="77F24622"/>
    <w:rsid w:val="77F263D0"/>
    <w:rsid w:val="77F26E5C"/>
    <w:rsid w:val="77F278B0"/>
    <w:rsid w:val="77F27C88"/>
    <w:rsid w:val="77F35CA4"/>
    <w:rsid w:val="77F425A8"/>
    <w:rsid w:val="77F428DB"/>
    <w:rsid w:val="77F43DA8"/>
    <w:rsid w:val="77F448D0"/>
    <w:rsid w:val="77F45E25"/>
    <w:rsid w:val="77F51BAB"/>
    <w:rsid w:val="77F55179"/>
    <w:rsid w:val="77F55EC0"/>
    <w:rsid w:val="77F60C91"/>
    <w:rsid w:val="77F61097"/>
    <w:rsid w:val="77F6256C"/>
    <w:rsid w:val="77F64995"/>
    <w:rsid w:val="77F70454"/>
    <w:rsid w:val="77F71BDF"/>
    <w:rsid w:val="77F71C38"/>
    <w:rsid w:val="77F7266A"/>
    <w:rsid w:val="77F75766"/>
    <w:rsid w:val="77F77A99"/>
    <w:rsid w:val="77F77AA0"/>
    <w:rsid w:val="77F80F29"/>
    <w:rsid w:val="77F83C74"/>
    <w:rsid w:val="77F8785D"/>
    <w:rsid w:val="77F87ABB"/>
    <w:rsid w:val="77F959B0"/>
    <w:rsid w:val="77F967D4"/>
    <w:rsid w:val="77F973FE"/>
    <w:rsid w:val="77F9775E"/>
    <w:rsid w:val="77F97C55"/>
    <w:rsid w:val="77FA5520"/>
    <w:rsid w:val="77FB1377"/>
    <w:rsid w:val="77FB2B35"/>
    <w:rsid w:val="77FB5F82"/>
    <w:rsid w:val="77FC2DAB"/>
    <w:rsid w:val="77FC5F12"/>
    <w:rsid w:val="77FC5FED"/>
    <w:rsid w:val="77FD390B"/>
    <w:rsid w:val="77FE2FC7"/>
    <w:rsid w:val="77FE4D75"/>
    <w:rsid w:val="77FF0DFC"/>
    <w:rsid w:val="77FF289B"/>
    <w:rsid w:val="77FF35F1"/>
    <w:rsid w:val="77FF76BB"/>
    <w:rsid w:val="78000AED"/>
    <w:rsid w:val="780011B7"/>
    <w:rsid w:val="780062DF"/>
    <w:rsid w:val="78006D3F"/>
    <w:rsid w:val="78007A78"/>
    <w:rsid w:val="78007E78"/>
    <w:rsid w:val="7801371C"/>
    <w:rsid w:val="78014865"/>
    <w:rsid w:val="780162ED"/>
    <w:rsid w:val="78016613"/>
    <w:rsid w:val="78017C5B"/>
    <w:rsid w:val="78023DEF"/>
    <w:rsid w:val="780270D0"/>
    <w:rsid w:val="7802777D"/>
    <w:rsid w:val="78034139"/>
    <w:rsid w:val="78035FF5"/>
    <w:rsid w:val="7804499B"/>
    <w:rsid w:val="78044AA5"/>
    <w:rsid w:val="780521C1"/>
    <w:rsid w:val="78054355"/>
    <w:rsid w:val="78054D74"/>
    <w:rsid w:val="78056103"/>
    <w:rsid w:val="780600CD"/>
    <w:rsid w:val="78063B6A"/>
    <w:rsid w:val="78063C29"/>
    <w:rsid w:val="780649BD"/>
    <w:rsid w:val="780659D7"/>
    <w:rsid w:val="78070701"/>
    <w:rsid w:val="78084E16"/>
    <w:rsid w:val="780862A6"/>
    <w:rsid w:val="780879A1"/>
    <w:rsid w:val="78090CD5"/>
    <w:rsid w:val="780A0CF1"/>
    <w:rsid w:val="780B3776"/>
    <w:rsid w:val="780B56E4"/>
    <w:rsid w:val="780C618A"/>
    <w:rsid w:val="780D4890"/>
    <w:rsid w:val="780D4FB8"/>
    <w:rsid w:val="780D6694"/>
    <w:rsid w:val="780D7ADA"/>
    <w:rsid w:val="780E28C9"/>
    <w:rsid w:val="780E3806"/>
    <w:rsid w:val="780E4A67"/>
    <w:rsid w:val="780E5D20"/>
    <w:rsid w:val="780F09F4"/>
    <w:rsid w:val="780F1235"/>
    <w:rsid w:val="780F6F82"/>
    <w:rsid w:val="780F71B0"/>
    <w:rsid w:val="78100640"/>
    <w:rsid w:val="78101D81"/>
    <w:rsid w:val="78106EAA"/>
    <w:rsid w:val="78112CFA"/>
    <w:rsid w:val="78113211"/>
    <w:rsid w:val="78117B09"/>
    <w:rsid w:val="781225CE"/>
    <w:rsid w:val="781246A1"/>
    <w:rsid w:val="78126A72"/>
    <w:rsid w:val="78127307"/>
    <w:rsid w:val="78135B31"/>
    <w:rsid w:val="78140451"/>
    <w:rsid w:val="78141CD4"/>
    <w:rsid w:val="781448BD"/>
    <w:rsid w:val="78146D8B"/>
    <w:rsid w:val="78151EEA"/>
    <w:rsid w:val="7815391F"/>
    <w:rsid w:val="781644B1"/>
    <w:rsid w:val="78170512"/>
    <w:rsid w:val="78176AF1"/>
    <w:rsid w:val="7817760E"/>
    <w:rsid w:val="78177BE5"/>
    <w:rsid w:val="78184C6F"/>
    <w:rsid w:val="78191561"/>
    <w:rsid w:val="78191BAF"/>
    <w:rsid w:val="7819395D"/>
    <w:rsid w:val="78196949"/>
    <w:rsid w:val="781976DF"/>
    <w:rsid w:val="78197E01"/>
    <w:rsid w:val="781A1483"/>
    <w:rsid w:val="781A76D5"/>
    <w:rsid w:val="781B0B0C"/>
    <w:rsid w:val="781B11D8"/>
    <w:rsid w:val="781B1759"/>
    <w:rsid w:val="781B6E93"/>
    <w:rsid w:val="781C169F"/>
    <w:rsid w:val="781C2EF4"/>
    <w:rsid w:val="781C51FB"/>
    <w:rsid w:val="781C7039"/>
    <w:rsid w:val="781D0955"/>
    <w:rsid w:val="781D350A"/>
    <w:rsid w:val="781E0489"/>
    <w:rsid w:val="781E316D"/>
    <w:rsid w:val="781E4659"/>
    <w:rsid w:val="781E6993"/>
    <w:rsid w:val="781E71C5"/>
    <w:rsid w:val="781E7E54"/>
    <w:rsid w:val="781F0C6B"/>
    <w:rsid w:val="781F1403"/>
    <w:rsid w:val="781F1E84"/>
    <w:rsid w:val="781F6A99"/>
    <w:rsid w:val="781F7948"/>
    <w:rsid w:val="781F7C21"/>
    <w:rsid w:val="78200134"/>
    <w:rsid w:val="78201875"/>
    <w:rsid w:val="782051EE"/>
    <w:rsid w:val="78210A63"/>
    <w:rsid w:val="782115C4"/>
    <w:rsid w:val="78212B0A"/>
    <w:rsid w:val="78213E73"/>
    <w:rsid w:val="78216CB5"/>
    <w:rsid w:val="78236589"/>
    <w:rsid w:val="78246B4A"/>
    <w:rsid w:val="78247AC8"/>
    <w:rsid w:val="78250553"/>
    <w:rsid w:val="78252301"/>
    <w:rsid w:val="782567A5"/>
    <w:rsid w:val="782619D3"/>
    <w:rsid w:val="782642CC"/>
    <w:rsid w:val="7826474C"/>
    <w:rsid w:val="782648A3"/>
    <w:rsid w:val="78265D9D"/>
    <w:rsid w:val="7826607A"/>
    <w:rsid w:val="78267E28"/>
    <w:rsid w:val="78275436"/>
    <w:rsid w:val="78280C3E"/>
    <w:rsid w:val="78281DF2"/>
    <w:rsid w:val="7829461B"/>
    <w:rsid w:val="78297D56"/>
    <w:rsid w:val="78297FCE"/>
    <w:rsid w:val="782A2380"/>
    <w:rsid w:val="782A7918"/>
    <w:rsid w:val="782B18E2"/>
    <w:rsid w:val="782B3690"/>
    <w:rsid w:val="782B7A82"/>
    <w:rsid w:val="782C3C84"/>
    <w:rsid w:val="782C42DA"/>
    <w:rsid w:val="782C5004"/>
    <w:rsid w:val="782C50B6"/>
    <w:rsid w:val="782C7B34"/>
    <w:rsid w:val="782C7E18"/>
    <w:rsid w:val="782D15D9"/>
    <w:rsid w:val="782D7408"/>
    <w:rsid w:val="782E41A6"/>
    <w:rsid w:val="782E460E"/>
    <w:rsid w:val="782F13D2"/>
    <w:rsid w:val="782F3180"/>
    <w:rsid w:val="782F4F2E"/>
    <w:rsid w:val="783008EA"/>
    <w:rsid w:val="78300CA6"/>
    <w:rsid w:val="78305E25"/>
    <w:rsid w:val="783110B9"/>
    <w:rsid w:val="78312CE9"/>
    <w:rsid w:val="783145BA"/>
    <w:rsid w:val="78320CFA"/>
    <w:rsid w:val="78321012"/>
    <w:rsid w:val="78322C70"/>
    <w:rsid w:val="7832511A"/>
    <w:rsid w:val="783267CC"/>
    <w:rsid w:val="783339D9"/>
    <w:rsid w:val="78335C23"/>
    <w:rsid w:val="78340796"/>
    <w:rsid w:val="783446D1"/>
    <w:rsid w:val="783448DE"/>
    <w:rsid w:val="783469E8"/>
    <w:rsid w:val="78347A3A"/>
    <w:rsid w:val="78350ECA"/>
    <w:rsid w:val="7835191F"/>
    <w:rsid w:val="783549BE"/>
    <w:rsid w:val="78362761"/>
    <w:rsid w:val="78363A9B"/>
    <w:rsid w:val="78372035"/>
    <w:rsid w:val="78372105"/>
    <w:rsid w:val="78372663"/>
    <w:rsid w:val="783764D9"/>
    <w:rsid w:val="78377DDA"/>
    <w:rsid w:val="78385321"/>
    <w:rsid w:val="783855FC"/>
    <w:rsid w:val="783863BB"/>
    <w:rsid w:val="78392224"/>
    <w:rsid w:val="7839223D"/>
    <w:rsid w:val="78393BE4"/>
    <w:rsid w:val="78393FFF"/>
    <w:rsid w:val="7839499F"/>
    <w:rsid w:val="78395DAD"/>
    <w:rsid w:val="7839784B"/>
    <w:rsid w:val="78397B5B"/>
    <w:rsid w:val="783A0CDB"/>
    <w:rsid w:val="783A38AC"/>
    <w:rsid w:val="783A38D3"/>
    <w:rsid w:val="783A3B51"/>
    <w:rsid w:val="783A505B"/>
    <w:rsid w:val="783B1B25"/>
    <w:rsid w:val="783C249C"/>
    <w:rsid w:val="783C3009"/>
    <w:rsid w:val="783C3AEF"/>
    <w:rsid w:val="783C4996"/>
    <w:rsid w:val="783C589D"/>
    <w:rsid w:val="783C5BE7"/>
    <w:rsid w:val="783D3D43"/>
    <w:rsid w:val="783D4D13"/>
    <w:rsid w:val="783E1615"/>
    <w:rsid w:val="783E1A49"/>
    <w:rsid w:val="783E2461"/>
    <w:rsid w:val="783E33C3"/>
    <w:rsid w:val="783E63F5"/>
    <w:rsid w:val="783E66FF"/>
    <w:rsid w:val="783E7867"/>
    <w:rsid w:val="783E7FCF"/>
    <w:rsid w:val="783F0EE9"/>
    <w:rsid w:val="783F284D"/>
    <w:rsid w:val="783F3D26"/>
    <w:rsid w:val="783F7D9B"/>
    <w:rsid w:val="7840538D"/>
    <w:rsid w:val="7840713B"/>
    <w:rsid w:val="78407BB7"/>
    <w:rsid w:val="78412EB3"/>
    <w:rsid w:val="78414C61"/>
    <w:rsid w:val="78417517"/>
    <w:rsid w:val="78424137"/>
    <w:rsid w:val="784309DA"/>
    <w:rsid w:val="784318DD"/>
    <w:rsid w:val="78434E7D"/>
    <w:rsid w:val="7843609F"/>
    <w:rsid w:val="784366B9"/>
    <w:rsid w:val="78436C2C"/>
    <w:rsid w:val="784371D7"/>
    <w:rsid w:val="78450BF6"/>
    <w:rsid w:val="78451C24"/>
    <w:rsid w:val="784528D7"/>
    <w:rsid w:val="784529A4"/>
    <w:rsid w:val="78454752"/>
    <w:rsid w:val="784604CA"/>
    <w:rsid w:val="78461B32"/>
    <w:rsid w:val="78462278"/>
    <w:rsid w:val="78463590"/>
    <w:rsid w:val="78472812"/>
    <w:rsid w:val="784754A5"/>
    <w:rsid w:val="78475DD4"/>
    <w:rsid w:val="7847671C"/>
    <w:rsid w:val="78482494"/>
    <w:rsid w:val="78484242"/>
    <w:rsid w:val="78485EB0"/>
    <w:rsid w:val="78485FF0"/>
    <w:rsid w:val="7849395D"/>
    <w:rsid w:val="784A1D68"/>
    <w:rsid w:val="784A2C93"/>
    <w:rsid w:val="784A45E5"/>
    <w:rsid w:val="784A620C"/>
    <w:rsid w:val="784B5AE0"/>
    <w:rsid w:val="784B5FEF"/>
    <w:rsid w:val="784B788E"/>
    <w:rsid w:val="784C1F84"/>
    <w:rsid w:val="784C21BB"/>
    <w:rsid w:val="784C3D32"/>
    <w:rsid w:val="784D1858"/>
    <w:rsid w:val="784D3606"/>
    <w:rsid w:val="784D3F3E"/>
    <w:rsid w:val="784D4379"/>
    <w:rsid w:val="784D6FBC"/>
    <w:rsid w:val="784D7151"/>
    <w:rsid w:val="784D7AAA"/>
    <w:rsid w:val="784E1CF0"/>
    <w:rsid w:val="784E26B3"/>
    <w:rsid w:val="784E39C4"/>
    <w:rsid w:val="784F0BDA"/>
    <w:rsid w:val="784F6377"/>
    <w:rsid w:val="784F737E"/>
    <w:rsid w:val="784F73C8"/>
    <w:rsid w:val="7850376E"/>
    <w:rsid w:val="78504F4D"/>
    <w:rsid w:val="7850726A"/>
    <w:rsid w:val="785129AB"/>
    <w:rsid w:val="7851759A"/>
    <w:rsid w:val="78520C1D"/>
    <w:rsid w:val="78526E6F"/>
    <w:rsid w:val="785273C5"/>
    <w:rsid w:val="7853456D"/>
    <w:rsid w:val="78540376"/>
    <w:rsid w:val="785433DC"/>
    <w:rsid w:val="78544995"/>
    <w:rsid w:val="78544F6B"/>
    <w:rsid w:val="7855301B"/>
    <w:rsid w:val="785560F7"/>
    <w:rsid w:val="7855753C"/>
    <w:rsid w:val="78561944"/>
    <w:rsid w:val="785643F0"/>
    <w:rsid w:val="78564BB1"/>
    <w:rsid w:val="7856695F"/>
    <w:rsid w:val="78570929"/>
    <w:rsid w:val="785726D7"/>
    <w:rsid w:val="78573708"/>
    <w:rsid w:val="78573847"/>
    <w:rsid w:val="78574485"/>
    <w:rsid w:val="78575360"/>
    <w:rsid w:val="785836DE"/>
    <w:rsid w:val="78586D7C"/>
    <w:rsid w:val="7858735E"/>
    <w:rsid w:val="785902C5"/>
    <w:rsid w:val="78591A3B"/>
    <w:rsid w:val="78591FAB"/>
    <w:rsid w:val="78595C42"/>
    <w:rsid w:val="78596379"/>
    <w:rsid w:val="7859644F"/>
    <w:rsid w:val="78596B71"/>
    <w:rsid w:val="785A1755"/>
    <w:rsid w:val="785A17F6"/>
    <w:rsid w:val="785A2E96"/>
    <w:rsid w:val="785A629B"/>
    <w:rsid w:val="785B20F2"/>
    <w:rsid w:val="785B3CD9"/>
    <w:rsid w:val="785B3F75"/>
    <w:rsid w:val="785C0A91"/>
    <w:rsid w:val="785C5704"/>
    <w:rsid w:val="785C5A88"/>
    <w:rsid w:val="785D4470"/>
    <w:rsid w:val="785E10BF"/>
    <w:rsid w:val="785E1CB7"/>
    <w:rsid w:val="785E3A65"/>
    <w:rsid w:val="785F36CA"/>
    <w:rsid w:val="785F4137"/>
    <w:rsid w:val="785F7CDB"/>
    <w:rsid w:val="78600002"/>
    <w:rsid w:val="7860158C"/>
    <w:rsid w:val="7860333A"/>
    <w:rsid w:val="786077DD"/>
    <w:rsid w:val="786111B1"/>
    <w:rsid w:val="78615304"/>
    <w:rsid w:val="786178B9"/>
    <w:rsid w:val="78621628"/>
    <w:rsid w:val="78623556"/>
    <w:rsid w:val="78627EE7"/>
    <w:rsid w:val="786372CE"/>
    <w:rsid w:val="78642E05"/>
    <w:rsid w:val="7864378F"/>
    <w:rsid w:val="786453D8"/>
    <w:rsid w:val="78646B19"/>
    <w:rsid w:val="78650950"/>
    <w:rsid w:val="786523D7"/>
    <w:rsid w:val="7865537F"/>
    <w:rsid w:val="78656868"/>
    <w:rsid w:val="78660F0D"/>
    <w:rsid w:val="7866291A"/>
    <w:rsid w:val="78662B74"/>
    <w:rsid w:val="786646C8"/>
    <w:rsid w:val="78670B6C"/>
    <w:rsid w:val="7867122A"/>
    <w:rsid w:val="786728C9"/>
    <w:rsid w:val="78673EF3"/>
    <w:rsid w:val="78680440"/>
    <w:rsid w:val="786848E4"/>
    <w:rsid w:val="78686692"/>
    <w:rsid w:val="78690AA8"/>
    <w:rsid w:val="786952F6"/>
    <w:rsid w:val="786A065C"/>
    <w:rsid w:val="786A240A"/>
    <w:rsid w:val="786A41B8"/>
    <w:rsid w:val="786B7130"/>
    <w:rsid w:val="786C147B"/>
    <w:rsid w:val="786C39AE"/>
    <w:rsid w:val="786C3B6A"/>
    <w:rsid w:val="786C52AB"/>
    <w:rsid w:val="786C6182"/>
    <w:rsid w:val="786C7F30"/>
    <w:rsid w:val="786D0401"/>
    <w:rsid w:val="786D1EFA"/>
    <w:rsid w:val="786D3CA8"/>
    <w:rsid w:val="786F3C2C"/>
    <w:rsid w:val="786F5C73"/>
    <w:rsid w:val="786F7A21"/>
    <w:rsid w:val="78702570"/>
    <w:rsid w:val="787119EB"/>
    <w:rsid w:val="78714A90"/>
    <w:rsid w:val="78715547"/>
    <w:rsid w:val="78717E6A"/>
    <w:rsid w:val="78720B19"/>
    <w:rsid w:val="78720CF2"/>
    <w:rsid w:val="78720E06"/>
    <w:rsid w:val="787212BF"/>
    <w:rsid w:val="7872231A"/>
    <w:rsid w:val="787225AD"/>
    <w:rsid w:val="78722B69"/>
    <w:rsid w:val="78722DD1"/>
    <w:rsid w:val="7872306D"/>
    <w:rsid w:val="78724754"/>
    <w:rsid w:val="787248D1"/>
    <w:rsid w:val="7872532D"/>
    <w:rsid w:val="787328DD"/>
    <w:rsid w:val="78733A3D"/>
    <w:rsid w:val="78737931"/>
    <w:rsid w:val="78741052"/>
    <w:rsid w:val="787425CC"/>
    <w:rsid w:val="78743289"/>
    <w:rsid w:val="78743CF2"/>
    <w:rsid w:val="7874504A"/>
    <w:rsid w:val="78746DE5"/>
    <w:rsid w:val="78747106"/>
    <w:rsid w:val="78760DAF"/>
    <w:rsid w:val="78762BF8"/>
    <w:rsid w:val="78763C04"/>
    <w:rsid w:val="78764F7E"/>
    <w:rsid w:val="78765F3C"/>
    <w:rsid w:val="78767001"/>
    <w:rsid w:val="787677ED"/>
    <w:rsid w:val="787709AC"/>
    <w:rsid w:val="78770FA3"/>
    <w:rsid w:val="78774B27"/>
    <w:rsid w:val="78780346"/>
    <w:rsid w:val="78787676"/>
    <w:rsid w:val="7879089F"/>
    <w:rsid w:val="7879264D"/>
    <w:rsid w:val="78792CC1"/>
    <w:rsid w:val="7879400A"/>
    <w:rsid w:val="787943FB"/>
    <w:rsid w:val="787A0305"/>
    <w:rsid w:val="787A40E6"/>
    <w:rsid w:val="787A64E0"/>
    <w:rsid w:val="787B0173"/>
    <w:rsid w:val="787B12CF"/>
    <w:rsid w:val="787B153F"/>
    <w:rsid w:val="787B4617"/>
    <w:rsid w:val="787B46C6"/>
    <w:rsid w:val="787B4C55"/>
    <w:rsid w:val="787B6BC2"/>
    <w:rsid w:val="787C3267"/>
    <w:rsid w:val="787C398F"/>
    <w:rsid w:val="787C3EEC"/>
    <w:rsid w:val="787C544D"/>
    <w:rsid w:val="787C7650"/>
    <w:rsid w:val="787D0361"/>
    <w:rsid w:val="787D038F"/>
    <w:rsid w:val="787D0748"/>
    <w:rsid w:val="787D098B"/>
    <w:rsid w:val="787D213D"/>
    <w:rsid w:val="787D3CD2"/>
    <w:rsid w:val="787D6230"/>
    <w:rsid w:val="787D74DA"/>
    <w:rsid w:val="787E0B50"/>
    <w:rsid w:val="787E1096"/>
    <w:rsid w:val="787E1A12"/>
    <w:rsid w:val="787E1DE1"/>
    <w:rsid w:val="787E3809"/>
    <w:rsid w:val="787E4304"/>
    <w:rsid w:val="787E5EB6"/>
    <w:rsid w:val="787E76C0"/>
    <w:rsid w:val="787E7C64"/>
    <w:rsid w:val="787F177B"/>
    <w:rsid w:val="787F215F"/>
    <w:rsid w:val="787F24BF"/>
    <w:rsid w:val="787F3721"/>
    <w:rsid w:val="788039DC"/>
    <w:rsid w:val="7880578A"/>
    <w:rsid w:val="78811502"/>
    <w:rsid w:val="7881229B"/>
    <w:rsid w:val="7881239A"/>
    <w:rsid w:val="78817B93"/>
    <w:rsid w:val="78826E72"/>
    <w:rsid w:val="788274D1"/>
    <w:rsid w:val="788275EE"/>
    <w:rsid w:val="78827754"/>
    <w:rsid w:val="78830961"/>
    <w:rsid w:val="7883171E"/>
    <w:rsid w:val="788334CC"/>
    <w:rsid w:val="7883527A"/>
    <w:rsid w:val="78841DF1"/>
    <w:rsid w:val="78846DC6"/>
    <w:rsid w:val="78850FF2"/>
    <w:rsid w:val="78852DA0"/>
    <w:rsid w:val="78854B7B"/>
    <w:rsid w:val="788565FB"/>
    <w:rsid w:val="78857244"/>
    <w:rsid w:val="78866B18"/>
    <w:rsid w:val="78871EB3"/>
    <w:rsid w:val="788735AB"/>
    <w:rsid w:val="78874D6A"/>
    <w:rsid w:val="78880AE2"/>
    <w:rsid w:val="78880BF1"/>
    <w:rsid w:val="78881A4B"/>
    <w:rsid w:val="78882890"/>
    <w:rsid w:val="78883343"/>
    <w:rsid w:val="78885CFF"/>
    <w:rsid w:val="78895C63"/>
    <w:rsid w:val="78895E65"/>
    <w:rsid w:val="788973A4"/>
    <w:rsid w:val="788A03B6"/>
    <w:rsid w:val="788A2AAC"/>
    <w:rsid w:val="788A3163"/>
    <w:rsid w:val="788A6608"/>
    <w:rsid w:val="788A70F3"/>
    <w:rsid w:val="788B1F02"/>
    <w:rsid w:val="788C05D2"/>
    <w:rsid w:val="788C2381"/>
    <w:rsid w:val="788C2B77"/>
    <w:rsid w:val="788C2BBF"/>
    <w:rsid w:val="788C42EA"/>
    <w:rsid w:val="788D143B"/>
    <w:rsid w:val="788D212B"/>
    <w:rsid w:val="788D2783"/>
    <w:rsid w:val="788D434B"/>
    <w:rsid w:val="788D5D25"/>
    <w:rsid w:val="788D7EA7"/>
    <w:rsid w:val="788E093C"/>
    <w:rsid w:val="788E1979"/>
    <w:rsid w:val="788E50B7"/>
    <w:rsid w:val="788F00C3"/>
    <w:rsid w:val="788F1E71"/>
    <w:rsid w:val="78907DC2"/>
    <w:rsid w:val="78911745"/>
    <w:rsid w:val="78912E9A"/>
    <w:rsid w:val="78914535"/>
    <w:rsid w:val="789158A9"/>
    <w:rsid w:val="78915B36"/>
    <w:rsid w:val="78916E8E"/>
    <w:rsid w:val="7892455A"/>
    <w:rsid w:val="789254BD"/>
    <w:rsid w:val="78926366"/>
    <w:rsid w:val="78926FC6"/>
    <w:rsid w:val="78931961"/>
    <w:rsid w:val="789339A1"/>
    <w:rsid w:val="78941235"/>
    <w:rsid w:val="78943A68"/>
    <w:rsid w:val="789444B7"/>
    <w:rsid w:val="789456D9"/>
    <w:rsid w:val="78947487"/>
    <w:rsid w:val="78952D76"/>
    <w:rsid w:val="7895322D"/>
    <w:rsid w:val="78954206"/>
    <w:rsid w:val="78954B3B"/>
    <w:rsid w:val="78957AE3"/>
    <w:rsid w:val="78961451"/>
    <w:rsid w:val="789631FF"/>
    <w:rsid w:val="78966947"/>
    <w:rsid w:val="78966DD7"/>
    <w:rsid w:val="789719A8"/>
    <w:rsid w:val="78972AD3"/>
    <w:rsid w:val="789842C8"/>
    <w:rsid w:val="78991D27"/>
    <w:rsid w:val="78992B87"/>
    <w:rsid w:val="78992CEF"/>
    <w:rsid w:val="78993069"/>
    <w:rsid w:val="78995758"/>
    <w:rsid w:val="789A3CEC"/>
    <w:rsid w:val="789A67D5"/>
    <w:rsid w:val="789A6BE8"/>
    <w:rsid w:val="789B0078"/>
    <w:rsid w:val="789B0816"/>
    <w:rsid w:val="789B17B9"/>
    <w:rsid w:val="789B25C4"/>
    <w:rsid w:val="789B436E"/>
    <w:rsid w:val="789B6A68"/>
    <w:rsid w:val="789B7FE8"/>
    <w:rsid w:val="789C050B"/>
    <w:rsid w:val="789C2A58"/>
    <w:rsid w:val="789C6FEC"/>
    <w:rsid w:val="789D27E0"/>
    <w:rsid w:val="789D458E"/>
    <w:rsid w:val="789D6CAA"/>
    <w:rsid w:val="789D7871"/>
    <w:rsid w:val="789E40A2"/>
    <w:rsid w:val="789E4EB1"/>
    <w:rsid w:val="789F51CB"/>
    <w:rsid w:val="789F69F9"/>
    <w:rsid w:val="789F74D8"/>
    <w:rsid w:val="78A00691"/>
    <w:rsid w:val="78A0407E"/>
    <w:rsid w:val="78A05E2C"/>
    <w:rsid w:val="78A07BDA"/>
    <w:rsid w:val="78A07E89"/>
    <w:rsid w:val="78A2146F"/>
    <w:rsid w:val="78A21BA4"/>
    <w:rsid w:val="78A23952"/>
    <w:rsid w:val="78A269DE"/>
    <w:rsid w:val="78A26ABB"/>
    <w:rsid w:val="78A26B49"/>
    <w:rsid w:val="78A27DF6"/>
    <w:rsid w:val="78A31478"/>
    <w:rsid w:val="78A315CC"/>
    <w:rsid w:val="78A33282"/>
    <w:rsid w:val="78A364D7"/>
    <w:rsid w:val="78A3680A"/>
    <w:rsid w:val="78A376CA"/>
    <w:rsid w:val="78A4106E"/>
    <w:rsid w:val="78A50061"/>
    <w:rsid w:val="78A53CFB"/>
    <w:rsid w:val="78A668CC"/>
    <w:rsid w:val="78A7023F"/>
    <w:rsid w:val="78A70F68"/>
    <w:rsid w:val="78A732C8"/>
    <w:rsid w:val="78A7540C"/>
    <w:rsid w:val="78A75A26"/>
    <w:rsid w:val="78A75C00"/>
    <w:rsid w:val="78A771BA"/>
    <w:rsid w:val="78A811EC"/>
    <w:rsid w:val="78A81248"/>
    <w:rsid w:val="78A82F32"/>
    <w:rsid w:val="78A83DBD"/>
    <w:rsid w:val="78A84CE1"/>
    <w:rsid w:val="78A8576C"/>
    <w:rsid w:val="78A90480"/>
    <w:rsid w:val="78A91184"/>
    <w:rsid w:val="78A917B5"/>
    <w:rsid w:val="78A9524D"/>
    <w:rsid w:val="78AA0A59"/>
    <w:rsid w:val="78AA3B0C"/>
    <w:rsid w:val="78AA6CAB"/>
    <w:rsid w:val="78AA730B"/>
    <w:rsid w:val="78AB2110"/>
    <w:rsid w:val="78AC0FFD"/>
    <w:rsid w:val="78AC2A23"/>
    <w:rsid w:val="78AC47D1"/>
    <w:rsid w:val="78AC48FA"/>
    <w:rsid w:val="78AC69AC"/>
    <w:rsid w:val="78AD0549"/>
    <w:rsid w:val="78AD4288"/>
    <w:rsid w:val="78AD7CCB"/>
    <w:rsid w:val="78AE0074"/>
    <w:rsid w:val="78AE46A0"/>
    <w:rsid w:val="78AE505E"/>
    <w:rsid w:val="78AF42C1"/>
    <w:rsid w:val="78B000CB"/>
    <w:rsid w:val="78B10039"/>
    <w:rsid w:val="78B11DE7"/>
    <w:rsid w:val="78B25C27"/>
    <w:rsid w:val="78B33C13"/>
    <w:rsid w:val="78B33DB1"/>
    <w:rsid w:val="78B346DE"/>
    <w:rsid w:val="78B35B5F"/>
    <w:rsid w:val="78B36EFE"/>
    <w:rsid w:val="78B413C7"/>
    <w:rsid w:val="78B418D7"/>
    <w:rsid w:val="78B47B29"/>
    <w:rsid w:val="78B57ABA"/>
    <w:rsid w:val="78B638A1"/>
    <w:rsid w:val="78B673FD"/>
    <w:rsid w:val="78B76110"/>
    <w:rsid w:val="78B77851"/>
    <w:rsid w:val="78B813C8"/>
    <w:rsid w:val="78B874DB"/>
    <w:rsid w:val="78B9050D"/>
    <w:rsid w:val="78B90C9C"/>
    <w:rsid w:val="78B90FD7"/>
    <w:rsid w:val="78B95140"/>
    <w:rsid w:val="78B96EEE"/>
    <w:rsid w:val="78B97DC5"/>
    <w:rsid w:val="78BA0AE0"/>
    <w:rsid w:val="78BB0E38"/>
    <w:rsid w:val="78BB0EB8"/>
    <w:rsid w:val="78BB478B"/>
    <w:rsid w:val="78BB7539"/>
    <w:rsid w:val="78BC253A"/>
    <w:rsid w:val="78BC2A26"/>
    <w:rsid w:val="78BC541D"/>
    <w:rsid w:val="78BD18A4"/>
    <w:rsid w:val="78BD1F82"/>
    <w:rsid w:val="78BD2111"/>
    <w:rsid w:val="78BD69DE"/>
    <w:rsid w:val="78BE1364"/>
    <w:rsid w:val="78BE2756"/>
    <w:rsid w:val="78BE3728"/>
    <w:rsid w:val="78BE3A35"/>
    <w:rsid w:val="78BE3DC1"/>
    <w:rsid w:val="78BE4504"/>
    <w:rsid w:val="78BE5FE3"/>
    <w:rsid w:val="78BE62B2"/>
    <w:rsid w:val="78BF076D"/>
    <w:rsid w:val="78BF0D77"/>
    <w:rsid w:val="78BF4DCC"/>
    <w:rsid w:val="78C0027C"/>
    <w:rsid w:val="78C0202A"/>
    <w:rsid w:val="78C03AE3"/>
    <w:rsid w:val="78C064CE"/>
    <w:rsid w:val="78C121D6"/>
    <w:rsid w:val="78C14B4E"/>
    <w:rsid w:val="78C22246"/>
    <w:rsid w:val="78C23FF4"/>
    <w:rsid w:val="78C254BE"/>
    <w:rsid w:val="78C25DA2"/>
    <w:rsid w:val="78C31B1A"/>
    <w:rsid w:val="78C32D0B"/>
    <w:rsid w:val="78C338C8"/>
    <w:rsid w:val="78C35DF4"/>
    <w:rsid w:val="78C43C37"/>
    <w:rsid w:val="78C53CD6"/>
    <w:rsid w:val="78C54726"/>
    <w:rsid w:val="78C54E15"/>
    <w:rsid w:val="78C637C1"/>
    <w:rsid w:val="78C74231"/>
    <w:rsid w:val="78C74C7B"/>
    <w:rsid w:val="78C76F81"/>
    <w:rsid w:val="78C771E3"/>
    <w:rsid w:val="78C8056D"/>
    <w:rsid w:val="78C807D6"/>
    <w:rsid w:val="78C80EDF"/>
    <w:rsid w:val="78C82B24"/>
    <w:rsid w:val="78C87131"/>
    <w:rsid w:val="78C91C66"/>
    <w:rsid w:val="78C935D5"/>
    <w:rsid w:val="78C95383"/>
    <w:rsid w:val="78C979B2"/>
    <w:rsid w:val="78CA0004"/>
    <w:rsid w:val="78CA10FB"/>
    <w:rsid w:val="78CA1167"/>
    <w:rsid w:val="78CA30F6"/>
    <w:rsid w:val="78CA500D"/>
    <w:rsid w:val="78CA717D"/>
    <w:rsid w:val="78CA7F3E"/>
    <w:rsid w:val="78CB247D"/>
    <w:rsid w:val="78CB5D3A"/>
    <w:rsid w:val="78CB6182"/>
    <w:rsid w:val="78CB7157"/>
    <w:rsid w:val="78CB76DB"/>
    <w:rsid w:val="78CC05E7"/>
    <w:rsid w:val="78CC11E9"/>
    <w:rsid w:val="78CC359E"/>
    <w:rsid w:val="78CC4EEE"/>
    <w:rsid w:val="78CC6C21"/>
    <w:rsid w:val="78CD4747"/>
    <w:rsid w:val="78CE0040"/>
    <w:rsid w:val="78CE0BEB"/>
    <w:rsid w:val="78CE120F"/>
    <w:rsid w:val="78CE2999"/>
    <w:rsid w:val="78CE2F07"/>
    <w:rsid w:val="78CE4BCA"/>
    <w:rsid w:val="78CE5AD8"/>
    <w:rsid w:val="78CF04BF"/>
    <w:rsid w:val="78CF226D"/>
    <w:rsid w:val="78CF6CC0"/>
    <w:rsid w:val="78CF6F68"/>
    <w:rsid w:val="78D05741"/>
    <w:rsid w:val="78D11DA9"/>
    <w:rsid w:val="78D12489"/>
    <w:rsid w:val="78D13BAA"/>
    <w:rsid w:val="78D14237"/>
    <w:rsid w:val="78D178AE"/>
    <w:rsid w:val="78D21D5D"/>
    <w:rsid w:val="78D23D94"/>
    <w:rsid w:val="78D24459"/>
    <w:rsid w:val="78D24510"/>
    <w:rsid w:val="78D31843"/>
    <w:rsid w:val="78D33689"/>
    <w:rsid w:val="78D35C0D"/>
    <w:rsid w:val="78D37FAF"/>
    <w:rsid w:val="78D42234"/>
    <w:rsid w:val="78D45AD6"/>
    <w:rsid w:val="78D51459"/>
    <w:rsid w:val="78D51699"/>
    <w:rsid w:val="78D571F1"/>
    <w:rsid w:val="78D6184E"/>
    <w:rsid w:val="78D62131"/>
    <w:rsid w:val="78D62451"/>
    <w:rsid w:val="78D635FC"/>
    <w:rsid w:val="78D6368A"/>
    <w:rsid w:val="78D67AA0"/>
    <w:rsid w:val="78D8344D"/>
    <w:rsid w:val="78D855C6"/>
    <w:rsid w:val="78D86B8A"/>
    <w:rsid w:val="78D87374"/>
    <w:rsid w:val="78D9133E"/>
    <w:rsid w:val="78D930EC"/>
    <w:rsid w:val="78D96CA7"/>
    <w:rsid w:val="78DA1B2B"/>
    <w:rsid w:val="78DA554A"/>
    <w:rsid w:val="78DB156E"/>
    <w:rsid w:val="78DB52AF"/>
    <w:rsid w:val="78DB6E64"/>
    <w:rsid w:val="78DB76E0"/>
    <w:rsid w:val="78DC00DC"/>
    <w:rsid w:val="78DC3CE6"/>
    <w:rsid w:val="78DC4E36"/>
    <w:rsid w:val="78DD0E2E"/>
    <w:rsid w:val="78DD498A"/>
    <w:rsid w:val="78DD549F"/>
    <w:rsid w:val="78DE01BC"/>
    <w:rsid w:val="78DE29FC"/>
    <w:rsid w:val="78DE3B4C"/>
    <w:rsid w:val="78DE5373"/>
    <w:rsid w:val="78DE6954"/>
    <w:rsid w:val="78DF15B6"/>
    <w:rsid w:val="78DF3E8C"/>
    <w:rsid w:val="78DF6413"/>
    <w:rsid w:val="78DF6A5D"/>
    <w:rsid w:val="78E0091E"/>
    <w:rsid w:val="78E026CC"/>
    <w:rsid w:val="78E034F7"/>
    <w:rsid w:val="78E0447A"/>
    <w:rsid w:val="78E0531C"/>
    <w:rsid w:val="78E07EED"/>
    <w:rsid w:val="78E116E3"/>
    <w:rsid w:val="78E16198"/>
    <w:rsid w:val="78E201F2"/>
    <w:rsid w:val="78E21F6A"/>
    <w:rsid w:val="78E24696"/>
    <w:rsid w:val="78E246D8"/>
    <w:rsid w:val="78E25C4A"/>
    <w:rsid w:val="78E33978"/>
    <w:rsid w:val="78E35799"/>
    <w:rsid w:val="78E370A5"/>
    <w:rsid w:val="78E37A68"/>
    <w:rsid w:val="78E403CB"/>
    <w:rsid w:val="78E421BD"/>
    <w:rsid w:val="78E51301"/>
    <w:rsid w:val="78E51A91"/>
    <w:rsid w:val="78E53B2E"/>
    <w:rsid w:val="78E55F35"/>
    <w:rsid w:val="78E57CE3"/>
    <w:rsid w:val="78E6452D"/>
    <w:rsid w:val="78E71C39"/>
    <w:rsid w:val="78E75809"/>
    <w:rsid w:val="78E75FEB"/>
    <w:rsid w:val="78E81581"/>
    <w:rsid w:val="78E8332F"/>
    <w:rsid w:val="78E90CB1"/>
    <w:rsid w:val="78E977D3"/>
    <w:rsid w:val="78E97D12"/>
    <w:rsid w:val="78EA608E"/>
    <w:rsid w:val="78EA70A7"/>
    <w:rsid w:val="78EC2E1F"/>
    <w:rsid w:val="78EC6490"/>
    <w:rsid w:val="78EC7BD1"/>
    <w:rsid w:val="78ED5238"/>
    <w:rsid w:val="78ED7920"/>
    <w:rsid w:val="78ED794C"/>
    <w:rsid w:val="78EE0695"/>
    <w:rsid w:val="78EE4DE9"/>
    <w:rsid w:val="78EE6B97"/>
    <w:rsid w:val="78EF0B61"/>
    <w:rsid w:val="78EF5FF6"/>
    <w:rsid w:val="78EF6552"/>
    <w:rsid w:val="78F00C15"/>
    <w:rsid w:val="78F062A1"/>
    <w:rsid w:val="78F10E72"/>
    <w:rsid w:val="78F13E09"/>
    <w:rsid w:val="78F148D9"/>
    <w:rsid w:val="78F16688"/>
    <w:rsid w:val="78F2570F"/>
    <w:rsid w:val="78F3017F"/>
    <w:rsid w:val="78F30652"/>
    <w:rsid w:val="78F314AD"/>
    <w:rsid w:val="78F32001"/>
    <w:rsid w:val="78F32400"/>
    <w:rsid w:val="78F33AFF"/>
    <w:rsid w:val="78F341AE"/>
    <w:rsid w:val="78F41CD4"/>
    <w:rsid w:val="78F45C2F"/>
    <w:rsid w:val="78F46178"/>
    <w:rsid w:val="78F47318"/>
    <w:rsid w:val="78F477F3"/>
    <w:rsid w:val="78F50A48"/>
    <w:rsid w:val="78F51DCC"/>
    <w:rsid w:val="78F531E6"/>
    <w:rsid w:val="78F5423A"/>
    <w:rsid w:val="78F54289"/>
    <w:rsid w:val="78F543CA"/>
    <w:rsid w:val="78F61E87"/>
    <w:rsid w:val="78F61EF0"/>
    <w:rsid w:val="78F63C9E"/>
    <w:rsid w:val="78F65A4C"/>
    <w:rsid w:val="78F65BB3"/>
    <w:rsid w:val="78F7045B"/>
    <w:rsid w:val="78F706C7"/>
    <w:rsid w:val="78F714F2"/>
    <w:rsid w:val="78F727FB"/>
    <w:rsid w:val="78F72B1E"/>
    <w:rsid w:val="78F817C4"/>
    <w:rsid w:val="78F84E47"/>
    <w:rsid w:val="78F85668"/>
    <w:rsid w:val="78F85C68"/>
    <w:rsid w:val="78F92189"/>
    <w:rsid w:val="78F9378E"/>
    <w:rsid w:val="78F9553C"/>
    <w:rsid w:val="78F9769D"/>
    <w:rsid w:val="78FA19E0"/>
    <w:rsid w:val="78FA3B55"/>
    <w:rsid w:val="78FA7B41"/>
    <w:rsid w:val="78FB2499"/>
    <w:rsid w:val="78FC2038"/>
    <w:rsid w:val="78FC32EA"/>
    <w:rsid w:val="78FD217B"/>
    <w:rsid w:val="78FD327E"/>
    <w:rsid w:val="78FD502C"/>
    <w:rsid w:val="78FD6C48"/>
    <w:rsid w:val="78FD6DDA"/>
    <w:rsid w:val="78FE33D3"/>
    <w:rsid w:val="78FE5F2F"/>
    <w:rsid w:val="78FF0DA4"/>
    <w:rsid w:val="78FF2439"/>
    <w:rsid w:val="78FF3476"/>
    <w:rsid w:val="79002D6F"/>
    <w:rsid w:val="79004B1D"/>
    <w:rsid w:val="790074D7"/>
    <w:rsid w:val="79013499"/>
    <w:rsid w:val="790145D7"/>
    <w:rsid w:val="79017041"/>
    <w:rsid w:val="79020895"/>
    <w:rsid w:val="790217AF"/>
    <w:rsid w:val="79021D0D"/>
    <w:rsid w:val="79022643"/>
    <w:rsid w:val="79033287"/>
    <w:rsid w:val="7904460D"/>
    <w:rsid w:val="790463BB"/>
    <w:rsid w:val="79050385"/>
    <w:rsid w:val="790543A1"/>
    <w:rsid w:val="79055BA7"/>
    <w:rsid w:val="79063B4E"/>
    <w:rsid w:val="790733F3"/>
    <w:rsid w:val="790740FD"/>
    <w:rsid w:val="79075EAB"/>
    <w:rsid w:val="79077C59"/>
    <w:rsid w:val="79082CFE"/>
    <w:rsid w:val="790915FF"/>
    <w:rsid w:val="79091C23"/>
    <w:rsid w:val="790939D1"/>
    <w:rsid w:val="79093BDF"/>
    <w:rsid w:val="790970F9"/>
    <w:rsid w:val="790A1822"/>
    <w:rsid w:val="790A19FC"/>
    <w:rsid w:val="790A315A"/>
    <w:rsid w:val="790A7749"/>
    <w:rsid w:val="790B45E8"/>
    <w:rsid w:val="790C1713"/>
    <w:rsid w:val="790C34C1"/>
    <w:rsid w:val="790C526F"/>
    <w:rsid w:val="790C579E"/>
    <w:rsid w:val="790C74CF"/>
    <w:rsid w:val="790D2781"/>
    <w:rsid w:val="790D6EC5"/>
    <w:rsid w:val="790E0FE8"/>
    <w:rsid w:val="790E1ADB"/>
    <w:rsid w:val="790E49BA"/>
    <w:rsid w:val="790E548B"/>
    <w:rsid w:val="790E68AB"/>
    <w:rsid w:val="790E7239"/>
    <w:rsid w:val="790F790E"/>
    <w:rsid w:val="79102556"/>
    <w:rsid w:val="79102FB2"/>
    <w:rsid w:val="7910652B"/>
    <w:rsid w:val="791106B3"/>
    <w:rsid w:val="79110AD8"/>
    <w:rsid w:val="79112886"/>
    <w:rsid w:val="79113D4D"/>
    <w:rsid w:val="791165F7"/>
    <w:rsid w:val="79116A5F"/>
    <w:rsid w:val="79116D2A"/>
    <w:rsid w:val="791201AB"/>
    <w:rsid w:val="791216C9"/>
    <w:rsid w:val="791218EC"/>
    <w:rsid w:val="79126122"/>
    <w:rsid w:val="791262D9"/>
    <w:rsid w:val="791308C9"/>
    <w:rsid w:val="79132AA2"/>
    <w:rsid w:val="79132C00"/>
    <w:rsid w:val="79132D7C"/>
    <w:rsid w:val="79133208"/>
    <w:rsid w:val="791365FE"/>
    <w:rsid w:val="791374B0"/>
    <w:rsid w:val="79142376"/>
    <w:rsid w:val="79144124"/>
    <w:rsid w:val="79144FF3"/>
    <w:rsid w:val="79146DDD"/>
    <w:rsid w:val="79151F2D"/>
    <w:rsid w:val="79153747"/>
    <w:rsid w:val="791552D0"/>
    <w:rsid w:val="7915569C"/>
    <w:rsid w:val="791607B2"/>
    <w:rsid w:val="79161A66"/>
    <w:rsid w:val="7916202A"/>
    <w:rsid w:val="79162DF9"/>
    <w:rsid w:val="79164340"/>
    <w:rsid w:val="79167E9C"/>
    <w:rsid w:val="7917517B"/>
    <w:rsid w:val="7917592A"/>
    <w:rsid w:val="791767BE"/>
    <w:rsid w:val="791800B8"/>
    <w:rsid w:val="79181E66"/>
    <w:rsid w:val="79183999"/>
    <w:rsid w:val="79183C14"/>
    <w:rsid w:val="7918768E"/>
    <w:rsid w:val="79187CFE"/>
    <w:rsid w:val="7919007E"/>
    <w:rsid w:val="79192B0B"/>
    <w:rsid w:val="79193243"/>
    <w:rsid w:val="79193CB5"/>
    <w:rsid w:val="7919697A"/>
    <w:rsid w:val="7919798C"/>
    <w:rsid w:val="791A150E"/>
    <w:rsid w:val="791A202D"/>
    <w:rsid w:val="791A3E30"/>
    <w:rsid w:val="791B1956"/>
    <w:rsid w:val="791B3704"/>
    <w:rsid w:val="791B4B57"/>
    <w:rsid w:val="791C4186"/>
    <w:rsid w:val="791D0808"/>
    <w:rsid w:val="791D122B"/>
    <w:rsid w:val="791D2444"/>
    <w:rsid w:val="791D3642"/>
    <w:rsid w:val="791D52BE"/>
    <w:rsid w:val="791D56CF"/>
    <w:rsid w:val="791D69FF"/>
    <w:rsid w:val="791D747D"/>
    <w:rsid w:val="791D7EDE"/>
    <w:rsid w:val="791E10C4"/>
    <w:rsid w:val="791E4FA3"/>
    <w:rsid w:val="791E7065"/>
    <w:rsid w:val="791F1447"/>
    <w:rsid w:val="791F31F5"/>
    <w:rsid w:val="79200D1B"/>
    <w:rsid w:val="79201D5D"/>
    <w:rsid w:val="79202AC9"/>
    <w:rsid w:val="792078FD"/>
    <w:rsid w:val="79214E3A"/>
    <w:rsid w:val="79216810"/>
    <w:rsid w:val="792213E1"/>
    <w:rsid w:val="7922142F"/>
    <w:rsid w:val="79222CE5"/>
    <w:rsid w:val="79224A93"/>
    <w:rsid w:val="79226841"/>
    <w:rsid w:val="79227CA0"/>
    <w:rsid w:val="79231130"/>
    <w:rsid w:val="7924080B"/>
    <w:rsid w:val="7924221A"/>
    <w:rsid w:val="79244C47"/>
    <w:rsid w:val="79246A5D"/>
    <w:rsid w:val="7925274C"/>
    <w:rsid w:val="79254583"/>
    <w:rsid w:val="792546C5"/>
    <w:rsid w:val="79254E64"/>
    <w:rsid w:val="7926782A"/>
    <w:rsid w:val="79267AB1"/>
    <w:rsid w:val="792720A9"/>
    <w:rsid w:val="79273E57"/>
    <w:rsid w:val="7927654D"/>
    <w:rsid w:val="792812D1"/>
    <w:rsid w:val="79281E87"/>
    <w:rsid w:val="79282E51"/>
    <w:rsid w:val="79286E57"/>
    <w:rsid w:val="7929020A"/>
    <w:rsid w:val="79294D66"/>
    <w:rsid w:val="79295E21"/>
    <w:rsid w:val="79297BCF"/>
    <w:rsid w:val="792A1003"/>
    <w:rsid w:val="792A1B99"/>
    <w:rsid w:val="792A2A4B"/>
    <w:rsid w:val="792A31EC"/>
    <w:rsid w:val="792A3275"/>
    <w:rsid w:val="792B0C92"/>
    <w:rsid w:val="792B0DF4"/>
    <w:rsid w:val="792B2493"/>
    <w:rsid w:val="792B6360"/>
    <w:rsid w:val="792B7DEB"/>
    <w:rsid w:val="792C76C0"/>
    <w:rsid w:val="792D2B25"/>
    <w:rsid w:val="792E0156"/>
    <w:rsid w:val="792E168A"/>
    <w:rsid w:val="792E1E64"/>
    <w:rsid w:val="792E7AEB"/>
    <w:rsid w:val="792F0F5E"/>
    <w:rsid w:val="792F3070"/>
    <w:rsid w:val="79302D6A"/>
    <w:rsid w:val="79304E75"/>
    <w:rsid w:val="79305402"/>
    <w:rsid w:val="7931117A"/>
    <w:rsid w:val="79312F28"/>
    <w:rsid w:val="79313734"/>
    <w:rsid w:val="79313BCF"/>
    <w:rsid w:val="79314CD6"/>
    <w:rsid w:val="79316305"/>
    <w:rsid w:val="793220D4"/>
    <w:rsid w:val="79322E1E"/>
    <w:rsid w:val="79326BC6"/>
    <w:rsid w:val="79330A4E"/>
    <w:rsid w:val="793326CC"/>
    <w:rsid w:val="793338F7"/>
    <w:rsid w:val="79333CEA"/>
    <w:rsid w:val="79334EF2"/>
    <w:rsid w:val="79335029"/>
    <w:rsid w:val="793420B5"/>
    <w:rsid w:val="793437F6"/>
    <w:rsid w:val="79344C86"/>
    <w:rsid w:val="79344EF9"/>
    <w:rsid w:val="7934617A"/>
    <w:rsid w:val="793547C6"/>
    <w:rsid w:val="79356B86"/>
    <w:rsid w:val="7936053E"/>
    <w:rsid w:val="793622EC"/>
    <w:rsid w:val="7937045D"/>
    <w:rsid w:val="79371A2D"/>
    <w:rsid w:val="79371E07"/>
    <w:rsid w:val="79372177"/>
    <w:rsid w:val="79383048"/>
    <w:rsid w:val="79386064"/>
    <w:rsid w:val="793876EF"/>
    <w:rsid w:val="79390854"/>
    <w:rsid w:val="793935DE"/>
    <w:rsid w:val="793A002E"/>
    <w:rsid w:val="793A51F6"/>
    <w:rsid w:val="793A6280"/>
    <w:rsid w:val="793B1A71"/>
    <w:rsid w:val="793B1EB5"/>
    <w:rsid w:val="793B3DA7"/>
    <w:rsid w:val="793C06F5"/>
    <w:rsid w:val="793C0847"/>
    <w:rsid w:val="793D2AAD"/>
    <w:rsid w:val="793D7B1F"/>
    <w:rsid w:val="793E3D99"/>
    <w:rsid w:val="793E3E21"/>
    <w:rsid w:val="793E5D38"/>
    <w:rsid w:val="793F17F7"/>
    <w:rsid w:val="793F3897"/>
    <w:rsid w:val="793F3DFB"/>
    <w:rsid w:val="793F5645"/>
    <w:rsid w:val="7940316B"/>
    <w:rsid w:val="79404F19"/>
    <w:rsid w:val="79410FBE"/>
    <w:rsid w:val="79412313"/>
    <w:rsid w:val="794171D9"/>
    <w:rsid w:val="79420C91"/>
    <w:rsid w:val="7942400F"/>
    <w:rsid w:val="79426EE3"/>
    <w:rsid w:val="7942728A"/>
    <w:rsid w:val="7942732B"/>
    <w:rsid w:val="79427E10"/>
    <w:rsid w:val="7943341B"/>
    <w:rsid w:val="79440EAD"/>
    <w:rsid w:val="79442C5B"/>
    <w:rsid w:val="79443222"/>
    <w:rsid w:val="7944477B"/>
    <w:rsid w:val="794455D0"/>
    <w:rsid w:val="7945060E"/>
    <w:rsid w:val="79450781"/>
    <w:rsid w:val="794559D8"/>
    <w:rsid w:val="79455C0B"/>
    <w:rsid w:val="79462EC8"/>
    <w:rsid w:val="794644CA"/>
    <w:rsid w:val="79464C25"/>
    <w:rsid w:val="794669D3"/>
    <w:rsid w:val="7946709B"/>
    <w:rsid w:val="7947274B"/>
    <w:rsid w:val="794762A8"/>
    <w:rsid w:val="794768AA"/>
    <w:rsid w:val="794851F1"/>
    <w:rsid w:val="79490272"/>
    <w:rsid w:val="794909BC"/>
    <w:rsid w:val="79492020"/>
    <w:rsid w:val="7949283E"/>
    <w:rsid w:val="79493EC0"/>
    <w:rsid w:val="794A45A0"/>
    <w:rsid w:val="794A5D98"/>
    <w:rsid w:val="794A62F8"/>
    <w:rsid w:val="794B033C"/>
    <w:rsid w:val="794C17CC"/>
    <w:rsid w:val="794C1B10"/>
    <w:rsid w:val="794C35A2"/>
    <w:rsid w:val="794C7D62"/>
    <w:rsid w:val="794D2E1F"/>
    <w:rsid w:val="794D439D"/>
    <w:rsid w:val="794D6A8B"/>
    <w:rsid w:val="794E3ADA"/>
    <w:rsid w:val="794E57F6"/>
    <w:rsid w:val="794E6242"/>
    <w:rsid w:val="794E7850"/>
    <w:rsid w:val="794F33AE"/>
    <w:rsid w:val="794F5DED"/>
    <w:rsid w:val="794F6CBD"/>
    <w:rsid w:val="794F7C70"/>
    <w:rsid w:val="795022A2"/>
    <w:rsid w:val="79507852"/>
    <w:rsid w:val="79512C0E"/>
    <w:rsid w:val="79514A22"/>
    <w:rsid w:val="79515378"/>
    <w:rsid w:val="79517126"/>
    <w:rsid w:val="795173B4"/>
    <w:rsid w:val="79530643"/>
    <w:rsid w:val="795310F0"/>
    <w:rsid w:val="795347EA"/>
    <w:rsid w:val="79536ACE"/>
    <w:rsid w:val="79537342"/>
    <w:rsid w:val="795409C4"/>
    <w:rsid w:val="7954169F"/>
    <w:rsid w:val="795434FC"/>
    <w:rsid w:val="79547C1E"/>
    <w:rsid w:val="79552975"/>
    <w:rsid w:val="79554E68"/>
    <w:rsid w:val="79563FBF"/>
    <w:rsid w:val="7956473D"/>
    <w:rsid w:val="79570BE0"/>
    <w:rsid w:val="795804B5"/>
    <w:rsid w:val="795A42B1"/>
    <w:rsid w:val="795A4B43"/>
    <w:rsid w:val="795A5FDB"/>
    <w:rsid w:val="795A74AB"/>
    <w:rsid w:val="795B1EB6"/>
    <w:rsid w:val="795B7FA5"/>
    <w:rsid w:val="795C7FCB"/>
    <w:rsid w:val="795D1F6F"/>
    <w:rsid w:val="795D3295"/>
    <w:rsid w:val="795D5ACB"/>
    <w:rsid w:val="795D6C28"/>
    <w:rsid w:val="795E5322"/>
    <w:rsid w:val="795F1843"/>
    <w:rsid w:val="795F1F28"/>
    <w:rsid w:val="795F5CB8"/>
    <w:rsid w:val="795F67B2"/>
    <w:rsid w:val="795F7CEC"/>
    <w:rsid w:val="796055BB"/>
    <w:rsid w:val="79607369"/>
    <w:rsid w:val="796135B8"/>
    <w:rsid w:val="7961380D"/>
    <w:rsid w:val="79613CA3"/>
    <w:rsid w:val="79614E97"/>
    <w:rsid w:val="79616133"/>
    <w:rsid w:val="7961616E"/>
    <w:rsid w:val="79620B57"/>
    <w:rsid w:val="79621333"/>
    <w:rsid w:val="796230E1"/>
    <w:rsid w:val="796232D8"/>
    <w:rsid w:val="79627585"/>
    <w:rsid w:val="79640E74"/>
    <w:rsid w:val="796450AB"/>
    <w:rsid w:val="7964601B"/>
    <w:rsid w:val="79646E59"/>
    <w:rsid w:val="79650103"/>
    <w:rsid w:val="79652624"/>
    <w:rsid w:val="7965292A"/>
    <w:rsid w:val="79657AC4"/>
    <w:rsid w:val="79660172"/>
    <w:rsid w:val="79660E24"/>
    <w:rsid w:val="79661212"/>
    <w:rsid w:val="79664563"/>
    <w:rsid w:val="79664F44"/>
    <w:rsid w:val="796706F8"/>
    <w:rsid w:val="796763D4"/>
    <w:rsid w:val="7967694A"/>
    <w:rsid w:val="79680FA5"/>
    <w:rsid w:val="796813AD"/>
    <w:rsid w:val="79686892"/>
    <w:rsid w:val="79690914"/>
    <w:rsid w:val="79692435"/>
    <w:rsid w:val="796926C2"/>
    <w:rsid w:val="796A6AF6"/>
    <w:rsid w:val="796B01E8"/>
    <w:rsid w:val="796B4D55"/>
    <w:rsid w:val="796B545B"/>
    <w:rsid w:val="796B72E8"/>
    <w:rsid w:val="796C0DB6"/>
    <w:rsid w:val="796C391D"/>
    <w:rsid w:val="796C3F60"/>
    <w:rsid w:val="796C5D0E"/>
    <w:rsid w:val="796C67E1"/>
    <w:rsid w:val="796D1604"/>
    <w:rsid w:val="796D3096"/>
    <w:rsid w:val="796D3987"/>
    <w:rsid w:val="796D70E4"/>
    <w:rsid w:val="796E5F2A"/>
    <w:rsid w:val="796E604F"/>
    <w:rsid w:val="796E67BF"/>
    <w:rsid w:val="796E72AE"/>
    <w:rsid w:val="796E7CD8"/>
    <w:rsid w:val="796F0248"/>
    <w:rsid w:val="796F16BD"/>
    <w:rsid w:val="796F28C5"/>
    <w:rsid w:val="79703A50"/>
    <w:rsid w:val="7970564B"/>
    <w:rsid w:val="797057FE"/>
    <w:rsid w:val="79706CB9"/>
    <w:rsid w:val="79710BC7"/>
    <w:rsid w:val="79711AA2"/>
    <w:rsid w:val="7971226B"/>
    <w:rsid w:val="79716366"/>
    <w:rsid w:val="797177C8"/>
    <w:rsid w:val="79724C28"/>
    <w:rsid w:val="79725A1A"/>
    <w:rsid w:val="797263C7"/>
    <w:rsid w:val="7972684F"/>
    <w:rsid w:val="797272C0"/>
    <w:rsid w:val="79732655"/>
    <w:rsid w:val="79733540"/>
    <w:rsid w:val="797352EE"/>
    <w:rsid w:val="79736BA9"/>
    <w:rsid w:val="79745D22"/>
    <w:rsid w:val="79750A88"/>
    <w:rsid w:val="79751067"/>
    <w:rsid w:val="79752E15"/>
    <w:rsid w:val="79755499"/>
    <w:rsid w:val="797572B9"/>
    <w:rsid w:val="79764DDF"/>
    <w:rsid w:val="79771676"/>
    <w:rsid w:val="79771EE3"/>
    <w:rsid w:val="79773031"/>
    <w:rsid w:val="79780A9A"/>
    <w:rsid w:val="79780B57"/>
    <w:rsid w:val="79782905"/>
    <w:rsid w:val="797846B3"/>
    <w:rsid w:val="79785F68"/>
    <w:rsid w:val="797863B9"/>
    <w:rsid w:val="79797DE9"/>
    <w:rsid w:val="797A0365"/>
    <w:rsid w:val="797A290C"/>
    <w:rsid w:val="797A48CF"/>
    <w:rsid w:val="797A5F8B"/>
    <w:rsid w:val="797A667D"/>
    <w:rsid w:val="797A72D9"/>
    <w:rsid w:val="797A7744"/>
    <w:rsid w:val="797B41A3"/>
    <w:rsid w:val="797B484A"/>
    <w:rsid w:val="797B7075"/>
    <w:rsid w:val="797C191B"/>
    <w:rsid w:val="797C2468"/>
    <w:rsid w:val="797C64B0"/>
    <w:rsid w:val="797D1D3B"/>
    <w:rsid w:val="797D3B16"/>
    <w:rsid w:val="797D43BF"/>
    <w:rsid w:val="797D4C25"/>
    <w:rsid w:val="797D5289"/>
    <w:rsid w:val="797D7F1B"/>
    <w:rsid w:val="797E23E2"/>
    <w:rsid w:val="797E2610"/>
    <w:rsid w:val="797E2846"/>
    <w:rsid w:val="797E5D37"/>
    <w:rsid w:val="797F0137"/>
    <w:rsid w:val="797F1EE5"/>
    <w:rsid w:val="797F3C54"/>
    <w:rsid w:val="797F3C93"/>
    <w:rsid w:val="797F5A41"/>
    <w:rsid w:val="797F66A4"/>
    <w:rsid w:val="797F7E64"/>
    <w:rsid w:val="798017B9"/>
    <w:rsid w:val="79807697"/>
    <w:rsid w:val="79811B4C"/>
    <w:rsid w:val="7981328D"/>
    <w:rsid w:val="7981470F"/>
    <w:rsid w:val="79815C5D"/>
    <w:rsid w:val="79817A0B"/>
    <w:rsid w:val="7982533E"/>
    <w:rsid w:val="79825C01"/>
    <w:rsid w:val="7983212C"/>
    <w:rsid w:val="79836C2D"/>
    <w:rsid w:val="798412AA"/>
    <w:rsid w:val="79845141"/>
    <w:rsid w:val="7984574E"/>
    <w:rsid w:val="79846EF1"/>
    <w:rsid w:val="798474FC"/>
    <w:rsid w:val="798542B5"/>
    <w:rsid w:val="79854A26"/>
    <w:rsid w:val="79856DD0"/>
    <w:rsid w:val="79863274"/>
    <w:rsid w:val="79863BEA"/>
    <w:rsid w:val="7986625E"/>
    <w:rsid w:val="79870D9A"/>
    <w:rsid w:val="79872B48"/>
    <w:rsid w:val="79875B0A"/>
    <w:rsid w:val="79876FEC"/>
    <w:rsid w:val="79886F0B"/>
    <w:rsid w:val="798902DE"/>
    <w:rsid w:val="79892D64"/>
    <w:rsid w:val="79893213"/>
    <w:rsid w:val="79894B12"/>
    <w:rsid w:val="798A2EAF"/>
    <w:rsid w:val="798B05A7"/>
    <w:rsid w:val="798B433F"/>
    <w:rsid w:val="798B61F3"/>
    <w:rsid w:val="798B6DBB"/>
    <w:rsid w:val="798C500B"/>
    <w:rsid w:val="798C57CF"/>
    <w:rsid w:val="798C7B5D"/>
    <w:rsid w:val="798D1830"/>
    <w:rsid w:val="798D324A"/>
    <w:rsid w:val="798D4602"/>
    <w:rsid w:val="798E2128"/>
    <w:rsid w:val="798E2D47"/>
    <w:rsid w:val="798E3ED6"/>
    <w:rsid w:val="798F34E7"/>
    <w:rsid w:val="798F6D20"/>
    <w:rsid w:val="799001B0"/>
    <w:rsid w:val="79904524"/>
    <w:rsid w:val="79907C4E"/>
    <w:rsid w:val="799139C7"/>
    <w:rsid w:val="79915775"/>
    <w:rsid w:val="79921C19"/>
    <w:rsid w:val="79923AE5"/>
    <w:rsid w:val="79924211"/>
    <w:rsid w:val="79927E6B"/>
    <w:rsid w:val="799314ED"/>
    <w:rsid w:val="79935991"/>
    <w:rsid w:val="799404C6"/>
    <w:rsid w:val="79940BDE"/>
    <w:rsid w:val="79946C8F"/>
    <w:rsid w:val="79951709"/>
    <w:rsid w:val="799534B7"/>
    <w:rsid w:val="799536BA"/>
    <w:rsid w:val="79955265"/>
    <w:rsid w:val="79961398"/>
    <w:rsid w:val="79961451"/>
    <w:rsid w:val="79964022"/>
    <w:rsid w:val="79964601"/>
    <w:rsid w:val="799728E1"/>
    <w:rsid w:val="799754B2"/>
    <w:rsid w:val="799812E8"/>
    <w:rsid w:val="79984D55"/>
    <w:rsid w:val="79986942"/>
    <w:rsid w:val="79986B03"/>
    <w:rsid w:val="799A00A8"/>
    <w:rsid w:val="799A018D"/>
    <w:rsid w:val="799A1724"/>
    <w:rsid w:val="799A287B"/>
    <w:rsid w:val="799A4C75"/>
    <w:rsid w:val="799A58A0"/>
    <w:rsid w:val="799A6D1F"/>
    <w:rsid w:val="799B15E0"/>
    <w:rsid w:val="799B3548"/>
    <w:rsid w:val="799B3E33"/>
    <w:rsid w:val="799B65F3"/>
    <w:rsid w:val="799C4845"/>
    <w:rsid w:val="799C7E94"/>
    <w:rsid w:val="799D05BD"/>
    <w:rsid w:val="799D1612"/>
    <w:rsid w:val="799E0AB6"/>
    <w:rsid w:val="799E10A7"/>
    <w:rsid w:val="799E27B4"/>
    <w:rsid w:val="799E3075"/>
    <w:rsid w:val="799E3AFC"/>
    <w:rsid w:val="799E6513"/>
    <w:rsid w:val="799E6514"/>
    <w:rsid w:val="799E7395"/>
    <w:rsid w:val="799F0666"/>
    <w:rsid w:val="799F35D4"/>
    <w:rsid w:val="799F38A7"/>
    <w:rsid w:val="799F3C44"/>
    <w:rsid w:val="799F4335"/>
    <w:rsid w:val="799F5D6F"/>
    <w:rsid w:val="799F60E4"/>
    <w:rsid w:val="799F62BB"/>
    <w:rsid w:val="799F6815"/>
    <w:rsid w:val="799F7E92"/>
    <w:rsid w:val="79A04F11"/>
    <w:rsid w:val="79A07CA5"/>
    <w:rsid w:val="79A100AE"/>
    <w:rsid w:val="79A11E5C"/>
    <w:rsid w:val="79A129D5"/>
    <w:rsid w:val="79A1389B"/>
    <w:rsid w:val="79A16564"/>
    <w:rsid w:val="79A201E7"/>
    <w:rsid w:val="79A26B99"/>
    <w:rsid w:val="79A27982"/>
    <w:rsid w:val="79A333E3"/>
    <w:rsid w:val="79A35196"/>
    <w:rsid w:val="79A35503"/>
    <w:rsid w:val="79A42225"/>
    <w:rsid w:val="79A42CB5"/>
    <w:rsid w:val="79A4323A"/>
    <w:rsid w:val="79A436FA"/>
    <w:rsid w:val="79A454A8"/>
    <w:rsid w:val="79A47EB6"/>
    <w:rsid w:val="79A56375"/>
    <w:rsid w:val="79A575DC"/>
    <w:rsid w:val="79A6109B"/>
    <w:rsid w:val="79A611AD"/>
    <w:rsid w:val="79A61220"/>
    <w:rsid w:val="79A623D6"/>
    <w:rsid w:val="79A62F1D"/>
    <w:rsid w:val="79A63B17"/>
    <w:rsid w:val="79A656C4"/>
    <w:rsid w:val="79A66416"/>
    <w:rsid w:val="79A72DD3"/>
    <w:rsid w:val="79A731EA"/>
    <w:rsid w:val="79A73866"/>
    <w:rsid w:val="79A73B0B"/>
    <w:rsid w:val="79A73BD4"/>
    <w:rsid w:val="79A74F98"/>
    <w:rsid w:val="79A75608"/>
    <w:rsid w:val="79A75683"/>
    <w:rsid w:val="79A77710"/>
    <w:rsid w:val="79A8143C"/>
    <w:rsid w:val="79A84CD5"/>
    <w:rsid w:val="79A853AC"/>
    <w:rsid w:val="79A860DA"/>
    <w:rsid w:val="79A86A7D"/>
    <w:rsid w:val="79A87516"/>
    <w:rsid w:val="79A90652"/>
    <w:rsid w:val="79A90D10"/>
    <w:rsid w:val="79A914A0"/>
    <w:rsid w:val="79A91AD3"/>
    <w:rsid w:val="79A93C57"/>
    <w:rsid w:val="79A94446"/>
    <w:rsid w:val="79A96F62"/>
    <w:rsid w:val="79AA0D57"/>
    <w:rsid w:val="79AA2B42"/>
    <w:rsid w:val="79AA56FB"/>
    <w:rsid w:val="79AA7760"/>
    <w:rsid w:val="79AB07DC"/>
    <w:rsid w:val="79AB21E7"/>
    <w:rsid w:val="79AB4A88"/>
    <w:rsid w:val="79AB4DB8"/>
    <w:rsid w:val="79AB5ED5"/>
    <w:rsid w:val="79AB6836"/>
    <w:rsid w:val="79AC25AE"/>
    <w:rsid w:val="79AC3677"/>
    <w:rsid w:val="79AC464A"/>
    <w:rsid w:val="79AC6248"/>
    <w:rsid w:val="79AD4456"/>
    <w:rsid w:val="79AD6A52"/>
    <w:rsid w:val="79AE0B68"/>
    <w:rsid w:val="79AE22A9"/>
    <w:rsid w:val="79AE27CB"/>
    <w:rsid w:val="79AE2B56"/>
    <w:rsid w:val="79AE4579"/>
    <w:rsid w:val="79AE6327"/>
    <w:rsid w:val="79AF1FF8"/>
    <w:rsid w:val="79B002F1"/>
    <w:rsid w:val="79B20F0A"/>
    <w:rsid w:val="79B25E17"/>
    <w:rsid w:val="79B26361"/>
    <w:rsid w:val="79B274E9"/>
    <w:rsid w:val="79B3393D"/>
    <w:rsid w:val="79B35946"/>
    <w:rsid w:val="79B407CC"/>
    <w:rsid w:val="79B41303"/>
    <w:rsid w:val="79B4170F"/>
    <w:rsid w:val="79B439CB"/>
    <w:rsid w:val="79B5322F"/>
    <w:rsid w:val="79B53B59"/>
    <w:rsid w:val="79B54734"/>
    <w:rsid w:val="79B55907"/>
    <w:rsid w:val="79B55E6A"/>
    <w:rsid w:val="79B575AB"/>
    <w:rsid w:val="79B576B5"/>
    <w:rsid w:val="79B62C5A"/>
    <w:rsid w:val="79B7167F"/>
    <w:rsid w:val="79B7342D"/>
    <w:rsid w:val="79B750D9"/>
    <w:rsid w:val="79B7799C"/>
    <w:rsid w:val="79B77F68"/>
    <w:rsid w:val="79B83965"/>
    <w:rsid w:val="79B8731E"/>
    <w:rsid w:val="79B90868"/>
    <w:rsid w:val="79B91217"/>
    <w:rsid w:val="79B95330"/>
    <w:rsid w:val="79B97BDD"/>
    <w:rsid w:val="79BA084C"/>
    <w:rsid w:val="79BA0DD5"/>
    <w:rsid w:val="79BA2D72"/>
    <w:rsid w:val="79BA4CCB"/>
    <w:rsid w:val="79BA4D16"/>
    <w:rsid w:val="79BB0543"/>
    <w:rsid w:val="79BB428F"/>
    <w:rsid w:val="79BC316C"/>
    <w:rsid w:val="79BC31A3"/>
    <w:rsid w:val="79BC3BE8"/>
    <w:rsid w:val="79BC6C95"/>
    <w:rsid w:val="79BD45FC"/>
    <w:rsid w:val="79BD47BC"/>
    <w:rsid w:val="79BD656A"/>
    <w:rsid w:val="79BE0C60"/>
    <w:rsid w:val="79BE6AF7"/>
    <w:rsid w:val="79BF0130"/>
    <w:rsid w:val="79BF0534"/>
    <w:rsid w:val="79BF22E2"/>
    <w:rsid w:val="79BF6786"/>
    <w:rsid w:val="79C02F7D"/>
    <w:rsid w:val="79C124FE"/>
    <w:rsid w:val="79C1384A"/>
    <w:rsid w:val="79C2046E"/>
    <w:rsid w:val="79C23032"/>
    <w:rsid w:val="79C235A5"/>
    <w:rsid w:val="79C27653"/>
    <w:rsid w:val="79C30024"/>
    <w:rsid w:val="79C35E7B"/>
    <w:rsid w:val="79C36276"/>
    <w:rsid w:val="79C42ADA"/>
    <w:rsid w:val="79C435FC"/>
    <w:rsid w:val="79C43D9C"/>
    <w:rsid w:val="79C444CF"/>
    <w:rsid w:val="79C45B4A"/>
    <w:rsid w:val="79C5595F"/>
    <w:rsid w:val="79C56DD2"/>
    <w:rsid w:val="79C618C2"/>
    <w:rsid w:val="79C66DEF"/>
    <w:rsid w:val="79C67B14"/>
    <w:rsid w:val="79C76926"/>
    <w:rsid w:val="79C773E8"/>
    <w:rsid w:val="79C8388C"/>
    <w:rsid w:val="79C8563A"/>
    <w:rsid w:val="79C913B2"/>
    <w:rsid w:val="79C91E03"/>
    <w:rsid w:val="79C91FED"/>
    <w:rsid w:val="79C93160"/>
    <w:rsid w:val="79C97604"/>
    <w:rsid w:val="79C9794E"/>
    <w:rsid w:val="79CA0341"/>
    <w:rsid w:val="79CA0851"/>
    <w:rsid w:val="79CB0C87"/>
    <w:rsid w:val="79CB1E8A"/>
    <w:rsid w:val="79CB6ED9"/>
    <w:rsid w:val="79CC40F1"/>
    <w:rsid w:val="79CC49FF"/>
    <w:rsid w:val="79CC7F63"/>
    <w:rsid w:val="79CD0628"/>
    <w:rsid w:val="79CD0EA3"/>
    <w:rsid w:val="79CD6CC2"/>
    <w:rsid w:val="79CE0777"/>
    <w:rsid w:val="79CE4C1B"/>
    <w:rsid w:val="79CE69C9"/>
    <w:rsid w:val="79CF1151"/>
    <w:rsid w:val="79CF3A92"/>
    <w:rsid w:val="79CF426A"/>
    <w:rsid w:val="79CF5511"/>
    <w:rsid w:val="79CF664D"/>
    <w:rsid w:val="79D020C1"/>
    <w:rsid w:val="79D02A72"/>
    <w:rsid w:val="79D05643"/>
    <w:rsid w:val="79D05C3A"/>
    <w:rsid w:val="79D129F2"/>
    <w:rsid w:val="79D13AAC"/>
    <w:rsid w:val="79D16AD3"/>
    <w:rsid w:val="79D2281B"/>
    <w:rsid w:val="79D24552"/>
    <w:rsid w:val="79D25462"/>
    <w:rsid w:val="79D264B9"/>
    <w:rsid w:val="79D35D8D"/>
    <w:rsid w:val="79D37523"/>
    <w:rsid w:val="79D37ED2"/>
    <w:rsid w:val="79D42883"/>
    <w:rsid w:val="79D441CE"/>
    <w:rsid w:val="79D44E28"/>
    <w:rsid w:val="79D54D22"/>
    <w:rsid w:val="79D55454"/>
    <w:rsid w:val="79D55FA9"/>
    <w:rsid w:val="79D57D57"/>
    <w:rsid w:val="79D63530"/>
    <w:rsid w:val="79D63B4C"/>
    <w:rsid w:val="79D668E4"/>
    <w:rsid w:val="79D66E32"/>
    <w:rsid w:val="79D707CE"/>
    <w:rsid w:val="79D71CA5"/>
    <w:rsid w:val="79D73ACF"/>
    <w:rsid w:val="79D73B27"/>
    <w:rsid w:val="79D7587D"/>
    <w:rsid w:val="79D7762B"/>
    <w:rsid w:val="79D80A11"/>
    <w:rsid w:val="79D80CB6"/>
    <w:rsid w:val="79D815F5"/>
    <w:rsid w:val="79D91FDB"/>
    <w:rsid w:val="79DA1E6C"/>
    <w:rsid w:val="79DA536E"/>
    <w:rsid w:val="79DA56A3"/>
    <w:rsid w:val="79DA711C"/>
    <w:rsid w:val="79DB1E70"/>
    <w:rsid w:val="79DB6086"/>
    <w:rsid w:val="79DC10E6"/>
    <w:rsid w:val="79DC2E94"/>
    <w:rsid w:val="79DC716A"/>
    <w:rsid w:val="79DC7338"/>
    <w:rsid w:val="79DC7A9E"/>
    <w:rsid w:val="79DD09BA"/>
    <w:rsid w:val="79DD2504"/>
    <w:rsid w:val="79DD67B7"/>
    <w:rsid w:val="79DE46E9"/>
    <w:rsid w:val="79DE4E5E"/>
    <w:rsid w:val="79DF2984"/>
    <w:rsid w:val="79DF5D1A"/>
    <w:rsid w:val="79E10962"/>
    <w:rsid w:val="79E139F7"/>
    <w:rsid w:val="79E143A4"/>
    <w:rsid w:val="79E165C8"/>
    <w:rsid w:val="79E166FC"/>
    <w:rsid w:val="79E169F8"/>
    <w:rsid w:val="79E21A8A"/>
    <w:rsid w:val="79E23728"/>
    <w:rsid w:val="79E24222"/>
    <w:rsid w:val="79E306C6"/>
    <w:rsid w:val="79E30EE8"/>
    <w:rsid w:val="79E35140"/>
    <w:rsid w:val="79E400AC"/>
    <w:rsid w:val="79E41C54"/>
    <w:rsid w:val="79E41D48"/>
    <w:rsid w:val="79E44F47"/>
    <w:rsid w:val="79E46EF8"/>
    <w:rsid w:val="79E5221F"/>
    <w:rsid w:val="79E60B0D"/>
    <w:rsid w:val="79E61F64"/>
    <w:rsid w:val="79E63914"/>
    <w:rsid w:val="79E63D12"/>
    <w:rsid w:val="79E6570B"/>
    <w:rsid w:val="79E65AC0"/>
    <w:rsid w:val="79E7243A"/>
    <w:rsid w:val="79E7601B"/>
    <w:rsid w:val="79E76670"/>
    <w:rsid w:val="79E77869"/>
    <w:rsid w:val="79E806A6"/>
    <w:rsid w:val="79E81839"/>
    <w:rsid w:val="79E85CDC"/>
    <w:rsid w:val="79E87A8A"/>
    <w:rsid w:val="79E87C21"/>
    <w:rsid w:val="79E92804"/>
    <w:rsid w:val="79E944EB"/>
    <w:rsid w:val="79E9488A"/>
    <w:rsid w:val="79E955B1"/>
    <w:rsid w:val="79E96D1D"/>
    <w:rsid w:val="79E9735F"/>
    <w:rsid w:val="79EA1711"/>
    <w:rsid w:val="79EA46D7"/>
    <w:rsid w:val="79EB1DCF"/>
    <w:rsid w:val="79EB224B"/>
    <w:rsid w:val="79ED4625"/>
    <w:rsid w:val="79ED50A1"/>
    <w:rsid w:val="79ED6E4F"/>
    <w:rsid w:val="79ED72AB"/>
    <w:rsid w:val="79EE0E19"/>
    <w:rsid w:val="79EE2BC7"/>
    <w:rsid w:val="79EE773C"/>
    <w:rsid w:val="79EF0BCC"/>
    <w:rsid w:val="79EF5AA2"/>
    <w:rsid w:val="79F006ED"/>
    <w:rsid w:val="79F04B91"/>
    <w:rsid w:val="79F0693F"/>
    <w:rsid w:val="79F06E0D"/>
    <w:rsid w:val="79F12E09"/>
    <w:rsid w:val="79F134EC"/>
    <w:rsid w:val="79F20909"/>
    <w:rsid w:val="79F226B7"/>
    <w:rsid w:val="79F24120"/>
    <w:rsid w:val="79F25E0C"/>
    <w:rsid w:val="79F2754D"/>
    <w:rsid w:val="79F277D4"/>
    <w:rsid w:val="79F31847"/>
    <w:rsid w:val="79F31F06"/>
    <w:rsid w:val="79F3642F"/>
    <w:rsid w:val="79F36957"/>
    <w:rsid w:val="79F5188C"/>
    <w:rsid w:val="79F521A7"/>
    <w:rsid w:val="79F52F67"/>
    <w:rsid w:val="79F538BA"/>
    <w:rsid w:val="79F649B5"/>
    <w:rsid w:val="79F673A7"/>
    <w:rsid w:val="79F71A7C"/>
    <w:rsid w:val="79F72007"/>
    <w:rsid w:val="79F756A0"/>
    <w:rsid w:val="79F75F20"/>
    <w:rsid w:val="79F7704F"/>
    <w:rsid w:val="79F77498"/>
    <w:rsid w:val="79F829DE"/>
    <w:rsid w:val="79F833BF"/>
    <w:rsid w:val="79F857F4"/>
    <w:rsid w:val="79F86A6C"/>
    <w:rsid w:val="79F91C98"/>
    <w:rsid w:val="79F9310E"/>
    <w:rsid w:val="79F93A46"/>
    <w:rsid w:val="79F9484F"/>
    <w:rsid w:val="79F95C54"/>
    <w:rsid w:val="79FA0CEA"/>
    <w:rsid w:val="79FA1134"/>
    <w:rsid w:val="79FA156C"/>
    <w:rsid w:val="79FA326F"/>
    <w:rsid w:val="79FA4FE6"/>
    <w:rsid w:val="79FA5A10"/>
    <w:rsid w:val="79FA77BE"/>
    <w:rsid w:val="79FB4818"/>
    <w:rsid w:val="79FB6476"/>
    <w:rsid w:val="79FC05FF"/>
    <w:rsid w:val="79FC1788"/>
    <w:rsid w:val="79FC2002"/>
    <w:rsid w:val="79FC3536"/>
    <w:rsid w:val="79FC3D51"/>
    <w:rsid w:val="79FC7092"/>
    <w:rsid w:val="79FD171F"/>
    <w:rsid w:val="79FD1A8F"/>
    <w:rsid w:val="79FD2E0A"/>
    <w:rsid w:val="79FD4278"/>
    <w:rsid w:val="79FD4660"/>
    <w:rsid w:val="79FE105C"/>
    <w:rsid w:val="79FE21FD"/>
    <w:rsid w:val="79FE5951"/>
    <w:rsid w:val="79FE5AF0"/>
    <w:rsid w:val="79FE72AE"/>
    <w:rsid w:val="79FE7BE3"/>
    <w:rsid w:val="79FE7EF1"/>
    <w:rsid w:val="79FF0445"/>
    <w:rsid w:val="79FF06C1"/>
    <w:rsid w:val="79FF352D"/>
    <w:rsid w:val="79FF6F80"/>
    <w:rsid w:val="7A00236B"/>
    <w:rsid w:val="7A003514"/>
    <w:rsid w:val="7A010B4C"/>
    <w:rsid w:val="7A010B8B"/>
    <w:rsid w:val="7A0128FA"/>
    <w:rsid w:val="7A012FE1"/>
    <w:rsid w:val="7A016DDC"/>
    <w:rsid w:val="7A024BBA"/>
    <w:rsid w:val="7A03357A"/>
    <w:rsid w:val="7A036672"/>
    <w:rsid w:val="7A042854"/>
    <w:rsid w:val="7A044199"/>
    <w:rsid w:val="7A0441EA"/>
    <w:rsid w:val="7A0452CD"/>
    <w:rsid w:val="7A046449"/>
    <w:rsid w:val="7A0477EF"/>
    <w:rsid w:val="7A05148B"/>
    <w:rsid w:val="7A0559C3"/>
    <w:rsid w:val="7A0573B5"/>
    <w:rsid w:val="7A057B5F"/>
    <w:rsid w:val="7A064282"/>
    <w:rsid w:val="7A0643B5"/>
    <w:rsid w:val="7A066163"/>
    <w:rsid w:val="7A067F11"/>
    <w:rsid w:val="7A08012D"/>
    <w:rsid w:val="7A080C3E"/>
    <w:rsid w:val="7A082045"/>
    <w:rsid w:val="7A083C89"/>
    <w:rsid w:val="7A085800"/>
    <w:rsid w:val="7A090E9C"/>
    <w:rsid w:val="7A0917AF"/>
    <w:rsid w:val="7A094344"/>
    <w:rsid w:val="7A0A0DE0"/>
    <w:rsid w:val="7A0A3BFE"/>
    <w:rsid w:val="7A0A5C53"/>
    <w:rsid w:val="7A0B3779"/>
    <w:rsid w:val="7A0B4248"/>
    <w:rsid w:val="7A0C2B39"/>
    <w:rsid w:val="7A0C4785"/>
    <w:rsid w:val="7A0D2A14"/>
    <w:rsid w:val="7A0D5743"/>
    <w:rsid w:val="7A0D74F1"/>
    <w:rsid w:val="7A0E5017"/>
    <w:rsid w:val="7A0F14BB"/>
    <w:rsid w:val="7A0F3269"/>
    <w:rsid w:val="7A0F4937"/>
    <w:rsid w:val="7A0F6A75"/>
    <w:rsid w:val="7A101646"/>
    <w:rsid w:val="7A102B3D"/>
    <w:rsid w:val="7A106FE1"/>
    <w:rsid w:val="7A107B3B"/>
    <w:rsid w:val="7A1227E1"/>
    <w:rsid w:val="7A122D59"/>
    <w:rsid w:val="7A1232C8"/>
    <w:rsid w:val="7A131164"/>
    <w:rsid w:val="7A13262E"/>
    <w:rsid w:val="7A136886"/>
    <w:rsid w:val="7A137C0D"/>
    <w:rsid w:val="7A140880"/>
    <w:rsid w:val="7A141457"/>
    <w:rsid w:val="7A146C2D"/>
    <w:rsid w:val="7A147D16"/>
    <w:rsid w:val="7A1505AF"/>
    <w:rsid w:val="7A15284A"/>
    <w:rsid w:val="7A1545F8"/>
    <w:rsid w:val="7A1563A6"/>
    <w:rsid w:val="7A16011A"/>
    <w:rsid w:val="7A162FC2"/>
    <w:rsid w:val="7A16351C"/>
    <w:rsid w:val="7A166948"/>
    <w:rsid w:val="7A172B55"/>
    <w:rsid w:val="7A173ECC"/>
    <w:rsid w:val="7A177DD8"/>
    <w:rsid w:val="7A181268"/>
    <w:rsid w:val="7A187C44"/>
    <w:rsid w:val="7A191CAF"/>
    <w:rsid w:val="7A1932EE"/>
    <w:rsid w:val="7A195997"/>
    <w:rsid w:val="7A195E96"/>
    <w:rsid w:val="7A1A7F38"/>
    <w:rsid w:val="7A1B2DC0"/>
    <w:rsid w:val="7A1B5018"/>
    <w:rsid w:val="7A1B6759"/>
    <w:rsid w:val="7A1C017C"/>
    <w:rsid w:val="7A1C14E2"/>
    <w:rsid w:val="7A1C5986"/>
    <w:rsid w:val="7A1C6DDC"/>
    <w:rsid w:val="7A1C7734"/>
    <w:rsid w:val="7A1C7BE9"/>
    <w:rsid w:val="7A1D305F"/>
    <w:rsid w:val="7A1E0212"/>
    <w:rsid w:val="7A1E16FE"/>
    <w:rsid w:val="7A1E34AC"/>
    <w:rsid w:val="7A1E525A"/>
    <w:rsid w:val="7A1E7074"/>
    <w:rsid w:val="7A1F0FD2"/>
    <w:rsid w:val="7A1F426A"/>
    <w:rsid w:val="7A1F656A"/>
    <w:rsid w:val="7A201E81"/>
    <w:rsid w:val="7A203290"/>
    <w:rsid w:val="7A205476"/>
    <w:rsid w:val="7A212F9C"/>
    <w:rsid w:val="7A213A5B"/>
    <w:rsid w:val="7A214D4A"/>
    <w:rsid w:val="7A22143D"/>
    <w:rsid w:val="7A224EEB"/>
    <w:rsid w:val="7A230320"/>
    <w:rsid w:val="7A2341B7"/>
    <w:rsid w:val="7A236D15"/>
    <w:rsid w:val="7A236DF0"/>
    <w:rsid w:val="7A240F4C"/>
    <w:rsid w:val="7A241A53"/>
    <w:rsid w:val="7A242C92"/>
    <w:rsid w:val="7A24483B"/>
    <w:rsid w:val="7A244E9F"/>
    <w:rsid w:val="7A2465E9"/>
    <w:rsid w:val="7A2500FA"/>
    <w:rsid w:val="7A253953"/>
    <w:rsid w:val="7A254204"/>
    <w:rsid w:val="7A25552C"/>
    <w:rsid w:val="7A255D16"/>
    <w:rsid w:val="7A255D4E"/>
    <w:rsid w:val="7A25761A"/>
    <w:rsid w:val="7A2605B3"/>
    <w:rsid w:val="7A266154"/>
    <w:rsid w:val="7A266F03"/>
    <w:rsid w:val="7A2753B5"/>
    <w:rsid w:val="7A275E24"/>
    <w:rsid w:val="7A27618C"/>
    <w:rsid w:val="7A27752A"/>
    <w:rsid w:val="7A28257D"/>
    <w:rsid w:val="7A283342"/>
    <w:rsid w:val="7A28432B"/>
    <w:rsid w:val="7A287B21"/>
    <w:rsid w:val="7A287E87"/>
    <w:rsid w:val="7A290383"/>
    <w:rsid w:val="7A290AAC"/>
    <w:rsid w:val="7A293BFF"/>
    <w:rsid w:val="7A296304"/>
    <w:rsid w:val="7A2A00A3"/>
    <w:rsid w:val="7A2A1CE9"/>
    <w:rsid w:val="7A2B002F"/>
    <w:rsid w:val="7A2B12FD"/>
    <w:rsid w:val="7A2B189F"/>
    <w:rsid w:val="7A2B3E1B"/>
    <w:rsid w:val="7A2B5BC9"/>
    <w:rsid w:val="7A2B747B"/>
    <w:rsid w:val="7A2B7F1F"/>
    <w:rsid w:val="7A2C0069"/>
    <w:rsid w:val="7A2C4AE8"/>
    <w:rsid w:val="7A2D2BA4"/>
    <w:rsid w:val="7A2D36EF"/>
    <w:rsid w:val="7A2D7B93"/>
    <w:rsid w:val="7A2E1215"/>
    <w:rsid w:val="7A2E50C9"/>
    <w:rsid w:val="7A2F26AE"/>
    <w:rsid w:val="7A2F2D6C"/>
    <w:rsid w:val="7A2F491E"/>
    <w:rsid w:val="7A2F56B9"/>
    <w:rsid w:val="7A2F7467"/>
    <w:rsid w:val="7A301315"/>
    <w:rsid w:val="7A301431"/>
    <w:rsid w:val="7A3031E0"/>
    <w:rsid w:val="7A304F8E"/>
    <w:rsid w:val="7A30625E"/>
    <w:rsid w:val="7A3078D4"/>
    <w:rsid w:val="7A313950"/>
    <w:rsid w:val="7A32410F"/>
    <w:rsid w:val="7A3249E0"/>
    <w:rsid w:val="7A326F58"/>
    <w:rsid w:val="7A332922"/>
    <w:rsid w:val="7A332C42"/>
    <w:rsid w:val="7A33329F"/>
    <w:rsid w:val="7A33570F"/>
    <w:rsid w:val="7A340F22"/>
    <w:rsid w:val="7A342CD0"/>
    <w:rsid w:val="7A342D54"/>
    <w:rsid w:val="7A344A7E"/>
    <w:rsid w:val="7A347300"/>
    <w:rsid w:val="7A3507F6"/>
    <w:rsid w:val="7A3525A4"/>
    <w:rsid w:val="7A356A48"/>
    <w:rsid w:val="7A360328"/>
    <w:rsid w:val="7A362640"/>
    <w:rsid w:val="7A364017"/>
    <w:rsid w:val="7A366B1A"/>
    <w:rsid w:val="7A367560"/>
    <w:rsid w:val="7A3730B0"/>
    <w:rsid w:val="7A37456E"/>
    <w:rsid w:val="7A37631C"/>
    <w:rsid w:val="7A3765BA"/>
    <w:rsid w:val="7A376ADB"/>
    <w:rsid w:val="7A382EE7"/>
    <w:rsid w:val="7A385087"/>
    <w:rsid w:val="7A387111"/>
    <w:rsid w:val="7A3902E6"/>
    <w:rsid w:val="7A3908C4"/>
    <w:rsid w:val="7A392094"/>
    <w:rsid w:val="7A3A3172"/>
    <w:rsid w:val="7A3A405E"/>
    <w:rsid w:val="7A3A5E0C"/>
    <w:rsid w:val="7A3B22B0"/>
    <w:rsid w:val="7A3C0663"/>
    <w:rsid w:val="7A3C1D18"/>
    <w:rsid w:val="7A3E1E35"/>
    <w:rsid w:val="7A3E3B4E"/>
    <w:rsid w:val="7A3E58FC"/>
    <w:rsid w:val="7A3E76AA"/>
    <w:rsid w:val="7A3F0813"/>
    <w:rsid w:val="7A3F31CD"/>
    <w:rsid w:val="7A3F3423"/>
    <w:rsid w:val="7A3F5B5B"/>
    <w:rsid w:val="7A3F7FB6"/>
    <w:rsid w:val="7A4028F6"/>
    <w:rsid w:val="7A402B70"/>
    <w:rsid w:val="7A4078C7"/>
    <w:rsid w:val="7A41014F"/>
    <w:rsid w:val="7A410474"/>
    <w:rsid w:val="7A41363F"/>
    <w:rsid w:val="7A431165"/>
    <w:rsid w:val="7A434029"/>
    <w:rsid w:val="7A4352D7"/>
    <w:rsid w:val="7A4353FC"/>
    <w:rsid w:val="7A435965"/>
    <w:rsid w:val="7A4456B4"/>
    <w:rsid w:val="7A445D92"/>
    <w:rsid w:val="7A4528CB"/>
    <w:rsid w:val="7A454EDD"/>
    <w:rsid w:val="7A456C8B"/>
    <w:rsid w:val="7A460C55"/>
    <w:rsid w:val="7A462A03"/>
    <w:rsid w:val="7A4647B1"/>
    <w:rsid w:val="7A465F7C"/>
    <w:rsid w:val="7A4772B2"/>
    <w:rsid w:val="7A480529"/>
    <w:rsid w:val="7A484035"/>
    <w:rsid w:val="7A486C06"/>
    <w:rsid w:val="7A4871F4"/>
    <w:rsid w:val="7A48791D"/>
    <w:rsid w:val="7A490096"/>
    <w:rsid w:val="7A490C75"/>
    <w:rsid w:val="7A4927D7"/>
    <w:rsid w:val="7A494D6B"/>
    <w:rsid w:val="7A49511D"/>
    <w:rsid w:val="7A49604F"/>
    <w:rsid w:val="7A4A24F3"/>
    <w:rsid w:val="7A4A42A1"/>
    <w:rsid w:val="7A4A70C2"/>
    <w:rsid w:val="7A4B0019"/>
    <w:rsid w:val="7A4B137B"/>
    <w:rsid w:val="7A4C30C0"/>
    <w:rsid w:val="7A4D2F1A"/>
    <w:rsid w:val="7A4D379F"/>
    <w:rsid w:val="7A4D3D91"/>
    <w:rsid w:val="7A4D5B40"/>
    <w:rsid w:val="7A4D7EA7"/>
    <w:rsid w:val="7A4E0DE1"/>
    <w:rsid w:val="7A4E3666"/>
    <w:rsid w:val="7A4E5172"/>
    <w:rsid w:val="7A4E5626"/>
    <w:rsid w:val="7A4E7CC8"/>
    <w:rsid w:val="7A4F18B8"/>
    <w:rsid w:val="7A4F4E61"/>
    <w:rsid w:val="7A4F7B0A"/>
    <w:rsid w:val="7A503541"/>
    <w:rsid w:val="7A504DB6"/>
    <w:rsid w:val="7A50522C"/>
    <w:rsid w:val="7A505630"/>
    <w:rsid w:val="7A5073DE"/>
    <w:rsid w:val="7A51172F"/>
    <w:rsid w:val="7A513923"/>
    <w:rsid w:val="7A51423A"/>
    <w:rsid w:val="7A514FE2"/>
    <w:rsid w:val="7A516828"/>
    <w:rsid w:val="7A523156"/>
    <w:rsid w:val="7A5275FA"/>
    <w:rsid w:val="7A527CB8"/>
    <w:rsid w:val="7A535879"/>
    <w:rsid w:val="7A5368F3"/>
    <w:rsid w:val="7A537953"/>
    <w:rsid w:val="7A543209"/>
    <w:rsid w:val="7A543372"/>
    <w:rsid w:val="7A545120"/>
    <w:rsid w:val="7A550C90"/>
    <w:rsid w:val="7A550ECC"/>
    <w:rsid w:val="7A552C46"/>
    <w:rsid w:val="7A553465"/>
    <w:rsid w:val="7A5544DF"/>
    <w:rsid w:val="7A55494E"/>
    <w:rsid w:val="7A5549F4"/>
    <w:rsid w:val="7A560DD2"/>
    <w:rsid w:val="7A560E98"/>
    <w:rsid w:val="7A56120A"/>
    <w:rsid w:val="7A56204E"/>
    <w:rsid w:val="7A5720C5"/>
    <w:rsid w:val="7A574C10"/>
    <w:rsid w:val="7A574FEC"/>
    <w:rsid w:val="7A575182"/>
    <w:rsid w:val="7A57526B"/>
    <w:rsid w:val="7A5769BE"/>
    <w:rsid w:val="7A583B2A"/>
    <w:rsid w:val="7A583E39"/>
    <w:rsid w:val="7A5944E4"/>
    <w:rsid w:val="7A594DBF"/>
    <w:rsid w:val="7A594FBA"/>
    <w:rsid w:val="7A596EE5"/>
    <w:rsid w:val="7A5A1113"/>
    <w:rsid w:val="7A5A200A"/>
    <w:rsid w:val="7A5A319C"/>
    <w:rsid w:val="7A5A5550"/>
    <w:rsid w:val="7A5A6EA0"/>
    <w:rsid w:val="7A5A6F4E"/>
    <w:rsid w:val="7A5A764F"/>
    <w:rsid w:val="7A5B454E"/>
    <w:rsid w:val="7A5B5615"/>
    <w:rsid w:val="7A5B64AE"/>
    <w:rsid w:val="7A5B6541"/>
    <w:rsid w:val="7A5C2227"/>
    <w:rsid w:val="7A5C3FD5"/>
    <w:rsid w:val="7A5C507C"/>
    <w:rsid w:val="7A5C5D83"/>
    <w:rsid w:val="7A5D799C"/>
    <w:rsid w:val="7A5D7CA1"/>
    <w:rsid w:val="7A5E1AFB"/>
    <w:rsid w:val="7A5E3302"/>
    <w:rsid w:val="7A5E5F9F"/>
    <w:rsid w:val="7A5E7D4D"/>
    <w:rsid w:val="7A5F39FD"/>
    <w:rsid w:val="7A5F4A70"/>
    <w:rsid w:val="7A5F5B1D"/>
    <w:rsid w:val="7A5F735E"/>
    <w:rsid w:val="7A601D17"/>
    <w:rsid w:val="7A604E8D"/>
    <w:rsid w:val="7A607261"/>
    <w:rsid w:val="7A61076D"/>
    <w:rsid w:val="7A610EEE"/>
    <w:rsid w:val="7A6115EB"/>
    <w:rsid w:val="7A613399"/>
    <w:rsid w:val="7A614F21"/>
    <w:rsid w:val="7A61614D"/>
    <w:rsid w:val="7A61631D"/>
    <w:rsid w:val="7A61783D"/>
    <w:rsid w:val="7A6219F6"/>
    <w:rsid w:val="7A62237E"/>
    <w:rsid w:val="7A6228A3"/>
    <w:rsid w:val="7A62519A"/>
    <w:rsid w:val="7A6335B5"/>
    <w:rsid w:val="7A637111"/>
    <w:rsid w:val="7A6413DB"/>
    <w:rsid w:val="7A643A33"/>
    <w:rsid w:val="7A644C9E"/>
    <w:rsid w:val="7A65019F"/>
    <w:rsid w:val="7A652E89"/>
    <w:rsid w:val="7A654FD5"/>
    <w:rsid w:val="7A65732D"/>
    <w:rsid w:val="7A660CFF"/>
    <w:rsid w:val="7A6612CC"/>
    <w:rsid w:val="7A664E53"/>
    <w:rsid w:val="7A666C01"/>
    <w:rsid w:val="7A6675BE"/>
    <w:rsid w:val="7A681EAD"/>
    <w:rsid w:val="7A683513"/>
    <w:rsid w:val="7A684727"/>
    <w:rsid w:val="7A6861F0"/>
    <w:rsid w:val="7A687E78"/>
    <w:rsid w:val="7A69020F"/>
    <w:rsid w:val="7A695F3F"/>
    <w:rsid w:val="7A697CF5"/>
    <w:rsid w:val="7A6A04A0"/>
    <w:rsid w:val="7A6A4943"/>
    <w:rsid w:val="7A6A66F1"/>
    <w:rsid w:val="7A6B1FA0"/>
    <w:rsid w:val="7A6B4218"/>
    <w:rsid w:val="7A6C06BC"/>
    <w:rsid w:val="7A6C0DC2"/>
    <w:rsid w:val="7A6C3034"/>
    <w:rsid w:val="7A6C6001"/>
    <w:rsid w:val="7A6D1D3E"/>
    <w:rsid w:val="7A6D4269"/>
    <w:rsid w:val="7A6D4434"/>
    <w:rsid w:val="7A6D61E2"/>
    <w:rsid w:val="7A6D6544"/>
    <w:rsid w:val="7A6D72EA"/>
    <w:rsid w:val="7A6F3AB7"/>
    <w:rsid w:val="7A6F3D7D"/>
    <w:rsid w:val="7A6F443F"/>
    <w:rsid w:val="7A6F5AB6"/>
    <w:rsid w:val="7A7001A1"/>
    <w:rsid w:val="7A70182E"/>
    <w:rsid w:val="7A703241"/>
    <w:rsid w:val="7A705B14"/>
    <w:rsid w:val="7A7061F3"/>
    <w:rsid w:val="7A707A80"/>
    <w:rsid w:val="7A715CD2"/>
    <w:rsid w:val="7A721E73"/>
    <w:rsid w:val="7A723305"/>
    <w:rsid w:val="7A733303"/>
    <w:rsid w:val="7A734856"/>
    <w:rsid w:val="7A737844"/>
    <w:rsid w:val="7A74131E"/>
    <w:rsid w:val="7A7430CC"/>
    <w:rsid w:val="7A747570"/>
    <w:rsid w:val="7A753F5D"/>
    <w:rsid w:val="7A756E44"/>
    <w:rsid w:val="7A7641F5"/>
    <w:rsid w:val="7A7670B3"/>
    <w:rsid w:val="7A7676AE"/>
    <w:rsid w:val="7A770543"/>
    <w:rsid w:val="7A7725FA"/>
    <w:rsid w:val="7A772BBC"/>
    <w:rsid w:val="7A773114"/>
    <w:rsid w:val="7A773F60"/>
    <w:rsid w:val="7A776458"/>
    <w:rsid w:val="7A777060"/>
    <w:rsid w:val="7A792DD8"/>
    <w:rsid w:val="7A79569D"/>
    <w:rsid w:val="7A796935"/>
    <w:rsid w:val="7A7A34B3"/>
    <w:rsid w:val="7A7A445B"/>
    <w:rsid w:val="7A7A6EC4"/>
    <w:rsid w:val="7A7B08FF"/>
    <w:rsid w:val="7A7B4D00"/>
    <w:rsid w:val="7A7B5631"/>
    <w:rsid w:val="7A7C01D3"/>
    <w:rsid w:val="7A7C0B51"/>
    <w:rsid w:val="7A7C4677"/>
    <w:rsid w:val="7A7C5AF6"/>
    <w:rsid w:val="7A7C6A82"/>
    <w:rsid w:val="7A7C74DD"/>
    <w:rsid w:val="7A7D43B5"/>
    <w:rsid w:val="7A7D7C15"/>
    <w:rsid w:val="7A7E0956"/>
    <w:rsid w:val="7A7E3F4B"/>
    <w:rsid w:val="7A7F0743"/>
    <w:rsid w:val="7A7F18A6"/>
    <w:rsid w:val="7A7F1A71"/>
    <w:rsid w:val="7A7F2FAA"/>
    <w:rsid w:val="7A7F33C6"/>
    <w:rsid w:val="7A801B3B"/>
    <w:rsid w:val="7A80549F"/>
    <w:rsid w:val="7A807CC3"/>
    <w:rsid w:val="7A811C8D"/>
    <w:rsid w:val="7A8141C6"/>
    <w:rsid w:val="7A815907"/>
    <w:rsid w:val="7A816DC0"/>
    <w:rsid w:val="7A81764C"/>
    <w:rsid w:val="7A820227"/>
    <w:rsid w:val="7A82098B"/>
    <w:rsid w:val="7A8223BB"/>
    <w:rsid w:val="7A8265E1"/>
    <w:rsid w:val="7A826D97"/>
    <w:rsid w:val="7A831561"/>
    <w:rsid w:val="7A8316B7"/>
    <w:rsid w:val="7A83483E"/>
    <w:rsid w:val="7A835439"/>
    <w:rsid w:val="7A835A05"/>
    <w:rsid w:val="7A8364F3"/>
    <w:rsid w:val="7A8377B3"/>
    <w:rsid w:val="7A837C18"/>
    <w:rsid w:val="7A844288"/>
    <w:rsid w:val="7A847912"/>
    <w:rsid w:val="7A8527DC"/>
    <w:rsid w:val="7A85352B"/>
    <w:rsid w:val="7A854C30"/>
    <w:rsid w:val="7A8552D9"/>
    <w:rsid w:val="7A861779"/>
    <w:rsid w:val="7A86235C"/>
    <w:rsid w:val="7A862E00"/>
    <w:rsid w:val="7A8650E9"/>
    <w:rsid w:val="7A870038"/>
    <w:rsid w:val="7A8772A3"/>
    <w:rsid w:val="7A88301C"/>
    <w:rsid w:val="7A883E55"/>
    <w:rsid w:val="7A884DCA"/>
    <w:rsid w:val="7A886B78"/>
    <w:rsid w:val="7A88747D"/>
    <w:rsid w:val="7A890A42"/>
    <w:rsid w:val="7A8958B8"/>
    <w:rsid w:val="7A8A28F0"/>
    <w:rsid w:val="7A8A3A96"/>
    <w:rsid w:val="7A8A69B9"/>
    <w:rsid w:val="7A8B21FF"/>
    <w:rsid w:val="7A8B571F"/>
    <w:rsid w:val="7A8B6668"/>
    <w:rsid w:val="7A8C3130"/>
    <w:rsid w:val="7A8C4DE5"/>
    <w:rsid w:val="7A8D23E0"/>
    <w:rsid w:val="7A8D418E"/>
    <w:rsid w:val="7A8D78A4"/>
    <w:rsid w:val="7A8E533A"/>
    <w:rsid w:val="7A8F3276"/>
    <w:rsid w:val="7A8F4316"/>
    <w:rsid w:val="7A900321"/>
    <w:rsid w:val="7A903C7E"/>
    <w:rsid w:val="7A910122"/>
    <w:rsid w:val="7A9103F0"/>
    <w:rsid w:val="7A916637"/>
    <w:rsid w:val="7A917380"/>
    <w:rsid w:val="7A923350"/>
    <w:rsid w:val="7A925C48"/>
    <w:rsid w:val="7A933304"/>
    <w:rsid w:val="7A9419C0"/>
    <w:rsid w:val="7A94263C"/>
    <w:rsid w:val="7A9429C7"/>
    <w:rsid w:val="7A94376E"/>
    <w:rsid w:val="7A945206"/>
    <w:rsid w:val="7A94551C"/>
    <w:rsid w:val="7A947EF7"/>
    <w:rsid w:val="7A95105B"/>
    <w:rsid w:val="7A951E14"/>
    <w:rsid w:val="7A95780A"/>
    <w:rsid w:val="7A96558B"/>
    <w:rsid w:val="7A965738"/>
    <w:rsid w:val="7A971B9E"/>
    <w:rsid w:val="7A9726FE"/>
    <w:rsid w:val="7A97325F"/>
    <w:rsid w:val="7A97500D"/>
    <w:rsid w:val="7A9763C5"/>
    <w:rsid w:val="7A9814B1"/>
    <w:rsid w:val="7A985586"/>
    <w:rsid w:val="7A990D85"/>
    <w:rsid w:val="7A996FD7"/>
    <w:rsid w:val="7A9A3768"/>
    <w:rsid w:val="7A9A64AE"/>
    <w:rsid w:val="7A9B107F"/>
    <w:rsid w:val="7A9B2D4F"/>
    <w:rsid w:val="7A9B3725"/>
    <w:rsid w:val="7A9B4AFD"/>
    <w:rsid w:val="7A9C0875"/>
    <w:rsid w:val="7A9C0982"/>
    <w:rsid w:val="7A9C0DCE"/>
    <w:rsid w:val="7A9C2623"/>
    <w:rsid w:val="7A9C4DB8"/>
    <w:rsid w:val="7A9D6AC7"/>
    <w:rsid w:val="7A9E1A65"/>
    <w:rsid w:val="7A9E283F"/>
    <w:rsid w:val="7A9E3C85"/>
    <w:rsid w:val="7A9E45ED"/>
    <w:rsid w:val="7A9E62BF"/>
    <w:rsid w:val="7A9F099C"/>
    <w:rsid w:val="7A9F0E90"/>
    <w:rsid w:val="7A9F592E"/>
    <w:rsid w:val="7A9F774F"/>
    <w:rsid w:val="7A9F7EE5"/>
    <w:rsid w:val="7AA00365"/>
    <w:rsid w:val="7AA02113"/>
    <w:rsid w:val="7AA034FA"/>
    <w:rsid w:val="7AA03EC1"/>
    <w:rsid w:val="7AA13F56"/>
    <w:rsid w:val="7AA17C39"/>
    <w:rsid w:val="7AA20A0E"/>
    <w:rsid w:val="7AA240DD"/>
    <w:rsid w:val="7AA24C40"/>
    <w:rsid w:val="7AA332EE"/>
    <w:rsid w:val="7AA37E55"/>
    <w:rsid w:val="7AA40EF3"/>
    <w:rsid w:val="7AA42131"/>
    <w:rsid w:val="7AA46DB0"/>
    <w:rsid w:val="7AA52240"/>
    <w:rsid w:val="7AA53BCD"/>
    <w:rsid w:val="7AA54B1C"/>
    <w:rsid w:val="7AA54D02"/>
    <w:rsid w:val="7AA5772A"/>
    <w:rsid w:val="7AA61AB6"/>
    <w:rsid w:val="7AA64D44"/>
    <w:rsid w:val="7AA65250"/>
    <w:rsid w:val="7AA678C6"/>
    <w:rsid w:val="7AA716F4"/>
    <w:rsid w:val="7AA725FD"/>
    <w:rsid w:val="7AA72981"/>
    <w:rsid w:val="7AA72E24"/>
    <w:rsid w:val="7AA732DC"/>
    <w:rsid w:val="7AA739DD"/>
    <w:rsid w:val="7AA77D2F"/>
    <w:rsid w:val="7AA81451"/>
    <w:rsid w:val="7AA81F42"/>
    <w:rsid w:val="7AA83683"/>
    <w:rsid w:val="7AA8546C"/>
    <w:rsid w:val="7AA86DF7"/>
    <w:rsid w:val="7AA9037E"/>
    <w:rsid w:val="7AA933D2"/>
    <w:rsid w:val="7AA95B1F"/>
    <w:rsid w:val="7AA9783C"/>
    <w:rsid w:val="7AAA11E4"/>
    <w:rsid w:val="7AAA2F92"/>
    <w:rsid w:val="7AAA4D40"/>
    <w:rsid w:val="7AAA5FA3"/>
    <w:rsid w:val="7AAB0B58"/>
    <w:rsid w:val="7AAB2866"/>
    <w:rsid w:val="7AAB5023"/>
    <w:rsid w:val="7AAB7433"/>
    <w:rsid w:val="7AAC08C3"/>
    <w:rsid w:val="7AAC0AB8"/>
    <w:rsid w:val="7AAC2B97"/>
    <w:rsid w:val="7AAC4F5C"/>
    <w:rsid w:val="7AAC6D0A"/>
    <w:rsid w:val="7AAD1D53"/>
    <w:rsid w:val="7AAD2A82"/>
    <w:rsid w:val="7AAD4830"/>
    <w:rsid w:val="7AAD65DE"/>
    <w:rsid w:val="7AAD7251"/>
    <w:rsid w:val="7AAE27F4"/>
    <w:rsid w:val="7AAE64F9"/>
    <w:rsid w:val="7AAE78F4"/>
    <w:rsid w:val="7AAF2356"/>
    <w:rsid w:val="7AAF67FA"/>
    <w:rsid w:val="7AAF70E6"/>
    <w:rsid w:val="7AB01E15"/>
    <w:rsid w:val="7AB11B64"/>
    <w:rsid w:val="7AB12572"/>
    <w:rsid w:val="7AB132A5"/>
    <w:rsid w:val="7AB14320"/>
    <w:rsid w:val="7AB160CE"/>
    <w:rsid w:val="7AB17D96"/>
    <w:rsid w:val="7AB23BF5"/>
    <w:rsid w:val="7AB26DB3"/>
    <w:rsid w:val="7AB27FA7"/>
    <w:rsid w:val="7AB314B0"/>
    <w:rsid w:val="7AB3762E"/>
    <w:rsid w:val="7AB404E5"/>
    <w:rsid w:val="7AB41474"/>
    <w:rsid w:val="7AB414D0"/>
    <w:rsid w:val="7AB41C26"/>
    <w:rsid w:val="7AB43E98"/>
    <w:rsid w:val="7AB45058"/>
    <w:rsid w:val="7AB530B6"/>
    <w:rsid w:val="7AB61443"/>
    <w:rsid w:val="7AB61937"/>
    <w:rsid w:val="7AB64546"/>
    <w:rsid w:val="7AB67B89"/>
    <w:rsid w:val="7AB756AF"/>
    <w:rsid w:val="7AB77117"/>
    <w:rsid w:val="7AB8162F"/>
    <w:rsid w:val="7AB83901"/>
    <w:rsid w:val="7AB92EC7"/>
    <w:rsid w:val="7AB931D5"/>
    <w:rsid w:val="7AB94F83"/>
    <w:rsid w:val="7AB95F5F"/>
    <w:rsid w:val="7AB97AFC"/>
    <w:rsid w:val="7ABB0535"/>
    <w:rsid w:val="7ABB2AC0"/>
    <w:rsid w:val="7ABB3A53"/>
    <w:rsid w:val="7ABB480C"/>
    <w:rsid w:val="7ABB519F"/>
    <w:rsid w:val="7ABB57E7"/>
    <w:rsid w:val="7ABB5EAE"/>
    <w:rsid w:val="7ABB6F28"/>
    <w:rsid w:val="7ABB7297"/>
    <w:rsid w:val="7ABC2F89"/>
    <w:rsid w:val="7ABC4A73"/>
    <w:rsid w:val="7ABD09DB"/>
    <w:rsid w:val="7ABD0F17"/>
    <w:rsid w:val="7ABD2BF3"/>
    <w:rsid w:val="7ABD6292"/>
    <w:rsid w:val="7ABE07EB"/>
    <w:rsid w:val="7ABE2CD8"/>
    <w:rsid w:val="7ABE2D6E"/>
    <w:rsid w:val="7ABE58A9"/>
    <w:rsid w:val="7ABE6A3D"/>
    <w:rsid w:val="7ABF3B39"/>
    <w:rsid w:val="7ABF51D2"/>
    <w:rsid w:val="7AC008A4"/>
    <w:rsid w:val="7AC0190A"/>
    <w:rsid w:val="7AC022D9"/>
    <w:rsid w:val="7AC02DA2"/>
    <w:rsid w:val="7AC04563"/>
    <w:rsid w:val="7AC04896"/>
    <w:rsid w:val="7AC06271"/>
    <w:rsid w:val="7AC06311"/>
    <w:rsid w:val="7AC11659"/>
    <w:rsid w:val="7AC14FAB"/>
    <w:rsid w:val="7AC202DC"/>
    <w:rsid w:val="7AC21601"/>
    <w:rsid w:val="7AC2422A"/>
    <w:rsid w:val="7AC3073B"/>
    <w:rsid w:val="7AC322A6"/>
    <w:rsid w:val="7AC34054"/>
    <w:rsid w:val="7AC34F4E"/>
    <w:rsid w:val="7AC356BA"/>
    <w:rsid w:val="7AC35E02"/>
    <w:rsid w:val="7AC36B4A"/>
    <w:rsid w:val="7AC4171B"/>
    <w:rsid w:val="7AC5146A"/>
    <w:rsid w:val="7AC51B7A"/>
    <w:rsid w:val="7AC55E09"/>
    <w:rsid w:val="7AC5601E"/>
    <w:rsid w:val="7AC630AB"/>
    <w:rsid w:val="7AC63794"/>
    <w:rsid w:val="7AC6403B"/>
    <w:rsid w:val="7AC64679"/>
    <w:rsid w:val="7AC65B7F"/>
    <w:rsid w:val="7AC676A0"/>
    <w:rsid w:val="7AC7009C"/>
    <w:rsid w:val="7AC73B44"/>
    <w:rsid w:val="7AC80A8F"/>
    <w:rsid w:val="7AC8166A"/>
    <w:rsid w:val="7AC83418"/>
    <w:rsid w:val="7AC85DD4"/>
    <w:rsid w:val="7AC8695B"/>
    <w:rsid w:val="7AC912EB"/>
    <w:rsid w:val="7AC91B56"/>
    <w:rsid w:val="7ACA14A0"/>
    <w:rsid w:val="7ACA1E88"/>
    <w:rsid w:val="7ACA3F5F"/>
    <w:rsid w:val="7ACA50A2"/>
    <w:rsid w:val="7ACB1608"/>
    <w:rsid w:val="7ACB4CB6"/>
    <w:rsid w:val="7ACC115A"/>
    <w:rsid w:val="7ACC2F08"/>
    <w:rsid w:val="7ACC683F"/>
    <w:rsid w:val="7ACD0A2E"/>
    <w:rsid w:val="7ACD133D"/>
    <w:rsid w:val="7ACD133E"/>
    <w:rsid w:val="7ACD6C80"/>
    <w:rsid w:val="7ACD796F"/>
    <w:rsid w:val="7ACD7BF0"/>
    <w:rsid w:val="7ACE27CD"/>
    <w:rsid w:val="7ACE2A19"/>
    <w:rsid w:val="7ACF29F8"/>
    <w:rsid w:val="7ACF2C27"/>
    <w:rsid w:val="7AD029A6"/>
    <w:rsid w:val="7AD143E2"/>
    <w:rsid w:val="7AD149C3"/>
    <w:rsid w:val="7AD24297"/>
    <w:rsid w:val="7AD242A9"/>
    <w:rsid w:val="7AD26045"/>
    <w:rsid w:val="7AD324E9"/>
    <w:rsid w:val="7AD33C0D"/>
    <w:rsid w:val="7AD41DBD"/>
    <w:rsid w:val="7AD4533B"/>
    <w:rsid w:val="7AD46ED1"/>
    <w:rsid w:val="7AD47463"/>
    <w:rsid w:val="7AD479F4"/>
    <w:rsid w:val="7AD50F5F"/>
    <w:rsid w:val="7AD5360C"/>
    <w:rsid w:val="7AD579F5"/>
    <w:rsid w:val="7AD60409"/>
    <w:rsid w:val="7AD62C51"/>
    <w:rsid w:val="7AD62CAB"/>
    <w:rsid w:val="7AD647F1"/>
    <w:rsid w:val="7AD65B35"/>
    <w:rsid w:val="7AD70DE5"/>
    <w:rsid w:val="7AD7365B"/>
    <w:rsid w:val="7AD87AFF"/>
    <w:rsid w:val="7AD91CD2"/>
    <w:rsid w:val="7AD93877"/>
    <w:rsid w:val="7AD93D73"/>
    <w:rsid w:val="7AD95625"/>
    <w:rsid w:val="7AD973D3"/>
    <w:rsid w:val="7AD97590"/>
    <w:rsid w:val="7ADA0A0E"/>
    <w:rsid w:val="7ADB139D"/>
    <w:rsid w:val="7ADB314B"/>
    <w:rsid w:val="7ADB4DD1"/>
    <w:rsid w:val="7ADB75EF"/>
    <w:rsid w:val="7ADB7706"/>
    <w:rsid w:val="7ADC4334"/>
    <w:rsid w:val="7ADC7DA0"/>
    <w:rsid w:val="7ADD2D5E"/>
    <w:rsid w:val="7ADD5115"/>
    <w:rsid w:val="7ADE2C3C"/>
    <w:rsid w:val="7ADE49EA"/>
    <w:rsid w:val="7ADE68DB"/>
    <w:rsid w:val="7ADF15DD"/>
    <w:rsid w:val="7ADF3B41"/>
    <w:rsid w:val="7ADF4BE2"/>
    <w:rsid w:val="7ADF5A87"/>
    <w:rsid w:val="7ADF5AFA"/>
    <w:rsid w:val="7ADF65D6"/>
    <w:rsid w:val="7AE0312B"/>
    <w:rsid w:val="7AE04C06"/>
    <w:rsid w:val="7AE05073"/>
    <w:rsid w:val="7AE069B4"/>
    <w:rsid w:val="7AE10BB3"/>
    <w:rsid w:val="7AE2097E"/>
    <w:rsid w:val="7AE220D3"/>
    <w:rsid w:val="7AE244DA"/>
    <w:rsid w:val="7AE30B68"/>
    <w:rsid w:val="7AE354C8"/>
    <w:rsid w:val="7AE36ADE"/>
    <w:rsid w:val="7AE460DE"/>
    <w:rsid w:val="7AE50A54"/>
    <w:rsid w:val="7AE5221C"/>
    <w:rsid w:val="7AE53FCA"/>
    <w:rsid w:val="7AE55D78"/>
    <w:rsid w:val="7AE61EE4"/>
    <w:rsid w:val="7AE61FB6"/>
    <w:rsid w:val="7AE6234A"/>
    <w:rsid w:val="7AE66897"/>
    <w:rsid w:val="7AE73374"/>
    <w:rsid w:val="7AE75F94"/>
    <w:rsid w:val="7AE77D42"/>
    <w:rsid w:val="7AE8086D"/>
    <w:rsid w:val="7AE85F45"/>
    <w:rsid w:val="7AE91D0C"/>
    <w:rsid w:val="7AE91FA6"/>
    <w:rsid w:val="7AEA338E"/>
    <w:rsid w:val="7AEA5483"/>
    <w:rsid w:val="7AEA5A84"/>
    <w:rsid w:val="7AEB3A90"/>
    <w:rsid w:val="7AEB48C6"/>
    <w:rsid w:val="7AEB729D"/>
    <w:rsid w:val="7AEC292C"/>
    <w:rsid w:val="7AEC35AA"/>
    <w:rsid w:val="7AEC4433"/>
    <w:rsid w:val="7AEC7106"/>
    <w:rsid w:val="7AED63D9"/>
    <w:rsid w:val="7AEE057D"/>
    <w:rsid w:val="7AEE0A5A"/>
    <w:rsid w:val="7AEE7323"/>
    <w:rsid w:val="7AEF0707"/>
    <w:rsid w:val="7AEF309B"/>
    <w:rsid w:val="7AEF6BF7"/>
    <w:rsid w:val="7AEF7572"/>
    <w:rsid w:val="7AF0155C"/>
    <w:rsid w:val="7AF024A4"/>
    <w:rsid w:val="7AF04D73"/>
    <w:rsid w:val="7AF05B67"/>
    <w:rsid w:val="7AF10BC1"/>
    <w:rsid w:val="7AF110C4"/>
    <w:rsid w:val="7AF11A23"/>
    <w:rsid w:val="7AF1296F"/>
    <w:rsid w:val="7AF1471D"/>
    <w:rsid w:val="7AF16FF7"/>
    <w:rsid w:val="7AF2458A"/>
    <w:rsid w:val="7AF26B0D"/>
    <w:rsid w:val="7AF34431"/>
    <w:rsid w:val="7AF34939"/>
    <w:rsid w:val="7AF35C29"/>
    <w:rsid w:val="7AF35F22"/>
    <w:rsid w:val="7AF366E7"/>
    <w:rsid w:val="7AF37D5D"/>
    <w:rsid w:val="7AF4420D"/>
    <w:rsid w:val="7AF470B7"/>
    <w:rsid w:val="7AF52C4E"/>
    <w:rsid w:val="7AF56ECD"/>
    <w:rsid w:val="7AF574CB"/>
    <w:rsid w:val="7AF619D9"/>
    <w:rsid w:val="7AF63C3B"/>
    <w:rsid w:val="7AF64429"/>
    <w:rsid w:val="7AF64946"/>
    <w:rsid w:val="7AF65314"/>
    <w:rsid w:val="7AF661D7"/>
    <w:rsid w:val="7AF6709A"/>
    <w:rsid w:val="7AF72E69"/>
    <w:rsid w:val="7AF72FCE"/>
    <w:rsid w:val="7AF808B3"/>
    <w:rsid w:val="7AF81F4F"/>
    <w:rsid w:val="7AF83CFD"/>
    <w:rsid w:val="7AF83D71"/>
    <w:rsid w:val="7AF91823"/>
    <w:rsid w:val="7AF92F80"/>
    <w:rsid w:val="7AF9631D"/>
    <w:rsid w:val="7AF97A75"/>
    <w:rsid w:val="7AFA17EA"/>
    <w:rsid w:val="7AFA2A21"/>
    <w:rsid w:val="7AFB37ED"/>
    <w:rsid w:val="7AFB3A76"/>
    <w:rsid w:val="7AFB559C"/>
    <w:rsid w:val="7AFC15A0"/>
    <w:rsid w:val="7AFC584B"/>
    <w:rsid w:val="7AFC6301"/>
    <w:rsid w:val="7AFD17D9"/>
    <w:rsid w:val="7AFE2D3C"/>
    <w:rsid w:val="7AFE508C"/>
    <w:rsid w:val="7AFE6E3A"/>
    <w:rsid w:val="7AFF0670"/>
    <w:rsid w:val="7AFF15FB"/>
    <w:rsid w:val="7AFF2C18"/>
    <w:rsid w:val="7AFF37D8"/>
    <w:rsid w:val="7AFF5181"/>
    <w:rsid w:val="7AFF7010"/>
    <w:rsid w:val="7AFF70BD"/>
    <w:rsid w:val="7B011052"/>
    <w:rsid w:val="7B01555A"/>
    <w:rsid w:val="7B022DCE"/>
    <w:rsid w:val="7B026148"/>
    <w:rsid w:val="7B02692A"/>
    <w:rsid w:val="7B0279CA"/>
    <w:rsid w:val="7B032B4D"/>
    <w:rsid w:val="7B034450"/>
    <w:rsid w:val="7B036659"/>
    <w:rsid w:val="7B03673F"/>
    <w:rsid w:val="7B0408AB"/>
    <w:rsid w:val="7B0454AB"/>
    <w:rsid w:val="7B045E25"/>
    <w:rsid w:val="7B046B46"/>
    <w:rsid w:val="7B052017"/>
    <w:rsid w:val="7B05466C"/>
    <w:rsid w:val="7B057924"/>
    <w:rsid w:val="7B06192B"/>
    <w:rsid w:val="7B062394"/>
    <w:rsid w:val="7B06349B"/>
    <w:rsid w:val="7B0703E4"/>
    <w:rsid w:val="7B072192"/>
    <w:rsid w:val="7B073F40"/>
    <w:rsid w:val="7B077431"/>
    <w:rsid w:val="7B0818F7"/>
    <w:rsid w:val="7B083DED"/>
    <w:rsid w:val="7B087874"/>
    <w:rsid w:val="7B09415C"/>
    <w:rsid w:val="7B094167"/>
    <w:rsid w:val="7B094768"/>
    <w:rsid w:val="7B096184"/>
    <w:rsid w:val="7B0A12DE"/>
    <w:rsid w:val="7B0A1C83"/>
    <w:rsid w:val="7B0A3A31"/>
    <w:rsid w:val="7B0A57DF"/>
    <w:rsid w:val="7B0B276E"/>
    <w:rsid w:val="7B0B4882"/>
    <w:rsid w:val="7B0C0269"/>
    <w:rsid w:val="7B0C1557"/>
    <w:rsid w:val="7B0C47DA"/>
    <w:rsid w:val="7B0C4E7D"/>
    <w:rsid w:val="7B0C533F"/>
    <w:rsid w:val="7B0C59FB"/>
    <w:rsid w:val="7B0C77A9"/>
    <w:rsid w:val="7B0D3F63"/>
    <w:rsid w:val="7B0D70DC"/>
    <w:rsid w:val="7B0E1773"/>
    <w:rsid w:val="7B0E2830"/>
    <w:rsid w:val="7B0E3521"/>
    <w:rsid w:val="7B0F0AF2"/>
    <w:rsid w:val="7B0F19F5"/>
    <w:rsid w:val="7B0F5203"/>
    <w:rsid w:val="7B0F7299"/>
    <w:rsid w:val="7B1010D4"/>
    <w:rsid w:val="7B101B3D"/>
    <w:rsid w:val="7B105150"/>
    <w:rsid w:val="7B1112CC"/>
    <w:rsid w:val="7B114DBF"/>
    <w:rsid w:val="7B116B6D"/>
    <w:rsid w:val="7B120866"/>
    <w:rsid w:val="7B122641"/>
    <w:rsid w:val="7B1228E5"/>
    <w:rsid w:val="7B1241A4"/>
    <w:rsid w:val="7B127A70"/>
    <w:rsid w:val="7B131975"/>
    <w:rsid w:val="7B133AD1"/>
    <w:rsid w:val="7B136D89"/>
    <w:rsid w:val="7B14592F"/>
    <w:rsid w:val="7B14665D"/>
    <w:rsid w:val="7B1466D9"/>
    <w:rsid w:val="7B152B01"/>
    <w:rsid w:val="7B1563F1"/>
    <w:rsid w:val="7B1623D5"/>
    <w:rsid w:val="7B164183"/>
    <w:rsid w:val="7B17131A"/>
    <w:rsid w:val="7B174CB5"/>
    <w:rsid w:val="7B1759BF"/>
    <w:rsid w:val="7B177796"/>
    <w:rsid w:val="7B18439F"/>
    <w:rsid w:val="7B190AD8"/>
    <w:rsid w:val="7B191EC6"/>
    <w:rsid w:val="7B193C74"/>
    <w:rsid w:val="7B194D72"/>
    <w:rsid w:val="7B197943"/>
    <w:rsid w:val="7B1A40EB"/>
    <w:rsid w:val="7B1B282F"/>
    <w:rsid w:val="7B1B3E90"/>
    <w:rsid w:val="7B1C4C32"/>
    <w:rsid w:val="7B1C4E34"/>
    <w:rsid w:val="7B1C530E"/>
    <w:rsid w:val="7B1C6ED5"/>
    <w:rsid w:val="7B1D19B6"/>
    <w:rsid w:val="7B1D4B83"/>
    <w:rsid w:val="7B1D5512"/>
    <w:rsid w:val="7B1E2CFC"/>
    <w:rsid w:val="7B1E3783"/>
    <w:rsid w:val="7B1F0B54"/>
    <w:rsid w:val="7B1F572E"/>
    <w:rsid w:val="7B1F7752"/>
    <w:rsid w:val="7B201060"/>
    <w:rsid w:val="7B20147E"/>
    <w:rsid w:val="7B201623"/>
    <w:rsid w:val="7B203254"/>
    <w:rsid w:val="7B203504"/>
    <w:rsid w:val="7B204C45"/>
    <w:rsid w:val="7B205002"/>
    <w:rsid w:val="7B211D18"/>
    <w:rsid w:val="7B21296D"/>
    <w:rsid w:val="7B213BE6"/>
    <w:rsid w:val="7B220D7A"/>
    <w:rsid w:val="7B222136"/>
    <w:rsid w:val="7B22521E"/>
    <w:rsid w:val="7B225FBE"/>
    <w:rsid w:val="7B227565"/>
    <w:rsid w:val="7B2309F5"/>
    <w:rsid w:val="7B235C78"/>
    <w:rsid w:val="7B2368A0"/>
    <w:rsid w:val="7B25086A"/>
    <w:rsid w:val="7B252335"/>
    <w:rsid w:val="7B252618"/>
    <w:rsid w:val="7B253C8A"/>
    <w:rsid w:val="7B260D08"/>
    <w:rsid w:val="7B263147"/>
    <w:rsid w:val="7B266100"/>
    <w:rsid w:val="7B266B29"/>
    <w:rsid w:val="7B271BE6"/>
    <w:rsid w:val="7B2726AF"/>
    <w:rsid w:val="7B2745E3"/>
    <w:rsid w:val="7B2833D7"/>
    <w:rsid w:val="7B285ED8"/>
    <w:rsid w:val="7B28664F"/>
    <w:rsid w:val="7B286C0B"/>
    <w:rsid w:val="7B292109"/>
    <w:rsid w:val="7B294867"/>
    <w:rsid w:val="7B296A74"/>
    <w:rsid w:val="7B2A19D0"/>
    <w:rsid w:val="7B2A1FC7"/>
    <w:rsid w:val="7B2A23AA"/>
    <w:rsid w:val="7B2A40D3"/>
    <w:rsid w:val="7B2A52C5"/>
    <w:rsid w:val="7B2A7C2F"/>
    <w:rsid w:val="7B2B5024"/>
    <w:rsid w:val="7B2C0D33"/>
    <w:rsid w:val="7B2C1174"/>
    <w:rsid w:val="7B2C1BF9"/>
    <w:rsid w:val="7B2C31E8"/>
    <w:rsid w:val="7B2C39A7"/>
    <w:rsid w:val="7B2C5D88"/>
    <w:rsid w:val="7B2D7F61"/>
    <w:rsid w:val="7B2E1F18"/>
    <w:rsid w:val="7B2E27F6"/>
    <w:rsid w:val="7B2E3BC3"/>
    <w:rsid w:val="7B2E4391"/>
    <w:rsid w:val="7B2E5971"/>
    <w:rsid w:val="7B2F023A"/>
    <w:rsid w:val="7B2F16E9"/>
    <w:rsid w:val="7B2F3497"/>
    <w:rsid w:val="7B2F7140"/>
    <w:rsid w:val="7B304F7F"/>
    <w:rsid w:val="7B30793B"/>
    <w:rsid w:val="7B307D0E"/>
    <w:rsid w:val="7B310FBD"/>
    <w:rsid w:val="7B311871"/>
    <w:rsid w:val="7B315461"/>
    <w:rsid w:val="7B31720F"/>
    <w:rsid w:val="7B32381C"/>
    <w:rsid w:val="7B3304EA"/>
    <w:rsid w:val="7B3311D9"/>
    <w:rsid w:val="7B332A56"/>
    <w:rsid w:val="7B334103"/>
    <w:rsid w:val="7B334FEE"/>
    <w:rsid w:val="7B33628E"/>
    <w:rsid w:val="7B340AAD"/>
    <w:rsid w:val="7B34130A"/>
    <w:rsid w:val="7B34197A"/>
    <w:rsid w:val="7B344610"/>
    <w:rsid w:val="7B345E9B"/>
    <w:rsid w:val="7B351DB9"/>
    <w:rsid w:val="7B352230"/>
    <w:rsid w:val="7B354F51"/>
    <w:rsid w:val="7B3560B5"/>
    <w:rsid w:val="7B360627"/>
    <w:rsid w:val="7B364826"/>
    <w:rsid w:val="7B3665D4"/>
    <w:rsid w:val="7B366E6B"/>
    <w:rsid w:val="7B3710AB"/>
    <w:rsid w:val="7B371A3C"/>
    <w:rsid w:val="7B372B60"/>
    <w:rsid w:val="7B3751BE"/>
    <w:rsid w:val="7B38178B"/>
    <w:rsid w:val="7B38207F"/>
    <w:rsid w:val="7B3867F0"/>
    <w:rsid w:val="7B3957EC"/>
    <w:rsid w:val="7B397053"/>
    <w:rsid w:val="7B3A2568"/>
    <w:rsid w:val="7B3A3187"/>
    <w:rsid w:val="7B3A4316"/>
    <w:rsid w:val="7B3B008E"/>
    <w:rsid w:val="7B3B1E3C"/>
    <w:rsid w:val="7B3B2F0E"/>
    <w:rsid w:val="7B3B49C9"/>
    <w:rsid w:val="7B3B62E0"/>
    <w:rsid w:val="7B3B64CA"/>
    <w:rsid w:val="7B3C159C"/>
    <w:rsid w:val="7B3C4EA0"/>
    <w:rsid w:val="7B3D26D6"/>
    <w:rsid w:val="7B3D5BB4"/>
    <w:rsid w:val="7B3D6D3E"/>
    <w:rsid w:val="7B3E01CE"/>
    <w:rsid w:val="7B3E2261"/>
    <w:rsid w:val="7B3E36DA"/>
    <w:rsid w:val="7B3E7ECF"/>
    <w:rsid w:val="7B3F5FB8"/>
    <w:rsid w:val="7B402AEE"/>
    <w:rsid w:val="7B4038F6"/>
    <w:rsid w:val="7B4041CD"/>
    <w:rsid w:val="7B4056A4"/>
    <w:rsid w:val="7B415828"/>
    <w:rsid w:val="7B416727"/>
    <w:rsid w:val="7B420C1F"/>
    <w:rsid w:val="7B42141C"/>
    <w:rsid w:val="7B4231CA"/>
    <w:rsid w:val="7B424F78"/>
    <w:rsid w:val="7B42766E"/>
    <w:rsid w:val="7B43026F"/>
    <w:rsid w:val="7B430CF1"/>
    <w:rsid w:val="7B431ED3"/>
    <w:rsid w:val="7B43299D"/>
    <w:rsid w:val="7B4329D6"/>
    <w:rsid w:val="7B43443B"/>
    <w:rsid w:val="7B437FDF"/>
    <w:rsid w:val="7B4428FF"/>
    <w:rsid w:val="7B4432D1"/>
    <w:rsid w:val="7B444040"/>
    <w:rsid w:val="7B446F42"/>
    <w:rsid w:val="7B450F0D"/>
    <w:rsid w:val="7B452CBB"/>
    <w:rsid w:val="7B470223"/>
    <w:rsid w:val="7B4707E1"/>
    <w:rsid w:val="7B4729C1"/>
    <w:rsid w:val="7B473351"/>
    <w:rsid w:val="7B4752C4"/>
    <w:rsid w:val="7B476A33"/>
    <w:rsid w:val="7B477DF0"/>
    <w:rsid w:val="7B4830E9"/>
    <w:rsid w:val="7B486307"/>
    <w:rsid w:val="7B486ABF"/>
    <w:rsid w:val="7B486E43"/>
    <w:rsid w:val="7B4909FD"/>
    <w:rsid w:val="7B4927AB"/>
    <w:rsid w:val="7B492A67"/>
    <w:rsid w:val="7B494559"/>
    <w:rsid w:val="7B497E6A"/>
    <w:rsid w:val="7B4A02D1"/>
    <w:rsid w:val="7B4A5AB9"/>
    <w:rsid w:val="7B4A6771"/>
    <w:rsid w:val="7B4B1342"/>
    <w:rsid w:val="7B4B6523"/>
    <w:rsid w:val="7B4C0F4E"/>
    <w:rsid w:val="7B4C4049"/>
    <w:rsid w:val="7B4D3C62"/>
    <w:rsid w:val="7B4D4C54"/>
    <w:rsid w:val="7B4E1B6F"/>
    <w:rsid w:val="7B4E2A17"/>
    <w:rsid w:val="7B4E4985"/>
    <w:rsid w:val="7B4E7DC1"/>
    <w:rsid w:val="7B4F0667"/>
    <w:rsid w:val="7B4F58E7"/>
    <w:rsid w:val="7B4F79CC"/>
    <w:rsid w:val="7B5022DD"/>
    <w:rsid w:val="7B503B39"/>
    <w:rsid w:val="7B51165F"/>
    <w:rsid w:val="7B51340D"/>
    <w:rsid w:val="7B520AC3"/>
    <w:rsid w:val="7B520D7A"/>
    <w:rsid w:val="7B5317C3"/>
    <w:rsid w:val="7B533629"/>
    <w:rsid w:val="7B53533A"/>
    <w:rsid w:val="7B541B15"/>
    <w:rsid w:val="7B54284C"/>
    <w:rsid w:val="7B542EFE"/>
    <w:rsid w:val="7B551150"/>
    <w:rsid w:val="7B553884"/>
    <w:rsid w:val="7B5573A2"/>
    <w:rsid w:val="7B560A24"/>
    <w:rsid w:val="7B5637F4"/>
    <w:rsid w:val="7B564EC8"/>
    <w:rsid w:val="7B577960"/>
    <w:rsid w:val="7B577EEA"/>
    <w:rsid w:val="7B581266"/>
    <w:rsid w:val="7B5829AA"/>
    <w:rsid w:val="7B58479C"/>
    <w:rsid w:val="7B5910BF"/>
    <w:rsid w:val="7B5913F5"/>
    <w:rsid w:val="7B5941C2"/>
    <w:rsid w:val="7B594DD6"/>
    <w:rsid w:val="7B5956F1"/>
    <w:rsid w:val="7B5963FA"/>
    <w:rsid w:val="7B5A49B8"/>
    <w:rsid w:val="7B5A4BB4"/>
    <w:rsid w:val="7B5A4C4C"/>
    <w:rsid w:val="7B5A6069"/>
    <w:rsid w:val="7B5A6766"/>
    <w:rsid w:val="7B5B0758"/>
    <w:rsid w:val="7B5B24DE"/>
    <w:rsid w:val="7B5B37C9"/>
    <w:rsid w:val="7B5B4DE1"/>
    <w:rsid w:val="7B5B7B51"/>
    <w:rsid w:val="7B5C0D4F"/>
    <w:rsid w:val="7B5C5636"/>
    <w:rsid w:val="7B5C565B"/>
    <w:rsid w:val="7B5C5A89"/>
    <w:rsid w:val="7B5D0275"/>
    <w:rsid w:val="7B5D2016"/>
    <w:rsid w:val="7B5D4DA1"/>
    <w:rsid w:val="7B5D6256"/>
    <w:rsid w:val="7B5D6BCC"/>
    <w:rsid w:val="7B5E4BE7"/>
    <w:rsid w:val="7B5E53EF"/>
    <w:rsid w:val="7B5F2B5A"/>
    <w:rsid w:val="7B5F347D"/>
    <w:rsid w:val="7B5F5B2A"/>
    <w:rsid w:val="7B600997"/>
    <w:rsid w:val="7B601297"/>
    <w:rsid w:val="7B6064A7"/>
    <w:rsid w:val="7B607AF4"/>
    <w:rsid w:val="7B610A38"/>
    <w:rsid w:val="7B614301"/>
    <w:rsid w:val="7B615B8A"/>
    <w:rsid w:val="7B617689"/>
    <w:rsid w:val="7B617B3F"/>
    <w:rsid w:val="7B62386D"/>
    <w:rsid w:val="7B625806"/>
    <w:rsid w:val="7B6273C9"/>
    <w:rsid w:val="7B630694"/>
    <w:rsid w:val="7B63375A"/>
    <w:rsid w:val="7B637226"/>
    <w:rsid w:val="7B637EE1"/>
    <w:rsid w:val="7B641393"/>
    <w:rsid w:val="7B646616"/>
    <w:rsid w:val="7B6507A8"/>
    <w:rsid w:val="7B653379"/>
    <w:rsid w:val="7B65510B"/>
    <w:rsid w:val="7B655BE1"/>
    <w:rsid w:val="7B656EB9"/>
    <w:rsid w:val="7B670E83"/>
    <w:rsid w:val="7B672C31"/>
    <w:rsid w:val="7B68086A"/>
    <w:rsid w:val="7B684B1A"/>
    <w:rsid w:val="7B686D42"/>
    <w:rsid w:val="7B690757"/>
    <w:rsid w:val="7B693A9C"/>
    <w:rsid w:val="7B694BFB"/>
    <w:rsid w:val="7B6969A9"/>
    <w:rsid w:val="7B6978E9"/>
    <w:rsid w:val="7B6A318A"/>
    <w:rsid w:val="7B6A449F"/>
    <w:rsid w:val="7B6A44CF"/>
    <w:rsid w:val="7B6A4B17"/>
    <w:rsid w:val="7B6A4E3B"/>
    <w:rsid w:val="7B6B0BF5"/>
    <w:rsid w:val="7B6B193F"/>
    <w:rsid w:val="7B6B5AAA"/>
    <w:rsid w:val="7B6C0247"/>
    <w:rsid w:val="7B6C46EB"/>
    <w:rsid w:val="7B6C7EE9"/>
    <w:rsid w:val="7B6E0463"/>
    <w:rsid w:val="7B6E2211"/>
    <w:rsid w:val="7B6E3FBF"/>
    <w:rsid w:val="7B6E5B6C"/>
    <w:rsid w:val="7B6F0679"/>
    <w:rsid w:val="7B6F1AE6"/>
    <w:rsid w:val="7B6F3016"/>
    <w:rsid w:val="7B6F442B"/>
    <w:rsid w:val="7B6F478A"/>
    <w:rsid w:val="7B6F6C2A"/>
    <w:rsid w:val="7B6F6FFC"/>
    <w:rsid w:val="7B70022A"/>
    <w:rsid w:val="7B710B51"/>
    <w:rsid w:val="7B71191C"/>
    <w:rsid w:val="7B711D02"/>
    <w:rsid w:val="7B712010"/>
    <w:rsid w:val="7B71305D"/>
    <w:rsid w:val="7B713AB0"/>
    <w:rsid w:val="7B7142B7"/>
    <w:rsid w:val="7B71522A"/>
    <w:rsid w:val="7B71585E"/>
    <w:rsid w:val="7B7250A1"/>
    <w:rsid w:val="7B7251C0"/>
    <w:rsid w:val="7B72727A"/>
    <w:rsid w:val="7B7311B2"/>
    <w:rsid w:val="7B7315D6"/>
    <w:rsid w:val="7B735A7A"/>
    <w:rsid w:val="7B737828"/>
    <w:rsid w:val="7B7419DE"/>
    <w:rsid w:val="7B743D9F"/>
    <w:rsid w:val="7B7470FC"/>
    <w:rsid w:val="7B751AF9"/>
    <w:rsid w:val="7B754F5D"/>
    <w:rsid w:val="7B75534E"/>
    <w:rsid w:val="7B7651B7"/>
    <w:rsid w:val="7B767318"/>
    <w:rsid w:val="7B770009"/>
    <w:rsid w:val="7B7713EC"/>
    <w:rsid w:val="7B7746E9"/>
    <w:rsid w:val="7B78035F"/>
    <w:rsid w:val="7B781C65"/>
    <w:rsid w:val="7B783090"/>
    <w:rsid w:val="7B784E3E"/>
    <w:rsid w:val="7B786BEC"/>
    <w:rsid w:val="7B7900AE"/>
    <w:rsid w:val="7B7A0F23"/>
    <w:rsid w:val="7B7A4AA1"/>
    <w:rsid w:val="7B7A4FA2"/>
    <w:rsid w:val="7B7A6E08"/>
    <w:rsid w:val="7B7B048A"/>
    <w:rsid w:val="7B7B492E"/>
    <w:rsid w:val="7B7B66DC"/>
    <w:rsid w:val="7B7B6CE0"/>
    <w:rsid w:val="7B7C37DC"/>
    <w:rsid w:val="7B7C3EFC"/>
    <w:rsid w:val="7B7C6A2F"/>
    <w:rsid w:val="7B7D06A6"/>
    <w:rsid w:val="7B7D1BAD"/>
    <w:rsid w:val="7B7D4202"/>
    <w:rsid w:val="7B7D585A"/>
    <w:rsid w:val="7B7D69BA"/>
    <w:rsid w:val="7B7E04D2"/>
    <w:rsid w:val="7B7E2420"/>
    <w:rsid w:val="7B7E2A90"/>
    <w:rsid w:val="7B7E4F65"/>
    <w:rsid w:val="7B7F0C50"/>
    <w:rsid w:val="7B7F3005"/>
    <w:rsid w:val="7B7F3776"/>
    <w:rsid w:val="7B7F4A08"/>
    <w:rsid w:val="7B7F61CD"/>
    <w:rsid w:val="7B7F7F7B"/>
    <w:rsid w:val="7B803CF3"/>
    <w:rsid w:val="7B80420F"/>
    <w:rsid w:val="7B811F45"/>
    <w:rsid w:val="7B821819"/>
    <w:rsid w:val="7B825CBD"/>
    <w:rsid w:val="7B827A6B"/>
    <w:rsid w:val="7B8319E1"/>
    <w:rsid w:val="7B835472"/>
    <w:rsid w:val="7B835F92"/>
    <w:rsid w:val="7B83645A"/>
    <w:rsid w:val="7B837BA7"/>
    <w:rsid w:val="7B837C7C"/>
    <w:rsid w:val="7B840A86"/>
    <w:rsid w:val="7B841746"/>
    <w:rsid w:val="7B841A35"/>
    <w:rsid w:val="7B841C89"/>
    <w:rsid w:val="7B8437E3"/>
    <w:rsid w:val="7B84474B"/>
    <w:rsid w:val="7B844BCE"/>
    <w:rsid w:val="7B845591"/>
    <w:rsid w:val="7B853531"/>
    <w:rsid w:val="7B85492F"/>
    <w:rsid w:val="7B8626B2"/>
    <w:rsid w:val="7B863637"/>
    <w:rsid w:val="7B863A35"/>
    <w:rsid w:val="7B863E75"/>
    <w:rsid w:val="7B86755B"/>
    <w:rsid w:val="7B871525"/>
    <w:rsid w:val="7B872E86"/>
    <w:rsid w:val="7B874D36"/>
    <w:rsid w:val="7B875081"/>
    <w:rsid w:val="7B8752AE"/>
    <w:rsid w:val="7B8769AE"/>
    <w:rsid w:val="7B876E2F"/>
    <w:rsid w:val="7B885116"/>
    <w:rsid w:val="7B886713"/>
    <w:rsid w:val="7B89165B"/>
    <w:rsid w:val="7B892BA7"/>
    <w:rsid w:val="7B896EA7"/>
    <w:rsid w:val="7B89704B"/>
    <w:rsid w:val="7B8A691F"/>
    <w:rsid w:val="7B8B2DC3"/>
    <w:rsid w:val="7B8B4B71"/>
    <w:rsid w:val="7B8B6D9D"/>
    <w:rsid w:val="7B8C08E9"/>
    <w:rsid w:val="7B8C223D"/>
    <w:rsid w:val="7B8C31E4"/>
    <w:rsid w:val="7B8C40D7"/>
    <w:rsid w:val="7B8C52D2"/>
    <w:rsid w:val="7B8C6337"/>
    <w:rsid w:val="7B8C7C65"/>
    <w:rsid w:val="7B8D1606"/>
    <w:rsid w:val="7B8D79B4"/>
    <w:rsid w:val="7B8E01BE"/>
    <w:rsid w:val="7B8F0D5C"/>
    <w:rsid w:val="7B8F3CED"/>
    <w:rsid w:val="7B8F3F36"/>
    <w:rsid w:val="7B8F65E6"/>
    <w:rsid w:val="7B8F7D49"/>
    <w:rsid w:val="7B9003DA"/>
    <w:rsid w:val="7B902188"/>
    <w:rsid w:val="7B904EA5"/>
    <w:rsid w:val="7B9062D4"/>
    <w:rsid w:val="7B91027A"/>
    <w:rsid w:val="7B910992"/>
    <w:rsid w:val="7B914152"/>
    <w:rsid w:val="7B915F00"/>
    <w:rsid w:val="7B916426"/>
    <w:rsid w:val="7B916E9E"/>
    <w:rsid w:val="7B917CAE"/>
    <w:rsid w:val="7B926A49"/>
    <w:rsid w:val="7B931C78"/>
    <w:rsid w:val="7B933A26"/>
    <w:rsid w:val="7B934151"/>
    <w:rsid w:val="7B937ECA"/>
    <w:rsid w:val="7B94358D"/>
    <w:rsid w:val="7B946468"/>
    <w:rsid w:val="7B9472CA"/>
    <w:rsid w:val="7B947887"/>
    <w:rsid w:val="7B952CB2"/>
    <w:rsid w:val="7B954CFC"/>
    <w:rsid w:val="7B95779E"/>
    <w:rsid w:val="7B9621A7"/>
    <w:rsid w:val="7B963516"/>
    <w:rsid w:val="7B9652C4"/>
    <w:rsid w:val="7B971768"/>
    <w:rsid w:val="7B9777A8"/>
    <w:rsid w:val="7B98103C"/>
    <w:rsid w:val="7B983371"/>
    <w:rsid w:val="7B984958"/>
    <w:rsid w:val="7B98728E"/>
    <w:rsid w:val="7B993402"/>
    <w:rsid w:val="7B993779"/>
    <w:rsid w:val="7B995325"/>
    <w:rsid w:val="7B995806"/>
    <w:rsid w:val="7B99602F"/>
    <w:rsid w:val="7B9A13D4"/>
    <w:rsid w:val="7B9A2374"/>
    <w:rsid w:val="7B9A2743"/>
    <w:rsid w:val="7B9A3006"/>
    <w:rsid w:val="7B9A4DB4"/>
    <w:rsid w:val="7B9A6524"/>
    <w:rsid w:val="7B9B28DB"/>
    <w:rsid w:val="7B9B5F76"/>
    <w:rsid w:val="7B9C4735"/>
    <w:rsid w:val="7B9C6019"/>
    <w:rsid w:val="7B9C6D7F"/>
    <w:rsid w:val="7B9D0BEA"/>
    <w:rsid w:val="7B9D39C2"/>
    <w:rsid w:val="7B9D48A5"/>
    <w:rsid w:val="7B9D6653"/>
    <w:rsid w:val="7B9D703B"/>
    <w:rsid w:val="7B9F0714"/>
    <w:rsid w:val="7B9F13EB"/>
    <w:rsid w:val="7B9F4058"/>
    <w:rsid w:val="7B9F499A"/>
    <w:rsid w:val="7B9F6168"/>
    <w:rsid w:val="7B9F686F"/>
    <w:rsid w:val="7BA06143"/>
    <w:rsid w:val="7BA07EF1"/>
    <w:rsid w:val="7BA109FB"/>
    <w:rsid w:val="7BA11D00"/>
    <w:rsid w:val="7BA14395"/>
    <w:rsid w:val="7BA16FBC"/>
    <w:rsid w:val="7BA172BA"/>
    <w:rsid w:val="7BA2010D"/>
    <w:rsid w:val="7BA20751"/>
    <w:rsid w:val="7BA2668E"/>
    <w:rsid w:val="7BA269C9"/>
    <w:rsid w:val="7BA35B5C"/>
    <w:rsid w:val="7BA438DA"/>
    <w:rsid w:val="7BA43E85"/>
    <w:rsid w:val="7BA447AB"/>
    <w:rsid w:val="7BA45A38"/>
    <w:rsid w:val="7BA45C33"/>
    <w:rsid w:val="7BA479E1"/>
    <w:rsid w:val="7BA47C43"/>
    <w:rsid w:val="7BA51EE3"/>
    <w:rsid w:val="7BA53A32"/>
    <w:rsid w:val="7BA55617"/>
    <w:rsid w:val="7BA55849"/>
    <w:rsid w:val="7BA61125"/>
    <w:rsid w:val="7BA62294"/>
    <w:rsid w:val="7BA74CE0"/>
    <w:rsid w:val="7BA764A6"/>
    <w:rsid w:val="7BA76818"/>
    <w:rsid w:val="7BA774D1"/>
    <w:rsid w:val="7BA845BC"/>
    <w:rsid w:val="7BA85CFD"/>
    <w:rsid w:val="7BA9149B"/>
    <w:rsid w:val="7BA93249"/>
    <w:rsid w:val="7BA94FF8"/>
    <w:rsid w:val="7BAA4DAE"/>
    <w:rsid w:val="7BAB02A8"/>
    <w:rsid w:val="7BAB0D70"/>
    <w:rsid w:val="7BAB0E22"/>
    <w:rsid w:val="7BAB1AAD"/>
    <w:rsid w:val="7BAB2F3D"/>
    <w:rsid w:val="7BAB467E"/>
    <w:rsid w:val="7BAB5214"/>
    <w:rsid w:val="7BAC0158"/>
    <w:rsid w:val="7BAC0A84"/>
    <w:rsid w:val="7BAC28D0"/>
    <w:rsid w:val="7BAC2D3A"/>
    <w:rsid w:val="7BAC5B0E"/>
    <w:rsid w:val="7BAC7B0B"/>
    <w:rsid w:val="7BAD1F33"/>
    <w:rsid w:val="7BAD7847"/>
    <w:rsid w:val="7BAE0860"/>
    <w:rsid w:val="7BAE1B6F"/>
    <w:rsid w:val="7BAE260E"/>
    <w:rsid w:val="7BAE6AB2"/>
    <w:rsid w:val="7BAF357F"/>
    <w:rsid w:val="7BB0282A"/>
    <w:rsid w:val="7BB03A0C"/>
    <w:rsid w:val="7BB045D8"/>
    <w:rsid w:val="7BB0591F"/>
    <w:rsid w:val="7BB06386"/>
    <w:rsid w:val="7BB06B1C"/>
    <w:rsid w:val="7BB1024E"/>
    <w:rsid w:val="7BB10350"/>
    <w:rsid w:val="7BB120FE"/>
    <w:rsid w:val="7BB140AB"/>
    <w:rsid w:val="7BB14E9C"/>
    <w:rsid w:val="7BB15693"/>
    <w:rsid w:val="7BB21980"/>
    <w:rsid w:val="7BB24969"/>
    <w:rsid w:val="7BB259E1"/>
    <w:rsid w:val="7BB26162"/>
    <w:rsid w:val="7BB27D01"/>
    <w:rsid w:val="7BB3231A"/>
    <w:rsid w:val="7BB340C8"/>
    <w:rsid w:val="7BB376B0"/>
    <w:rsid w:val="7BB46E71"/>
    <w:rsid w:val="7BB51BEE"/>
    <w:rsid w:val="7BB5399C"/>
    <w:rsid w:val="7BB53DD1"/>
    <w:rsid w:val="7BB57E40"/>
    <w:rsid w:val="7BB63E6D"/>
    <w:rsid w:val="7BB65DCF"/>
    <w:rsid w:val="7BB67475"/>
    <w:rsid w:val="7BB70468"/>
    <w:rsid w:val="7BB709E3"/>
    <w:rsid w:val="7BB72C21"/>
    <w:rsid w:val="7BB7343A"/>
    <w:rsid w:val="7BB73BB8"/>
    <w:rsid w:val="7BB74544"/>
    <w:rsid w:val="7BB75966"/>
    <w:rsid w:val="7BB816DF"/>
    <w:rsid w:val="7BB85132"/>
    <w:rsid w:val="7BB857F2"/>
    <w:rsid w:val="7BB87557"/>
    <w:rsid w:val="7BB91CF7"/>
    <w:rsid w:val="7BB91DEB"/>
    <w:rsid w:val="7BB94C02"/>
    <w:rsid w:val="7BBA1932"/>
    <w:rsid w:val="7BBA5457"/>
    <w:rsid w:val="7BBA5FC7"/>
    <w:rsid w:val="7BBA7205"/>
    <w:rsid w:val="7BBB1413"/>
    <w:rsid w:val="7BBB2497"/>
    <w:rsid w:val="7BBB4D2B"/>
    <w:rsid w:val="7BBB5A96"/>
    <w:rsid w:val="7BBC11CF"/>
    <w:rsid w:val="7BBC2F7D"/>
    <w:rsid w:val="7BBC508F"/>
    <w:rsid w:val="7BBC5274"/>
    <w:rsid w:val="7BBC65C9"/>
    <w:rsid w:val="7BBD493C"/>
    <w:rsid w:val="7BBD4F47"/>
    <w:rsid w:val="7BBD5177"/>
    <w:rsid w:val="7BBD6A93"/>
    <w:rsid w:val="7BBD6CF5"/>
    <w:rsid w:val="7BBE2FCB"/>
    <w:rsid w:val="7BBE3961"/>
    <w:rsid w:val="7BBE6183"/>
    <w:rsid w:val="7BBE62F3"/>
    <w:rsid w:val="7BBE779F"/>
    <w:rsid w:val="7BBF0CBF"/>
    <w:rsid w:val="7BBF2A6D"/>
    <w:rsid w:val="7BBF3BDC"/>
    <w:rsid w:val="7BBF6D24"/>
    <w:rsid w:val="7BC022C4"/>
    <w:rsid w:val="7BC02341"/>
    <w:rsid w:val="7BC10593"/>
    <w:rsid w:val="7BC1122E"/>
    <w:rsid w:val="7BC14128"/>
    <w:rsid w:val="7BC1661C"/>
    <w:rsid w:val="7BC167E5"/>
    <w:rsid w:val="7BC17268"/>
    <w:rsid w:val="7BC2255D"/>
    <w:rsid w:val="7BC2430B"/>
    <w:rsid w:val="7BC25CEF"/>
    <w:rsid w:val="7BC260B9"/>
    <w:rsid w:val="7BC311C4"/>
    <w:rsid w:val="7BC40083"/>
    <w:rsid w:val="7BC41E31"/>
    <w:rsid w:val="7BC45C03"/>
    <w:rsid w:val="7BC462D5"/>
    <w:rsid w:val="7BC501E8"/>
    <w:rsid w:val="7BC52E91"/>
    <w:rsid w:val="7BC55AD8"/>
    <w:rsid w:val="7BC566B5"/>
    <w:rsid w:val="7BC57958"/>
    <w:rsid w:val="7BC57DF6"/>
    <w:rsid w:val="7BC6204D"/>
    <w:rsid w:val="7BC63DFB"/>
    <w:rsid w:val="7BC65BA9"/>
    <w:rsid w:val="7BC67677"/>
    <w:rsid w:val="7BC715AF"/>
    <w:rsid w:val="7BC71922"/>
    <w:rsid w:val="7BC72716"/>
    <w:rsid w:val="7BC919EA"/>
    <w:rsid w:val="7BC938EC"/>
    <w:rsid w:val="7BC93EC6"/>
    <w:rsid w:val="7BC946EB"/>
    <w:rsid w:val="7BC94F03"/>
    <w:rsid w:val="7BC97448"/>
    <w:rsid w:val="7BCA1097"/>
    <w:rsid w:val="7BCB08C2"/>
    <w:rsid w:val="7BCB1C27"/>
    <w:rsid w:val="7BCB31C0"/>
    <w:rsid w:val="7BCB3E23"/>
    <w:rsid w:val="7BCB7BC2"/>
    <w:rsid w:val="7BCC2A39"/>
    <w:rsid w:val="7BCC39B7"/>
    <w:rsid w:val="7BCC6983"/>
    <w:rsid w:val="7BCC6F38"/>
    <w:rsid w:val="7BCD3EA2"/>
    <w:rsid w:val="7BCD4FFD"/>
    <w:rsid w:val="7BCD518A"/>
    <w:rsid w:val="7BCD6478"/>
    <w:rsid w:val="7BCD6588"/>
    <w:rsid w:val="7BCE005E"/>
    <w:rsid w:val="7BCE1093"/>
    <w:rsid w:val="7BCE3534"/>
    <w:rsid w:val="7BCE4BEE"/>
    <w:rsid w:val="7BCE7374"/>
    <w:rsid w:val="7BCF407C"/>
    <w:rsid w:val="7BCF6FE9"/>
    <w:rsid w:val="7BD007D6"/>
    <w:rsid w:val="7BD06A28"/>
    <w:rsid w:val="7BD1454E"/>
    <w:rsid w:val="7BD14C58"/>
    <w:rsid w:val="7BD16B89"/>
    <w:rsid w:val="7BD202B8"/>
    <w:rsid w:val="7BD209F2"/>
    <w:rsid w:val="7BD2433A"/>
    <w:rsid w:val="7BD358A8"/>
    <w:rsid w:val="7BD36518"/>
    <w:rsid w:val="7BD37033"/>
    <w:rsid w:val="7BD4377E"/>
    <w:rsid w:val="7BD5005C"/>
    <w:rsid w:val="7BD51450"/>
    <w:rsid w:val="7BD52290"/>
    <w:rsid w:val="7BD5390A"/>
    <w:rsid w:val="7BD55DED"/>
    <w:rsid w:val="7BD615F7"/>
    <w:rsid w:val="7BD61D7A"/>
    <w:rsid w:val="7BD65F7F"/>
    <w:rsid w:val="7BD7220B"/>
    <w:rsid w:val="7BD73C3D"/>
    <w:rsid w:val="7BD76009"/>
    <w:rsid w:val="7BD77DB7"/>
    <w:rsid w:val="7BD81D81"/>
    <w:rsid w:val="7BD8303E"/>
    <w:rsid w:val="7BD83B2F"/>
    <w:rsid w:val="7BD87C9A"/>
    <w:rsid w:val="7BD9299B"/>
    <w:rsid w:val="7BD947BA"/>
    <w:rsid w:val="7BD94B2B"/>
    <w:rsid w:val="7BDA1707"/>
    <w:rsid w:val="7BDA5FBB"/>
    <w:rsid w:val="7BDA7FC6"/>
    <w:rsid w:val="7BDB5FFA"/>
    <w:rsid w:val="7BDB70AB"/>
    <w:rsid w:val="7BDC0473"/>
    <w:rsid w:val="7BDC08DB"/>
    <w:rsid w:val="7BDC0F74"/>
    <w:rsid w:val="7BDC16A3"/>
    <w:rsid w:val="7BDC34AC"/>
    <w:rsid w:val="7BDC361F"/>
    <w:rsid w:val="7BDC53CD"/>
    <w:rsid w:val="7BDC717B"/>
    <w:rsid w:val="7BDC7E55"/>
    <w:rsid w:val="7BDD06A3"/>
    <w:rsid w:val="7BDD1145"/>
    <w:rsid w:val="7BDD16B5"/>
    <w:rsid w:val="7BDD2850"/>
    <w:rsid w:val="7BDD2EE3"/>
    <w:rsid w:val="7BDD2EF3"/>
    <w:rsid w:val="7BDD6AF5"/>
    <w:rsid w:val="7BDD6D8C"/>
    <w:rsid w:val="7BDD7906"/>
    <w:rsid w:val="7BDE1C4F"/>
    <w:rsid w:val="7BDE5DCC"/>
    <w:rsid w:val="7BDE68C4"/>
    <w:rsid w:val="7BDE7397"/>
    <w:rsid w:val="7BDE750D"/>
    <w:rsid w:val="7BDE77D6"/>
    <w:rsid w:val="7BDF0A19"/>
    <w:rsid w:val="7BDF310F"/>
    <w:rsid w:val="7BDF3B01"/>
    <w:rsid w:val="7BDF5F4A"/>
    <w:rsid w:val="7BDF6C6B"/>
    <w:rsid w:val="7BE009BA"/>
    <w:rsid w:val="7BE03B21"/>
    <w:rsid w:val="7BE05EE3"/>
    <w:rsid w:val="7BE10C35"/>
    <w:rsid w:val="7BE129E3"/>
    <w:rsid w:val="7BE1474D"/>
    <w:rsid w:val="7BE15E8E"/>
    <w:rsid w:val="7BE16D5C"/>
    <w:rsid w:val="7BE20509"/>
    <w:rsid w:val="7BE257C2"/>
    <w:rsid w:val="7BE25BDD"/>
    <w:rsid w:val="7BE40725"/>
    <w:rsid w:val="7BE423A8"/>
    <w:rsid w:val="7BE424D4"/>
    <w:rsid w:val="7BE44282"/>
    <w:rsid w:val="7BE454D1"/>
    <w:rsid w:val="7BE45EDC"/>
    <w:rsid w:val="7BE50235"/>
    <w:rsid w:val="7BE57677"/>
    <w:rsid w:val="7BE61DA8"/>
    <w:rsid w:val="7BE6455E"/>
    <w:rsid w:val="7BE67FFA"/>
    <w:rsid w:val="7BE73D72"/>
    <w:rsid w:val="7BE75B20"/>
    <w:rsid w:val="7BE77DF4"/>
    <w:rsid w:val="7BE81EF7"/>
    <w:rsid w:val="7BE81FC4"/>
    <w:rsid w:val="7BE843DE"/>
    <w:rsid w:val="7BE87D41"/>
    <w:rsid w:val="7BE90940"/>
    <w:rsid w:val="7BE91898"/>
    <w:rsid w:val="7BE92920"/>
    <w:rsid w:val="7BE95D3C"/>
    <w:rsid w:val="7BE97AEA"/>
    <w:rsid w:val="7BEB095D"/>
    <w:rsid w:val="7BEB1AB4"/>
    <w:rsid w:val="7BEB3862"/>
    <w:rsid w:val="7BEB46D2"/>
    <w:rsid w:val="7BEB70E5"/>
    <w:rsid w:val="7BEB753D"/>
    <w:rsid w:val="7BEB7AF4"/>
    <w:rsid w:val="7BEB7F3A"/>
    <w:rsid w:val="7BEC1388"/>
    <w:rsid w:val="7BEC1860"/>
    <w:rsid w:val="7BEC3136"/>
    <w:rsid w:val="7BEC3BF2"/>
    <w:rsid w:val="7BEC68CE"/>
    <w:rsid w:val="7BED378C"/>
    <w:rsid w:val="7BED75DA"/>
    <w:rsid w:val="7BEE1AF9"/>
    <w:rsid w:val="7BEE237C"/>
    <w:rsid w:val="7BEE3352"/>
    <w:rsid w:val="7BEE5100"/>
    <w:rsid w:val="7BEE5593"/>
    <w:rsid w:val="7BEE6EAE"/>
    <w:rsid w:val="7BEE7F96"/>
    <w:rsid w:val="7BEF0492"/>
    <w:rsid w:val="7BEF3923"/>
    <w:rsid w:val="7BF00E78"/>
    <w:rsid w:val="7BF02492"/>
    <w:rsid w:val="7BF03279"/>
    <w:rsid w:val="7BF070CA"/>
    <w:rsid w:val="7BF07693"/>
    <w:rsid w:val="7BF11DD9"/>
    <w:rsid w:val="7BF22E42"/>
    <w:rsid w:val="7BF26975"/>
    <w:rsid w:val="7BF302A3"/>
    <w:rsid w:val="7BF30969"/>
    <w:rsid w:val="7BF3530E"/>
    <w:rsid w:val="7BF41733"/>
    <w:rsid w:val="7BF424F1"/>
    <w:rsid w:val="7BF515C7"/>
    <w:rsid w:val="7BF527EF"/>
    <w:rsid w:val="7BF52ED1"/>
    <w:rsid w:val="7BF55794"/>
    <w:rsid w:val="7BF5648F"/>
    <w:rsid w:val="7BF5715C"/>
    <w:rsid w:val="7BF65078"/>
    <w:rsid w:val="7BF65754"/>
    <w:rsid w:val="7BF70C4F"/>
    <w:rsid w:val="7BF71226"/>
    <w:rsid w:val="7BF754E3"/>
    <w:rsid w:val="7BF76405"/>
    <w:rsid w:val="7BF774B4"/>
    <w:rsid w:val="7BF81544"/>
    <w:rsid w:val="7BF81ADB"/>
    <w:rsid w:val="7BF841E1"/>
    <w:rsid w:val="7BF85D30"/>
    <w:rsid w:val="7BF87ACC"/>
    <w:rsid w:val="7BF94115"/>
    <w:rsid w:val="7BFA1CF7"/>
    <w:rsid w:val="7BFA3D47"/>
    <w:rsid w:val="7BFA55A5"/>
    <w:rsid w:val="7BFA5853"/>
    <w:rsid w:val="7BFB004D"/>
    <w:rsid w:val="7BFB3984"/>
    <w:rsid w:val="7BFB4A24"/>
    <w:rsid w:val="7BFB7EC5"/>
    <w:rsid w:val="7BFC01F8"/>
    <w:rsid w:val="7BFC4E57"/>
    <w:rsid w:val="7BFC65C1"/>
    <w:rsid w:val="7BFC781D"/>
    <w:rsid w:val="7BFD4DCD"/>
    <w:rsid w:val="7BFD5343"/>
    <w:rsid w:val="7BFD539D"/>
    <w:rsid w:val="7BFD556C"/>
    <w:rsid w:val="7BFD6C27"/>
    <w:rsid w:val="7BFE58F9"/>
    <w:rsid w:val="7BFF10BB"/>
    <w:rsid w:val="7BFF2E69"/>
    <w:rsid w:val="7BFF3346"/>
    <w:rsid w:val="7BFF730D"/>
    <w:rsid w:val="7C0059B5"/>
    <w:rsid w:val="7C014E34"/>
    <w:rsid w:val="7C0225B1"/>
    <w:rsid w:val="7C025EAC"/>
    <w:rsid w:val="7C02677B"/>
    <w:rsid w:val="7C030BAC"/>
    <w:rsid w:val="7C031C10"/>
    <w:rsid w:val="7C031C37"/>
    <w:rsid w:val="7C033C39"/>
    <w:rsid w:val="7C036DFE"/>
    <w:rsid w:val="7C041228"/>
    <w:rsid w:val="7C044924"/>
    <w:rsid w:val="7C0466D2"/>
    <w:rsid w:val="7C0570D3"/>
    <w:rsid w:val="7C06069C"/>
    <w:rsid w:val="7C060708"/>
    <w:rsid w:val="7C06244A"/>
    <w:rsid w:val="7C063DB1"/>
    <w:rsid w:val="7C0640E4"/>
    <w:rsid w:val="7C0641F8"/>
    <w:rsid w:val="7C064FD8"/>
    <w:rsid w:val="7C066719"/>
    <w:rsid w:val="7C073C4C"/>
    <w:rsid w:val="7C075ACE"/>
    <w:rsid w:val="7C075D69"/>
    <w:rsid w:val="7C077F70"/>
    <w:rsid w:val="7C081039"/>
    <w:rsid w:val="7C08447A"/>
    <w:rsid w:val="7C08483A"/>
    <w:rsid w:val="7C0861C2"/>
    <w:rsid w:val="7C086947"/>
    <w:rsid w:val="7C09018C"/>
    <w:rsid w:val="7C091F3A"/>
    <w:rsid w:val="7C093CE8"/>
    <w:rsid w:val="7C095A0B"/>
    <w:rsid w:val="7C0979D0"/>
    <w:rsid w:val="7C097FE1"/>
    <w:rsid w:val="7C0A2894"/>
    <w:rsid w:val="7C0A3959"/>
    <w:rsid w:val="7C0B180E"/>
    <w:rsid w:val="7C0B1BA9"/>
    <w:rsid w:val="7C0B3F04"/>
    <w:rsid w:val="7C0B4DE9"/>
    <w:rsid w:val="7C0B79BA"/>
    <w:rsid w:val="7C0B7A60"/>
    <w:rsid w:val="7C0B7E06"/>
    <w:rsid w:val="7C0C12E2"/>
    <w:rsid w:val="7C0C5586"/>
    <w:rsid w:val="7C0C694A"/>
    <w:rsid w:val="7C0C6ACE"/>
    <w:rsid w:val="7C0E12FE"/>
    <w:rsid w:val="7C0E57A2"/>
    <w:rsid w:val="7C0E7550"/>
    <w:rsid w:val="7C0F080C"/>
    <w:rsid w:val="7C0F1DF5"/>
    <w:rsid w:val="7C0F40E4"/>
    <w:rsid w:val="7C0F6405"/>
    <w:rsid w:val="7C0F6C70"/>
    <w:rsid w:val="7C0F7D38"/>
    <w:rsid w:val="7C105077"/>
    <w:rsid w:val="7C10561E"/>
    <w:rsid w:val="7C116A62"/>
    <w:rsid w:val="7C120DEF"/>
    <w:rsid w:val="7C122B9D"/>
    <w:rsid w:val="7C126ED0"/>
    <w:rsid w:val="7C13169D"/>
    <w:rsid w:val="7C134B67"/>
    <w:rsid w:val="7C140D1D"/>
    <w:rsid w:val="7C1508DF"/>
    <w:rsid w:val="7C150A6C"/>
    <w:rsid w:val="7C15268D"/>
    <w:rsid w:val="7C15363D"/>
    <w:rsid w:val="7C154B4A"/>
    <w:rsid w:val="7C162532"/>
    <w:rsid w:val="7C170CAB"/>
    <w:rsid w:val="7C171DD7"/>
    <w:rsid w:val="7C1728A9"/>
    <w:rsid w:val="7C174657"/>
    <w:rsid w:val="7C176405"/>
    <w:rsid w:val="7C17697B"/>
    <w:rsid w:val="7C177F93"/>
    <w:rsid w:val="7C180B2E"/>
    <w:rsid w:val="7C18217D"/>
    <w:rsid w:val="7C182BB2"/>
    <w:rsid w:val="7C183F2B"/>
    <w:rsid w:val="7C184253"/>
    <w:rsid w:val="7C1873ED"/>
    <w:rsid w:val="7C1876BD"/>
    <w:rsid w:val="7C19711C"/>
    <w:rsid w:val="7C1A00AD"/>
    <w:rsid w:val="7C1A4147"/>
    <w:rsid w:val="7C1A601F"/>
    <w:rsid w:val="7C1A652F"/>
    <w:rsid w:val="7C1A7CA3"/>
    <w:rsid w:val="7C1B74AF"/>
    <w:rsid w:val="7C1B7D45"/>
    <w:rsid w:val="7C1C093F"/>
    <w:rsid w:val="7C1C1B4C"/>
    <w:rsid w:val="7C1C1C6D"/>
    <w:rsid w:val="7C1C1F2B"/>
    <w:rsid w:val="7C1C3A1B"/>
    <w:rsid w:val="7C1C6E88"/>
    <w:rsid w:val="7C1C7EBF"/>
    <w:rsid w:val="7C1E325F"/>
    <w:rsid w:val="7C1E3C37"/>
    <w:rsid w:val="7C1E49A0"/>
    <w:rsid w:val="7C1E59E5"/>
    <w:rsid w:val="7C1E5D9C"/>
    <w:rsid w:val="7C1F15FA"/>
    <w:rsid w:val="7C1F1CEB"/>
    <w:rsid w:val="7C1F350C"/>
    <w:rsid w:val="7C1F3C32"/>
    <w:rsid w:val="7C1F52BA"/>
    <w:rsid w:val="7C1F6A46"/>
    <w:rsid w:val="7C1F6E13"/>
    <w:rsid w:val="7C200750"/>
    <w:rsid w:val="7C202FBB"/>
    <w:rsid w:val="7C203FB1"/>
    <w:rsid w:val="7C2051FF"/>
    <w:rsid w:val="7C211032"/>
    <w:rsid w:val="7C2155B5"/>
    <w:rsid w:val="7C217284"/>
    <w:rsid w:val="7C2210D4"/>
    <w:rsid w:val="7C223070"/>
    <w:rsid w:val="7C232FFC"/>
    <w:rsid w:val="7C240B22"/>
    <w:rsid w:val="7C245B94"/>
    <w:rsid w:val="7C246D74"/>
    <w:rsid w:val="7C2470D1"/>
    <w:rsid w:val="7C253132"/>
    <w:rsid w:val="7C2609DC"/>
    <w:rsid w:val="7C262842"/>
    <w:rsid w:val="7C26489A"/>
    <w:rsid w:val="7C2652CB"/>
    <w:rsid w:val="7C266648"/>
    <w:rsid w:val="7C280612"/>
    <w:rsid w:val="7C2823C0"/>
    <w:rsid w:val="7C285AA2"/>
    <w:rsid w:val="7C286864"/>
    <w:rsid w:val="7C29438A"/>
    <w:rsid w:val="7C296138"/>
    <w:rsid w:val="7C2A25DC"/>
    <w:rsid w:val="7C2A6858"/>
    <w:rsid w:val="7C2B1EB0"/>
    <w:rsid w:val="7C2B3C5E"/>
    <w:rsid w:val="7C2B5E02"/>
    <w:rsid w:val="7C2C245E"/>
    <w:rsid w:val="7C2C53BA"/>
    <w:rsid w:val="7C2C5863"/>
    <w:rsid w:val="7C2C67C8"/>
    <w:rsid w:val="7C2D2AF4"/>
    <w:rsid w:val="7C2D4DAB"/>
    <w:rsid w:val="7C2D5C29"/>
    <w:rsid w:val="7C2D79D7"/>
    <w:rsid w:val="7C2E4461"/>
    <w:rsid w:val="7C2F0771"/>
    <w:rsid w:val="7C2F0918"/>
    <w:rsid w:val="7C2F7BF3"/>
    <w:rsid w:val="7C301D8C"/>
    <w:rsid w:val="7C305719"/>
    <w:rsid w:val="7C3074C7"/>
    <w:rsid w:val="7C320065"/>
    <w:rsid w:val="7C322622"/>
    <w:rsid w:val="7C32323F"/>
    <w:rsid w:val="7C324FED"/>
    <w:rsid w:val="7C325156"/>
    <w:rsid w:val="7C3252FB"/>
    <w:rsid w:val="7C327443"/>
    <w:rsid w:val="7C330061"/>
    <w:rsid w:val="7C3325C1"/>
    <w:rsid w:val="7C332759"/>
    <w:rsid w:val="7C33284A"/>
    <w:rsid w:val="7C335B9A"/>
    <w:rsid w:val="7C336FB7"/>
    <w:rsid w:val="7C340556"/>
    <w:rsid w:val="7C3406C2"/>
    <w:rsid w:val="7C340E68"/>
    <w:rsid w:val="7C34430E"/>
    <w:rsid w:val="7C345209"/>
    <w:rsid w:val="7C346788"/>
    <w:rsid w:val="7C346BC6"/>
    <w:rsid w:val="7C34709D"/>
    <w:rsid w:val="7C35007F"/>
    <w:rsid w:val="7C35791E"/>
    <w:rsid w:val="7C3604F6"/>
    <w:rsid w:val="7C366DCB"/>
    <w:rsid w:val="7C367375"/>
    <w:rsid w:val="7C367AA7"/>
    <w:rsid w:val="7C370855"/>
    <w:rsid w:val="7C372603"/>
    <w:rsid w:val="7C374CF9"/>
    <w:rsid w:val="7C375547"/>
    <w:rsid w:val="7C3760E1"/>
    <w:rsid w:val="7C376AA7"/>
    <w:rsid w:val="7C377F63"/>
    <w:rsid w:val="7C3807BC"/>
    <w:rsid w:val="7C38637B"/>
    <w:rsid w:val="7C390A5C"/>
    <w:rsid w:val="7C39281F"/>
    <w:rsid w:val="7C3964CD"/>
    <w:rsid w:val="7C397E67"/>
    <w:rsid w:val="7C3A0345"/>
    <w:rsid w:val="7C3A12F7"/>
    <w:rsid w:val="7C3A2CCD"/>
    <w:rsid w:val="7C3A5A3B"/>
    <w:rsid w:val="7C3B033C"/>
    <w:rsid w:val="7C3B2817"/>
    <w:rsid w:val="7C3B5358"/>
    <w:rsid w:val="7C3C0CAD"/>
    <w:rsid w:val="7C3C2310"/>
    <w:rsid w:val="7C3C40BE"/>
    <w:rsid w:val="7C3C47A7"/>
    <w:rsid w:val="7C3D7C78"/>
    <w:rsid w:val="7C3E1BE4"/>
    <w:rsid w:val="7C3E7347"/>
    <w:rsid w:val="7C3E7E36"/>
    <w:rsid w:val="7C3F3CD9"/>
    <w:rsid w:val="7C3F68AA"/>
    <w:rsid w:val="7C3F7543"/>
    <w:rsid w:val="7C40194C"/>
    <w:rsid w:val="7C405169"/>
    <w:rsid w:val="7C4116D4"/>
    <w:rsid w:val="7C413482"/>
    <w:rsid w:val="7C416306"/>
    <w:rsid w:val="7C4165F9"/>
    <w:rsid w:val="7C416ADB"/>
    <w:rsid w:val="7C4223F6"/>
    <w:rsid w:val="7C425FF0"/>
    <w:rsid w:val="7C431DB4"/>
    <w:rsid w:val="7C43369E"/>
    <w:rsid w:val="7C436497"/>
    <w:rsid w:val="7C436C11"/>
    <w:rsid w:val="7C43750A"/>
    <w:rsid w:val="7C4411C4"/>
    <w:rsid w:val="7C442AD2"/>
    <w:rsid w:val="7C442F72"/>
    <w:rsid w:val="7C444516"/>
    <w:rsid w:val="7C4446F4"/>
    <w:rsid w:val="7C444C0C"/>
    <w:rsid w:val="7C451F56"/>
    <w:rsid w:val="7C45534E"/>
    <w:rsid w:val="7C460507"/>
    <w:rsid w:val="7C460A98"/>
    <w:rsid w:val="7C464F3C"/>
    <w:rsid w:val="7C466CEA"/>
    <w:rsid w:val="7C473233"/>
    <w:rsid w:val="7C473C2F"/>
    <w:rsid w:val="7C480CB4"/>
    <w:rsid w:val="7C482A62"/>
    <w:rsid w:val="7C484810"/>
    <w:rsid w:val="7C486FD3"/>
    <w:rsid w:val="7C491058"/>
    <w:rsid w:val="7C494450"/>
    <w:rsid w:val="7C49795C"/>
    <w:rsid w:val="7C4A39BD"/>
    <w:rsid w:val="7C4A4A2C"/>
    <w:rsid w:val="7C4A67DB"/>
    <w:rsid w:val="7C4B2553"/>
    <w:rsid w:val="7C4B3A46"/>
    <w:rsid w:val="7C4B4509"/>
    <w:rsid w:val="7C4B60AF"/>
    <w:rsid w:val="7C4C63C0"/>
    <w:rsid w:val="7C4D0079"/>
    <w:rsid w:val="7C4D1E27"/>
    <w:rsid w:val="7C4D2440"/>
    <w:rsid w:val="7C4D776D"/>
    <w:rsid w:val="7C4E0BFD"/>
    <w:rsid w:val="7C4E233E"/>
    <w:rsid w:val="7C4E7023"/>
    <w:rsid w:val="7C4F12CD"/>
    <w:rsid w:val="7C4F208D"/>
    <w:rsid w:val="7C4F31FB"/>
    <w:rsid w:val="7C4F37CE"/>
    <w:rsid w:val="7C4F5666"/>
    <w:rsid w:val="7C501917"/>
    <w:rsid w:val="7C515270"/>
    <w:rsid w:val="7C5160EE"/>
    <w:rsid w:val="7C516FC4"/>
    <w:rsid w:val="7C520F77"/>
    <w:rsid w:val="7C526503"/>
    <w:rsid w:val="7C52743D"/>
    <w:rsid w:val="7C532BE5"/>
    <w:rsid w:val="7C5331B5"/>
    <w:rsid w:val="7C536688"/>
    <w:rsid w:val="7C541407"/>
    <w:rsid w:val="7C542F94"/>
    <w:rsid w:val="7C5460D2"/>
    <w:rsid w:val="7C547659"/>
    <w:rsid w:val="7C550AD0"/>
    <w:rsid w:val="7C5544D0"/>
    <w:rsid w:val="7C55517F"/>
    <w:rsid w:val="7C555241"/>
    <w:rsid w:val="7C564A38"/>
    <w:rsid w:val="7C5655EE"/>
    <w:rsid w:val="7C56598D"/>
    <w:rsid w:val="7C572CA5"/>
    <w:rsid w:val="7C574B31"/>
    <w:rsid w:val="7C5807CC"/>
    <w:rsid w:val="7C582A06"/>
    <w:rsid w:val="7C587691"/>
    <w:rsid w:val="7C5877F8"/>
    <w:rsid w:val="7C594C70"/>
    <w:rsid w:val="7C596671"/>
    <w:rsid w:val="7C597B09"/>
    <w:rsid w:val="7C5A02E6"/>
    <w:rsid w:val="7C5A1C1F"/>
    <w:rsid w:val="7C5A2331"/>
    <w:rsid w:val="7C5B09E8"/>
    <w:rsid w:val="7C5B1D71"/>
    <w:rsid w:val="7C5C018E"/>
    <w:rsid w:val="7C5C02BC"/>
    <w:rsid w:val="7C5C157F"/>
    <w:rsid w:val="7C5C2206"/>
    <w:rsid w:val="7C5C4760"/>
    <w:rsid w:val="7C5C650E"/>
    <w:rsid w:val="7C5C7B97"/>
    <w:rsid w:val="7C5D0785"/>
    <w:rsid w:val="7C5D72DB"/>
    <w:rsid w:val="7C5E107E"/>
    <w:rsid w:val="7C5E4C2C"/>
    <w:rsid w:val="7C5E5DE2"/>
    <w:rsid w:val="7C5F03D8"/>
    <w:rsid w:val="7C5F1B5A"/>
    <w:rsid w:val="7C5F39EA"/>
    <w:rsid w:val="7C600959"/>
    <w:rsid w:val="7C604753"/>
    <w:rsid w:val="7C61076B"/>
    <w:rsid w:val="7C612EFC"/>
    <w:rsid w:val="7C61326C"/>
    <w:rsid w:val="7C613B24"/>
    <w:rsid w:val="7C6158D2"/>
    <w:rsid w:val="7C615BE3"/>
    <w:rsid w:val="7C616E4A"/>
    <w:rsid w:val="7C6203C7"/>
    <w:rsid w:val="7C621C44"/>
    <w:rsid w:val="7C623895"/>
    <w:rsid w:val="7C6255BF"/>
    <w:rsid w:val="7C63002F"/>
    <w:rsid w:val="7C63164A"/>
    <w:rsid w:val="7C6317BF"/>
    <w:rsid w:val="7C631993"/>
    <w:rsid w:val="7C6330D4"/>
    <w:rsid w:val="7C6333F8"/>
    <w:rsid w:val="7C635AEE"/>
    <w:rsid w:val="7C64432A"/>
    <w:rsid w:val="7C6453C2"/>
    <w:rsid w:val="7C646810"/>
    <w:rsid w:val="7C646AF3"/>
    <w:rsid w:val="7C647378"/>
    <w:rsid w:val="7C647816"/>
    <w:rsid w:val="7C652B12"/>
    <w:rsid w:val="7C653614"/>
    <w:rsid w:val="7C653B1C"/>
    <w:rsid w:val="7C654F18"/>
    <w:rsid w:val="7C6564AA"/>
    <w:rsid w:val="7C65717F"/>
    <w:rsid w:val="7C66113B"/>
    <w:rsid w:val="7C661E25"/>
    <w:rsid w:val="7C662C5B"/>
    <w:rsid w:val="7C664A55"/>
    <w:rsid w:val="7C666B00"/>
    <w:rsid w:val="7C672A41"/>
    <w:rsid w:val="7C684EB3"/>
    <w:rsid w:val="7C686098"/>
    <w:rsid w:val="7C6868F6"/>
    <w:rsid w:val="7C686C61"/>
    <w:rsid w:val="7C69082B"/>
    <w:rsid w:val="7C6929D9"/>
    <w:rsid w:val="7C694787"/>
    <w:rsid w:val="7C696F46"/>
    <w:rsid w:val="7C6A03D6"/>
    <w:rsid w:val="7C6A0C2B"/>
    <w:rsid w:val="7C6A1D54"/>
    <w:rsid w:val="7C6A2CBE"/>
    <w:rsid w:val="7C6B1866"/>
    <w:rsid w:val="7C6B49A3"/>
    <w:rsid w:val="7C6B4C1D"/>
    <w:rsid w:val="7C6B6751"/>
    <w:rsid w:val="7C6C1D62"/>
    <w:rsid w:val="7C6C5AC7"/>
    <w:rsid w:val="7C6D0F74"/>
    <w:rsid w:val="7C6D1403"/>
    <w:rsid w:val="7C6D1FC3"/>
    <w:rsid w:val="7C6D613A"/>
    <w:rsid w:val="7C6D6D57"/>
    <w:rsid w:val="7C6E15E1"/>
    <w:rsid w:val="7C6E1828"/>
    <w:rsid w:val="7C6E2E01"/>
    <w:rsid w:val="7C6E6A2A"/>
    <w:rsid w:val="7C6F1677"/>
    <w:rsid w:val="7C6F31FD"/>
    <w:rsid w:val="7C6F4493"/>
    <w:rsid w:val="7C6F6241"/>
    <w:rsid w:val="7C6F7FEF"/>
    <w:rsid w:val="7C702B07"/>
    <w:rsid w:val="7C704248"/>
    <w:rsid w:val="7C7056D8"/>
    <w:rsid w:val="7C706854"/>
    <w:rsid w:val="7C707844"/>
    <w:rsid w:val="7C711D6F"/>
    <w:rsid w:val="7C717E6D"/>
    <w:rsid w:val="7C717EBB"/>
    <w:rsid w:val="7C72188D"/>
    <w:rsid w:val="7C727ADF"/>
    <w:rsid w:val="7C733524"/>
    <w:rsid w:val="7C735DC9"/>
    <w:rsid w:val="7C741AA9"/>
    <w:rsid w:val="7C7423F0"/>
    <w:rsid w:val="7C742918"/>
    <w:rsid w:val="7C743857"/>
    <w:rsid w:val="7C74451B"/>
    <w:rsid w:val="7C7464E8"/>
    <w:rsid w:val="7C75137E"/>
    <w:rsid w:val="7C75312C"/>
    <w:rsid w:val="7C755D3D"/>
    <w:rsid w:val="7C76101C"/>
    <w:rsid w:val="7C76154A"/>
    <w:rsid w:val="7C767363"/>
    <w:rsid w:val="7C77324A"/>
    <w:rsid w:val="7C773348"/>
    <w:rsid w:val="7C776EA4"/>
    <w:rsid w:val="7C790E6E"/>
    <w:rsid w:val="7C790F7C"/>
    <w:rsid w:val="7C79621A"/>
    <w:rsid w:val="7C7970C0"/>
    <w:rsid w:val="7C7974E4"/>
    <w:rsid w:val="7C7A0C8A"/>
    <w:rsid w:val="7C7A4626"/>
    <w:rsid w:val="7C7B135B"/>
    <w:rsid w:val="7C7B27EB"/>
    <w:rsid w:val="7C7C095E"/>
    <w:rsid w:val="7C7C44BA"/>
    <w:rsid w:val="7C7C62FA"/>
    <w:rsid w:val="7C7D3B9B"/>
    <w:rsid w:val="7C7D684C"/>
    <w:rsid w:val="7C7E1465"/>
    <w:rsid w:val="7C7E3B49"/>
    <w:rsid w:val="7C7E3D9C"/>
    <w:rsid w:val="7C7E46D6"/>
    <w:rsid w:val="7C7E47D9"/>
    <w:rsid w:val="7C7E4E12"/>
    <w:rsid w:val="7C7E610E"/>
    <w:rsid w:val="7C7E6484"/>
    <w:rsid w:val="7C7F178D"/>
    <w:rsid w:val="7C7F3FAA"/>
    <w:rsid w:val="7C7F5324"/>
    <w:rsid w:val="7C80044E"/>
    <w:rsid w:val="7C8019A0"/>
    <w:rsid w:val="7C8025FB"/>
    <w:rsid w:val="7C8051CC"/>
    <w:rsid w:val="7C811EB4"/>
    <w:rsid w:val="7C8141C6"/>
    <w:rsid w:val="7C816E2B"/>
    <w:rsid w:val="7C817D22"/>
    <w:rsid w:val="7C825B86"/>
    <w:rsid w:val="7C8415C1"/>
    <w:rsid w:val="7C841AA4"/>
    <w:rsid w:val="7C841B1D"/>
    <w:rsid w:val="7C843B4D"/>
    <w:rsid w:val="7C844DC9"/>
    <w:rsid w:val="7C8550D5"/>
    <w:rsid w:val="7C8610BB"/>
    <w:rsid w:val="7C8617DD"/>
    <w:rsid w:val="7C86358B"/>
    <w:rsid w:val="7C870D8D"/>
    <w:rsid w:val="7C8712BE"/>
    <w:rsid w:val="7C874F93"/>
    <w:rsid w:val="7C8763C3"/>
    <w:rsid w:val="7C8778FD"/>
    <w:rsid w:val="7C8810B1"/>
    <w:rsid w:val="7C88500D"/>
    <w:rsid w:val="7C885555"/>
    <w:rsid w:val="7C894555"/>
    <w:rsid w:val="7C8949C7"/>
    <w:rsid w:val="7C896BD7"/>
    <w:rsid w:val="7C897E39"/>
    <w:rsid w:val="7C8A0E4F"/>
    <w:rsid w:val="7C8A4067"/>
    <w:rsid w:val="7C8A4AEC"/>
    <w:rsid w:val="7C8A5C54"/>
    <w:rsid w:val="7C8A627E"/>
    <w:rsid w:val="7C8B0BA1"/>
    <w:rsid w:val="7C8B294D"/>
    <w:rsid w:val="7C8B7A4F"/>
    <w:rsid w:val="7C8C0B9E"/>
    <w:rsid w:val="7C8D07A1"/>
    <w:rsid w:val="7C8D0D98"/>
    <w:rsid w:val="7C8D2623"/>
    <w:rsid w:val="7C8D2B6B"/>
    <w:rsid w:val="7C8D46E1"/>
    <w:rsid w:val="7C8D4BFF"/>
    <w:rsid w:val="7C8D6014"/>
    <w:rsid w:val="7C8D6044"/>
    <w:rsid w:val="7C8D66C7"/>
    <w:rsid w:val="7C8E0CC4"/>
    <w:rsid w:val="7C8E1E96"/>
    <w:rsid w:val="7C8E41ED"/>
    <w:rsid w:val="7C8E608F"/>
    <w:rsid w:val="7C8E7210"/>
    <w:rsid w:val="7C8F243F"/>
    <w:rsid w:val="7C8F51E8"/>
    <w:rsid w:val="7C8F60B9"/>
    <w:rsid w:val="7C8F68E3"/>
    <w:rsid w:val="7C9061B7"/>
    <w:rsid w:val="7C906278"/>
    <w:rsid w:val="7C90735D"/>
    <w:rsid w:val="7C907F65"/>
    <w:rsid w:val="7C920181"/>
    <w:rsid w:val="7C921F30"/>
    <w:rsid w:val="7C923CDE"/>
    <w:rsid w:val="7C930708"/>
    <w:rsid w:val="7C931285"/>
    <w:rsid w:val="7C9372FA"/>
    <w:rsid w:val="7C943EFA"/>
    <w:rsid w:val="7C95233B"/>
    <w:rsid w:val="7C954AD2"/>
    <w:rsid w:val="7C95543C"/>
    <w:rsid w:val="7C962567"/>
    <w:rsid w:val="7C964821"/>
    <w:rsid w:val="7C964851"/>
    <w:rsid w:val="7C9663B5"/>
    <w:rsid w:val="7C9673F2"/>
    <w:rsid w:val="7C9712F4"/>
    <w:rsid w:val="7C971BC3"/>
    <w:rsid w:val="7C975798"/>
    <w:rsid w:val="7C977546"/>
    <w:rsid w:val="7C981003"/>
    <w:rsid w:val="7C981D12"/>
    <w:rsid w:val="7C983453"/>
    <w:rsid w:val="7C983AE0"/>
    <w:rsid w:val="7C991510"/>
    <w:rsid w:val="7C9948E3"/>
    <w:rsid w:val="7C99506C"/>
    <w:rsid w:val="7C9A5B40"/>
    <w:rsid w:val="7C9A76A2"/>
    <w:rsid w:val="7C9B1DD4"/>
    <w:rsid w:val="7C9B5288"/>
    <w:rsid w:val="7C9B7036"/>
    <w:rsid w:val="7C9B7CC3"/>
    <w:rsid w:val="7C9C00B4"/>
    <w:rsid w:val="7C9C6069"/>
    <w:rsid w:val="7C9C6366"/>
    <w:rsid w:val="7C9D1356"/>
    <w:rsid w:val="7C9D22DB"/>
    <w:rsid w:val="7C9D46F4"/>
    <w:rsid w:val="7C9D6AFA"/>
    <w:rsid w:val="7C9D7F43"/>
    <w:rsid w:val="7C9E08D4"/>
    <w:rsid w:val="7C9E2682"/>
    <w:rsid w:val="7C9E27EC"/>
    <w:rsid w:val="7C9F1E41"/>
    <w:rsid w:val="7C9F5048"/>
    <w:rsid w:val="7CA0289E"/>
    <w:rsid w:val="7CA05191"/>
    <w:rsid w:val="7CA0553C"/>
    <w:rsid w:val="7CA103C5"/>
    <w:rsid w:val="7CA12E33"/>
    <w:rsid w:val="7CA13F21"/>
    <w:rsid w:val="7CA24505"/>
    <w:rsid w:val="7CA25995"/>
    <w:rsid w:val="7CA26617"/>
    <w:rsid w:val="7CA30566"/>
    <w:rsid w:val="7CA321F4"/>
    <w:rsid w:val="7CA3413D"/>
    <w:rsid w:val="7CA35EEB"/>
    <w:rsid w:val="7CA37C99"/>
    <w:rsid w:val="7CA474B9"/>
    <w:rsid w:val="7CA51C63"/>
    <w:rsid w:val="7CA53A11"/>
    <w:rsid w:val="7CA57EB5"/>
    <w:rsid w:val="7CA64E0D"/>
    <w:rsid w:val="7CA66EE7"/>
    <w:rsid w:val="7CA678C4"/>
    <w:rsid w:val="7CA700A5"/>
    <w:rsid w:val="7CA73C2D"/>
    <w:rsid w:val="7CA8102A"/>
    <w:rsid w:val="7CA81753"/>
    <w:rsid w:val="7CA81807"/>
    <w:rsid w:val="7CA828C1"/>
    <w:rsid w:val="7CA83811"/>
    <w:rsid w:val="7CA852AF"/>
    <w:rsid w:val="7CA87517"/>
    <w:rsid w:val="7CA92C97"/>
    <w:rsid w:val="7CA94B23"/>
    <w:rsid w:val="7CAA312B"/>
    <w:rsid w:val="7CAA54CB"/>
    <w:rsid w:val="7CAA7279"/>
    <w:rsid w:val="7CAA7999"/>
    <w:rsid w:val="7CAB2076"/>
    <w:rsid w:val="7CAB2FF1"/>
    <w:rsid w:val="7CAB4D9F"/>
    <w:rsid w:val="7CAC0188"/>
    <w:rsid w:val="7CAC1243"/>
    <w:rsid w:val="7CAC4C56"/>
    <w:rsid w:val="7CAD0705"/>
    <w:rsid w:val="7CAD0B17"/>
    <w:rsid w:val="7CAD2160"/>
    <w:rsid w:val="7CAD4FBB"/>
    <w:rsid w:val="7CAD6D69"/>
    <w:rsid w:val="7CAF209C"/>
    <w:rsid w:val="7CAF4890"/>
    <w:rsid w:val="7CAF7424"/>
    <w:rsid w:val="7CB00608"/>
    <w:rsid w:val="7CB01389"/>
    <w:rsid w:val="7CB02B6A"/>
    <w:rsid w:val="7CB05C34"/>
    <w:rsid w:val="7CB12663"/>
    <w:rsid w:val="7CB13703"/>
    <w:rsid w:val="7CB20F24"/>
    <w:rsid w:val="7CB225D2"/>
    <w:rsid w:val="7CB22C76"/>
    <w:rsid w:val="7CB235D0"/>
    <w:rsid w:val="7CB2612E"/>
    <w:rsid w:val="7CB3005B"/>
    <w:rsid w:val="7CB31958"/>
    <w:rsid w:val="7CB347DD"/>
    <w:rsid w:val="7CB3488A"/>
    <w:rsid w:val="7CB400F8"/>
    <w:rsid w:val="7CB414EB"/>
    <w:rsid w:val="7CB421D8"/>
    <w:rsid w:val="7CB43C54"/>
    <w:rsid w:val="7CB50325"/>
    <w:rsid w:val="7CB515C3"/>
    <w:rsid w:val="7CB53346"/>
    <w:rsid w:val="7CB542A3"/>
    <w:rsid w:val="7CB61980"/>
    <w:rsid w:val="7CB62019"/>
    <w:rsid w:val="7CB71B11"/>
    <w:rsid w:val="7CB73744"/>
    <w:rsid w:val="7CB7520E"/>
    <w:rsid w:val="7CB77BE8"/>
    <w:rsid w:val="7CB77E6C"/>
    <w:rsid w:val="7CB81D1A"/>
    <w:rsid w:val="7CB8338F"/>
    <w:rsid w:val="7CB835EF"/>
    <w:rsid w:val="7CB91B48"/>
    <w:rsid w:val="7CB93960"/>
    <w:rsid w:val="7CB9570E"/>
    <w:rsid w:val="7CB958A9"/>
    <w:rsid w:val="7CBA145A"/>
    <w:rsid w:val="7CBA7331"/>
    <w:rsid w:val="7CBB3234"/>
    <w:rsid w:val="7CBB50AC"/>
    <w:rsid w:val="7CBC0991"/>
    <w:rsid w:val="7CBC0D5A"/>
    <w:rsid w:val="7CBC6FAC"/>
    <w:rsid w:val="7CBC7C7D"/>
    <w:rsid w:val="7CBD259D"/>
    <w:rsid w:val="7CBD6203"/>
    <w:rsid w:val="7CBE0C61"/>
    <w:rsid w:val="7CBE0F77"/>
    <w:rsid w:val="7CBE2D25"/>
    <w:rsid w:val="7CBE516E"/>
    <w:rsid w:val="7CBE56A6"/>
    <w:rsid w:val="7CBF30C7"/>
    <w:rsid w:val="7CC050E0"/>
    <w:rsid w:val="7CC12EC5"/>
    <w:rsid w:val="7CC16371"/>
    <w:rsid w:val="7CC223AE"/>
    <w:rsid w:val="7CC24F7F"/>
    <w:rsid w:val="7CC3033B"/>
    <w:rsid w:val="7CC31836"/>
    <w:rsid w:val="7CC321BF"/>
    <w:rsid w:val="7CC3658D"/>
    <w:rsid w:val="7CC3679D"/>
    <w:rsid w:val="7CC4789F"/>
    <w:rsid w:val="7CC52305"/>
    <w:rsid w:val="7CC52470"/>
    <w:rsid w:val="7CC540B3"/>
    <w:rsid w:val="7CC54160"/>
    <w:rsid w:val="7CC55E61"/>
    <w:rsid w:val="7CC56011"/>
    <w:rsid w:val="7CC61BD9"/>
    <w:rsid w:val="7CC63728"/>
    <w:rsid w:val="7CC640C7"/>
    <w:rsid w:val="7CC6521D"/>
    <w:rsid w:val="7CC6544B"/>
    <w:rsid w:val="7CC6608C"/>
    <w:rsid w:val="7CC716EB"/>
    <w:rsid w:val="7CC7607D"/>
    <w:rsid w:val="7CC80DF1"/>
    <w:rsid w:val="7CC81CAD"/>
    <w:rsid w:val="7CC82A4C"/>
    <w:rsid w:val="7CC85951"/>
    <w:rsid w:val="7CC92247"/>
    <w:rsid w:val="7CCA3477"/>
    <w:rsid w:val="7CCA791B"/>
    <w:rsid w:val="7CCB0075"/>
    <w:rsid w:val="7CCB25B2"/>
    <w:rsid w:val="7CCB5E67"/>
    <w:rsid w:val="7CCB71F0"/>
    <w:rsid w:val="7CCC3126"/>
    <w:rsid w:val="7CCC3693"/>
    <w:rsid w:val="7CCC5441"/>
    <w:rsid w:val="7CCD2F68"/>
    <w:rsid w:val="7CCD4AB8"/>
    <w:rsid w:val="7CCD4D16"/>
    <w:rsid w:val="7CCD517C"/>
    <w:rsid w:val="7CCD54A3"/>
    <w:rsid w:val="7CCD740C"/>
    <w:rsid w:val="7CCE4C63"/>
    <w:rsid w:val="7CCF18D0"/>
    <w:rsid w:val="7CCF1A08"/>
    <w:rsid w:val="7CCF6CE0"/>
    <w:rsid w:val="7CD03422"/>
    <w:rsid w:val="7CD04806"/>
    <w:rsid w:val="7CD10A13"/>
    <w:rsid w:val="7CD10CAA"/>
    <w:rsid w:val="7CD127AC"/>
    <w:rsid w:val="7CD12A58"/>
    <w:rsid w:val="7CD135E4"/>
    <w:rsid w:val="7CD137FB"/>
    <w:rsid w:val="7CD21619"/>
    <w:rsid w:val="7CD23EB4"/>
    <w:rsid w:val="7CD35A56"/>
    <w:rsid w:val="7CD42548"/>
    <w:rsid w:val="7CD442F6"/>
    <w:rsid w:val="7CD460A4"/>
    <w:rsid w:val="7CD47394"/>
    <w:rsid w:val="7CD50633"/>
    <w:rsid w:val="7CD50824"/>
    <w:rsid w:val="7CD5178E"/>
    <w:rsid w:val="7CD51E1C"/>
    <w:rsid w:val="7CD51F65"/>
    <w:rsid w:val="7CD5248E"/>
    <w:rsid w:val="7CD61CB4"/>
    <w:rsid w:val="7CD6557C"/>
    <w:rsid w:val="7CD662C0"/>
    <w:rsid w:val="7CD7072D"/>
    <w:rsid w:val="7CD73DE6"/>
    <w:rsid w:val="7CD75B94"/>
    <w:rsid w:val="7CD82038"/>
    <w:rsid w:val="7CD837F6"/>
    <w:rsid w:val="7CD868E1"/>
    <w:rsid w:val="7CD9190C"/>
    <w:rsid w:val="7CD95DB0"/>
    <w:rsid w:val="7CDB38D7"/>
    <w:rsid w:val="7CDB7267"/>
    <w:rsid w:val="7CDB7433"/>
    <w:rsid w:val="7CDC13FD"/>
    <w:rsid w:val="7CDC31AB"/>
    <w:rsid w:val="7CDC7A56"/>
    <w:rsid w:val="7CDD764F"/>
    <w:rsid w:val="7CDE0A96"/>
    <w:rsid w:val="7CDE23E6"/>
    <w:rsid w:val="7CDE2D8B"/>
    <w:rsid w:val="7CDE33C7"/>
    <w:rsid w:val="7CDE5175"/>
    <w:rsid w:val="7CDE54EB"/>
    <w:rsid w:val="7CDE6F23"/>
    <w:rsid w:val="7CDF5377"/>
    <w:rsid w:val="7CE000A7"/>
    <w:rsid w:val="7CE00EED"/>
    <w:rsid w:val="7CE01CB3"/>
    <w:rsid w:val="7CE02C73"/>
    <w:rsid w:val="7CE03194"/>
    <w:rsid w:val="7CE062FF"/>
    <w:rsid w:val="7CE0713F"/>
    <w:rsid w:val="7CE1373F"/>
    <w:rsid w:val="7CE15F77"/>
    <w:rsid w:val="7CE17DF9"/>
    <w:rsid w:val="7CE209E7"/>
    <w:rsid w:val="7CE22C6A"/>
    <w:rsid w:val="7CE246EC"/>
    <w:rsid w:val="7CE24C65"/>
    <w:rsid w:val="7CE26B65"/>
    <w:rsid w:val="7CE2753A"/>
    <w:rsid w:val="7CE309DD"/>
    <w:rsid w:val="7CE3278B"/>
    <w:rsid w:val="7CE338D3"/>
    <w:rsid w:val="7CE34539"/>
    <w:rsid w:val="7CE347D2"/>
    <w:rsid w:val="7CE359F9"/>
    <w:rsid w:val="7CE420E4"/>
    <w:rsid w:val="7CE423A5"/>
    <w:rsid w:val="7CE45748"/>
    <w:rsid w:val="7CE502B1"/>
    <w:rsid w:val="7CE527BA"/>
    <w:rsid w:val="7CE56503"/>
    <w:rsid w:val="7CE60F2F"/>
    <w:rsid w:val="7CE64029"/>
    <w:rsid w:val="7CE64568"/>
    <w:rsid w:val="7CE7227B"/>
    <w:rsid w:val="7CE722FC"/>
    <w:rsid w:val="7CE72C39"/>
    <w:rsid w:val="7CE75821"/>
    <w:rsid w:val="7CE81BED"/>
    <w:rsid w:val="7CE83493"/>
    <w:rsid w:val="7CE9188E"/>
    <w:rsid w:val="7CE949D0"/>
    <w:rsid w:val="7CE956C6"/>
    <w:rsid w:val="7CEA1D6C"/>
    <w:rsid w:val="7CEA3B1A"/>
    <w:rsid w:val="7CEA4744"/>
    <w:rsid w:val="7CEA58C8"/>
    <w:rsid w:val="7CEA7001"/>
    <w:rsid w:val="7CEB3EE7"/>
    <w:rsid w:val="7CEB593A"/>
    <w:rsid w:val="7CEC1655"/>
    <w:rsid w:val="7CEC42F9"/>
    <w:rsid w:val="7CED167C"/>
    <w:rsid w:val="7CED53B8"/>
    <w:rsid w:val="7CED6AAB"/>
    <w:rsid w:val="7CED7166"/>
    <w:rsid w:val="7CEE6972"/>
    <w:rsid w:val="7CEF1130"/>
    <w:rsid w:val="7CEF2EDE"/>
    <w:rsid w:val="7CF018F8"/>
    <w:rsid w:val="7CF074B6"/>
    <w:rsid w:val="7CF10415"/>
    <w:rsid w:val="7CF11B3F"/>
    <w:rsid w:val="7CF14EA8"/>
    <w:rsid w:val="7CF168BC"/>
    <w:rsid w:val="7CF16C56"/>
    <w:rsid w:val="7CF229CE"/>
    <w:rsid w:val="7CF23E2E"/>
    <w:rsid w:val="7CF254B8"/>
    <w:rsid w:val="7CF2752A"/>
    <w:rsid w:val="7CF30D87"/>
    <w:rsid w:val="7CF350B3"/>
    <w:rsid w:val="7CF36E72"/>
    <w:rsid w:val="7CF404F4"/>
    <w:rsid w:val="7CF4523D"/>
    <w:rsid w:val="7CF456DB"/>
    <w:rsid w:val="7CF5119E"/>
    <w:rsid w:val="7CF554E2"/>
    <w:rsid w:val="7CF566CD"/>
    <w:rsid w:val="7CF56DC3"/>
    <w:rsid w:val="7CF57B8C"/>
    <w:rsid w:val="7CF60710"/>
    <w:rsid w:val="7CF63249"/>
    <w:rsid w:val="7CF73913"/>
    <w:rsid w:val="7CF747DE"/>
    <w:rsid w:val="7CF76237"/>
    <w:rsid w:val="7CF81844"/>
    <w:rsid w:val="7CF84488"/>
    <w:rsid w:val="7CF8678F"/>
    <w:rsid w:val="7CF90201"/>
    <w:rsid w:val="7CF9398D"/>
    <w:rsid w:val="7CF93D5D"/>
    <w:rsid w:val="7CF9504E"/>
    <w:rsid w:val="7CF95B0B"/>
    <w:rsid w:val="7CFA695A"/>
    <w:rsid w:val="7CFB0BFD"/>
    <w:rsid w:val="7CFB74E9"/>
    <w:rsid w:val="7CFB7AD5"/>
    <w:rsid w:val="7CFC14EB"/>
    <w:rsid w:val="7CFC39A6"/>
    <w:rsid w:val="7CFC5B53"/>
    <w:rsid w:val="7CFD384D"/>
    <w:rsid w:val="7CFE0EC0"/>
    <w:rsid w:val="7CFE1373"/>
    <w:rsid w:val="7CFE5817"/>
    <w:rsid w:val="7CFF2EC7"/>
    <w:rsid w:val="7CFF6113"/>
    <w:rsid w:val="7D0050EB"/>
    <w:rsid w:val="7D0053F8"/>
    <w:rsid w:val="7D010FE0"/>
    <w:rsid w:val="7D012C65"/>
    <w:rsid w:val="7D020E63"/>
    <w:rsid w:val="7D022412"/>
    <w:rsid w:val="7D0239FF"/>
    <w:rsid w:val="7D027841"/>
    <w:rsid w:val="7D032E2D"/>
    <w:rsid w:val="7D03315D"/>
    <w:rsid w:val="7D035D55"/>
    <w:rsid w:val="7D0364BA"/>
    <w:rsid w:val="7D036989"/>
    <w:rsid w:val="7D04197F"/>
    <w:rsid w:val="7D041A97"/>
    <w:rsid w:val="7D041AF5"/>
    <w:rsid w:val="7D042A1D"/>
    <w:rsid w:val="7D04651D"/>
    <w:rsid w:val="7D052701"/>
    <w:rsid w:val="7D055AE9"/>
    <w:rsid w:val="7D056BA5"/>
    <w:rsid w:val="7D060228"/>
    <w:rsid w:val="7D063E26"/>
    <w:rsid w:val="7D072C08"/>
    <w:rsid w:val="7D0746CC"/>
    <w:rsid w:val="7D07647A"/>
    <w:rsid w:val="7D0821F2"/>
    <w:rsid w:val="7D0833A3"/>
    <w:rsid w:val="7D0836B3"/>
    <w:rsid w:val="7D083FA0"/>
    <w:rsid w:val="7D092500"/>
    <w:rsid w:val="7D093C14"/>
    <w:rsid w:val="7D095FD3"/>
    <w:rsid w:val="7D0A41BC"/>
    <w:rsid w:val="7D0A5F6A"/>
    <w:rsid w:val="7D0B0EF0"/>
    <w:rsid w:val="7D0C1CE2"/>
    <w:rsid w:val="7D0C218D"/>
    <w:rsid w:val="7D0C4C05"/>
    <w:rsid w:val="7D0C5A4B"/>
    <w:rsid w:val="7D0C7871"/>
    <w:rsid w:val="7D0D15B6"/>
    <w:rsid w:val="7D0D233E"/>
    <w:rsid w:val="7D0D35F9"/>
    <w:rsid w:val="7D0D6042"/>
    <w:rsid w:val="7D0D7808"/>
    <w:rsid w:val="7D0E1509"/>
    <w:rsid w:val="7D0F17D2"/>
    <w:rsid w:val="7D0F2C1B"/>
    <w:rsid w:val="7D0F3580"/>
    <w:rsid w:val="7D0F5C52"/>
    <w:rsid w:val="7D104A16"/>
    <w:rsid w:val="7D1110A6"/>
    <w:rsid w:val="7D114111"/>
    <w:rsid w:val="7D11554A"/>
    <w:rsid w:val="7D1172F8"/>
    <w:rsid w:val="7D121F07"/>
    <w:rsid w:val="7D123AD5"/>
    <w:rsid w:val="7D123C63"/>
    <w:rsid w:val="7D124E1E"/>
    <w:rsid w:val="7D126BCC"/>
    <w:rsid w:val="7D1307C6"/>
    <w:rsid w:val="7D1312C2"/>
    <w:rsid w:val="7D13737B"/>
    <w:rsid w:val="7D13776F"/>
    <w:rsid w:val="7D1421DF"/>
    <w:rsid w:val="7D142945"/>
    <w:rsid w:val="7D144827"/>
    <w:rsid w:val="7D15623A"/>
    <w:rsid w:val="7D1602C2"/>
    <w:rsid w:val="7D160AF0"/>
    <w:rsid w:val="7D162B61"/>
    <w:rsid w:val="7D1666BD"/>
    <w:rsid w:val="7D167147"/>
    <w:rsid w:val="7D1705D7"/>
    <w:rsid w:val="7D1711BC"/>
    <w:rsid w:val="7D171D18"/>
    <w:rsid w:val="7D1739BB"/>
    <w:rsid w:val="7D180687"/>
    <w:rsid w:val="7D183EB6"/>
    <w:rsid w:val="7D184638"/>
    <w:rsid w:val="7D1851D4"/>
    <w:rsid w:val="7D186340"/>
    <w:rsid w:val="7D190614"/>
    <w:rsid w:val="7D194F5E"/>
    <w:rsid w:val="7D1961AD"/>
    <w:rsid w:val="7D197F5B"/>
    <w:rsid w:val="7D1A2DE9"/>
    <w:rsid w:val="7D1B0177"/>
    <w:rsid w:val="7D1B1B29"/>
    <w:rsid w:val="7D1B3CD3"/>
    <w:rsid w:val="7D1C3F4A"/>
    <w:rsid w:val="7D1C7A4B"/>
    <w:rsid w:val="7D1D051D"/>
    <w:rsid w:val="7D1D0606"/>
    <w:rsid w:val="7D1D1974"/>
    <w:rsid w:val="7D1D2E6B"/>
    <w:rsid w:val="7D1D5C9D"/>
    <w:rsid w:val="7D1E1A15"/>
    <w:rsid w:val="7D1E37C3"/>
    <w:rsid w:val="7D1E3B38"/>
    <w:rsid w:val="7D1E52AA"/>
    <w:rsid w:val="7D1E6A55"/>
    <w:rsid w:val="7D1F193A"/>
    <w:rsid w:val="7D1F2FC6"/>
    <w:rsid w:val="7D1F338C"/>
    <w:rsid w:val="7D1F4A8F"/>
    <w:rsid w:val="7D1F4BEE"/>
    <w:rsid w:val="7D1F6C78"/>
    <w:rsid w:val="7D2012E9"/>
    <w:rsid w:val="7D20578D"/>
    <w:rsid w:val="7D20693F"/>
    <w:rsid w:val="7D20753B"/>
    <w:rsid w:val="7D211C40"/>
    <w:rsid w:val="7D21705C"/>
    <w:rsid w:val="7D2232B3"/>
    <w:rsid w:val="7D22408C"/>
    <w:rsid w:val="7D225061"/>
    <w:rsid w:val="7D225F27"/>
    <w:rsid w:val="7D22618E"/>
    <w:rsid w:val="7D230486"/>
    <w:rsid w:val="7D230DDA"/>
    <w:rsid w:val="7D23702C"/>
    <w:rsid w:val="7D2409AA"/>
    <w:rsid w:val="7D24527D"/>
    <w:rsid w:val="7D252DA4"/>
    <w:rsid w:val="7D2534DC"/>
    <w:rsid w:val="7D254B52"/>
    <w:rsid w:val="7D256900"/>
    <w:rsid w:val="7D26180D"/>
    <w:rsid w:val="7D261F6B"/>
    <w:rsid w:val="7D272678"/>
    <w:rsid w:val="7D272C9D"/>
    <w:rsid w:val="7D2775F9"/>
    <w:rsid w:val="7D277B27"/>
    <w:rsid w:val="7D284642"/>
    <w:rsid w:val="7D290648"/>
    <w:rsid w:val="7D294373"/>
    <w:rsid w:val="7D294D1D"/>
    <w:rsid w:val="7D2978B5"/>
    <w:rsid w:val="7D2A040A"/>
    <w:rsid w:val="7D2A1791"/>
    <w:rsid w:val="7D2A2168"/>
    <w:rsid w:val="7D2A6445"/>
    <w:rsid w:val="7D2B4FB1"/>
    <w:rsid w:val="7D2B615C"/>
    <w:rsid w:val="7D2C177F"/>
    <w:rsid w:val="7D2C2CC3"/>
    <w:rsid w:val="7D2C4132"/>
    <w:rsid w:val="7D2C53AB"/>
    <w:rsid w:val="7D2C5EE0"/>
    <w:rsid w:val="7D2C7C8E"/>
    <w:rsid w:val="7D2D023C"/>
    <w:rsid w:val="7D2D15D3"/>
    <w:rsid w:val="7D2D3F3E"/>
    <w:rsid w:val="7D2E7EAA"/>
    <w:rsid w:val="7D2F3C22"/>
    <w:rsid w:val="7D301008"/>
    <w:rsid w:val="7D302BF7"/>
    <w:rsid w:val="7D307669"/>
    <w:rsid w:val="7D310835"/>
    <w:rsid w:val="7D310F2F"/>
    <w:rsid w:val="7D3113EC"/>
    <w:rsid w:val="7D311664"/>
    <w:rsid w:val="7D311748"/>
    <w:rsid w:val="7D313D4F"/>
    <w:rsid w:val="7D317347"/>
    <w:rsid w:val="7D320E02"/>
    <w:rsid w:val="7D32101D"/>
    <w:rsid w:val="7D327DB0"/>
    <w:rsid w:val="7D3354C1"/>
    <w:rsid w:val="7D33726F"/>
    <w:rsid w:val="7D3372CF"/>
    <w:rsid w:val="7D337A25"/>
    <w:rsid w:val="7D3422DA"/>
    <w:rsid w:val="7D3426D0"/>
    <w:rsid w:val="7D35071E"/>
    <w:rsid w:val="7D353B60"/>
    <w:rsid w:val="7D354ACE"/>
    <w:rsid w:val="7D3552A1"/>
    <w:rsid w:val="7D356A15"/>
    <w:rsid w:val="7D366D5F"/>
    <w:rsid w:val="7D366DD3"/>
    <w:rsid w:val="7D370CEF"/>
    <w:rsid w:val="7D371DFC"/>
    <w:rsid w:val="7D3743BF"/>
    <w:rsid w:val="7D376633"/>
    <w:rsid w:val="7D3773F4"/>
    <w:rsid w:val="7D38437C"/>
    <w:rsid w:val="7D384885"/>
    <w:rsid w:val="7D3873A2"/>
    <w:rsid w:val="7D3910C6"/>
    <w:rsid w:val="7D3913FB"/>
    <w:rsid w:val="7D39684F"/>
    <w:rsid w:val="7D3A21A9"/>
    <w:rsid w:val="7D3B041C"/>
    <w:rsid w:val="7D3B2542"/>
    <w:rsid w:val="7D3B25C7"/>
    <w:rsid w:val="7D3B4375"/>
    <w:rsid w:val="7D3B6123"/>
    <w:rsid w:val="7D3B6DE2"/>
    <w:rsid w:val="7D3B71E3"/>
    <w:rsid w:val="7D3C17D5"/>
    <w:rsid w:val="7D3D00ED"/>
    <w:rsid w:val="7D3D1E9B"/>
    <w:rsid w:val="7D3D3A33"/>
    <w:rsid w:val="7D3D4EC3"/>
    <w:rsid w:val="7D3D633F"/>
    <w:rsid w:val="7D3E31A7"/>
    <w:rsid w:val="7D3E3E65"/>
    <w:rsid w:val="7D3E5BDA"/>
    <w:rsid w:val="7D3E6A20"/>
    <w:rsid w:val="7D3E6E56"/>
    <w:rsid w:val="7D3E79C1"/>
    <w:rsid w:val="7D3E7A94"/>
    <w:rsid w:val="7D3F20B7"/>
    <w:rsid w:val="7D3F4A9B"/>
    <w:rsid w:val="7D3F70B7"/>
    <w:rsid w:val="7D400B4F"/>
    <w:rsid w:val="7D40198C"/>
    <w:rsid w:val="7D4023B4"/>
    <w:rsid w:val="7D40373A"/>
    <w:rsid w:val="7D403E7D"/>
    <w:rsid w:val="7D413844"/>
    <w:rsid w:val="7D413E44"/>
    <w:rsid w:val="7D4242B1"/>
    <w:rsid w:val="7D424CD4"/>
    <w:rsid w:val="7D425704"/>
    <w:rsid w:val="7D4274B2"/>
    <w:rsid w:val="7D4278A5"/>
    <w:rsid w:val="7D43322A"/>
    <w:rsid w:val="7D433490"/>
    <w:rsid w:val="7D436014"/>
    <w:rsid w:val="7D4377DB"/>
    <w:rsid w:val="7D437D8E"/>
    <w:rsid w:val="7D44147C"/>
    <w:rsid w:val="7D44388E"/>
    <w:rsid w:val="7D4476CE"/>
    <w:rsid w:val="7D4479CE"/>
    <w:rsid w:val="7D454A6D"/>
    <w:rsid w:val="7D4551F4"/>
    <w:rsid w:val="7D457DB9"/>
    <w:rsid w:val="7D464AE5"/>
    <w:rsid w:val="7D470F6C"/>
    <w:rsid w:val="7D480840"/>
    <w:rsid w:val="7D480B46"/>
    <w:rsid w:val="7D4821C7"/>
    <w:rsid w:val="7D483717"/>
    <w:rsid w:val="7D491FD6"/>
    <w:rsid w:val="7D494CE4"/>
    <w:rsid w:val="7D4961F9"/>
    <w:rsid w:val="7D496A92"/>
    <w:rsid w:val="7D4A0A5C"/>
    <w:rsid w:val="7D4A280A"/>
    <w:rsid w:val="7D4A3459"/>
    <w:rsid w:val="7D4A45B8"/>
    <w:rsid w:val="7D4A591B"/>
    <w:rsid w:val="7D4B133C"/>
    <w:rsid w:val="7D4C0330"/>
    <w:rsid w:val="7D4C0385"/>
    <w:rsid w:val="7D4C13EA"/>
    <w:rsid w:val="7D4C2098"/>
    <w:rsid w:val="7D4C20DE"/>
    <w:rsid w:val="7D4C3528"/>
    <w:rsid w:val="7D4C6582"/>
    <w:rsid w:val="7D4D0BA2"/>
    <w:rsid w:val="7D4D5E56"/>
    <w:rsid w:val="7D4E22FA"/>
    <w:rsid w:val="7D4E3F18"/>
    <w:rsid w:val="7D4F1BCF"/>
    <w:rsid w:val="7D4F2127"/>
    <w:rsid w:val="7D4F318C"/>
    <w:rsid w:val="7D4F6073"/>
    <w:rsid w:val="7D4F72D8"/>
    <w:rsid w:val="7D502D5B"/>
    <w:rsid w:val="7D511DEB"/>
    <w:rsid w:val="7D513D56"/>
    <w:rsid w:val="7D515947"/>
    <w:rsid w:val="7D5247C9"/>
    <w:rsid w:val="7D52739A"/>
    <w:rsid w:val="7D5273EA"/>
    <w:rsid w:val="7D5327F5"/>
    <w:rsid w:val="7D5344D7"/>
    <w:rsid w:val="7D53555A"/>
    <w:rsid w:val="7D537911"/>
    <w:rsid w:val="7D543484"/>
    <w:rsid w:val="7D545437"/>
    <w:rsid w:val="7D5471E5"/>
    <w:rsid w:val="7D556349"/>
    <w:rsid w:val="7D5645DA"/>
    <w:rsid w:val="7D566EE8"/>
    <w:rsid w:val="7D574FC7"/>
    <w:rsid w:val="7D575A6A"/>
    <w:rsid w:val="7D575C62"/>
    <w:rsid w:val="7D576182"/>
    <w:rsid w:val="7D5771AB"/>
    <w:rsid w:val="7D58063B"/>
    <w:rsid w:val="7D580FFA"/>
    <w:rsid w:val="7D586CD5"/>
    <w:rsid w:val="7D592A4D"/>
    <w:rsid w:val="7D592F5B"/>
    <w:rsid w:val="7D59469C"/>
    <w:rsid w:val="7D5A0C9F"/>
    <w:rsid w:val="7D5A1F62"/>
    <w:rsid w:val="7D5A6919"/>
    <w:rsid w:val="7D5B0573"/>
    <w:rsid w:val="7D5B2DE6"/>
    <w:rsid w:val="7D5B4A17"/>
    <w:rsid w:val="7D5B4E63"/>
    <w:rsid w:val="7D5C14CD"/>
    <w:rsid w:val="7D5D253D"/>
    <w:rsid w:val="7D5D42EC"/>
    <w:rsid w:val="7D5D722A"/>
    <w:rsid w:val="7D5E1E12"/>
    <w:rsid w:val="7D5E40CD"/>
    <w:rsid w:val="7D5F62B6"/>
    <w:rsid w:val="7D60025D"/>
    <w:rsid w:val="7D60202E"/>
    <w:rsid w:val="7D603993"/>
    <w:rsid w:val="7D603D80"/>
    <w:rsid w:val="7D607503"/>
    <w:rsid w:val="7D623591"/>
    <w:rsid w:val="7D625DA6"/>
    <w:rsid w:val="7D627B54"/>
    <w:rsid w:val="7D63031F"/>
    <w:rsid w:val="7D63567A"/>
    <w:rsid w:val="7D635EF7"/>
    <w:rsid w:val="7D641B1E"/>
    <w:rsid w:val="7D643769"/>
    <w:rsid w:val="7D6455EB"/>
    <w:rsid w:val="7D6469F8"/>
    <w:rsid w:val="7D6514FE"/>
    <w:rsid w:val="7D652C3F"/>
    <w:rsid w:val="7D6531A0"/>
    <w:rsid w:val="7D65336D"/>
    <w:rsid w:val="7D657644"/>
    <w:rsid w:val="7D660653"/>
    <w:rsid w:val="7D670130"/>
    <w:rsid w:val="7D6730C3"/>
    <w:rsid w:val="7D67516A"/>
    <w:rsid w:val="7D677407"/>
    <w:rsid w:val="7D68608A"/>
    <w:rsid w:val="7D686D69"/>
    <w:rsid w:val="7D6873BE"/>
    <w:rsid w:val="7D687A4C"/>
    <w:rsid w:val="7D690EE2"/>
    <w:rsid w:val="7D691E2E"/>
    <w:rsid w:val="7D692C90"/>
    <w:rsid w:val="7D6942A8"/>
    <w:rsid w:val="7D69505D"/>
    <w:rsid w:val="7D6A07B6"/>
    <w:rsid w:val="7D6A4C5A"/>
    <w:rsid w:val="7D6A5621"/>
    <w:rsid w:val="7D6A7225"/>
    <w:rsid w:val="7D6B1191"/>
    <w:rsid w:val="7D6B2EAC"/>
    <w:rsid w:val="7D6B5370"/>
    <w:rsid w:val="7D6C2781"/>
    <w:rsid w:val="7D6C452F"/>
    <w:rsid w:val="7D6C4BDF"/>
    <w:rsid w:val="7D6D64AB"/>
    <w:rsid w:val="7D6D6E09"/>
    <w:rsid w:val="7D6E02A7"/>
    <w:rsid w:val="7D6E0C40"/>
    <w:rsid w:val="7D6E27AF"/>
    <w:rsid w:val="7D6E2E2C"/>
    <w:rsid w:val="7D6E64F9"/>
    <w:rsid w:val="7D6E7260"/>
    <w:rsid w:val="7D6F14AC"/>
    <w:rsid w:val="7D6F1730"/>
    <w:rsid w:val="7D7004C3"/>
    <w:rsid w:val="7D7039C7"/>
    <w:rsid w:val="7D7111E2"/>
    <w:rsid w:val="7D711B45"/>
    <w:rsid w:val="7D715FB6"/>
    <w:rsid w:val="7D715FE9"/>
    <w:rsid w:val="7D71658F"/>
    <w:rsid w:val="7D726347"/>
    <w:rsid w:val="7D726ADF"/>
    <w:rsid w:val="7D73004A"/>
    <w:rsid w:val="7D731663"/>
    <w:rsid w:val="7D731D61"/>
    <w:rsid w:val="7D733B0F"/>
    <w:rsid w:val="7D733F27"/>
    <w:rsid w:val="7D7358BD"/>
    <w:rsid w:val="7D7366D3"/>
    <w:rsid w:val="7D737A52"/>
    <w:rsid w:val="7D740952"/>
    <w:rsid w:val="7D74404F"/>
    <w:rsid w:val="7D747887"/>
    <w:rsid w:val="7D747B63"/>
    <w:rsid w:val="7D747C84"/>
    <w:rsid w:val="7D750FF3"/>
    <w:rsid w:val="7D7515E7"/>
    <w:rsid w:val="7D75194E"/>
    <w:rsid w:val="7D755727"/>
    <w:rsid w:val="7D761851"/>
    <w:rsid w:val="7D761F06"/>
    <w:rsid w:val="7D762483"/>
    <w:rsid w:val="7D7635FF"/>
    <w:rsid w:val="7D774DBF"/>
    <w:rsid w:val="7D775054"/>
    <w:rsid w:val="7D781125"/>
    <w:rsid w:val="7D7819FE"/>
    <w:rsid w:val="7D782ED3"/>
    <w:rsid w:val="7D787377"/>
    <w:rsid w:val="7D790740"/>
    <w:rsid w:val="7D796C4C"/>
    <w:rsid w:val="7D797BF1"/>
    <w:rsid w:val="7D7A30EF"/>
    <w:rsid w:val="7D7A39D5"/>
    <w:rsid w:val="7D7A4E9D"/>
    <w:rsid w:val="7D7B29C4"/>
    <w:rsid w:val="7D7B6E68"/>
    <w:rsid w:val="7D7C30CE"/>
    <w:rsid w:val="7D7C58BE"/>
    <w:rsid w:val="7D7C62F5"/>
    <w:rsid w:val="7D7C7A36"/>
    <w:rsid w:val="7D7D04EA"/>
    <w:rsid w:val="7D7D0EC6"/>
    <w:rsid w:val="7D7D2BE0"/>
    <w:rsid w:val="7D7D555E"/>
    <w:rsid w:val="7D7D673C"/>
    <w:rsid w:val="7D7D7785"/>
    <w:rsid w:val="7D7E2356"/>
    <w:rsid w:val="7D7E3329"/>
    <w:rsid w:val="7D7F0706"/>
    <w:rsid w:val="7D7F4AF0"/>
    <w:rsid w:val="7D7F4C76"/>
    <w:rsid w:val="7D7F61DE"/>
    <w:rsid w:val="7D7F63B7"/>
    <w:rsid w:val="7D80447E"/>
    <w:rsid w:val="7D80622C"/>
    <w:rsid w:val="7D807847"/>
    <w:rsid w:val="7D807FDA"/>
    <w:rsid w:val="7D811639"/>
    <w:rsid w:val="7D8123E1"/>
    <w:rsid w:val="7D8125AE"/>
    <w:rsid w:val="7D813925"/>
    <w:rsid w:val="7D8201F6"/>
    <w:rsid w:val="7D831878"/>
    <w:rsid w:val="7D8361C8"/>
    <w:rsid w:val="7D836237"/>
    <w:rsid w:val="7D845D1C"/>
    <w:rsid w:val="7D8513B2"/>
    <w:rsid w:val="7D851A94"/>
    <w:rsid w:val="7D85227D"/>
    <w:rsid w:val="7D854CB6"/>
    <w:rsid w:val="7D865DD3"/>
    <w:rsid w:val="7D873365"/>
    <w:rsid w:val="7D881731"/>
    <w:rsid w:val="7D891584"/>
    <w:rsid w:val="7D893333"/>
    <w:rsid w:val="7D8950E1"/>
    <w:rsid w:val="7D895543"/>
    <w:rsid w:val="7D896705"/>
    <w:rsid w:val="7D8A0E59"/>
    <w:rsid w:val="7D8A2C07"/>
    <w:rsid w:val="7D8B70AB"/>
    <w:rsid w:val="7D8B7C4C"/>
    <w:rsid w:val="7D8C2E23"/>
    <w:rsid w:val="7D8C4BD1"/>
    <w:rsid w:val="7D8D09BB"/>
    <w:rsid w:val="7D8D1E4B"/>
    <w:rsid w:val="7D8D48BC"/>
    <w:rsid w:val="7D8D727A"/>
    <w:rsid w:val="7D8E01D6"/>
    <w:rsid w:val="7D8E0949"/>
    <w:rsid w:val="7D8E169B"/>
    <w:rsid w:val="7D8E213F"/>
    <w:rsid w:val="7D8E3287"/>
    <w:rsid w:val="7D8E3CD7"/>
    <w:rsid w:val="7D8F021D"/>
    <w:rsid w:val="7D8F4A76"/>
    <w:rsid w:val="7D8F646F"/>
    <w:rsid w:val="7D8F6C39"/>
    <w:rsid w:val="7D8F7243"/>
    <w:rsid w:val="7D8F74D4"/>
    <w:rsid w:val="7D902913"/>
    <w:rsid w:val="7D905BFB"/>
    <w:rsid w:val="7D906276"/>
    <w:rsid w:val="7D9107CC"/>
    <w:rsid w:val="7D910DBD"/>
    <w:rsid w:val="7D911D20"/>
    <w:rsid w:val="7D920127"/>
    <w:rsid w:val="7D9341B1"/>
    <w:rsid w:val="7D93607C"/>
    <w:rsid w:val="7D937778"/>
    <w:rsid w:val="7D9505DD"/>
    <w:rsid w:val="7D953D7C"/>
    <w:rsid w:val="7D9558CD"/>
    <w:rsid w:val="7D960230"/>
    <w:rsid w:val="7D961ED7"/>
    <w:rsid w:val="7D96286A"/>
    <w:rsid w:val="7D962AE8"/>
    <w:rsid w:val="7D965A4F"/>
    <w:rsid w:val="7D9677FD"/>
    <w:rsid w:val="7D972EFD"/>
    <w:rsid w:val="7D975558"/>
    <w:rsid w:val="7D9771DF"/>
    <w:rsid w:val="7D981854"/>
    <w:rsid w:val="7D981E4B"/>
    <w:rsid w:val="7D983576"/>
    <w:rsid w:val="7D9867C0"/>
    <w:rsid w:val="7D986F5E"/>
    <w:rsid w:val="7D9903EE"/>
    <w:rsid w:val="7D9905A8"/>
    <w:rsid w:val="7D99109C"/>
    <w:rsid w:val="7D991438"/>
    <w:rsid w:val="7D993920"/>
    <w:rsid w:val="7D9942C4"/>
    <w:rsid w:val="7D997217"/>
    <w:rsid w:val="7D9A2FBF"/>
    <w:rsid w:val="7D9A48BB"/>
    <w:rsid w:val="7D9A5767"/>
    <w:rsid w:val="7D9A7BC3"/>
    <w:rsid w:val="7D9B27FD"/>
    <w:rsid w:val="7D9B3066"/>
    <w:rsid w:val="7D9B444F"/>
    <w:rsid w:val="7D9C12B8"/>
    <w:rsid w:val="7D9C2790"/>
    <w:rsid w:val="7D9C2A5C"/>
    <w:rsid w:val="7D9D0B8C"/>
    <w:rsid w:val="7D9D293A"/>
    <w:rsid w:val="7D9D6448"/>
    <w:rsid w:val="7D9D6D6F"/>
    <w:rsid w:val="7D9D6DDE"/>
    <w:rsid w:val="7D9E518D"/>
    <w:rsid w:val="7D9F66B2"/>
    <w:rsid w:val="7DA0067C"/>
    <w:rsid w:val="7DA0105C"/>
    <w:rsid w:val="7DA13DAB"/>
    <w:rsid w:val="7DA1414D"/>
    <w:rsid w:val="7DA15960"/>
    <w:rsid w:val="7DA168CE"/>
    <w:rsid w:val="7DA17606"/>
    <w:rsid w:val="7DA17A48"/>
    <w:rsid w:val="7DA20010"/>
    <w:rsid w:val="7DA20C25"/>
    <w:rsid w:val="7DA261A2"/>
    <w:rsid w:val="7DA27C62"/>
    <w:rsid w:val="7DA4016C"/>
    <w:rsid w:val="7DA43CC8"/>
    <w:rsid w:val="7DA454BF"/>
    <w:rsid w:val="7DA46CB9"/>
    <w:rsid w:val="7DA5021A"/>
    <w:rsid w:val="7DA55C93"/>
    <w:rsid w:val="7DA57A41"/>
    <w:rsid w:val="7DA60774"/>
    <w:rsid w:val="7DA71A0B"/>
    <w:rsid w:val="7DA729F2"/>
    <w:rsid w:val="7DA737B9"/>
    <w:rsid w:val="7DA755C3"/>
    <w:rsid w:val="7DA86A53"/>
    <w:rsid w:val="7DA87BD4"/>
    <w:rsid w:val="7DA912DF"/>
    <w:rsid w:val="7DA9292E"/>
    <w:rsid w:val="7DA95312"/>
    <w:rsid w:val="7DA97EE3"/>
    <w:rsid w:val="7DAA1815"/>
    <w:rsid w:val="7DAA52CA"/>
    <w:rsid w:val="7DAB0E2A"/>
    <w:rsid w:val="7DAB3F44"/>
    <w:rsid w:val="7DAC53D4"/>
    <w:rsid w:val="7DAC62F1"/>
    <w:rsid w:val="7DAC78BA"/>
    <w:rsid w:val="7DAD3AB5"/>
    <w:rsid w:val="7DAD6D1D"/>
    <w:rsid w:val="7DAD7D0D"/>
    <w:rsid w:val="7DAE218F"/>
    <w:rsid w:val="7DAE2D99"/>
    <w:rsid w:val="7DAE4B47"/>
    <w:rsid w:val="7DAE7BC5"/>
    <w:rsid w:val="7DAF2218"/>
    <w:rsid w:val="7DAF2614"/>
    <w:rsid w:val="7DAF6776"/>
    <w:rsid w:val="7DB00F10"/>
    <w:rsid w:val="7DB05976"/>
    <w:rsid w:val="7DB06383"/>
    <w:rsid w:val="7DB100DF"/>
    <w:rsid w:val="7DB163E5"/>
    <w:rsid w:val="7DB20D54"/>
    <w:rsid w:val="7DB222C5"/>
    <w:rsid w:val="7DB27B05"/>
    <w:rsid w:val="7DB303AF"/>
    <w:rsid w:val="7DB36601"/>
    <w:rsid w:val="7DB46496"/>
    <w:rsid w:val="7DB47898"/>
    <w:rsid w:val="7DB51B46"/>
    <w:rsid w:val="7DB52379"/>
    <w:rsid w:val="7DB54128"/>
    <w:rsid w:val="7DB54732"/>
    <w:rsid w:val="7DB561F2"/>
    <w:rsid w:val="7DB56486"/>
    <w:rsid w:val="7DB61A1D"/>
    <w:rsid w:val="7DB61C4E"/>
    <w:rsid w:val="7DB639FC"/>
    <w:rsid w:val="7DB64EB3"/>
    <w:rsid w:val="7DB67EA0"/>
    <w:rsid w:val="7DB7671D"/>
    <w:rsid w:val="7DB83C18"/>
    <w:rsid w:val="7DB859C6"/>
    <w:rsid w:val="7DB86716"/>
    <w:rsid w:val="7DB87774"/>
    <w:rsid w:val="7DB8799F"/>
    <w:rsid w:val="7DB94E07"/>
    <w:rsid w:val="7DB979D8"/>
    <w:rsid w:val="7DBA0E4F"/>
    <w:rsid w:val="7DBA173E"/>
    <w:rsid w:val="7DBA34EC"/>
    <w:rsid w:val="7DBA5722"/>
    <w:rsid w:val="7DBA750E"/>
    <w:rsid w:val="7DBB0899"/>
    <w:rsid w:val="7DBB1012"/>
    <w:rsid w:val="7DBB54B6"/>
    <w:rsid w:val="7DBC3708"/>
    <w:rsid w:val="7DBC3788"/>
    <w:rsid w:val="7DBC4436"/>
    <w:rsid w:val="7DBC620B"/>
    <w:rsid w:val="7DBD3374"/>
    <w:rsid w:val="7DBD4C18"/>
    <w:rsid w:val="7DBD4D8A"/>
    <w:rsid w:val="7DBE3CBA"/>
    <w:rsid w:val="7DBE4F88"/>
    <w:rsid w:val="7DBF2109"/>
    <w:rsid w:val="7DBF3B6B"/>
    <w:rsid w:val="7DC00DDD"/>
    <w:rsid w:val="7DC0487A"/>
    <w:rsid w:val="7DC04CDA"/>
    <w:rsid w:val="7DC056D3"/>
    <w:rsid w:val="7DC06BDF"/>
    <w:rsid w:val="7DC10D1E"/>
    <w:rsid w:val="7DC156B6"/>
    <w:rsid w:val="7DC17168"/>
    <w:rsid w:val="7DC1796C"/>
    <w:rsid w:val="7DC17B4C"/>
    <w:rsid w:val="7DC205F3"/>
    <w:rsid w:val="7DC21C6C"/>
    <w:rsid w:val="7DC221CB"/>
    <w:rsid w:val="7DC223A1"/>
    <w:rsid w:val="7DC225BC"/>
    <w:rsid w:val="7DC26844"/>
    <w:rsid w:val="7DC268B8"/>
    <w:rsid w:val="7DC349F4"/>
    <w:rsid w:val="7DC375D7"/>
    <w:rsid w:val="7DC40AF4"/>
    <w:rsid w:val="7DC4436B"/>
    <w:rsid w:val="7DC51E91"/>
    <w:rsid w:val="7DC53D9C"/>
    <w:rsid w:val="7DC54579"/>
    <w:rsid w:val="7DC55F7B"/>
    <w:rsid w:val="7DC57A20"/>
    <w:rsid w:val="7DC600E3"/>
    <w:rsid w:val="7DC720AD"/>
    <w:rsid w:val="7DC73E5B"/>
    <w:rsid w:val="7DC75C09"/>
    <w:rsid w:val="7DC878B1"/>
    <w:rsid w:val="7DC9091A"/>
    <w:rsid w:val="7DC921A4"/>
    <w:rsid w:val="7DC92DF0"/>
    <w:rsid w:val="7DC9359F"/>
    <w:rsid w:val="7DC97BD3"/>
    <w:rsid w:val="7DCA74A7"/>
    <w:rsid w:val="7DCB1DED"/>
    <w:rsid w:val="7DCB56F9"/>
    <w:rsid w:val="7DCC321F"/>
    <w:rsid w:val="7DCC4BF0"/>
    <w:rsid w:val="7DCC63B1"/>
    <w:rsid w:val="7DCD11E9"/>
    <w:rsid w:val="7DCD15AE"/>
    <w:rsid w:val="7DCD45BE"/>
    <w:rsid w:val="7DCD56F2"/>
    <w:rsid w:val="7DCE006A"/>
    <w:rsid w:val="7DCE076E"/>
    <w:rsid w:val="7DCE343B"/>
    <w:rsid w:val="7DCE51E9"/>
    <w:rsid w:val="7DCE6F97"/>
    <w:rsid w:val="7DCE7FFF"/>
    <w:rsid w:val="7DCF2576"/>
    <w:rsid w:val="7DCF4ABD"/>
    <w:rsid w:val="7DCF59B1"/>
    <w:rsid w:val="7DD00F61"/>
    <w:rsid w:val="7DD01C93"/>
    <w:rsid w:val="7DD02D0F"/>
    <w:rsid w:val="7DD03157"/>
    <w:rsid w:val="7DD047CF"/>
    <w:rsid w:val="7DD0505C"/>
    <w:rsid w:val="7DD07093"/>
    <w:rsid w:val="7DD10836"/>
    <w:rsid w:val="7DD13898"/>
    <w:rsid w:val="7DD16A88"/>
    <w:rsid w:val="7DD23264"/>
    <w:rsid w:val="7DD24CD9"/>
    <w:rsid w:val="7DD2598F"/>
    <w:rsid w:val="7DD30A52"/>
    <w:rsid w:val="7DD32800"/>
    <w:rsid w:val="7DD33150"/>
    <w:rsid w:val="7DD36318"/>
    <w:rsid w:val="7DD41E33"/>
    <w:rsid w:val="7DD445E0"/>
    <w:rsid w:val="7DD447CA"/>
    <w:rsid w:val="7DD47D47"/>
    <w:rsid w:val="7DD50326"/>
    <w:rsid w:val="7DD520D4"/>
    <w:rsid w:val="7DD53EC6"/>
    <w:rsid w:val="7DD547CA"/>
    <w:rsid w:val="7DD56578"/>
    <w:rsid w:val="7DD62B82"/>
    <w:rsid w:val="7DD64A15"/>
    <w:rsid w:val="7DD65140"/>
    <w:rsid w:val="7DD65E4C"/>
    <w:rsid w:val="7DD722F0"/>
    <w:rsid w:val="7DD7396E"/>
    <w:rsid w:val="7DD80B2D"/>
    <w:rsid w:val="7DD81BC4"/>
    <w:rsid w:val="7DD82F61"/>
    <w:rsid w:val="7DD837BC"/>
    <w:rsid w:val="7DD86068"/>
    <w:rsid w:val="7DD87E16"/>
    <w:rsid w:val="7DD90F22"/>
    <w:rsid w:val="7DDA3B8E"/>
    <w:rsid w:val="7DDA4D40"/>
    <w:rsid w:val="7DDA6D11"/>
    <w:rsid w:val="7DDA771A"/>
    <w:rsid w:val="7DDB16B4"/>
    <w:rsid w:val="7DDB1A3B"/>
    <w:rsid w:val="7DDB3462"/>
    <w:rsid w:val="7DDB4DEA"/>
    <w:rsid w:val="7DDC0A58"/>
    <w:rsid w:val="7DDC7906"/>
    <w:rsid w:val="7DDD2303"/>
    <w:rsid w:val="7DDD3CFE"/>
    <w:rsid w:val="7DDD6128"/>
    <w:rsid w:val="7DDD71DA"/>
    <w:rsid w:val="7DDE0263"/>
    <w:rsid w:val="7DDE038D"/>
    <w:rsid w:val="7DDE5692"/>
    <w:rsid w:val="7DDF11A4"/>
    <w:rsid w:val="7DDF16F3"/>
    <w:rsid w:val="7DDF2F52"/>
    <w:rsid w:val="7DDF3424"/>
    <w:rsid w:val="7DDF3558"/>
    <w:rsid w:val="7DDF73F6"/>
    <w:rsid w:val="7DDF7BA4"/>
    <w:rsid w:val="7DE02B83"/>
    <w:rsid w:val="7DE10723"/>
    <w:rsid w:val="7DE1139E"/>
    <w:rsid w:val="7DE12EA3"/>
    <w:rsid w:val="7DE1316F"/>
    <w:rsid w:val="7DE14D54"/>
    <w:rsid w:val="7DE14F1D"/>
    <w:rsid w:val="7DE15754"/>
    <w:rsid w:val="7DE20C95"/>
    <w:rsid w:val="7DE21265"/>
    <w:rsid w:val="7DE2231B"/>
    <w:rsid w:val="7DE2453F"/>
    <w:rsid w:val="7DE30074"/>
    <w:rsid w:val="7DE40569"/>
    <w:rsid w:val="7DE44A0D"/>
    <w:rsid w:val="7DE51CF9"/>
    <w:rsid w:val="7DE548C4"/>
    <w:rsid w:val="7DE60785"/>
    <w:rsid w:val="7DE62533"/>
    <w:rsid w:val="7DE6481C"/>
    <w:rsid w:val="7DE64D48"/>
    <w:rsid w:val="7DE70059"/>
    <w:rsid w:val="7DE74669"/>
    <w:rsid w:val="7DE762AB"/>
    <w:rsid w:val="7DE844FD"/>
    <w:rsid w:val="7DE859ED"/>
    <w:rsid w:val="7DE907C7"/>
    <w:rsid w:val="7DE90E7A"/>
    <w:rsid w:val="7DE9105E"/>
    <w:rsid w:val="7DE91552"/>
    <w:rsid w:val="7DE92023"/>
    <w:rsid w:val="7DE927A5"/>
    <w:rsid w:val="7DE9584E"/>
    <w:rsid w:val="7DE960E5"/>
    <w:rsid w:val="7DEA0224"/>
    <w:rsid w:val="7DEA44DB"/>
    <w:rsid w:val="7DEA75E4"/>
    <w:rsid w:val="7DEB18F7"/>
    <w:rsid w:val="7DEB45B9"/>
    <w:rsid w:val="7DEB49CB"/>
    <w:rsid w:val="7DEB5D9B"/>
    <w:rsid w:val="7DEB7B49"/>
    <w:rsid w:val="7DEC2962"/>
    <w:rsid w:val="7DEC38C1"/>
    <w:rsid w:val="7DEC566F"/>
    <w:rsid w:val="7DED1B13"/>
    <w:rsid w:val="7DED47AB"/>
    <w:rsid w:val="7DEE13E8"/>
    <w:rsid w:val="7DEE450A"/>
    <w:rsid w:val="7DEE5187"/>
    <w:rsid w:val="7DEE7639"/>
    <w:rsid w:val="7DEF235B"/>
    <w:rsid w:val="7DEF60A9"/>
    <w:rsid w:val="7DEF6617"/>
    <w:rsid w:val="7DF033B2"/>
    <w:rsid w:val="7DF049DC"/>
    <w:rsid w:val="7DF05CA9"/>
    <w:rsid w:val="7DF06F0E"/>
    <w:rsid w:val="7DF06F1F"/>
    <w:rsid w:val="7DF11FE2"/>
    <w:rsid w:val="7DF12C86"/>
    <w:rsid w:val="7DF13B08"/>
    <w:rsid w:val="7DF13DD7"/>
    <w:rsid w:val="7DF15239"/>
    <w:rsid w:val="7DF22975"/>
    <w:rsid w:val="7DF24F98"/>
    <w:rsid w:val="7DF26D5D"/>
    <w:rsid w:val="7DF2712A"/>
    <w:rsid w:val="7DF306F4"/>
    <w:rsid w:val="7DF32EA2"/>
    <w:rsid w:val="7DF34AAF"/>
    <w:rsid w:val="7DF355A5"/>
    <w:rsid w:val="7DF37096"/>
    <w:rsid w:val="7DF440E5"/>
    <w:rsid w:val="7DF447BE"/>
    <w:rsid w:val="7DF509C8"/>
    <w:rsid w:val="7DF5250D"/>
    <w:rsid w:val="7DF5262B"/>
    <w:rsid w:val="7DF52776"/>
    <w:rsid w:val="7DF54FB0"/>
    <w:rsid w:val="7DF6029C"/>
    <w:rsid w:val="7DF648F8"/>
    <w:rsid w:val="7DF64DA9"/>
    <w:rsid w:val="7DF74740"/>
    <w:rsid w:val="7DF804B8"/>
    <w:rsid w:val="7DF80E09"/>
    <w:rsid w:val="7DF81F34"/>
    <w:rsid w:val="7DF82266"/>
    <w:rsid w:val="7DF84014"/>
    <w:rsid w:val="7DF92299"/>
    <w:rsid w:val="7DF94E6A"/>
    <w:rsid w:val="7DF9501B"/>
    <w:rsid w:val="7DFA2BA0"/>
    <w:rsid w:val="7DFA3729"/>
    <w:rsid w:val="7DFA4230"/>
    <w:rsid w:val="7DFA495A"/>
    <w:rsid w:val="7DFA53A3"/>
    <w:rsid w:val="7DFA5CD1"/>
    <w:rsid w:val="7DFA5FDE"/>
    <w:rsid w:val="7DFA7D8C"/>
    <w:rsid w:val="7DFC1342"/>
    <w:rsid w:val="7DFC1D56"/>
    <w:rsid w:val="7DFC3B04"/>
    <w:rsid w:val="7DFD0AC7"/>
    <w:rsid w:val="7DFD162B"/>
    <w:rsid w:val="7DFD5ACF"/>
    <w:rsid w:val="7DFE426C"/>
    <w:rsid w:val="7DFF0735"/>
    <w:rsid w:val="7DFF1847"/>
    <w:rsid w:val="7DFF35F5"/>
    <w:rsid w:val="7DFF53A3"/>
    <w:rsid w:val="7DFF55A9"/>
    <w:rsid w:val="7E002EC9"/>
    <w:rsid w:val="7E01111B"/>
    <w:rsid w:val="7E011EBB"/>
    <w:rsid w:val="7E0155BF"/>
    <w:rsid w:val="7E01736D"/>
    <w:rsid w:val="7E021846"/>
    <w:rsid w:val="7E0230E5"/>
    <w:rsid w:val="7E0274DA"/>
    <w:rsid w:val="7E030AED"/>
    <w:rsid w:val="7E033DF9"/>
    <w:rsid w:val="7E035F1C"/>
    <w:rsid w:val="7E040C0B"/>
    <w:rsid w:val="7E0429B9"/>
    <w:rsid w:val="7E046CD4"/>
    <w:rsid w:val="7E0557AD"/>
    <w:rsid w:val="7E06489D"/>
    <w:rsid w:val="7E064983"/>
    <w:rsid w:val="7E066731"/>
    <w:rsid w:val="7E074257"/>
    <w:rsid w:val="7E075D2D"/>
    <w:rsid w:val="7E07746E"/>
    <w:rsid w:val="7E080179"/>
    <w:rsid w:val="7E0806FB"/>
    <w:rsid w:val="7E0808FE"/>
    <w:rsid w:val="7E0871BD"/>
    <w:rsid w:val="7E091D8E"/>
    <w:rsid w:val="7E094473"/>
    <w:rsid w:val="7E09527D"/>
    <w:rsid w:val="7E096221"/>
    <w:rsid w:val="7E096919"/>
    <w:rsid w:val="7E097FCF"/>
    <w:rsid w:val="7E0A3DA5"/>
    <w:rsid w:val="7E0A5DEF"/>
    <w:rsid w:val="7E0B01EB"/>
    <w:rsid w:val="7E0B1C8F"/>
    <w:rsid w:val="7E0B3B61"/>
    <w:rsid w:val="7E0B3D48"/>
    <w:rsid w:val="7E0B727F"/>
    <w:rsid w:val="7E0C2AE7"/>
    <w:rsid w:val="7E0C7AC0"/>
    <w:rsid w:val="7E0D3F64"/>
    <w:rsid w:val="7E0D4502"/>
    <w:rsid w:val="7E0D5D12"/>
    <w:rsid w:val="7E0E21D7"/>
    <w:rsid w:val="7E0E302F"/>
    <w:rsid w:val="7E0E55E6"/>
    <w:rsid w:val="7E0F0073"/>
    <w:rsid w:val="7E10135E"/>
    <w:rsid w:val="7E103AE9"/>
    <w:rsid w:val="7E105902"/>
    <w:rsid w:val="7E1075B0"/>
    <w:rsid w:val="7E11318F"/>
    <w:rsid w:val="7E1157F9"/>
    <w:rsid w:val="7E115C3B"/>
    <w:rsid w:val="7E12157A"/>
    <w:rsid w:val="7E1216CD"/>
    <w:rsid w:val="7E123328"/>
    <w:rsid w:val="7E123B46"/>
    <w:rsid w:val="7E125FC0"/>
    <w:rsid w:val="7E131996"/>
    <w:rsid w:val="7E131BA5"/>
    <w:rsid w:val="7E132BFC"/>
    <w:rsid w:val="7E134C62"/>
    <w:rsid w:val="7E1352F2"/>
    <w:rsid w:val="7E1365B7"/>
    <w:rsid w:val="7E1370A0"/>
    <w:rsid w:val="7E137708"/>
    <w:rsid w:val="7E144037"/>
    <w:rsid w:val="7E144D2B"/>
    <w:rsid w:val="7E1451E3"/>
    <w:rsid w:val="7E146EA1"/>
    <w:rsid w:val="7E15249D"/>
    <w:rsid w:val="7E152E18"/>
    <w:rsid w:val="7E152F02"/>
    <w:rsid w:val="7E1533D8"/>
    <w:rsid w:val="7E155919"/>
    <w:rsid w:val="7E155EAF"/>
    <w:rsid w:val="7E164392"/>
    <w:rsid w:val="7E164B37"/>
    <w:rsid w:val="7E167D92"/>
    <w:rsid w:val="7E17093E"/>
    <w:rsid w:val="7E170E6D"/>
    <w:rsid w:val="7E1710AA"/>
    <w:rsid w:val="7E171911"/>
    <w:rsid w:val="7E1757B2"/>
    <w:rsid w:val="7E175822"/>
    <w:rsid w:val="7E176507"/>
    <w:rsid w:val="7E176626"/>
    <w:rsid w:val="7E176B90"/>
    <w:rsid w:val="7E186464"/>
    <w:rsid w:val="7E1906D4"/>
    <w:rsid w:val="7E192D13"/>
    <w:rsid w:val="7E1A020E"/>
    <w:rsid w:val="7E1A042F"/>
    <w:rsid w:val="7E1A3F8B"/>
    <w:rsid w:val="7E1B08D1"/>
    <w:rsid w:val="7E1B53F6"/>
    <w:rsid w:val="7E1B7B68"/>
    <w:rsid w:val="7E1C0204"/>
    <w:rsid w:val="7E1C0321"/>
    <w:rsid w:val="7E1C14BF"/>
    <w:rsid w:val="7E1C2E32"/>
    <w:rsid w:val="7E1C41A7"/>
    <w:rsid w:val="7E1C5A2B"/>
    <w:rsid w:val="7E1C767E"/>
    <w:rsid w:val="7E1D07C3"/>
    <w:rsid w:val="7E1D1CCD"/>
    <w:rsid w:val="7E1D2E37"/>
    <w:rsid w:val="7E1D3A7B"/>
    <w:rsid w:val="7E1E00B5"/>
    <w:rsid w:val="7E1E329F"/>
    <w:rsid w:val="7E1E7F1F"/>
    <w:rsid w:val="7E1F2BF2"/>
    <w:rsid w:val="7E1F3C97"/>
    <w:rsid w:val="7E1F3FB4"/>
    <w:rsid w:val="7E1F5901"/>
    <w:rsid w:val="7E20237B"/>
    <w:rsid w:val="7E20339C"/>
    <w:rsid w:val="7E20742A"/>
    <w:rsid w:val="7E2101BB"/>
    <w:rsid w:val="7E210B73"/>
    <w:rsid w:val="7E2117BD"/>
    <w:rsid w:val="7E214760"/>
    <w:rsid w:val="7E214BB4"/>
    <w:rsid w:val="7E215319"/>
    <w:rsid w:val="7E221091"/>
    <w:rsid w:val="7E221D3B"/>
    <w:rsid w:val="7E22622F"/>
    <w:rsid w:val="7E2272E3"/>
    <w:rsid w:val="7E2303A6"/>
    <w:rsid w:val="7E233DC5"/>
    <w:rsid w:val="7E233F3B"/>
    <w:rsid w:val="7E235535"/>
    <w:rsid w:val="7E237B92"/>
    <w:rsid w:val="7E2412AD"/>
    <w:rsid w:val="7E2458E7"/>
    <w:rsid w:val="7E246C26"/>
    <w:rsid w:val="7E2529F7"/>
    <w:rsid w:val="7E262746"/>
    <w:rsid w:val="7E263E87"/>
    <w:rsid w:val="7E266DD3"/>
    <w:rsid w:val="7E272C94"/>
    <w:rsid w:val="7E2748F9"/>
    <w:rsid w:val="7E275861"/>
    <w:rsid w:val="7E27649A"/>
    <w:rsid w:val="7E282B4B"/>
    <w:rsid w:val="7E284E00"/>
    <w:rsid w:val="7E292420"/>
    <w:rsid w:val="7E2961B8"/>
    <w:rsid w:val="7E2968C4"/>
    <w:rsid w:val="7E297C37"/>
    <w:rsid w:val="7E2A0670"/>
    <w:rsid w:val="7E2A13F0"/>
    <w:rsid w:val="7E2A70DF"/>
    <w:rsid w:val="7E2B43EA"/>
    <w:rsid w:val="7E2B5128"/>
    <w:rsid w:val="7E2B6198"/>
    <w:rsid w:val="7E2C3CBE"/>
    <w:rsid w:val="7E2C65B8"/>
    <w:rsid w:val="7E2D1B44"/>
    <w:rsid w:val="7E2D1F10"/>
    <w:rsid w:val="7E2D2AC6"/>
    <w:rsid w:val="7E2D4365"/>
    <w:rsid w:val="7E2D63B4"/>
    <w:rsid w:val="7E2D70C2"/>
    <w:rsid w:val="7E2D7A48"/>
    <w:rsid w:val="7E2E2619"/>
    <w:rsid w:val="7E2E3EDA"/>
    <w:rsid w:val="7E2E4B35"/>
    <w:rsid w:val="7E2E5C88"/>
    <w:rsid w:val="7E2E6078"/>
    <w:rsid w:val="7E301570"/>
    <w:rsid w:val="7E30185D"/>
    <w:rsid w:val="7E301A00"/>
    <w:rsid w:val="7E3037AE"/>
    <w:rsid w:val="7E307B0A"/>
    <w:rsid w:val="7E31008B"/>
    <w:rsid w:val="7E311875"/>
    <w:rsid w:val="7E314CBD"/>
    <w:rsid w:val="7E31750D"/>
    <w:rsid w:val="7E317FCB"/>
    <w:rsid w:val="7E320D2E"/>
    <w:rsid w:val="7E3219C6"/>
    <w:rsid w:val="7E3239CA"/>
    <w:rsid w:val="7E32403B"/>
    <w:rsid w:val="7E325778"/>
    <w:rsid w:val="7E327526"/>
    <w:rsid w:val="7E3276C9"/>
    <w:rsid w:val="7E3276CF"/>
    <w:rsid w:val="7E33329E"/>
    <w:rsid w:val="7E334FFB"/>
    <w:rsid w:val="7E336173"/>
    <w:rsid w:val="7E3374CC"/>
    <w:rsid w:val="7E341193"/>
    <w:rsid w:val="7E344D4A"/>
    <w:rsid w:val="7E34791B"/>
    <w:rsid w:val="7E350B80"/>
    <w:rsid w:val="7E350DC4"/>
    <w:rsid w:val="7E355268"/>
    <w:rsid w:val="7E35622D"/>
    <w:rsid w:val="7E357016"/>
    <w:rsid w:val="7E357394"/>
    <w:rsid w:val="7E372D8F"/>
    <w:rsid w:val="7E3808B5"/>
    <w:rsid w:val="7E385F5A"/>
    <w:rsid w:val="7E386B07"/>
    <w:rsid w:val="7E394D59"/>
    <w:rsid w:val="7E395AB0"/>
    <w:rsid w:val="7E397604"/>
    <w:rsid w:val="7E39772C"/>
    <w:rsid w:val="7E3A287F"/>
    <w:rsid w:val="7E3A41B1"/>
    <w:rsid w:val="7E3A462D"/>
    <w:rsid w:val="7E3A63DB"/>
    <w:rsid w:val="7E3B2254"/>
    <w:rsid w:val="7E3B5607"/>
    <w:rsid w:val="7E3C03A5"/>
    <w:rsid w:val="7E3C0D42"/>
    <w:rsid w:val="7E3C2A2D"/>
    <w:rsid w:val="7E3C60AD"/>
    <w:rsid w:val="7E3C61A8"/>
    <w:rsid w:val="7E3C6731"/>
    <w:rsid w:val="7E3D3024"/>
    <w:rsid w:val="7E3D549D"/>
    <w:rsid w:val="7E3D5ECB"/>
    <w:rsid w:val="7E3D690A"/>
    <w:rsid w:val="7E3D753D"/>
    <w:rsid w:val="7E3E236F"/>
    <w:rsid w:val="7E3E2DA3"/>
    <w:rsid w:val="7E3E3C12"/>
    <w:rsid w:val="7E3E411D"/>
    <w:rsid w:val="7E3F39F1"/>
    <w:rsid w:val="7E3F4922"/>
    <w:rsid w:val="7E3F608B"/>
    <w:rsid w:val="7E3F746A"/>
    <w:rsid w:val="7E3F7E95"/>
    <w:rsid w:val="7E400016"/>
    <w:rsid w:val="7E4001DC"/>
    <w:rsid w:val="7E401AB3"/>
    <w:rsid w:val="7E4032E2"/>
    <w:rsid w:val="7E404A2E"/>
    <w:rsid w:val="7E404DF7"/>
    <w:rsid w:val="7E405CBD"/>
    <w:rsid w:val="7E4069CF"/>
    <w:rsid w:val="7E410A8F"/>
    <w:rsid w:val="7E41212C"/>
    <w:rsid w:val="7E4121CA"/>
    <w:rsid w:val="7E413AE4"/>
    <w:rsid w:val="7E413C0D"/>
    <w:rsid w:val="7E4159BB"/>
    <w:rsid w:val="7E41734E"/>
    <w:rsid w:val="7E417769"/>
    <w:rsid w:val="7E42647F"/>
    <w:rsid w:val="7E430448"/>
    <w:rsid w:val="7E4328CE"/>
    <w:rsid w:val="7E435B33"/>
    <w:rsid w:val="7E436536"/>
    <w:rsid w:val="7E4436FD"/>
    <w:rsid w:val="7E444A54"/>
    <w:rsid w:val="7E4454AB"/>
    <w:rsid w:val="7E447259"/>
    <w:rsid w:val="7E4508A0"/>
    <w:rsid w:val="7E4534BC"/>
    <w:rsid w:val="7E4548B9"/>
    <w:rsid w:val="7E462FD2"/>
    <w:rsid w:val="7E464BC4"/>
    <w:rsid w:val="7E466380"/>
    <w:rsid w:val="7E47281F"/>
    <w:rsid w:val="7E472F01"/>
    <w:rsid w:val="7E486D4A"/>
    <w:rsid w:val="7E487111"/>
    <w:rsid w:val="7E487E89"/>
    <w:rsid w:val="7E490D14"/>
    <w:rsid w:val="7E494870"/>
    <w:rsid w:val="7E4A3282"/>
    <w:rsid w:val="7E4A46C2"/>
    <w:rsid w:val="7E4B05E8"/>
    <w:rsid w:val="7E4B0675"/>
    <w:rsid w:val="7E4B0769"/>
    <w:rsid w:val="7E4B1B41"/>
    <w:rsid w:val="7E4B4712"/>
    <w:rsid w:val="7E4C53D3"/>
    <w:rsid w:val="7E4C5BA2"/>
    <w:rsid w:val="7E4C610E"/>
    <w:rsid w:val="7E4D25B2"/>
    <w:rsid w:val="7E4D4360"/>
    <w:rsid w:val="7E4E0006"/>
    <w:rsid w:val="7E4E04C2"/>
    <w:rsid w:val="7E4E1E86"/>
    <w:rsid w:val="7E4F2222"/>
    <w:rsid w:val="7E4F632A"/>
    <w:rsid w:val="7E510147"/>
    <w:rsid w:val="7E510584"/>
    <w:rsid w:val="7E5202D3"/>
    <w:rsid w:val="7E521976"/>
    <w:rsid w:val="7E521BF3"/>
    <w:rsid w:val="7E524DA3"/>
    <w:rsid w:val="7E5255A9"/>
    <w:rsid w:val="7E525E1A"/>
    <w:rsid w:val="7E52614D"/>
    <w:rsid w:val="7E531884"/>
    <w:rsid w:val="7E533299"/>
    <w:rsid w:val="7E53749D"/>
    <w:rsid w:val="7E540A2A"/>
    <w:rsid w:val="7E543940"/>
    <w:rsid w:val="7E545791"/>
    <w:rsid w:val="7E546956"/>
    <w:rsid w:val="7E546F05"/>
    <w:rsid w:val="7E551467"/>
    <w:rsid w:val="7E551D69"/>
    <w:rsid w:val="7E553215"/>
    <w:rsid w:val="7E554143"/>
    <w:rsid w:val="7E5570D2"/>
    <w:rsid w:val="7E5576B9"/>
    <w:rsid w:val="7E561825"/>
    <w:rsid w:val="7E5624AB"/>
    <w:rsid w:val="7E5633A0"/>
    <w:rsid w:val="7E5637D7"/>
    <w:rsid w:val="7E56389E"/>
    <w:rsid w:val="7E566C54"/>
    <w:rsid w:val="7E572CB5"/>
    <w:rsid w:val="7E5751DF"/>
    <w:rsid w:val="7E577064"/>
    <w:rsid w:val="7E5772CC"/>
    <w:rsid w:val="7E5805BA"/>
    <w:rsid w:val="7E58205F"/>
    <w:rsid w:val="7E582D05"/>
    <w:rsid w:val="7E582E17"/>
    <w:rsid w:val="7E590F57"/>
    <w:rsid w:val="7E595AB3"/>
    <w:rsid w:val="7E59665A"/>
    <w:rsid w:val="7E596C4A"/>
    <w:rsid w:val="7E5971A9"/>
    <w:rsid w:val="7E5A082B"/>
    <w:rsid w:val="7E5A1926"/>
    <w:rsid w:val="7E5A21D9"/>
    <w:rsid w:val="7E5A5649"/>
    <w:rsid w:val="7E5B2AC6"/>
    <w:rsid w:val="7E5B330A"/>
    <w:rsid w:val="7E5B4207"/>
    <w:rsid w:val="7E5C0A47"/>
    <w:rsid w:val="7E5C27F5"/>
    <w:rsid w:val="7E5C2C2A"/>
    <w:rsid w:val="7E5C45A3"/>
    <w:rsid w:val="7E5D031B"/>
    <w:rsid w:val="7E5D548E"/>
    <w:rsid w:val="7E5D57F9"/>
    <w:rsid w:val="7E5E06B3"/>
    <w:rsid w:val="7E5E261A"/>
    <w:rsid w:val="7E5E4287"/>
    <w:rsid w:val="7E5E47BF"/>
    <w:rsid w:val="7E5E656D"/>
    <w:rsid w:val="7E5F1447"/>
    <w:rsid w:val="7E5F22E5"/>
    <w:rsid w:val="7E6027DD"/>
    <w:rsid w:val="7E6028D7"/>
    <w:rsid w:val="7E6054A8"/>
    <w:rsid w:val="7E611BB9"/>
    <w:rsid w:val="7E61318D"/>
    <w:rsid w:val="7E61605D"/>
    <w:rsid w:val="7E617E0B"/>
    <w:rsid w:val="7E621509"/>
    <w:rsid w:val="7E621CF2"/>
    <w:rsid w:val="7E62443B"/>
    <w:rsid w:val="7E624CA1"/>
    <w:rsid w:val="7E631258"/>
    <w:rsid w:val="7E6316DF"/>
    <w:rsid w:val="7E631DD5"/>
    <w:rsid w:val="7E633B84"/>
    <w:rsid w:val="7E635932"/>
    <w:rsid w:val="7E635E7C"/>
    <w:rsid w:val="7E64102D"/>
    <w:rsid w:val="7E6416AA"/>
    <w:rsid w:val="7E642DD9"/>
    <w:rsid w:val="7E643E29"/>
    <w:rsid w:val="7E647607"/>
    <w:rsid w:val="7E655B4E"/>
    <w:rsid w:val="7E656734"/>
    <w:rsid w:val="7E657E8A"/>
    <w:rsid w:val="7E660124"/>
    <w:rsid w:val="7E660D86"/>
    <w:rsid w:val="7E66131A"/>
    <w:rsid w:val="7E666749"/>
    <w:rsid w:val="7E6671D0"/>
    <w:rsid w:val="7E6727AA"/>
    <w:rsid w:val="7E6747B5"/>
    <w:rsid w:val="7E676FEC"/>
    <w:rsid w:val="7E680A03"/>
    <w:rsid w:val="7E6820E7"/>
    <w:rsid w:val="7E682F48"/>
    <w:rsid w:val="7E68497B"/>
    <w:rsid w:val="7E68580A"/>
    <w:rsid w:val="7E686041"/>
    <w:rsid w:val="7E686206"/>
    <w:rsid w:val="7E6867FD"/>
    <w:rsid w:val="7E6911E4"/>
    <w:rsid w:val="7E6913DD"/>
    <w:rsid w:val="7E691610"/>
    <w:rsid w:val="7E691F05"/>
    <w:rsid w:val="7E694F12"/>
    <w:rsid w:val="7E696CC0"/>
    <w:rsid w:val="7E696DF4"/>
    <w:rsid w:val="7E697C9B"/>
    <w:rsid w:val="7E6A0FC8"/>
    <w:rsid w:val="7E6A5CFF"/>
    <w:rsid w:val="7E6A69EB"/>
    <w:rsid w:val="7E6A79E2"/>
    <w:rsid w:val="7E6B0C8A"/>
    <w:rsid w:val="7E6B0DF0"/>
    <w:rsid w:val="7E6B2452"/>
    <w:rsid w:val="7E6B3AED"/>
    <w:rsid w:val="7E6B79EA"/>
    <w:rsid w:val="7E6D10D6"/>
    <w:rsid w:val="7E6D4A6E"/>
    <w:rsid w:val="7E6D661C"/>
    <w:rsid w:val="7E6E0C3D"/>
    <w:rsid w:val="7E6E1DAC"/>
    <w:rsid w:val="7E6E2528"/>
    <w:rsid w:val="7E6E42D6"/>
    <w:rsid w:val="7E6E636B"/>
    <w:rsid w:val="7E6F077A"/>
    <w:rsid w:val="7E70004F"/>
    <w:rsid w:val="7E700B17"/>
    <w:rsid w:val="7E70147A"/>
    <w:rsid w:val="7E7044F2"/>
    <w:rsid w:val="7E70503D"/>
    <w:rsid w:val="7E7062A0"/>
    <w:rsid w:val="7E710202"/>
    <w:rsid w:val="7E713588"/>
    <w:rsid w:val="7E7200FE"/>
    <w:rsid w:val="7E722019"/>
    <w:rsid w:val="7E723DC7"/>
    <w:rsid w:val="7E724176"/>
    <w:rsid w:val="7E7257DC"/>
    <w:rsid w:val="7E7278BD"/>
    <w:rsid w:val="7E730D4D"/>
    <w:rsid w:val="7E7318ED"/>
    <w:rsid w:val="7E7336AD"/>
    <w:rsid w:val="7E735C2E"/>
    <w:rsid w:val="7E743B40"/>
    <w:rsid w:val="7E746A0C"/>
    <w:rsid w:val="7E747B3F"/>
    <w:rsid w:val="7E751B09"/>
    <w:rsid w:val="7E752DCA"/>
    <w:rsid w:val="7E755665"/>
    <w:rsid w:val="7E764D60"/>
    <w:rsid w:val="7E7713DD"/>
    <w:rsid w:val="7E7726CB"/>
    <w:rsid w:val="7E772737"/>
    <w:rsid w:val="7E77762F"/>
    <w:rsid w:val="7E781FEE"/>
    <w:rsid w:val="7E78372F"/>
    <w:rsid w:val="7E7864E1"/>
    <w:rsid w:val="7E795155"/>
    <w:rsid w:val="7E797790"/>
    <w:rsid w:val="7E7A0ECD"/>
    <w:rsid w:val="7E7A2F09"/>
    <w:rsid w:val="7E7A604F"/>
    <w:rsid w:val="7E7A711F"/>
    <w:rsid w:val="7E7B2AE0"/>
    <w:rsid w:val="7E7C2E97"/>
    <w:rsid w:val="7E7C3540"/>
    <w:rsid w:val="7E7C4C45"/>
    <w:rsid w:val="7E7C69F3"/>
    <w:rsid w:val="7E7D21DF"/>
    <w:rsid w:val="7E7D5D3C"/>
    <w:rsid w:val="7E7D7E98"/>
    <w:rsid w:val="7E7E232D"/>
    <w:rsid w:val="7E7E276B"/>
    <w:rsid w:val="7E7E4970"/>
    <w:rsid w:val="7E7E516C"/>
    <w:rsid w:val="7E7E5E60"/>
    <w:rsid w:val="7E7E60FC"/>
    <w:rsid w:val="7E7E6C0F"/>
    <w:rsid w:val="7E7F3D32"/>
    <w:rsid w:val="7E7F4EC9"/>
    <w:rsid w:val="7E7F4F69"/>
    <w:rsid w:val="7E7F64E4"/>
    <w:rsid w:val="7E7F6EEE"/>
    <w:rsid w:val="7E7F74A8"/>
    <w:rsid w:val="7E8044E0"/>
    <w:rsid w:val="7E8047FE"/>
    <w:rsid w:val="7E8104AE"/>
    <w:rsid w:val="7E81225C"/>
    <w:rsid w:val="7E814567"/>
    <w:rsid w:val="7E8147E1"/>
    <w:rsid w:val="7E815F22"/>
    <w:rsid w:val="7E820DF8"/>
    <w:rsid w:val="7E825594"/>
    <w:rsid w:val="7E825938"/>
    <w:rsid w:val="7E8273B2"/>
    <w:rsid w:val="7E830415"/>
    <w:rsid w:val="7E83046A"/>
    <w:rsid w:val="7E835D9F"/>
    <w:rsid w:val="7E835FD4"/>
    <w:rsid w:val="7E837D82"/>
    <w:rsid w:val="7E84219D"/>
    <w:rsid w:val="7E844A7D"/>
    <w:rsid w:val="7E8458A8"/>
    <w:rsid w:val="7E851D4C"/>
    <w:rsid w:val="7E857F9E"/>
    <w:rsid w:val="7E857FA3"/>
    <w:rsid w:val="7E863BDC"/>
    <w:rsid w:val="7E8645F2"/>
    <w:rsid w:val="7E865AC4"/>
    <w:rsid w:val="7E8807F6"/>
    <w:rsid w:val="7E883224"/>
    <w:rsid w:val="7E8835EA"/>
    <w:rsid w:val="7E88519C"/>
    <w:rsid w:val="7E885398"/>
    <w:rsid w:val="7E891110"/>
    <w:rsid w:val="7E897D0F"/>
    <w:rsid w:val="7E8B30DA"/>
    <w:rsid w:val="7E8B4758"/>
    <w:rsid w:val="7E8B4E88"/>
    <w:rsid w:val="7E8C065F"/>
    <w:rsid w:val="7E8D0900"/>
    <w:rsid w:val="7E8D1BE3"/>
    <w:rsid w:val="7E8D29AE"/>
    <w:rsid w:val="7E8D5D27"/>
    <w:rsid w:val="7E8D68EA"/>
    <w:rsid w:val="7E8D6E52"/>
    <w:rsid w:val="7E8E1714"/>
    <w:rsid w:val="7E8E6727"/>
    <w:rsid w:val="7E8F19B6"/>
    <w:rsid w:val="7E8F4EBC"/>
    <w:rsid w:val="7E90249F"/>
    <w:rsid w:val="7E9050F8"/>
    <w:rsid w:val="7E905C32"/>
    <w:rsid w:val="7E906943"/>
    <w:rsid w:val="7E9170F6"/>
    <w:rsid w:val="7E924469"/>
    <w:rsid w:val="7E9256EF"/>
    <w:rsid w:val="7E927FC5"/>
    <w:rsid w:val="7E933D3D"/>
    <w:rsid w:val="7E935F3B"/>
    <w:rsid w:val="7E940154"/>
    <w:rsid w:val="7E9401E1"/>
    <w:rsid w:val="7E941F8F"/>
    <w:rsid w:val="7E9520BA"/>
    <w:rsid w:val="7E952C57"/>
    <w:rsid w:val="7E953F59"/>
    <w:rsid w:val="7E955828"/>
    <w:rsid w:val="7E957203"/>
    <w:rsid w:val="7E962A37"/>
    <w:rsid w:val="7E9631BB"/>
    <w:rsid w:val="7E964D71"/>
    <w:rsid w:val="7E966CB8"/>
    <w:rsid w:val="7E9677B1"/>
    <w:rsid w:val="7E970148"/>
    <w:rsid w:val="7E973746"/>
    <w:rsid w:val="7E97382D"/>
    <w:rsid w:val="7E9743A0"/>
    <w:rsid w:val="7E975577"/>
    <w:rsid w:val="7E9755DB"/>
    <w:rsid w:val="7E977CD1"/>
    <w:rsid w:val="7E991353"/>
    <w:rsid w:val="7E9941A9"/>
    <w:rsid w:val="7E9957F7"/>
    <w:rsid w:val="7E9973EA"/>
    <w:rsid w:val="7E9975A5"/>
    <w:rsid w:val="7E9A0D49"/>
    <w:rsid w:val="7E9A1880"/>
    <w:rsid w:val="7E9A331D"/>
    <w:rsid w:val="7E9A3EF8"/>
    <w:rsid w:val="7E9A50CB"/>
    <w:rsid w:val="7E9A78A1"/>
    <w:rsid w:val="7E9B156F"/>
    <w:rsid w:val="7E9B264D"/>
    <w:rsid w:val="7E9B2796"/>
    <w:rsid w:val="7E9B6276"/>
    <w:rsid w:val="7E9C0E44"/>
    <w:rsid w:val="7E9C4EDE"/>
    <w:rsid w:val="7E9C52E7"/>
    <w:rsid w:val="7E9D2879"/>
    <w:rsid w:val="7E9D7CD9"/>
    <w:rsid w:val="7E9E2E0E"/>
    <w:rsid w:val="7E9E4BBC"/>
    <w:rsid w:val="7E9E544A"/>
    <w:rsid w:val="7E9E696A"/>
    <w:rsid w:val="7E9E7BAE"/>
    <w:rsid w:val="7E9E7F46"/>
    <w:rsid w:val="7E9F0934"/>
    <w:rsid w:val="7E9F23BF"/>
    <w:rsid w:val="7E9F29B6"/>
    <w:rsid w:val="7E9F528B"/>
    <w:rsid w:val="7EA03058"/>
    <w:rsid w:val="7EA06B86"/>
    <w:rsid w:val="7EA07D6A"/>
    <w:rsid w:val="7EA111FA"/>
    <w:rsid w:val="7EA113F5"/>
    <w:rsid w:val="7EA128FE"/>
    <w:rsid w:val="7EA14244"/>
    <w:rsid w:val="7EA14E3E"/>
    <w:rsid w:val="7EA1645A"/>
    <w:rsid w:val="7EA17C5F"/>
    <w:rsid w:val="7EA24235"/>
    <w:rsid w:val="7EA2525B"/>
    <w:rsid w:val="7EA303B6"/>
    <w:rsid w:val="7EA30424"/>
    <w:rsid w:val="7EA321D2"/>
    <w:rsid w:val="7EA35A72"/>
    <w:rsid w:val="7EA36676"/>
    <w:rsid w:val="7EA37E2C"/>
    <w:rsid w:val="7EA4093D"/>
    <w:rsid w:val="7EA41B5F"/>
    <w:rsid w:val="7EA448D3"/>
    <w:rsid w:val="7EA46AD1"/>
    <w:rsid w:val="7EA5025C"/>
    <w:rsid w:val="7EA55E80"/>
    <w:rsid w:val="7EA57133"/>
    <w:rsid w:val="7EA61B54"/>
    <w:rsid w:val="7EA63A70"/>
    <w:rsid w:val="7EA67F14"/>
    <w:rsid w:val="7EA764FC"/>
    <w:rsid w:val="7EA77C3D"/>
    <w:rsid w:val="7EA83C8C"/>
    <w:rsid w:val="7EA84A63"/>
    <w:rsid w:val="7EA85A3A"/>
    <w:rsid w:val="7EA865FF"/>
    <w:rsid w:val="7EA877E8"/>
    <w:rsid w:val="7EA91FAF"/>
    <w:rsid w:val="7EA9255D"/>
    <w:rsid w:val="7EA942FF"/>
    <w:rsid w:val="7EAA17B2"/>
    <w:rsid w:val="7EAA3560"/>
    <w:rsid w:val="7EAA512E"/>
    <w:rsid w:val="7EAA7A04"/>
    <w:rsid w:val="7EAB1087"/>
    <w:rsid w:val="7EAB72D9"/>
    <w:rsid w:val="7EAC2BFE"/>
    <w:rsid w:val="7EAD12A3"/>
    <w:rsid w:val="7EAD236E"/>
    <w:rsid w:val="7EAD3051"/>
    <w:rsid w:val="7EAD530E"/>
    <w:rsid w:val="7EAE3933"/>
    <w:rsid w:val="7EAE463B"/>
    <w:rsid w:val="7EAF0801"/>
    <w:rsid w:val="7EAF6DC9"/>
    <w:rsid w:val="7EB0040B"/>
    <w:rsid w:val="7EB02B41"/>
    <w:rsid w:val="7EB037B2"/>
    <w:rsid w:val="7EB048EF"/>
    <w:rsid w:val="7EB0785F"/>
    <w:rsid w:val="7EB079D5"/>
    <w:rsid w:val="7EB10D93"/>
    <w:rsid w:val="7EB138C0"/>
    <w:rsid w:val="7EB20667"/>
    <w:rsid w:val="7EB21C78"/>
    <w:rsid w:val="7EB22415"/>
    <w:rsid w:val="7EB268B9"/>
    <w:rsid w:val="7EB32B2E"/>
    <w:rsid w:val="7EB435A8"/>
    <w:rsid w:val="7EB4618D"/>
    <w:rsid w:val="7EB472FA"/>
    <w:rsid w:val="7EB47670"/>
    <w:rsid w:val="7EB548C5"/>
    <w:rsid w:val="7EB60414"/>
    <w:rsid w:val="7EB62636"/>
    <w:rsid w:val="7EB64B61"/>
    <w:rsid w:val="7EB663A9"/>
    <w:rsid w:val="7EB73ECF"/>
    <w:rsid w:val="7EB75C7D"/>
    <w:rsid w:val="7EB77A2B"/>
    <w:rsid w:val="7EB8083D"/>
    <w:rsid w:val="7EB91081"/>
    <w:rsid w:val="7EB913F0"/>
    <w:rsid w:val="7EB919F5"/>
    <w:rsid w:val="7EB97C47"/>
    <w:rsid w:val="7EBA0F8B"/>
    <w:rsid w:val="7EBB21A7"/>
    <w:rsid w:val="7EBB39C0"/>
    <w:rsid w:val="7EBB4972"/>
    <w:rsid w:val="7EBB576E"/>
    <w:rsid w:val="7EBB7543"/>
    <w:rsid w:val="7EBC14E6"/>
    <w:rsid w:val="7EBC3294"/>
    <w:rsid w:val="7EBC4261"/>
    <w:rsid w:val="7EBC7738"/>
    <w:rsid w:val="7EBE0DBA"/>
    <w:rsid w:val="7EBE1F70"/>
    <w:rsid w:val="7EBE2CCE"/>
    <w:rsid w:val="7EBE4A34"/>
    <w:rsid w:val="7EBE4F03"/>
    <w:rsid w:val="7EBE525E"/>
    <w:rsid w:val="7EBE700C"/>
    <w:rsid w:val="7EBF4B32"/>
    <w:rsid w:val="7EBF5EC4"/>
    <w:rsid w:val="7EC0068F"/>
    <w:rsid w:val="7EC00849"/>
    <w:rsid w:val="7EC00FD6"/>
    <w:rsid w:val="7EC02D84"/>
    <w:rsid w:val="7EC035FC"/>
    <w:rsid w:val="7EC0451B"/>
    <w:rsid w:val="7EC06323"/>
    <w:rsid w:val="7EC10816"/>
    <w:rsid w:val="7EC16AFC"/>
    <w:rsid w:val="7EC319FB"/>
    <w:rsid w:val="7EC33E74"/>
    <w:rsid w:val="7EC35AA6"/>
    <w:rsid w:val="7EC363D0"/>
    <w:rsid w:val="7EC4077C"/>
    <w:rsid w:val="7EC42148"/>
    <w:rsid w:val="7EC4446B"/>
    <w:rsid w:val="7EC5039A"/>
    <w:rsid w:val="7EC50590"/>
    <w:rsid w:val="7EC505F5"/>
    <w:rsid w:val="7EC512AA"/>
    <w:rsid w:val="7EC536C4"/>
    <w:rsid w:val="7EC572FA"/>
    <w:rsid w:val="7EC60243"/>
    <w:rsid w:val="7EC64112"/>
    <w:rsid w:val="7EC65650"/>
    <w:rsid w:val="7EC72D44"/>
    <w:rsid w:val="7EC74053"/>
    <w:rsid w:val="7EC743BC"/>
    <w:rsid w:val="7EC75AE6"/>
    <w:rsid w:val="7EC75DFF"/>
    <w:rsid w:val="7EC76A34"/>
    <w:rsid w:val="7EC81688"/>
    <w:rsid w:val="7EC81C39"/>
    <w:rsid w:val="7EC823F6"/>
    <w:rsid w:val="7EC82E67"/>
    <w:rsid w:val="7EC860DC"/>
    <w:rsid w:val="7EC945BE"/>
    <w:rsid w:val="7EC97423"/>
    <w:rsid w:val="7ECA2FD7"/>
    <w:rsid w:val="7ECA3C03"/>
    <w:rsid w:val="7ECA7A1A"/>
    <w:rsid w:val="7ECB1327"/>
    <w:rsid w:val="7ECB4DA6"/>
    <w:rsid w:val="7ECB797B"/>
    <w:rsid w:val="7ECC04C8"/>
    <w:rsid w:val="7ECD1A2F"/>
    <w:rsid w:val="7ECD36F3"/>
    <w:rsid w:val="7ECD54A1"/>
    <w:rsid w:val="7ECD6632"/>
    <w:rsid w:val="7ECE3BB9"/>
    <w:rsid w:val="7ECE6324"/>
    <w:rsid w:val="7ECE75B2"/>
    <w:rsid w:val="7ECF1219"/>
    <w:rsid w:val="7ECF2FC7"/>
    <w:rsid w:val="7ECF53A2"/>
    <w:rsid w:val="7ECF553C"/>
    <w:rsid w:val="7ECF59B9"/>
    <w:rsid w:val="7ECF7A6A"/>
    <w:rsid w:val="7ED00AED"/>
    <w:rsid w:val="7ED037CB"/>
    <w:rsid w:val="7ED10D8E"/>
    <w:rsid w:val="7ED11B74"/>
    <w:rsid w:val="7ED14F91"/>
    <w:rsid w:val="7ED166B7"/>
    <w:rsid w:val="7ED20C3B"/>
    <w:rsid w:val="7ED20D09"/>
    <w:rsid w:val="7ED22AB7"/>
    <w:rsid w:val="7ED2433A"/>
    <w:rsid w:val="7ED24865"/>
    <w:rsid w:val="7ED36F36"/>
    <w:rsid w:val="7ED405DD"/>
    <w:rsid w:val="7ED44D9A"/>
    <w:rsid w:val="7ED4616D"/>
    <w:rsid w:val="7ED54355"/>
    <w:rsid w:val="7ED56104"/>
    <w:rsid w:val="7ED5673E"/>
    <w:rsid w:val="7ED607F9"/>
    <w:rsid w:val="7ED625A7"/>
    <w:rsid w:val="7ED71085"/>
    <w:rsid w:val="7ED726E5"/>
    <w:rsid w:val="7ED73C11"/>
    <w:rsid w:val="7ED75443"/>
    <w:rsid w:val="7ED76320"/>
    <w:rsid w:val="7ED76487"/>
    <w:rsid w:val="7ED776F2"/>
    <w:rsid w:val="7ED87E48"/>
    <w:rsid w:val="7ED92098"/>
    <w:rsid w:val="7ED92331"/>
    <w:rsid w:val="7ED93E46"/>
    <w:rsid w:val="7ED951FA"/>
    <w:rsid w:val="7ED95941"/>
    <w:rsid w:val="7ED97988"/>
    <w:rsid w:val="7EDA196C"/>
    <w:rsid w:val="7EDB2510"/>
    <w:rsid w:val="7EDB3F5C"/>
    <w:rsid w:val="7EDB5E10"/>
    <w:rsid w:val="7EDC1B88"/>
    <w:rsid w:val="7EDC3842"/>
    <w:rsid w:val="7EDC3936"/>
    <w:rsid w:val="7EDC5F0A"/>
    <w:rsid w:val="7EDC5F41"/>
    <w:rsid w:val="7EDC687C"/>
    <w:rsid w:val="7EDC7492"/>
    <w:rsid w:val="7EDC7A86"/>
    <w:rsid w:val="7EDC7FBD"/>
    <w:rsid w:val="7EDD144D"/>
    <w:rsid w:val="7EDD15C3"/>
    <w:rsid w:val="7EDD6AFE"/>
    <w:rsid w:val="7EDE145C"/>
    <w:rsid w:val="7EDE5830"/>
    <w:rsid w:val="7EDE6016"/>
    <w:rsid w:val="7EDE76AE"/>
    <w:rsid w:val="7EDF2087"/>
    <w:rsid w:val="7EE03426"/>
    <w:rsid w:val="7EE06F82"/>
    <w:rsid w:val="7EE10233"/>
    <w:rsid w:val="7EE10F4C"/>
    <w:rsid w:val="7EE111C1"/>
    <w:rsid w:val="7EE1125E"/>
    <w:rsid w:val="7EE1292D"/>
    <w:rsid w:val="7EE13423"/>
    <w:rsid w:val="7EE1668D"/>
    <w:rsid w:val="7EE22420"/>
    <w:rsid w:val="7EE22913"/>
    <w:rsid w:val="7EE230FA"/>
    <w:rsid w:val="7EE2757B"/>
    <w:rsid w:val="7EE30820"/>
    <w:rsid w:val="7EE34CC4"/>
    <w:rsid w:val="7EE35F41"/>
    <w:rsid w:val="7EE36A72"/>
    <w:rsid w:val="7EE40839"/>
    <w:rsid w:val="7EE4500E"/>
    <w:rsid w:val="7EE46B78"/>
    <w:rsid w:val="7EE50A3C"/>
    <w:rsid w:val="7EE50DE4"/>
    <w:rsid w:val="7EE540FF"/>
    <w:rsid w:val="7EE57BDF"/>
    <w:rsid w:val="7EE63C40"/>
    <w:rsid w:val="7EE64D73"/>
    <w:rsid w:val="7EE66563"/>
    <w:rsid w:val="7EE71D05"/>
    <w:rsid w:val="7EE724FF"/>
    <w:rsid w:val="7EE7398F"/>
    <w:rsid w:val="7EE74A83"/>
    <w:rsid w:val="7EE767C9"/>
    <w:rsid w:val="7EE852D9"/>
    <w:rsid w:val="7EE91F1A"/>
    <w:rsid w:val="7EE940C2"/>
    <w:rsid w:val="7EE95410"/>
    <w:rsid w:val="7EE963FD"/>
    <w:rsid w:val="7EE979F0"/>
    <w:rsid w:val="7EEA05E4"/>
    <w:rsid w:val="7EEA19EE"/>
    <w:rsid w:val="7EEA25C1"/>
    <w:rsid w:val="7EEA6053"/>
    <w:rsid w:val="7EEA7614"/>
    <w:rsid w:val="7EEA7E01"/>
    <w:rsid w:val="7EEB06F9"/>
    <w:rsid w:val="7EEB3B79"/>
    <w:rsid w:val="7EEB3E7B"/>
    <w:rsid w:val="7EEB5927"/>
    <w:rsid w:val="7EEB76FD"/>
    <w:rsid w:val="7EEB7AC2"/>
    <w:rsid w:val="7EEC6371"/>
    <w:rsid w:val="7EED3C7E"/>
    <w:rsid w:val="7EED5B43"/>
    <w:rsid w:val="7EED7801"/>
    <w:rsid w:val="7EEE0573"/>
    <w:rsid w:val="7EEF002E"/>
    <w:rsid w:val="7EEF0DC3"/>
    <w:rsid w:val="7EEF18BB"/>
    <w:rsid w:val="7EEF2121"/>
    <w:rsid w:val="7EEF28BC"/>
    <w:rsid w:val="7EEF5417"/>
    <w:rsid w:val="7EEF71C5"/>
    <w:rsid w:val="7EF02F3D"/>
    <w:rsid w:val="7EF04CF2"/>
    <w:rsid w:val="7EF078C3"/>
    <w:rsid w:val="7EF11DCD"/>
    <w:rsid w:val="7EF11E40"/>
    <w:rsid w:val="7EF156AE"/>
    <w:rsid w:val="7EF173E1"/>
    <w:rsid w:val="7EF20D63"/>
    <w:rsid w:val="7EF21A17"/>
    <w:rsid w:val="7EF23159"/>
    <w:rsid w:val="7EF24F07"/>
    <w:rsid w:val="7EF352C8"/>
    <w:rsid w:val="7EF40C80"/>
    <w:rsid w:val="7EF42A2E"/>
    <w:rsid w:val="7EF43052"/>
    <w:rsid w:val="7EF44B08"/>
    <w:rsid w:val="7EF44CF2"/>
    <w:rsid w:val="7EF46ED2"/>
    <w:rsid w:val="7EF47E54"/>
    <w:rsid w:val="7EF50554"/>
    <w:rsid w:val="7EF517C8"/>
    <w:rsid w:val="7EF54E08"/>
    <w:rsid w:val="7EF55F93"/>
    <w:rsid w:val="7EF60B64"/>
    <w:rsid w:val="7EF61F5F"/>
    <w:rsid w:val="7EF63627"/>
    <w:rsid w:val="7EF64EFB"/>
    <w:rsid w:val="7EF667A6"/>
    <w:rsid w:val="7EF66AE0"/>
    <w:rsid w:val="7EF70770"/>
    <w:rsid w:val="7EF71F5D"/>
    <w:rsid w:val="7EF73484"/>
    <w:rsid w:val="7EF73EC1"/>
    <w:rsid w:val="7EF742CC"/>
    <w:rsid w:val="7EF7625A"/>
    <w:rsid w:val="7EF835B7"/>
    <w:rsid w:val="7EF86055"/>
    <w:rsid w:val="7EF87DC0"/>
    <w:rsid w:val="7EF90044"/>
    <w:rsid w:val="7EF96296"/>
    <w:rsid w:val="7EFA2AD9"/>
    <w:rsid w:val="7EFA7534"/>
    <w:rsid w:val="7EFB0260"/>
    <w:rsid w:val="7EFB200E"/>
    <w:rsid w:val="7EFC18E2"/>
    <w:rsid w:val="7EFC3295"/>
    <w:rsid w:val="7EFD1381"/>
    <w:rsid w:val="7EFD25BA"/>
    <w:rsid w:val="7EFE0E94"/>
    <w:rsid w:val="7EFE1AFE"/>
    <w:rsid w:val="7EFE565A"/>
    <w:rsid w:val="7EFE7E2D"/>
    <w:rsid w:val="7EFF1C16"/>
    <w:rsid w:val="7EFF2224"/>
    <w:rsid w:val="7EFF666A"/>
    <w:rsid w:val="7F001CE7"/>
    <w:rsid w:val="7F003179"/>
    <w:rsid w:val="7F004B76"/>
    <w:rsid w:val="7F0051E2"/>
    <w:rsid w:val="7F005876"/>
    <w:rsid w:val="7F00672A"/>
    <w:rsid w:val="7F007624"/>
    <w:rsid w:val="7F010848"/>
    <w:rsid w:val="7F01339C"/>
    <w:rsid w:val="7F017107"/>
    <w:rsid w:val="7F020AE3"/>
    <w:rsid w:val="7F030EC3"/>
    <w:rsid w:val="7F0315C1"/>
    <w:rsid w:val="7F031A27"/>
    <w:rsid w:val="7F0327AD"/>
    <w:rsid w:val="7F032C71"/>
    <w:rsid w:val="7F04278F"/>
    <w:rsid w:val="7F046E64"/>
    <w:rsid w:val="7F0476CC"/>
    <w:rsid w:val="7F051B2A"/>
    <w:rsid w:val="7F052B98"/>
    <w:rsid w:val="7F054C3B"/>
    <w:rsid w:val="7F0569E9"/>
    <w:rsid w:val="7F0604F7"/>
    <w:rsid w:val="7F062761"/>
    <w:rsid w:val="7F063699"/>
    <w:rsid w:val="7F0709B3"/>
    <w:rsid w:val="7F076C05"/>
    <w:rsid w:val="7F076D82"/>
    <w:rsid w:val="7F080287"/>
    <w:rsid w:val="7F0808D9"/>
    <w:rsid w:val="7F0821EA"/>
    <w:rsid w:val="7F08472B"/>
    <w:rsid w:val="7F0865D9"/>
    <w:rsid w:val="7F086B5C"/>
    <w:rsid w:val="7F097BE9"/>
    <w:rsid w:val="7F0A04A3"/>
    <w:rsid w:val="7F0A2251"/>
    <w:rsid w:val="7F0A280D"/>
    <w:rsid w:val="7F0A3FFF"/>
    <w:rsid w:val="7F0A4434"/>
    <w:rsid w:val="7F0B11F8"/>
    <w:rsid w:val="7F0B18FA"/>
    <w:rsid w:val="7F0B2B16"/>
    <w:rsid w:val="7F0B7D77"/>
    <w:rsid w:val="7F0C4E70"/>
    <w:rsid w:val="7F0C6759"/>
    <w:rsid w:val="7F0D1D41"/>
    <w:rsid w:val="7F0D3AEF"/>
    <w:rsid w:val="7F0D3FA9"/>
    <w:rsid w:val="7F0D56AA"/>
    <w:rsid w:val="7F0D7C6E"/>
    <w:rsid w:val="7F0E4DF5"/>
    <w:rsid w:val="7F0F1B8B"/>
    <w:rsid w:val="7F0F5FD5"/>
    <w:rsid w:val="7F0F6377"/>
    <w:rsid w:val="7F0F7867"/>
    <w:rsid w:val="7F1016A1"/>
    <w:rsid w:val="7F10538E"/>
    <w:rsid w:val="7F10576C"/>
    <w:rsid w:val="7F11402B"/>
    <w:rsid w:val="7F115181"/>
    <w:rsid w:val="7F121106"/>
    <w:rsid w:val="7F1255AA"/>
    <w:rsid w:val="7F127358"/>
    <w:rsid w:val="7F127844"/>
    <w:rsid w:val="7F127958"/>
    <w:rsid w:val="7F127FB8"/>
    <w:rsid w:val="7F132C5D"/>
    <w:rsid w:val="7F13763F"/>
    <w:rsid w:val="7F1430D0"/>
    <w:rsid w:val="7F143154"/>
    <w:rsid w:val="7F144E7E"/>
    <w:rsid w:val="7F157BE5"/>
    <w:rsid w:val="7F161053"/>
    <w:rsid w:val="7F1629A4"/>
    <w:rsid w:val="7F165798"/>
    <w:rsid w:val="7F1660D5"/>
    <w:rsid w:val="7F166E48"/>
    <w:rsid w:val="7F17496E"/>
    <w:rsid w:val="7F175454"/>
    <w:rsid w:val="7F17671C"/>
    <w:rsid w:val="7F18132D"/>
    <w:rsid w:val="7F182BC0"/>
    <w:rsid w:val="7F184B94"/>
    <w:rsid w:val="7F18593A"/>
    <w:rsid w:val="7F187B70"/>
    <w:rsid w:val="7F192494"/>
    <w:rsid w:val="7F193E14"/>
    <w:rsid w:val="7F19538E"/>
    <w:rsid w:val="7F196534"/>
    <w:rsid w:val="7F196938"/>
    <w:rsid w:val="7F1A0E14"/>
    <w:rsid w:val="7F1B06AA"/>
    <w:rsid w:val="7F1B26B0"/>
    <w:rsid w:val="7F1B4C61"/>
    <w:rsid w:val="7F1B7CAE"/>
    <w:rsid w:val="7F1B7FBA"/>
    <w:rsid w:val="7F1C1F84"/>
    <w:rsid w:val="7F1C287F"/>
    <w:rsid w:val="7F1C3D0F"/>
    <w:rsid w:val="7F1C7ECF"/>
    <w:rsid w:val="7F1D01D6"/>
    <w:rsid w:val="7F1D141F"/>
    <w:rsid w:val="7F1E3F4E"/>
    <w:rsid w:val="7F1E5CFC"/>
    <w:rsid w:val="7F1E662F"/>
    <w:rsid w:val="7F1E7669"/>
    <w:rsid w:val="7F1E7AAB"/>
    <w:rsid w:val="7F1F60EF"/>
    <w:rsid w:val="7F1F61F1"/>
    <w:rsid w:val="7F1F7291"/>
    <w:rsid w:val="7F201A75"/>
    <w:rsid w:val="7F203823"/>
    <w:rsid w:val="7F205261"/>
    <w:rsid w:val="7F207AA0"/>
    <w:rsid w:val="7F211349"/>
    <w:rsid w:val="7F21373B"/>
    <w:rsid w:val="7F213AAB"/>
    <w:rsid w:val="7F213B20"/>
    <w:rsid w:val="7F224935"/>
    <w:rsid w:val="7F224FB0"/>
    <w:rsid w:val="7F2257ED"/>
    <w:rsid w:val="7F227B81"/>
    <w:rsid w:val="7F231565"/>
    <w:rsid w:val="7F233313"/>
    <w:rsid w:val="7F2350C1"/>
    <w:rsid w:val="7F2351A1"/>
    <w:rsid w:val="7F2372DC"/>
    <w:rsid w:val="7F247DDD"/>
    <w:rsid w:val="7F250E39"/>
    <w:rsid w:val="7F253931"/>
    <w:rsid w:val="7F255072"/>
    <w:rsid w:val="7F2550D2"/>
    <w:rsid w:val="7F2552DD"/>
    <w:rsid w:val="7F256093"/>
    <w:rsid w:val="7F257067"/>
    <w:rsid w:val="7F25708B"/>
    <w:rsid w:val="7F2618C2"/>
    <w:rsid w:val="7F26365E"/>
    <w:rsid w:val="7F264BB1"/>
    <w:rsid w:val="7F272E03"/>
    <w:rsid w:val="7F274F27"/>
    <w:rsid w:val="7F280929"/>
    <w:rsid w:val="7F2826D7"/>
    <w:rsid w:val="7F285CCF"/>
    <w:rsid w:val="7F286B7B"/>
    <w:rsid w:val="7F296738"/>
    <w:rsid w:val="7F2A0D3F"/>
    <w:rsid w:val="7F2A1DAC"/>
    <w:rsid w:val="7F2A28F3"/>
    <w:rsid w:val="7F2A46A1"/>
    <w:rsid w:val="7F2A58DA"/>
    <w:rsid w:val="7F2A644F"/>
    <w:rsid w:val="7F2A66C4"/>
    <w:rsid w:val="7F2A74E0"/>
    <w:rsid w:val="7F2B0A14"/>
    <w:rsid w:val="7F2B3E75"/>
    <w:rsid w:val="7F2B5E31"/>
    <w:rsid w:val="7F2B5EEB"/>
    <w:rsid w:val="7F2C039F"/>
    <w:rsid w:val="7F2C0419"/>
    <w:rsid w:val="7F2C0C33"/>
    <w:rsid w:val="7F2C21C7"/>
    <w:rsid w:val="7F2C666B"/>
    <w:rsid w:val="7F2D017A"/>
    <w:rsid w:val="7F2D1A7E"/>
    <w:rsid w:val="7F2D4191"/>
    <w:rsid w:val="7F2D7CEE"/>
    <w:rsid w:val="7F2E23E3"/>
    <w:rsid w:val="7F2E721E"/>
    <w:rsid w:val="7F2E725C"/>
    <w:rsid w:val="7F2E7865"/>
    <w:rsid w:val="7F2F0CF5"/>
    <w:rsid w:val="7F2F0F1A"/>
    <w:rsid w:val="7F2F1CB8"/>
    <w:rsid w:val="7F2F3A66"/>
    <w:rsid w:val="7F2F4890"/>
    <w:rsid w:val="7F2F641F"/>
    <w:rsid w:val="7F2F67B7"/>
    <w:rsid w:val="7F2F75B4"/>
    <w:rsid w:val="7F2F7F0A"/>
    <w:rsid w:val="7F302185"/>
    <w:rsid w:val="7F30641E"/>
    <w:rsid w:val="7F307193"/>
    <w:rsid w:val="7F307A4D"/>
    <w:rsid w:val="7F307D3A"/>
    <w:rsid w:val="7F307FE4"/>
    <w:rsid w:val="7F313C82"/>
    <w:rsid w:val="7F315A30"/>
    <w:rsid w:val="7F3177DE"/>
    <w:rsid w:val="7F322283"/>
    <w:rsid w:val="7F323556"/>
    <w:rsid w:val="7F3279BA"/>
    <w:rsid w:val="7F330B06"/>
    <w:rsid w:val="7F334C4F"/>
    <w:rsid w:val="7F335853"/>
    <w:rsid w:val="7F335F35"/>
    <w:rsid w:val="7F33770C"/>
    <w:rsid w:val="7F3379FA"/>
    <w:rsid w:val="7F34107C"/>
    <w:rsid w:val="7F3419F4"/>
    <w:rsid w:val="7F343772"/>
    <w:rsid w:val="7F345520"/>
    <w:rsid w:val="7F3472CE"/>
    <w:rsid w:val="7F35038F"/>
    <w:rsid w:val="7F350DED"/>
    <w:rsid w:val="7F351513"/>
    <w:rsid w:val="7F3543A8"/>
    <w:rsid w:val="7F361298"/>
    <w:rsid w:val="7F3616D4"/>
    <w:rsid w:val="7F3648B6"/>
    <w:rsid w:val="7F367487"/>
    <w:rsid w:val="7F367EE4"/>
    <w:rsid w:val="7F372549"/>
    <w:rsid w:val="7F373DCB"/>
    <w:rsid w:val="7F381DA9"/>
    <w:rsid w:val="7F385010"/>
    <w:rsid w:val="7F386414"/>
    <w:rsid w:val="7F3869C4"/>
    <w:rsid w:val="7F390D88"/>
    <w:rsid w:val="7F393237"/>
    <w:rsid w:val="7F3948E4"/>
    <w:rsid w:val="7F3A4D1C"/>
    <w:rsid w:val="7F3B065C"/>
    <w:rsid w:val="7F3B1BF5"/>
    <w:rsid w:val="7F3B1E69"/>
    <w:rsid w:val="7F3B240A"/>
    <w:rsid w:val="7F3B27D0"/>
    <w:rsid w:val="7F3B68AE"/>
    <w:rsid w:val="7F3C0728"/>
    <w:rsid w:val="7F3C6183"/>
    <w:rsid w:val="7F3C631A"/>
    <w:rsid w:val="7F3C7165"/>
    <w:rsid w:val="7F3D0865"/>
    <w:rsid w:val="7F3D1ECF"/>
    <w:rsid w:val="7F3D4789"/>
    <w:rsid w:val="7F3E502E"/>
    <w:rsid w:val="7F3E639F"/>
    <w:rsid w:val="7F3F515D"/>
    <w:rsid w:val="7F4034AB"/>
    <w:rsid w:val="7F40356B"/>
    <w:rsid w:val="7F403EC5"/>
    <w:rsid w:val="7F405C73"/>
    <w:rsid w:val="7F413799"/>
    <w:rsid w:val="7F4202DC"/>
    <w:rsid w:val="7F4219EB"/>
    <w:rsid w:val="7F421BAA"/>
    <w:rsid w:val="7F42716B"/>
    <w:rsid w:val="7F427C3D"/>
    <w:rsid w:val="7F4305FB"/>
    <w:rsid w:val="7F4309DD"/>
    <w:rsid w:val="7F43111F"/>
    <w:rsid w:val="7F432EBE"/>
    <w:rsid w:val="7F4339B5"/>
    <w:rsid w:val="7F434F8F"/>
    <w:rsid w:val="7F435763"/>
    <w:rsid w:val="7F43660D"/>
    <w:rsid w:val="7F437511"/>
    <w:rsid w:val="7F441A8B"/>
    <w:rsid w:val="7F443B44"/>
    <w:rsid w:val="7F45047C"/>
    <w:rsid w:val="7F4521C3"/>
    <w:rsid w:val="7F453289"/>
    <w:rsid w:val="7F453E8E"/>
    <w:rsid w:val="7F456A92"/>
    <w:rsid w:val="7F45771C"/>
    <w:rsid w:val="7F460DAF"/>
    <w:rsid w:val="7F4639E1"/>
    <w:rsid w:val="7F466D59"/>
    <w:rsid w:val="7F473097"/>
    <w:rsid w:val="7F475253"/>
    <w:rsid w:val="7F47583B"/>
    <w:rsid w:val="7F480ED4"/>
    <w:rsid w:val="7F482D79"/>
    <w:rsid w:val="7F484B27"/>
    <w:rsid w:val="7F487AFB"/>
    <w:rsid w:val="7F492D2C"/>
    <w:rsid w:val="7F495730"/>
    <w:rsid w:val="7F4A08A0"/>
    <w:rsid w:val="7F4A15B7"/>
    <w:rsid w:val="7F4A4D43"/>
    <w:rsid w:val="7F4A6D21"/>
    <w:rsid w:val="7F4A7128"/>
    <w:rsid w:val="7F4B3E35"/>
    <w:rsid w:val="7F4B490F"/>
    <w:rsid w:val="7F4C0323"/>
    <w:rsid w:val="7F4C0ABC"/>
    <w:rsid w:val="7F4C279C"/>
    <w:rsid w:val="7F4C286A"/>
    <w:rsid w:val="7F4C4618"/>
    <w:rsid w:val="7F4C461E"/>
    <w:rsid w:val="7F4C64A1"/>
    <w:rsid w:val="7F4D0390"/>
    <w:rsid w:val="7F4D0FED"/>
    <w:rsid w:val="7F4D1678"/>
    <w:rsid w:val="7F4D16AD"/>
    <w:rsid w:val="7F4D213E"/>
    <w:rsid w:val="7F4D427E"/>
    <w:rsid w:val="7F4E1AFF"/>
    <w:rsid w:val="7F4E4273"/>
    <w:rsid w:val="7F4F20F6"/>
    <w:rsid w:val="7F4F235A"/>
    <w:rsid w:val="7F4F4108"/>
    <w:rsid w:val="7F4F5EB6"/>
    <w:rsid w:val="7F4F6B9E"/>
    <w:rsid w:val="7F505D25"/>
    <w:rsid w:val="7F5077F9"/>
    <w:rsid w:val="7F511C2E"/>
    <w:rsid w:val="7F511DF9"/>
    <w:rsid w:val="7F515688"/>
    <w:rsid w:val="7F5160D2"/>
    <w:rsid w:val="7F516756"/>
    <w:rsid w:val="7F517E80"/>
    <w:rsid w:val="7F523CFF"/>
    <w:rsid w:val="7F526C02"/>
    <w:rsid w:val="7F5300F0"/>
    <w:rsid w:val="7F531E4A"/>
    <w:rsid w:val="7F533BF8"/>
    <w:rsid w:val="7F53607F"/>
    <w:rsid w:val="7F53683C"/>
    <w:rsid w:val="7F541580"/>
    <w:rsid w:val="7F5434CC"/>
    <w:rsid w:val="7F543BA3"/>
    <w:rsid w:val="7F544403"/>
    <w:rsid w:val="7F547970"/>
    <w:rsid w:val="7F551F95"/>
    <w:rsid w:val="7F555AE5"/>
    <w:rsid w:val="7F557819"/>
    <w:rsid w:val="7F563301"/>
    <w:rsid w:val="7F565496"/>
    <w:rsid w:val="7F565D15"/>
    <w:rsid w:val="7F566A71"/>
    <w:rsid w:val="7F566FC8"/>
    <w:rsid w:val="7F567244"/>
    <w:rsid w:val="7F567685"/>
    <w:rsid w:val="7F570942"/>
    <w:rsid w:val="7F572178"/>
    <w:rsid w:val="7F58120E"/>
    <w:rsid w:val="7F5867C0"/>
    <w:rsid w:val="7F587460"/>
    <w:rsid w:val="7F590092"/>
    <w:rsid w:val="7F590F6E"/>
    <w:rsid w:val="7F5918BD"/>
    <w:rsid w:val="7F5931D8"/>
    <w:rsid w:val="7F593C16"/>
    <w:rsid w:val="7F595119"/>
    <w:rsid w:val="7F596D35"/>
    <w:rsid w:val="7F5A2381"/>
    <w:rsid w:val="7F5A3FB4"/>
    <w:rsid w:val="7F5B0CFF"/>
    <w:rsid w:val="7F5B485B"/>
    <w:rsid w:val="7F5B6D59"/>
    <w:rsid w:val="7F5B6E7D"/>
    <w:rsid w:val="7F5C3CD9"/>
    <w:rsid w:val="7F5C78AC"/>
    <w:rsid w:val="7F5D13F7"/>
    <w:rsid w:val="7F5D2632"/>
    <w:rsid w:val="7F5D630C"/>
    <w:rsid w:val="7F5E11E8"/>
    <w:rsid w:val="7F5F07EF"/>
    <w:rsid w:val="7F5F55F8"/>
    <w:rsid w:val="7F6000C3"/>
    <w:rsid w:val="7F60162A"/>
    <w:rsid w:val="7F601E71"/>
    <w:rsid w:val="7F604567"/>
    <w:rsid w:val="7F606315"/>
    <w:rsid w:val="7F6076EA"/>
    <w:rsid w:val="7F610C54"/>
    <w:rsid w:val="7F610FB3"/>
    <w:rsid w:val="7F62208D"/>
    <w:rsid w:val="7F625BE9"/>
    <w:rsid w:val="7F625D7B"/>
    <w:rsid w:val="7F631961"/>
    <w:rsid w:val="7F633C9C"/>
    <w:rsid w:val="7F63604B"/>
    <w:rsid w:val="7F637BB3"/>
    <w:rsid w:val="7F637FE8"/>
    <w:rsid w:val="7F6419FB"/>
    <w:rsid w:val="7F64263C"/>
    <w:rsid w:val="7F650C2D"/>
    <w:rsid w:val="7F650EE0"/>
    <w:rsid w:val="7F651B7D"/>
    <w:rsid w:val="7F652481"/>
    <w:rsid w:val="7F65392B"/>
    <w:rsid w:val="7F653DA0"/>
    <w:rsid w:val="7F6556D9"/>
    <w:rsid w:val="7F663995"/>
    <w:rsid w:val="7F664645"/>
    <w:rsid w:val="7F673200"/>
    <w:rsid w:val="7F6776A3"/>
    <w:rsid w:val="7F680E86"/>
    <w:rsid w:val="7F682EF8"/>
    <w:rsid w:val="7F6846AF"/>
    <w:rsid w:val="7F6851CA"/>
    <w:rsid w:val="7F686F78"/>
    <w:rsid w:val="7F692316"/>
    <w:rsid w:val="7F695F7C"/>
    <w:rsid w:val="7F696520"/>
    <w:rsid w:val="7F696A80"/>
    <w:rsid w:val="7F696F3D"/>
    <w:rsid w:val="7F6A0F75"/>
    <w:rsid w:val="7F6A14A0"/>
    <w:rsid w:val="7F6A6495"/>
    <w:rsid w:val="7F6A6577"/>
    <w:rsid w:val="7F6A6A30"/>
    <w:rsid w:val="7F6A7194"/>
    <w:rsid w:val="7F6B0784"/>
    <w:rsid w:val="7F6B4C36"/>
    <w:rsid w:val="7F6C563A"/>
    <w:rsid w:val="7F6C58C8"/>
    <w:rsid w:val="7F6C60C6"/>
    <w:rsid w:val="7F6D27E0"/>
    <w:rsid w:val="7F6D458E"/>
    <w:rsid w:val="7F6E0A32"/>
    <w:rsid w:val="7F6E2A76"/>
    <w:rsid w:val="7F6E35B7"/>
    <w:rsid w:val="7F6F0306"/>
    <w:rsid w:val="7F6F306D"/>
    <w:rsid w:val="7F6F4A47"/>
    <w:rsid w:val="7F6F604B"/>
    <w:rsid w:val="7F6F6558"/>
    <w:rsid w:val="7F70149F"/>
    <w:rsid w:val="7F7017E1"/>
    <w:rsid w:val="7F710522"/>
    <w:rsid w:val="7F71407E"/>
    <w:rsid w:val="7F7144BD"/>
    <w:rsid w:val="7F71748B"/>
    <w:rsid w:val="7F721BA4"/>
    <w:rsid w:val="7F72261C"/>
    <w:rsid w:val="7F723A7C"/>
    <w:rsid w:val="7F7251FD"/>
    <w:rsid w:val="7F72559E"/>
    <w:rsid w:val="7F727E65"/>
    <w:rsid w:val="7F730C18"/>
    <w:rsid w:val="7F730E42"/>
    <w:rsid w:val="7F73293C"/>
    <w:rsid w:val="7F732B19"/>
    <w:rsid w:val="7F73429A"/>
    <w:rsid w:val="7F735F98"/>
    <w:rsid w:val="7F736048"/>
    <w:rsid w:val="7F737DF6"/>
    <w:rsid w:val="7F737E41"/>
    <w:rsid w:val="7F737EC1"/>
    <w:rsid w:val="7F7406F6"/>
    <w:rsid w:val="7F744857"/>
    <w:rsid w:val="7F74591C"/>
    <w:rsid w:val="7F7500D5"/>
    <w:rsid w:val="7F7508B8"/>
    <w:rsid w:val="7F75461C"/>
    <w:rsid w:val="7F7553F9"/>
    <w:rsid w:val="7F757B36"/>
    <w:rsid w:val="7F761695"/>
    <w:rsid w:val="7F765B38"/>
    <w:rsid w:val="7F7724AF"/>
    <w:rsid w:val="7F772B0B"/>
    <w:rsid w:val="7F773697"/>
    <w:rsid w:val="7F774919"/>
    <w:rsid w:val="7F775DA9"/>
    <w:rsid w:val="7F7774CF"/>
    <w:rsid w:val="7F780E12"/>
    <w:rsid w:val="7F78365F"/>
    <w:rsid w:val="7F7846EA"/>
    <w:rsid w:val="7F785888"/>
    <w:rsid w:val="7F787239"/>
    <w:rsid w:val="7F791D0E"/>
    <w:rsid w:val="7F793B7D"/>
    <w:rsid w:val="7F7973D7"/>
    <w:rsid w:val="7F7A1B59"/>
    <w:rsid w:val="7F7A1CC3"/>
    <w:rsid w:val="7F7A289B"/>
    <w:rsid w:val="7F7A3456"/>
    <w:rsid w:val="7F7A52D8"/>
    <w:rsid w:val="7F7A745B"/>
    <w:rsid w:val="7F7B10B5"/>
    <w:rsid w:val="7F7B314F"/>
    <w:rsid w:val="7F7B472A"/>
    <w:rsid w:val="7F7B4EFD"/>
    <w:rsid w:val="7F7B6CAB"/>
    <w:rsid w:val="7F7B7837"/>
    <w:rsid w:val="7F7D0C75"/>
    <w:rsid w:val="7F7D2A23"/>
    <w:rsid w:val="7F7D490E"/>
    <w:rsid w:val="7F7D6EC7"/>
    <w:rsid w:val="7F7E21F1"/>
    <w:rsid w:val="7F7E2881"/>
    <w:rsid w:val="7F7E30AB"/>
    <w:rsid w:val="7F7E58BB"/>
    <w:rsid w:val="7F7E5C7D"/>
    <w:rsid w:val="7F7E679B"/>
    <w:rsid w:val="7F7F001E"/>
    <w:rsid w:val="7F7F1507"/>
    <w:rsid w:val="7F7F2C3F"/>
    <w:rsid w:val="7F800765"/>
    <w:rsid w:val="7F802513"/>
    <w:rsid w:val="7F805DC6"/>
    <w:rsid w:val="7F806259"/>
    <w:rsid w:val="7F811F25"/>
    <w:rsid w:val="7F812EB5"/>
    <w:rsid w:val="7F8145CF"/>
    <w:rsid w:val="7F8151D5"/>
    <w:rsid w:val="7F8160CE"/>
    <w:rsid w:val="7F820039"/>
    <w:rsid w:val="7F82628B"/>
    <w:rsid w:val="7F826DB5"/>
    <w:rsid w:val="7F834496"/>
    <w:rsid w:val="7F834B93"/>
    <w:rsid w:val="7F840255"/>
    <w:rsid w:val="7F842F50"/>
    <w:rsid w:val="7F844D95"/>
    <w:rsid w:val="7F8457DC"/>
    <w:rsid w:val="7F847B19"/>
    <w:rsid w:val="7F8518D8"/>
    <w:rsid w:val="7F851A29"/>
    <w:rsid w:val="7F855246"/>
    <w:rsid w:val="7F855D7C"/>
    <w:rsid w:val="7F86440E"/>
    <w:rsid w:val="7F8700E0"/>
    <w:rsid w:val="7F870ABF"/>
    <w:rsid w:val="7F871AF4"/>
    <w:rsid w:val="7F8738A2"/>
    <w:rsid w:val="7F8801DB"/>
    <w:rsid w:val="7F881088"/>
    <w:rsid w:val="7F882900"/>
    <w:rsid w:val="7F89586C"/>
    <w:rsid w:val="7F8A15E4"/>
    <w:rsid w:val="7F8A16CD"/>
    <w:rsid w:val="7F8A3392"/>
    <w:rsid w:val="7F8A6697"/>
    <w:rsid w:val="7F8A76FB"/>
    <w:rsid w:val="7F8A795A"/>
    <w:rsid w:val="7F8B3DE0"/>
    <w:rsid w:val="7F8B6225"/>
    <w:rsid w:val="7F8C0EB8"/>
    <w:rsid w:val="7F8C6953"/>
    <w:rsid w:val="7F8C6A27"/>
    <w:rsid w:val="7F8D4388"/>
    <w:rsid w:val="7F8D69DE"/>
    <w:rsid w:val="7F8D7AC3"/>
    <w:rsid w:val="7F8E2E82"/>
    <w:rsid w:val="7F8E483E"/>
    <w:rsid w:val="7F8E7FCF"/>
    <w:rsid w:val="7F8F24B9"/>
    <w:rsid w:val="7F8F2756"/>
    <w:rsid w:val="7F8F35B7"/>
    <w:rsid w:val="7F8F6BFA"/>
    <w:rsid w:val="7F9054C0"/>
    <w:rsid w:val="7F9102FC"/>
    <w:rsid w:val="7F912972"/>
    <w:rsid w:val="7F9164CE"/>
    <w:rsid w:val="7F92125D"/>
    <w:rsid w:val="7F923FF5"/>
    <w:rsid w:val="7F930498"/>
    <w:rsid w:val="7F933E41"/>
    <w:rsid w:val="7F941FDD"/>
    <w:rsid w:val="7F9443F3"/>
    <w:rsid w:val="7F9452D1"/>
    <w:rsid w:val="7F945FBF"/>
    <w:rsid w:val="7F947D6D"/>
    <w:rsid w:val="7F951E85"/>
    <w:rsid w:val="7F954211"/>
    <w:rsid w:val="7F95468F"/>
    <w:rsid w:val="7F9561A0"/>
    <w:rsid w:val="7F957EA2"/>
    <w:rsid w:val="7F961D37"/>
    <w:rsid w:val="7F962094"/>
    <w:rsid w:val="7F963418"/>
    <w:rsid w:val="7F963AD8"/>
    <w:rsid w:val="7F963AE5"/>
    <w:rsid w:val="7F965165"/>
    <w:rsid w:val="7F9709E3"/>
    <w:rsid w:val="7F986823"/>
    <w:rsid w:val="7F98785D"/>
    <w:rsid w:val="7F992618"/>
    <w:rsid w:val="7F9935D5"/>
    <w:rsid w:val="7F9950E2"/>
    <w:rsid w:val="7F99527C"/>
    <w:rsid w:val="7F995383"/>
    <w:rsid w:val="7F996437"/>
    <w:rsid w:val="7F9A1827"/>
    <w:rsid w:val="7F9A28F5"/>
    <w:rsid w:val="7F9A5CE7"/>
    <w:rsid w:val="7F9B10FB"/>
    <w:rsid w:val="7F9B12B6"/>
    <w:rsid w:val="7F9B1767"/>
    <w:rsid w:val="7F9B25D3"/>
    <w:rsid w:val="7F9B559F"/>
    <w:rsid w:val="7F9C0ED6"/>
    <w:rsid w:val="7F9C1B98"/>
    <w:rsid w:val="7F9C379F"/>
    <w:rsid w:val="7F9C4AE4"/>
    <w:rsid w:val="7F9C6B71"/>
    <w:rsid w:val="7F9D130A"/>
    <w:rsid w:val="7F9D1317"/>
    <w:rsid w:val="7F9D2148"/>
    <w:rsid w:val="7F9D30C5"/>
    <w:rsid w:val="7F9D56D5"/>
    <w:rsid w:val="7F9E2695"/>
    <w:rsid w:val="7F9E2999"/>
    <w:rsid w:val="7F9E4673"/>
    <w:rsid w:val="7F9E54F2"/>
    <w:rsid w:val="7F9F508F"/>
    <w:rsid w:val="7F9F6E3D"/>
    <w:rsid w:val="7FA04963"/>
    <w:rsid w:val="7FA06711"/>
    <w:rsid w:val="7FA11016"/>
    <w:rsid w:val="7FA152E7"/>
    <w:rsid w:val="7FA16445"/>
    <w:rsid w:val="7FA178FA"/>
    <w:rsid w:val="7FA206DC"/>
    <w:rsid w:val="7FA21622"/>
    <w:rsid w:val="7FA2248A"/>
    <w:rsid w:val="7FA224A6"/>
    <w:rsid w:val="7FA253A9"/>
    <w:rsid w:val="7FA2591E"/>
    <w:rsid w:val="7FA2692E"/>
    <w:rsid w:val="7FA272D5"/>
    <w:rsid w:val="7FA278D5"/>
    <w:rsid w:val="7FA30D65"/>
    <w:rsid w:val="7FA33709"/>
    <w:rsid w:val="7FA33936"/>
    <w:rsid w:val="7FA33BC7"/>
    <w:rsid w:val="7FA36202"/>
    <w:rsid w:val="7FA44DC6"/>
    <w:rsid w:val="7FA501CC"/>
    <w:rsid w:val="7FA50B03"/>
    <w:rsid w:val="7FA52F2A"/>
    <w:rsid w:val="7FA53052"/>
    <w:rsid w:val="7FA53ABE"/>
    <w:rsid w:val="7FA56256"/>
    <w:rsid w:val="7FA57915"/>
    <w:rsid w:val="7FA60E27"/>
    <w:rsid w:val="7FA64B95"/>
    <w:rsid w:val="7FA65598"/>
    <w:rsid w:val="7FA729EB"/>
    <w:rsid w:val="7FA73F44"/>
    <w:rsid w:val="7FA741E7"/>
    <w:rsid w:val="7FA75CF2"/>
    <w:rsid w:val="7FA77AA0"/>
    <w:rsid w:val="7FA86F12"/>
    <w:rsid w:val="7FA91A6A"/>
    <w:rsid w:val="7FA92085"/>
    <w:rsid w:val="7FA93818"/>
    <w:rsid w:val="7FA94BD7"/>
    <w:rsid w:val="7FA96463"/>
    <w:rsid w:val="7FA977A8"/>
    <w:rsid w:val="7FA97CBC"/>
    <w:rsid w:val="7FAA7590"/>
    <w:rsid w:val="7FAA7942"/>
    <w:rsid w:val="7FAB3A34"/>
    <w:rsid w:val="7FAC155A"/>
    <w:rsid w:val="7FAC3308"/>
    <w:rsid w:val="7FAD19F6"/>
    <w:rsid w:val="7FAD3EFA"/>
    <w:rsid w:val="7FAE0A49"/>
    <w:rsid w:val="7FAE52D2"/>
    <w:rsid w:val="7FAE7080"/>
    <w:rsid w:val="7FAF092C"/>
    <w:rsid w:val="7FAF1ED9"/>
    <w:rsid w:val="7FAF2DF8"/>
    <w:rsid w:val="7FAF4BA7"/>
    <w:rsid w:val="7FB03369"/>
    <w:rsid w:val="7FB1091F"/>
    <w:rsid w:val="7FB126CD"/>
    <w:rsid w:val="7FB2091C"/>
    <w:rsid w:val="7FB239DF"/>
    <w:rsid w:val="7FB25F8E"/>
    <w:rsid w:val="7FB275B0"/>
    <w:rsid w:val="7FB328E9"/>
    <w:rsid w:val="7FB34697"/>
    <w:rsid w:val="7FB40BBB"/>
    <w:rsid w:val="7FB421BD"/>
    <w:rsid w:val="7FB448BB"/>
    <w:rsid w:val="7FB44B21"/>
    <w:rsid w:val="7FB45F93"/>
    <w:rsid w:val="7FB54732"/>
    <w:rsid w:val="7FB54A6C"/>
    <w:rsid w:val="7FB56661"/>
    <w:rsid w:val="7FB5758F"/>
    <w:rsid w:val="7FB6091C"/>
    <w:rsid w:val="7FB623D9"/>
    <w:rsid w:val="7FB64187"/>
    <w:rsid w:val="7FB65F35"/>
    <w:rsid w:val="7FB75DF8"/>
    <w:rsid w:val="7FB814E5"/>
    <w:rsid w:val="7FB8164A"/>
    <w:rsid w:val="7FB83A5B"/>
    <w:rsid w:val="7FB840B6"/>
    <w:rsid w:val="7FB85480"/>
    <w:rsid w:val="7FB87EFF"/>
    <w:rsid w:val="7FB91C5F"/>
    <w:rsid w:val="7FBA3C77"/>
    <w:rsid w:val="7FBA5AD8"/>
    <w:rsid w:val="7FBB0472"/>
    <w:rsid w:val="7FBB084F"/>
    <w:rsid w:val="7FBB354B"/>
    <w:rsid w:val="7FBB76D6"/>
    <w:rsid w:val="7FBB79EF"/>
    <w:rsid w:val="7FBC126C"/>
    <w:rsid w:val="7FBC6B0F"/>
    <w:rsid w:val="7FBD2E97"/>
    <w:rsid w:val="7FBD3A26"/>
    <w:rsid w:val="7FBD44DD"/>
    <w:rsid w:val="7FBD5515"/>
    <w:rsid w:val="7FBD72C3"/>
    <w:rsid w:val="7FBE4DEA"/>
    <w:rsid w:val="7FBE7A1C"/>
    <w:rsid w:val="7FBF0EC4"/>
    <w:rsid w:val="7FBF128D"/>
    <w:rsid w:val="7FBF278C"/>
    <w:rsid w:val="7FBF303C"/>
    <w:rsid w:val="7FC00B62"/>
    <w:rsid w:val="7FC00B93"/>
    <w:rsid w:val="7FC02E5E"/>
    <w:rsid w:val="7FC05006"/>
    <w:rsid w:val="7FC06DB4"/>
    <w:rsid w:val="7FC110E6"/>
    <w:rsid w:val="7FC12C01"/>
    <w:rsid w:val="7FC15E65"/>
    <w:rsid w:val="7FC22B2C"/>
    <w:rsid w:val="7FC22E09"/>
    <w:rsid w:val="7FC234D1"/>
    <w:rsid w:val="7FC248DA"/>
    <w:rsid w:val="7FC24A05"/>
    <w:rsid w:val="7FC317DF"/>
    <w:rsid w:val="7FC31A05"/>
    <w:rsid w:val="7FC32F20"/>
    <w:rsid w:val="7FC33387"/>
    <w:rsid w:val="7FC35D6A"/>
    <w:rsid w:val="7FC4144D"/>
    <w:rsid w:val="7FC43757"/>
    <w:rsid w:val="7FC44AF6"/>
    <w:rsid w:val="7FC4650B"/>
    <w:rsid w:val="7FC5261C"/>
    <w:rsid w:val="7FC543CA"/>
    <w:rsid w:val="7FC54790"/>
    <w:rsid w:val="7FC56178"/>
    <w:rsid w:val="7FC618A1"/>
    <w:rsid w:val="7FC66CD0"/>
    <w:rsid w:val="7FC70142"/>
    <w:rsid w:val="7FC71EF0"/>
    <w:rsid w:val="7FC72B17"/>
    <w:rsid w:val="7FC761DE"/>
    <w:rsid w:val="7FC76394"/>
    <w:rsid w:val="7FC77B40"/>
    <w:rsid w:val="7FC801D1"/>
    <w:rsid w:val="7FC80F75"/>
    <w:rsid w:val="7FC86FB4"/>
    <w:rsid w:val="7FC87497"/>
    <w:rsid w:val="7FC87C22"/>
    <w:rsid w:val="7FC9210C"/>
    <w:rsid w:val="7FC92566"/>
    <w:rsid w:val="7FC93EBA"/>
    <w:rsid w:val="7FC943E8"/>
    <w:rsid w:val="7FC95651"/>
    <w:rsid w:val="7FC95C68"/>
    <w:rsid w:val="7FC9626B"/>
    <w:rsid w:val="7FCA06E4"/>
    <w:rsid w:val="7FCA19E0"/>
    <w:rsid w:val="7FCA2092"/>
    <w:rsid w:val="7FCA756C"/>
    <w:rsid w:val="7FCB58FE"/>
    <w:rsid w:val="7FCB7C32"/>
    <w:rsid w:val="7FCC3260"/>
    <w:rsid w:val="7FCC39AA"/>
    <w:rsid w:val="7FCC7507"/>
    <w:rsid w:val="7FCD13AB"/>
    <w:rsid w:val="7FCD24B7"/>
    <w:rsid w:val="7FCD50A3"/>
    <w:rsid w:val="7FCE0033"/>
    <w:rsid w:val="7FCE14D1"/>
    <w:rsid w:val="7FCE2AAE"/>
    <w:rsid w:val="7FCE327F"/>
    <w:rsid w:val="7FCE47B0"/>
    <w:rsid w:val="7FCE7723"/>
    <w:rsid w:val="7FCF130A"/>
    <w:rsid w:val="7FCF14C3"/>
    <w:rsid w:val="7FCF3BED"/>
    <w:rsid w:val="7FCF545F"/>
    <w:rsid w:val="7FCF5BD7"/>
    <w:rsid w:val="7FCF5C28"/>
    <w:rsid w:val="7FCF6FF7"/>
    <w:rsid w:val="7FD01A66"/>
    <w:rsid w:val="7FD05249"/>
    <w:rsid w:val="7FD0610C"/>
    <w:rsid w:val="7FD10FC1"/>
    <w:rsid w:val="7FD12D6F"/>
    <w:rsid w:val="7FD1540B"/>
    <w:rsid w:val="7FD15524"/>
    <w:rsid w:val="7FD16703"/>
    <w:rsid w:val="7FD20A19"/>
    <w:rsid w:val="7FD23D37"/>
    <w:rsid w:val="7FD26049"/>
    <w:rsid w:val="7FD272F1"/>
    <w:rsid w:val="7FD305C0"/>
    <w:rsid w:val="7FD30895"/>
    <w:rsid w:val="7FD30E24"/>
    <w:rsid w:val="7FD31ACB"/>
    <w:rsid w:val="7FD36AE7"/>
    <w:rsid w:val="7FD40848"/>
    <w:rsid w:val="7FD4460D"/>
    <w:rsid w:val="7FD556BC"/>
    <w:rsid w:val="7FD56AC9"/>
    <w:rsid w:val="7FD575FE"/>
    <w:rsid w:val="7FD60385"/>
    <w:rsid w:val="7FD60A38"/>
    <w:rsid w:val="7FD62C99"/>
    <w:rsid w:val="7FD633EB"/>
    <w:rsid w:val="7FD64829"/>
    <w:rsid w:val="7FD72CF2"/>
    <w:rsid w:val="7FD733BC"/>
    <w:rsid w:val="7FD73D04"/>
    <w:rsid w:val="7FD778F9"/>
    <w:rsid w:val="7FD77BA3"/>
    <w:rsid w:val="7FD84ED6"/>
    <w:rsid w:val="7FD91B84"/>
    <w:rsid w:val="7FD91C23"/>
    <w:rsid w:val="7FD92575"/>
    <w:rsid w:val="7FD95146"/>
    <w:rsid w:val="7FD971A7"/>
    <w:rsid w:val="7FDA5ADE"/>
    <w:rsid w:val="7FDA5ED1"/>
    <w:rsid w:val="7FDA7E75"/>
    <w:rsid w:val="7FDB3BED"/>
    <w:rsid w:val="7FDB4C52"/>
    <w:rsid w:val="7FDB51ED"/>
    <w:rsid w:val="7FDB599C"/>
    <w:rsid w:val="7FDC1E3F"/>
    <w:rsid w:val="7FDC6EA5"/>
    <w:rsid w:val="7FDD0AE8"/>
    <w:rsid w:val="7FDD0BF0"/>
    <w:rsid w:val="7FDD1714"/>
    <w:rsid w:val="7FDD7966"/>
    <w:rsid w:val="7FDE1729"/>
    <w:rsid w:val="7FDE30F8"/>
    <w:rsid w:val="7FDE3FD8"/>
    <w:rsid w:val="7FDF723A"/>
    <w:rsid w:val="7FE0141C"/>
    <w:rsid w:val="7FE02FB2"/>
    <w:rsid w:val="7FE038E5"/>
    <w:rsid w:val="7FE05C00"/>
    <w:rsid w:val="7FE10EBC"/>
    <w:rsid w:val="7FE1715B"/>
    <w:rsid w:val="7FE20888"/>
    <w:rsid w:val="7FE231CE"/>
    <w:rsid w:val="7FE24427"/>
    <w:rsid w:val="7FE24D68"/>
    <w:rsid w:val="7FE24F7C"/>
    <w:rsid w:val="7FE26D92"/>
    <w:rsid w:val="7FE30495"/>
    <w:rsid w:val="7FE30DC9"/>
    <w:rsid w:val="7FE32626"/>
    <w:rsid w:val="7FE361F8"/>
    <w:rsid w:val="7FE40CF4"/>
    <w:rsid w:val="7FE42AA2"/>
    <w:rsid w:val="7FE42C84"/>
    <w:rsid w:val="7FE44850"/>
    <w:rsid w:val="7FE45F75"/>
    <w:rsid w:val="7FE47E50"/>
    <w:rsid w:val="7FE505C8"/>
    <w:rsid w:val="7FE53215"/>
    <w:rsid w:val="7FE54E2A"/>
    <w:rsid w:val="7FE5612D"/>
    <w:rsid w:val="7FE57D54"/>
    <w:rsid w:val="7FE64A6C"/>
    <w:rsid w:val="7FE662BA"/>
    <w:rsid w:val="7FE707E4"/>
    <w:rsid w:val="7FE74340"/>
    <w:rsid w:val="7FE82DEE"/>
    <w:rsid w:val="7FE8319D"/>
    <w:rsid w:val="7FE84988"/>
    <w:rsid w:val="7FE931AF"/>
    <w:rsid w:val="7FE9455C"/>
    <w:rsid w:val="7FE94E55"/>
    <w:rsid w:val="7FE96987"/>
    <w:rsid w:val="7FEA0E52"/>
    <w:rsid w:val="7FEA3E31"/>
    <w:rsid w:val="7FEA5BDF"/>
    <w:rsid w:val="7FEB4E86"/>
    <w:rsid w:val="7FEB5383"/>
    <w:rsid w:val="7FEC1957"/>
    <w:rsid w:val="7FEC266B"/>
    <w:rsid w:val="7FEC35BC"/>
    <w:rsid w:val="7FEC4806"/>
    <w:rsid w:val="7FEC4FE1"/>
    <w:rsid w:val="7FEC5267"/>
    <w:rsid w:val="7FEC5DFB"/>
    <w:rsid w:val="7FED1E7B"/>
    <w:rsid w:val="7FED34A3"/>
    <w:rsid w:val="7FED3ACF"/>
    <w:rsid w:val="7FED50BB"/>
    <w:rsid w:val="7FEE3921"/>
    <w:rsid w:val="7FEE39DD"/>
    <w:rsid w:val="7FEF1377"/>
    <w:rsid w:val="7FEF19C3"/>
    <w:rsid w:val="7FF01447"/>
    <w:rsid w:val="7FF042F2"/>
    <w:rsid w:val="7FF058EB"/>
    <w:rsid w:val="7FF05C08"/>
    <w:rsid w:val="7FF07699"/>
    <w:rsid w:val="7FF11AF3"/>
    <w:rsid w:val="7FF151BF"/>
    <w:rsid w:val="7FF1644D"/>
    <w:rsid w:val="7FF1664A"/>
    <w:rsid w:val="7FF16984"/>
    <w:rsid w:val="7FF16F6D"/>
    <w:rsid w:val="7FF220EA"/>
    <w:rsid w:val="7FF22B28"/>
    <w:rsid w:val="7FF30165"/>
    <w:rsid w:val="7FF303D4"/>
    <w:rsid w:val="7FF308BE"/>
    <w:rsid w:val="7FF30F37"/>
    <w:rsid w:val="7FF32CE5"/>
    <w:rsid w:val="7FF35E06"/>
    <w:rsid w:val="7FF369DD"/>
    <w:rsid w:val="7FF37189"/>
    <w:rsid w:val="7FF4698F"/>
    <w:rsid w:val="7FF511E2"/>
    <w:rsid w:val="7FF53257"/>
    <w:rsid w:val="7FF54CAF"/>
    <w:rsid w:val="7FF565D4"/>
    <w:rsid w:val="7FF56A5D"/>
    <w:rsid w:val="7FF57D2E"/>
    <w:rsid w:val="7FF60255"/>
    <w:rsid w:val="7FF607AF"/>
    <w:rsid w:val="7FF62632"/>
    <w:rsid w:val="7FF62787"/>
    <w:rsid w:val="7FF627D5"/>
    <w:rsid w:val="7FF632AF"/>
    <w:rsid w:val="7FF723F5"/>
    <w:rsid w:val="7FF75910"/>
    <w:rsid w:val="7FF802FC"/>
    <w:rsid w:val="7FF81B5F"/>
    <w:rsid w:val="7FF8479F"/>
    <w:rsid w:val="7FF92E95"/>
    <w:rsid w:val="7FF94405"/>
    <w:rsid w:val="7FF96287"/>
    <w:rsid w:val="7FFA1057"/>
    <w:rsid w:val="7FFA1BBE"/>
    <w:rsid w:val="7FFA22C6"/>
    <w:rsid w:val="7FFA4074"/>
    <w:rsid w:val="7FFA447F"/>
    <w:rsid w:val="7FFA536E"/>
    <w:rsid w:val="7FFB3170"/>
    <w:rsid w:val="7FFB551D"/>
    <w:rsid w:val="7FFB603E"/>
    <w:rsid w:val="7FFB72E6"/>
    <w:rsid w:val="7FFC0E00"/>
    <w:rsid w:val="7FFC4290"/>
    <w:rsid w:val="7FFD0C77"/>
    <w:rsid w:val="7FFD2ACA"/>
    <w:rsid w:val="7FFD3B64"/>
    <w:rsid w:val="7FFD3D87"/>
    <w:rsid w:val="7FFD494C"/>
    <w:rsid w:val="7FFE2150"/>
    <w:rsid w:val="7FFE776C"/>
    <w:rsid w:val="7FFF168A"/>
    <w:rsid w:val="7FFF631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nhideWhenUsed="0" w:uiPriority="1" w:semiHidden="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39" w:semiHidden="0" w:name="toc 9"/>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nhideWhenUsed="0" w:uiPriority="0" w:semiHidden="0" w:name="caption"/>
    <w:lsdException w:unhideWhenUsed="0" w:uiPriority="0" w:semiHidden="0" w:name="table of figures" w:locked="1"/>
    <w:lsdException w:unhideWhenUsed="0" w:uiPriority="0" w:semiHidden="0" w:name="envelope address" w:locked="1"/>
    <w:lsdException w:qFormat="1" w:unhideWhenUsed="0" w:uiPriority="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ocked="1"/>
    <w:lsdException w:unhideWhenUsed="0" w:uiPriority="0" w:semiHidden="0" w:name="Body Text 2"/>
    <w:lsdException w:unhideWhenUsed="0" w:uiPriority="0" w:semiHidden="0" w:name="Body Text 3" w:locked="1"/>
    <w:lsdException w:qFormat="1" w:unhideWhenUsed="0" w:uiPriority="0" w:semiHidden="0" w:name="Body Text Indent 2"/>
    <w:lsdException w:unhideWhenUsed="0" w:uiPriority="0" w:semiHidden="0" w:name="Body Text Indent 3" w:locked="1"/>
    <w:lsdException w:unhideWhenUsed="0" w:uiPriority="0" w:semiHidden="0" w:name="Block Text"/>
    <w:lsdException w:qFormat="1" w:unhideWhenUsed="0" w:uiPriority="0" w:semiHidden="0" w:name="Hyperlink"/>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5">
    <w:name w:val="heading 1"/>
    <w:basedOn w:val="1"/>
    <w:next w:val="1"/>
    <w:link w:val="35"/>
    <w:autoRedefine/>
    <w:qFormat/>
    <w:locked/>
    <w:uiPriority w:val="99"/>
    <w:pPr>
      <w:keepNext w:val="0"/>
      <w:overflowPunct/>
      <w:adjustRightInd w:val="0"/>
      <w:snapToGrid w:val="0"/>
      <w:spacing w:before="50" w:beforeLines="50" w:after="50" w:afterLines="50" w:line="240" w:lineRule="auto"/>
      <w:ind w:left="0" w:firstLine="0"/>
      <w:jc w:val="center"/>
      <w:outlineLvl w:val="0"/>
    </w:pPr>
    <w:rPr>
      <w:rFonts w:ascii="Times New Roman" w:hAnsi="Times New Roman" w:eastAsia="宋体"/>
      <w:b/>
      <w:bCs/>
      <w:color w:val="000000"/>
      <w:kern w:val="44"/>
      <w:sz w:val="30"/>
      <w:szCs w:val="30"/>
    </w:rPr>
  </w:style>
  <w:style w:type="paragraph" w:styleId="6">
    <w:name w:val="heading 2"/>
    <w:basedOn w:val="1"/>
    <w:next w:val="1"/>
    <w:autoRedefine/>
    <w:unhideWhenUsed/>
    <w:qFormat/>
    <w:locked/>
    <w:uiPriority w:val="0"/>
    <w:pPr>
      <w:keepNext w:val="0"/>
      <w:keepLines w:val="0"/>
      <w:spacing w:before="260" w:beforeLines="0" w:beforeAutospacing="0" w:after="260" w:afterLines="0" w:afterAutospacing="0" w:line="240" w:lineRule="auto"/>
      <w:jc w:val="center"/>
      <w:outlineLvl w:val="1"/>
    </w:pPr>
    <w:rPr>
      <w:rFonts w:ascii="Arial" w:hAnsi="Arial" w:eastAsia="黑体"/>
      <w:b/>
    </w:rPr>
  </w:style>
  <w:style w:type="paragraph" w:styleId="7">
    <w:name w:val="heading 3"/>
    <w:basedOn w:val="1"/>
    <w:next w:val="1"/>
    <w:autoRedefine/>
    <w:unhideWhenUsed/>
    <w:qFormat/>
    <w:locked/>
    <w:uiPriority w:val="0"/>
    <w:pPr>
      <w:keepNext w:val="0"/>
      <w:keepLines w:val="0"/>
      <w:spacing w:before="260" w:beforeLines="0" w:beforeAutospacing="0" w:after="260" w:afterLines="0" w:afterAutospacing="0" w:line="240" w:lineRule="auto"/>
      <w:jc w:val="center"/>
      <w:outlineLvl w:val="2"/>
    </w:pPr>
    <w:rPr>
      <w:rFonts w:ascii="Times New Roman" w:hAnsi="Times New Roman" w:eastAsia="宋体"/>
      <w:b/>
    </w:rPr>
  </w:style>
  <w:style w:type="paragraph" w:styleId="8">
    <w:name w:val="heading 4"/>
    <w:basedOn w:val="1"/>
    <w:next w:val="1"/>
    <w:autoRedefine/>
    <w:qFormat/>
    <w:locked/>
    <w:uiPriority w:val="0"/>
    <w:pPr>
      <w:keepLines w:val="0"/>
      <w:tabs>
        <w:tab w:val="left" w:pos="570"/>
        <w:tab w:val="left" w:pos="1680"/>
      </w:tabs>
      <w:spacing w:before="100" w:beforeLines="100" w:after="50" w:afterLines="50" w:line="360" w:lineRule="auto"/>
      <w:ind w:left="3362" w:hanging="420"/>
      <w:jc w:val="left"/>
      <w:outlineLvl w:val="3"/>
    </w:pPr>
    <w:rPr>
      <w:rFonts w:ascii="宋体" w:hAnsi="宋体" w:eastAsia="宋体" w:cs="宋体"/>
      <w:b/>
      <w:bCs/>
      <w:sz w:val="20"/>
      <w:szCs w:val="20"/>
    </w:rPr>
  </w:style>
  <w:style w:type="paragraph" w:styleId="9">
    <w:name w:val="heading 8"/>
    <w:basedOn w:val="1"/>
    <w:next w:val="1"/>
    <w:autoRedefine/>
    <w:qFormat/>
    <w:locked/>
    <w:uiPriority w:val="1"/>
    <w:pPr>
      <w:ind w:left="1002"/>
      <w:outlineLvl w:val="7"/>
    </w:pPr>
    <w:rPr>
      <w:rFonts w:ascii="宋体" w:hAnsi="宋体" w:eastAsia="宋体" w:cs="宋体"/>
      <w:b/>
      <w:bCs/>
      <w:sz w:val="24"/>
      <w:szCs w:val="24"/>
      <w:lang w:val="zh-CN" w:eastAsia="zh-CN" w:bidi="zh-CN"/>
    </w:rPr>
  </w:style>
  <w:style w:type="character" w:default="1" w:styleId="28">
    <w:name w:val="Default Paragraph Font"/>
    <w:autoRedefine/>
    <w:semiHidden/>
    <w:qFormat/>
    <w:uiPriority w:val="0"/>
  </w:style>
  <w:style w:type="table" w:default="1" w:styleId="26">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Default"/>
    <w:basedOn w:val="3"/>
    <w:next w:val="1"/>
    <w:autoRedefine/>
    <w:qFormat/>
    <w:uiPriority w:val="0"/>
    <w:pPr>
      <w:tabs>
        <w:tab w:val="center" w:pos="4394"/>
      </w:tabs>
      <w:autoSpaceDE w:val="0"/>
      <w:autoSpaceDN w:val="0"/>
      <w:adjustRightInd w:val="0"/>
    </w:pPr>
    <w:rPr>
      <w:rFonts w:ascii="宋体" w:hAnsi="Times New Roman" w:eastAsia="宋体"/>
      <w:color w:val="000000"/>
      <w:sz w:val="24"/>
      <w:szCs w:val="24"/>
    </w:rPr>
  </w:style>
  <w:style w:type="paragraph" w:customStyle="1" w:styleId="3">
    <w:name w:val="标题2"/>
    <w:basedOn w:val="4"/>
    <w:autoRedefine/>
    <w:qFormat/>
    <w:uiPriority w:val="0"/>
    <w:pPr>
      <w:numPr>
        <w:ilvl w:val="0"/>
        <w:numId w:val="1"/>
      </w:numPr>
      <w:tabs>
        <w:tab w:val="center" w:pos="4394"/>
      </w:tabs>
      <w:spacing w:before="0" w:after="0" w:line="440" w:lineRule="exact"/>
    </w:pPr>
    <w:rPr>
      <w:kern w:val="0"/>
      <w:sz w:val="28"/>
    </w:rPr>
  </w:style>
  <w:style w:type="paragraph" w:customStyle="1" w:styleId="4">
    <w:name w:val="标题1"/>
    <w:basedOn w:val="5"/>
    <w:next w:val="1"/>
    <w:autoRedefine/>
    <w:qFormat/>
    <w:uiPriority w:val="0"/>
    <w:pPr>
      <w:tabs>
        <w:tab w:val="center" w:pos="4394"/>
      </w:tabs>
      <w:adjustRightInd w:val="0"/>
      <w:spacing w:before="0" w:after="120" w:line="360" w:lineRule="auto"/>
      <w:jc w:val="center"/>
    </w:pPr>
    <w:rPr>
      <w:rFonts w:ascii="黑体" w:hAnsi="宋体" w:eastAsia="黑体"/>
      <w:b w:val="0"/>
      <w:sz w:val="36"/>
      <w:szCs w:val="32"/>
    </w:rPr>
  </w:style>
  <w:style w:type="paragraph" w:styleId="10">
    <w:name w:val="Normal Indent"/>
    <w:basedOn w:val="1"/>
    <w:next w:val="11"/>
    <w:qFormat/>
    <w:locked/>
    <w:uiPriority w:val="0"/>
    <w:pPr>
      <w:ind w:firstLine="420" w:firstLineChars="200"/>
    </w:pPr>
    <w:rPr>
      <w:szCs w:val="20"/>
    </w:rPr>
  </w:style>
  <w:style w:type="paragraph" w:styleId="11">
    <w:name w:val="Body Text First Indent 2"/>
    <w:basedOn w:val="12"/>
    <w:next w:val="1"/>
    <w:qFormat/>
    <w:uiPriority w:val="0"/>
    <w:pPr>
      <w:spacing w:after="120" w:afterLines="0" w:line="240" w:lineRule="auto"/>
      <w:ind w:left="420" w:leftChars="200" w:firstLine="420" w:firstLineChars="200"/>
    </w:pPr>
    <w:rPr>
      <w:sz w:val="21"/>
      <w:szCs w:val="24"/>
    </w:rPr>
  </w:style>
  <w:style w:type="paragraph" w:styleId="12">
    <w:name w:val="Body Text Indent"/>
    <w:basedOn w:val="1"/>
    <w:next w:val="13"/>
    <w:qFormat/>
    <w:uiPriority w:val="0"/>
    <w:pPr>
      <w:spacing w:after="120"/>
      <w:ind w:left="420" w:leftChars="200"/>
    </w:pPr>
    <w:rPr>
      <w:kern w:val="0"/>
      <w:sz w:val="24"/>
      <w:szCs w:val="20"/>
    </w:rPr>
  </w:style>
  <w:style w:type="paragraph" w:styleId="13">
    <w:name w:val="Body Text Indent 2"/>
    <w:basedOn w:val="1"/>
    <w:next w:val="1"/>
    <w:qFormat/>
    <w:uiPriority w:val="0"/>
    <w:pPr>
      <w:spacing w:after="120" w:line="480" w:lineRule="auto"/>
      <w:ind w:left="420" w:leftChars="200"/>
    </w:pPr>
  </w:style>
  <w:style w:type="paragraph" w:styleId="14">
    <w:name w:val="caption"/>
    <w:basedOn w:val="1"/>
    <w:next w:val="1"/>
    <w:qFormat/>
    <w:uiPriority w:val="0"/>
    <w:pPr>
      <w:jc w:val="center"/>
    </w:pPr>
    <w:rPr>
      <w:rFonts w:ascii="Cambria" w:hAnsi="Cambria"/>
      <w:b/>
      <w:sz w:val="24"/>
      <w:szCs w:val="20"/>
    </w:rPr>
  </w:style>
  <w:style w:type="paragraph" w:styleId="15">
    <w:name w:val="annotation text"/>
    <w:basedOn w:val="1"/>
    <w:qFormat/>
    <w:uiPriority w:val="0"/>
    <w:pPr>
      <w:jc w:val="left"/>
    </w:pPr>
  </w:style>
  <w:style w:type="paragraph" w:styleId="16">
    <w:name w:val="Salutation"/>
    <w:basedOn w:val="1"/>
    <w:next w:val="1"/>
    <w:qFormat/>
    <w:uiPriority w:val="0"/>
  </w:style>
  <w:style w:type="paragraph" w:styleId="17">
    <w:name w:val="Body Text"/>
    <w:basedOn w:val="1"/>
    <w:next w:val="1"/>
    <w:qFormat/>
    <w:uiPriority w:val="0"/>
    <w:pPr>
      <w:widowControl/>
      <w:snapToGrid w:val="0"/>
      <w:spacing w:before="60" w:after="160" w:line="259" w:lineRule="auto"/>
      <w:ind w:right="113"/>
    </w:pPr>
    <w:rPr>
      <w:kern w:val="0"/>
      <w:sz w:val="18"/>
      <w:szCs w:val="20"/>
    </w:rPr>
  </w:style>
  <w:style w:type="paragraph" w:styleId="18">
    <w:name w:val="Plain Text"/>
    <w:basedOn w:val="1"/>
    <w:qFormat/>
    <w:uiPriority w:val="0"/>
    <w:rPr>
      <w:rFonts w:ascii="宋体" w:hAnsi="Courier New"/>
    </w:rPr>
  </w:style>
  <w:style w:type="paragraph" w:styleId="19">
    <w:name w:val="footer"/>
    <w:basedOn w:val="1"/>
    <w:qFormat/>
    <w:uiPriority w:val="0"/>
    <w:pPr>
      <w:tabs>
        <w:tab w:val="center" w:pos="4153"/>
        <w:tab w:val="right" w:pos="8306"/>
      </w:tabs>
      <w:snapToGrid w:val="0"/>
      <w:jc w:val="left"/>
    </w:pPr>
    <w:rPr>
      <w:sz w:val="18"/>
    </w:rPr>
  </w:style>
  <w:style w:type="paragraph" w:styleId="20">
    <w:name w:val="envelope return"/>
    <w:basedOn w:val="1"/>
    <w:semiHidden/>
    <w:qFormat/>
    <w:locked/>
    <w:uiPriority w:val="0"/>
    <w:pPr>
      <w:widowControl w:val="0"/>
      <w:snapToGrid w:val="0"/>
      <w:ind w:left="100" w:leftChars="100"/>
      <w:jc w:val="both"/>
    </w:pPr>
    <w:rPr>
      <w:rFonts w:ascii="Arial" w:hAnsi="Arial" w:eastAsia="宋体" w:cs="Arial"/>
      <w:kern w:val="2"/>
      <w:sz w:val="24"/>
      <w:szCs w:val="24"/>
      <w:lang w:val="en-US" w:eastAsia="zh-CN" w:bidi="ar-SA"/>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2">
    <w:name w:val="toc 1"/>
    <w:basedOn w:val="1"/>
    <w:next w:val="1"/>
    <w:qFormat/>
    <w:locked/>
    <w:uiPriority w:val="0"/>
    <w:pPr>
      <w:widowControl/>
      <w:tabs>
        <w:tab w:val="right" w:leader="dot" w:pos="9061"/>
      </w:tabs>
      <w:adjustRightInd w:val="0"/>
      <w:snapToGrid w:val="0"/>
      <w:spacing w:before="100" w:beforeAutospacing="1" w:after="100" w:afterAutospacing="1"/>
    </w:pPr>
    <w:rPr>
      <w:rFonts w:cs="宋体-18030"/>
      <w:b/>
      <w:bCs/>
      <w:caps/>
      <w:kern w:val="0"/>
      <w:szCs w:val="22"/>
      <w:lang w:eastAsia="en-US" w:bidi="en-US"/>
    </w:rPr>
  </w:style>
  <w:style w:type="paragraph" w:styleId="23">
    <w:name w:val="toc 9"/>
    <w:basedOn w:val="1"/>
    <w:next w:val="1"/>
    <w:qFormat/>
    <w:uiPriority w:val="39"/>
    <w:pPr>
      <w:ind w:left="1680"/>
      <w:jc w:val="left"/>
    </w:pPr>
    <w:rPr>
      <w:szCs w:val="21"/>
    </w:rPr>
  </w:style>
  <w:style w:type="paragraph" w:styleId="24">
    <w:name w:val="Normal (Web)"/>
    <w:basedOn w:val="1"/>
    <w:qFormat/>
    <w:uiPriority w:val="0"/>
    <w:pPr>
      <w:widowControl/>
      <w:spacing w:before="0" w:beforeAutospacing="1" w:after="0" w:afterAutospacing="1"/>
      <w:ind w:left="0" w:right="0"/>
      <w:jc w:val="left"/>
    </w:pPr>
    <w:rPr>
      <w:rFonts w:ascii="宋体" w:hAnsi="宋体" w:cs="宋体"/>
      <w:kern w:val="0"/>
      <w:sz w:val="24"/>
      <w:szCs w:val="24"/>
      <w:lang w:val="en-US" w:eastAsia="zh-CN" w:bidi="ar"/>
    </w:rPr>
  </w:style>
  <w:style w:type="paragraph" w:styleId="25">
    <w:name w:val="Body Text First Indent"/>
    <w:basedOn w:val="17"/>
    <w:qFormat/>
    <w:uiPriority w:val="0"/>
    <w:pPr>
      <w:spacing w:line="560" w:lineRule="exact"/>
      <w:ind w:firstLine="720" w:firstLineChars="200"/>
    </w:pPr>
    <w:rPr>
      <w:szCs w:val="22"/>
    </w:rPr>
  </w:style>
  <w:style w:type="table" w:styleId="27">
    <w:name w:val="Table Grid"/>
    <w:basedOn w:val="26"/>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locked/>
    <w:uiPriority w:val="0"/>
    <w:rPr>
      <w:b/>
    </w:rPr>
  </w:style>
  <w:style w:type="character" w:styleId="30">
    <w:name w:val="Hyperlink"/>
    <w:basedOn w:val="28"/>
    <w:qFormat/>
    <w:uiPriority w:val="0"/>
    <w:rPr>
      <w:color w:val="0000FF"/>
      <w:u w:val="single"/>
    </w:rPr>
  </w:style>
  <w:style w:type="character" w:styleId="31">
    <w:name w:val="annotation reference"/>
    <w:basedOn w:val="28"/>
    <w:qFormat/>
    <w:uiPriority w:val="0"/>
    <w:rPr>
      <w:sz w:val="21"/>
      <w:szCs w:val="21"/>
    </w:rPr>
  </w:style>
  <w:style w:type="paragraph" w:customStyle="1" w:styleId="32">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cs="Times New Roman"/>
      <w:kern w:val="0"/>
      <w:sz w:val="16"/>
      <w:szCs w:val="16"/>
      <w:lang w:eastAsia="zh-TW"/>
    </w:rPr>
  </w:style>
  <w:style w:type="paragraph" w:customStyle="1" w:styleId="33">
    <w:name w:val="1正文段落"/>
    <w:basedOn w:val="1"/>
    <w:qFormat/>
    <w:uiPriority w:val="0"/>
    <w:pPr>
      <w:spacing w:line="360" w:lineRule="auto"/>
      <w:ind w:firstLine="480" w:firstLineChars="200"/>
      <w:jc w:val="left"/>
    </w:pPr>
    <w:rPr>
      <w:snapToGrid w:val="0"/>
      <w:kern w:val="0"/>
      <w:sz w:val="24"/>
    </w:rPr>
  </w:style>
  <w:style w:type="paragraph" w:customStyle="1" w:styleId="34">
    <w:name w:val="表格我的"/>
    <w:basedOn w:val="1"/>
    <w:qFormat/>
    <w:uiPriority w:val="0"/>
    <w:pPr>
      <w:spacing w:line="240" w:lineRule="auto"/>
      <w:jc w:val="center"/>
    </w:pPr>
    <w:rPr>
      <w:rFonts w:ascii="Times New Roman" w:hAnsi="Times New Roman" w:eastAsia="宋体"/>
      <w:snapToGrid w:val="0"/>
      <w:color w:val="FF0000"/>
      <w:kern w:val="0"/>
      <w:sz w:val="21"/>
      <w:szCs w:val="21"/>
    </w:rPr>
  </w:style>
  <w:style w:type="character" w:customStyle="1" w:styleId="35">
    <w:name w:val="标题 1 Char"/>
    <w:link w:val="5"/>
    <w:autoRedefine/>
    <w:qFormat/>
    <w:uiPriority w:val="99"/>
    <w:rPr>
      <w:rFonts w:ascii="Times New Roman" w:hAnsi="Times New Roman" w:eastAsia="宋体"/>
      <w:b/>
      <w:bCs/>
      <w:color w:val="000000"/>
      <w:kern w:val="44"/>
      <w:sz w:val="30"/>
      <w:szCs w:val="30"/>
    </w:rPr>
  </w:style>
  <w:style w:type="paragraph" w:customStyle="1" w:styleId="36">
    <w:name w:val="1图 表标题"/>
    <w:basedOn w:val="1"/>
    <w:link w:val="37"/>
    <w:autoRedefine/>
    <w:qFormat/>
    <w:uiPriority w:val="0"/>
    <w:pPr>
      <w:adjustRightInd w:val="0"/>
      <w:snapToGrid w:val="0"/>
      <w:spacing w:line="360" w:lineRule="auto"/>
      <w:jc w:val="center"/>
    </w:pPr>
    <w:rPr>
      <w:rFonts w:ascii="Times New Roman" w:hAnsi="Times New Roman" w:eastAsia="宋体"/>
      <w:b/>
    </w:rPr>
  </w:style>
  <w:style w:type="character" w:customStyle="1" w:styleId="37">
    <w:name w:val="图、表标题 Char"/>
    <w:link w:val="36"/>
    <w:autoRedefine/>
    <w:qFormat/>
    <w:uiPriority w:val="0"/>
    <w:rPr>
      <w:rFonts w:ascii="Times New Roman" w:hAnsi="Times New Roman" w:eastAsia="宋体" w:cs="Times New Roman"/>
      <w:b/>
      <w:sz w:val="24"/>
    </w:rPr>
  </w:style>
  <w:style w:type="paragraph" w:customStyle="1" w:styleId="38">
    <w:name w:val="1表格内容"/>
    <w:basedOn w:val="39"/>
    <w:next w:val="1"/>
    <w:autoRedefine/>
    <w:qFormat/>
    <w:uiPriority w:val="0"/>
    <w:pPr>
      <w:widowControl w:val="0"/>
      <w:topLinePunct/>
      <w:adjustRightInd w:val="0"/>
      <w:snapToGrid w:val="0"/>
      <w:jc w:val="center"/>
    </w:pPr>
    <w:rPr>
      <w:rFonts w:ascii="Times New Roman" w:hAnsi="Times New Roman" w:eastAsia="宋体" w:cs="Times New Roman"/>
      <w:sz w:val="21"/>
      <w:lang w:val="en-US" w:eastAsia="zh-CN" w:bidi="ar-SA"/>
    </w:rPr>
  </w:style>
  <w:style w:type="paragraph" w:customStyle="1" w:styleId="39">
    <w:name w:val="1表格标题"/>
    <w:basedOn w:val="1"/>
    <w:next w:val="38"/>
    <w:qFormat/>
    <w:uiPriority w:val="0"/>
    <w:pPr>
      <w:adjustRightInd w:val="0"/>
      <w:snapToGrid w:val="0"/>
      <w:ind w:firstLine="0" w:firstLineChars="0"/>
      <w:jc w:val="center"/>
    </w:pPr>
    <w:rPr>
      <w:b/>
    </w:rPr>
  </w:style>
  <w:style w:type="table" w:customStyle="1" w:styleId="40">
    <w:name w:val="Table Normal"/>
    <w:basedOn w:val="26"/>
    <w:autoRedefine/>
    <w:unhideWhenUsed/>
    <w:qFormat/>
    <w:uiPriority w:val="2"/>
    <w:pPr>
      <w:widowControl w:val="0"/>
    </w:pPr>
    <w:rPr>
      <w:rFonts w:ascii="Calibri" w:hAnsi="Calibri" w:cs="黑体"/>
      <w:sz w:val="22"/>
      <w:szCs w:val="22"/>
      <w:lang w:val="en-US" w:eastAsia="en-US" w:bidi="ar-SA"/>
    </w:rPr>
    <w:tblPr>
      <w:tblCellMar>
        <w:top w:w="0" w:type="dxa"/>
        <w:left w:w="0" w:type="dxa"/>
        <w:bottom w:w="0" w:type="dxa"/>
        <w:right w:w="0" w:type="dxa"/>
      </w:tblCellMar>
    </w:tblPr>
  </w:style>
  <w:style w:type="paragraph" w:customStyle="1" w:styleId="41">
    <w:name w:val="1表格内容加粗"/>
    <w:basedOn w:val="1"/>
    <w:autoRedefine/>
    <w:qFormat/>
    <w:uiPriority w:val="0"/>
    <w:pPr>
      <w:adjustRightInd w:val="0"/>
      <w:snapToGrid w:val="0"/>
      <w:jc w:val="center"/>
    </w:pPr>
    <w:rPr>
      <w:rFonts w:ascii="Times New Roman" w:hAnsi="Times New Roman" w:eastAsia="宋体"/>
      <w:b/>
      <w:bCs/>
      <w:color w:val="auto"/>
      <w:sz w:val="21"/>
      <w:szCs w:val="21"/>
    </w:rPr>
  </w:style>
  <w:style w:type="paragraph" w:customStyle="1" w:styleId="42">
    <w:name w:val="0正文内容"/>
    <w:basedOn w:val="1"/>
    <w:link w:val="43"/>
    <w:autoRedefine/>
    <w:qFormat/>
    <w:uiPriority w:val="0"/>
    <w:pPr>
      <w:widowControl w:val="0"/>
      <w:adjustRightInd w:val="0"/>
      <w:snapToGrid w:val="0"/>
      <w:spacing w:line="360" w:lineRule="auto"/>
      <w:ind w:firstLine="480" w:firstLineChars="200"/>
    </w:pPr>
    <w:rPr>
      <w:rFonts w:ascii="Times New Roman" w:hAnsi="Times New Roman" w:eastAsia="宋体" w:cs="宋体"/>
      <w:color w:val="000000"/>
      <w:kern w:val="0"/>
      <w:lang w:bidi="ar"/>
    </w:rPr>
  </w:style>
  <w:style w:type="character" w:customStyle="1" w:styleId="43">
    <w:name w:val="0正文内容 Char"/>
    <w:link w:val="42"/>
    <w:autoRedefine/>
    <w:qFormat/>
    <w:uiPriority w:val="0"/>
    <w:rPr>
      <w:rFonts w:ascii="Times New Roman" w:hAnsi="Times New Roman" w:eastAsia="宋体" w:cs="宋体"/>
      <w:color w:val="000000"/>
      <w:kern w:val="0"/>
      <w:lang w:bidi="ar"/>
    </w:rPr>
  </w:style>
  <w:style w:type="paragraph" w:customStyle="1" w:styleId="44">
    <w:name w:val="0正文内容加粗"/>
    <w:basedOn w:val="1"/>
    <w:link w:val="45"/>
    <w:autoRedefine/>
    <w:qFormat/>
    <w:uiPriority w:val="0"/>
    <w:pPr>
      <w:adjustRightInd w:val="0"/>
      <w:snapToGrid w:val="0"/>
      <w:spacing w:line="360" w:lineRule="auto"/>
      <w:ind w:firstLine="482" w:firstLineChars="200"/>
    </w:pPr>
    <w:rPr>
      <w:rFonts w:ascii="Times New Roman" w:hAnsi="Times New Roman" w:eastAsia="宋体" w:cs="宋体"/>
      <w:b/>
      <w:bCs/>
      <w:color w:val="auto"/>
    </w:rPr>
  </w:style>
  <w:style w:type="character" w:customStyle="1" w:styleId="45">
    <w:name w:val="0正文内容加粗 Char"/>
    <w:link w:val="44"/>
    <w:autoRedefine/>
    <w:qFormat/>
    <w:uiPriority w:val="0"/>
    <w:rPr>
      <w:rFonts w:ascii="Times New Roman" w:hAnsi="Times New Roman" w:eastAsia="宋体" w:cs="宋体"/>
      <w:b/>
      <w:bCs/>
      <w:color w:val="auto"/>
    </w:rPr>
  </w:style>
  <w:style w:type="paragraph" w:customStyle="1" w:styleId="46">
    <w:name w:val="1图、表标题"/>
    <w:basedOn w:val="1"/>
    <w:autoRedefine/>
    <w:qFormat/>
    <w:uiPriority w:val="0"/>
    <w:pPr>
      <w:adjustRightInd w:val="0"/>
      <w:snapToGrid w:val="0"/>
      <w:spacing w:line="360" w:lineRule="auto"/>
      <w:jc w:val="center"/>
    </w:pPr>
    <w:rPr>
      <w:rFonts w:ascii="Times New Roman" w:hAnsi="Times New Roman" w:eastAsia="宋体" w:cs="Times New Roman"/>
      <w:b/>
    </w:rPr>
  </w:style>
  <w:style w:type="paragraph" w:customStyle="1" w:styleId="47">
    <w:name w:val="表格"/>
    <w:basedOn w:val="10"/>
    <w:next w:val="1"/>
    <w:qFormat/>
    <w:uiPriority w:val="0"/>
    <w:pPr>
      <w:adjustRightInd w:val="0"/>
      <w:snapToGrid w:val="0"/>
      <w:spacing w:line="240" w:lineRule="auto"/>
      <w:ind w:firstLine="0" w:firstLineChars="0"/>
      <w:jc w:val="center"/>
    </w:pPr>
    <w:rPr>
      <w:rFonts w:ascii="Times New Roman" w:hAnsi="Times New Roman"/>
      <w:kern w:val="0"/>
      <w:sz w:val="21"/>
      <w:szCs w:val="21"/>
    </w:rPr>
  </w:style>
  <w:style w:type="paragraph" w:customStyle="1" w:styleId="48">
    <w:name w:val="表标题"/>
    <w:basedOn w:val="1"/>
    <w:next w:val="49"/>
    <w:qFormat/>
    <w:uiPriority w:val="0"/>
    <w:pPr>
      <w:spacing w:line="240" w:lineRule="auto"/>
      <w:ind w:firstLine="0" w:firstLineChars="0"/>
      <w:jc w:val="center"/>
    </w:pPr>
    <w:rPr>
      <w:rFonts w:ascii="Times New Roman" w:hAnsi="Times New Roman" w:eastAsia="黑体"/>
      <w:sz w:val="24"/>
      <w:szCs w:val="24"/>
    </w:rPr>
  </w:style>
  <w:style w:type="paragraph" w:customStyle="1" w:styleId="49">
    <w:name w:val="表格内容"/>
    <w:basedOn w:val="50"/>
    <w:qFormat/>
    <w:uiPriority w:val="0"/>
    <w:pPr>
      <w:overflowPunct w:val="0"/>
      <w:spacing w:before="40" w:after="60" w:line="200" w:lineRule="atLeast"/>
      <w:textAlignment w:val="baseline"/>
    </w:pPr>
    <w:rPr>
      <w:rFonts w:ascii="Arial" w:hAnsi="Arial" w:eastAsia="仿宋_GB2312"/>
      <w:color w:val="000000"/>
      <w:kern w:val="0"/>
    </w:rPr>
  </w:style>
  <w:style w:type="paragraph" w:customStyle="1" w:styleId="50">
    <w:name w:val="表格标题"/>
    <w:basedOn w:val="14"/>
    <w:next w:val="49"/>
    <w:qFormat/>
    <w:uiPriority w:val="0"/>
    <w:pPr>
      <w:spacing w:line="240" w:lineRule="auto"/>
      <w:ind w:firstLine="0" w:firstLineChars="0"/>
      <w:jc w:val="center"/>
    </w:pPr>
    <w:rPr>
      <w:sz w:val="21"/>
    </w:rPr>
  </w:style>
  <w:style w:type="paragraph" w:customStyle="1" w:styleId="51">
    <w:name w:val="正文内容"/>
    <w:basedOn w:val="52"/>
    <w:link w:val="67"/>
    <w:qFormat/>
    <w:uiPriority w:val="0"/>
    <w:pPr>
      <w:widowControl w:val="0"/>
      <w:topLinePunct/>
      <w:autoSpaceDE w:val="0"/>
      <w:adjustRightInd w:val="0"/>
      <w:snapToGrid w:val="0"/>
      <w:spacing w:line="360" w:lineRule="auto"/>
      <w:ind w:firstLine="480" w:firstLineChars="200"/>
    </w:pPr>
    <w:rPr>
      <w:rFonts w:ascii="Times New Roman" w:hAnsi="Times New Roman" w:eastAsia="宋体" w:cs="宋体"/>
      <w:color w:val="000000"/>
      <w:kern w:val="0"/>
      <w:lang w:bidi="ar"/>
    </w:rPr>
  </w:style>
  <w:style w:type="paragraph" w:customStyle="1" w:styleId="52">
    <w:name w:val="1正文"/>
    <w:qFormat/>
    <w:uiPriority w:val="0"/>
    <w:pPr>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53">
    <w:name w:val="正文内容加粗"/>
    <w:basedOn w:val="1"/>
    <w:qFormat/>
    <w:uiPriority w:val="0"/>
    <w:pPr>
      <w:topLinePunct/>
      <w:autoSpaceDE w:val="0"/>
      <w:adjustRightInd w:val="0"/>
      <w:snapToGrid w:val="0"/>
      <w:spacing w:line="360" w:lineRule="auto"/>
      <w:ind w:firstLine="482" w:firstLineChars="200"/>
    </w:pPr>
    <w:rPr>
      <w:rFonts w:ascii="Times New Roman" w:hAnsi="Times New Roman" w:eastAsia="宋体" w:cs="宋体"/>
      <w:b/>
      <w:bCs/>
      <w:color w:val="auto"/>
    </w:rPr>
  </w:style>
  <w:style w:type="paragraph" w:customStyle="1" w:styleId="54">
    <w:name w:val="表头"/>
    <w:basedOn w:val="55"/>
    <w:next w:val="1"/>
    <w:qFormat/>
    <w:uiPriority w:val="0"/>
    <w:pPr>
      <w:adjustRightInd w:val="0"/>
      <w:spacing w:line="320" w:lineRule="atLeast"/>
      <w:jc w:val="center"/>
      <w:textAlignment w:val="baseline"/>
    </w:pPr>
    <w:rPr>
      <w:rFonts w:eastAsia="黑体"/>
      <w:spacing w:val="-10"/>
      <w:kern w:val="0"/>
      <w:szCs w:val="20"/>
    </w:rPr>
  </w:style>
  <w:style w:type="paragraph" w:customStyle="1" w:styleId="55">
    <w:name w:val="文本"/>
    <w:basedOn w:val="1"/>
    <w:qFormat/>
    <w:uiPriority w:val="0"/>
    <w:pPr>
      <w:adjustRightInd w:val="0"/>
      <w:snapToGrid w:val="0"/>
      <w:spacing w:line="360" w:lineRule="auto"/>
      <w:ind w:firstLine="1446" w:firstLineChars="200"/>
    </w:pPr>
    <w:rPr>
      <w:rFonts w:ascii="Times New Roman" w:hAnsi="Times New Roman" w:eastAsia="宋体"/>
      <w:sz w:val="24"/>
    </w:rPr>
  </w:style>
  <w:style w:type="paragraph" w:customStyle="1" w:styleId="56">
    <w:name w:val="Table Text"/>
    <w:basedOn w:val="1"/>
    <w:autoRedefine/>
    <w:semiHidden/>
    <w:qFormat/>
    <w:uiPriority w:val="0"/>
    <w:rPr>
      <w:rFonts w:ascii="宋体" w:hAnsi="宋体" w:eastAsia="宋体" w:cs="宋体"/>
      <w:sz w:val="24"/>
      <w:szCs w:val="24"/>
      <w:lang w:val="en-US" w:eastAsia="en-US" w:bidi="ar-SA"/>
    </w:rPr>
  </w:style>
  <w:style w:type="paragraph" w:customStyle="1" w:styleId="57">
    <w:name w:val="弗瑞斯正文"/>
    <w:basedOn w:val="1"/>
    <w:qFormat/>
    <w:uiPriority w:val="0"/>
    <w:pPr>
      <w:spacing w:line="360" w:lineRule="auto"/>
      <w:ind w:firstLine="420" w:firstLineChars="200"/>
    </w:pPr>
    <w:rPr>
      <w:rFonts w:ascii="Times New Roman" w:hAnsi="Times New Roman"/>
      <w:sz w:val="24"/>
      <w:szCs w:val="24"/>
    </w:rPr>
  </w:style>
  <w:style w:type="paragraph" w:customStyle="1" w:styleId="58">
    <w:name w:val="图、表标题"/>
    <w:basedOn w:val="1"/>
    <w:qFormat/>
    <w:uiPriority w:val="0"/>
    <w:pPr>
      <w:jc w:val="center"/>
    </w:pPr>
    <w:rPr>
      <w:rFonts w:cs="Times New Roman"/>
      <w:b/>
      <w:spacing w:val="0"/>
      <w:sz w:val="21"/>
    </w:rPr>
  </w:style>
  <w:style w:type="paragraph" w:customStyle="1" w:styleId="59">
    <w:name w:val="表格内容加粗"/>
    <w:basedOn w:val="1"/>
    <w:qFormat/>
    <w:uiPriority w:val="0"/>
    <w:pPr>
      <w:adjustRightInd w:val="0"/>
      <w:snapToGrid w:val="0"/>
      <w:jc w:val="center"/>
    </w:pPr>
    <w:rPr>
      <w:rFonts w:hint="eastAsia"/>
      <w:b/>
      <w:bCs/>
      <w:color w:val="auto"/>
      <w:sz w:val="21"/>
    </w:rPr>
  </w:style>
  <w:style w:type="character" w:customStyle="1" w:styleId="60">
    <w:name w:val="font41"/>
    <w:basedOn w:val="28"/>
    <w:qFormat/>
    <w:uiPriority w:val="0"/>
    <w:rPr>
      <w:rFonts w:hint="eastAsia" w:ascii="宋体" w:hAnsi="宋体" w:eastAsia="宋体" w:cs="宋体"/>
      <w:color w:val="000000"/>
      <w:sz w:val="21"/>
      <w:szCs w:val="21"/>
      <w:u w:val="none"/>
    </w:rPr>
  </w:style>
  <w:style w:type="character" w:customStyle="1" w:styleId="61">
    <w:name w:val="font21"/>
    <w:basedOn w:val="28"/>
    <w:qFormat/>
    <w:uiPriority w:val="0"/>
    <w:rPr>
      <w:rFonts w:hint="default" w:ascii="Times New Roman" w:hAnsi="Times New Roman" w:cs="Times New Roman"/>
      <w:color w:val="000000"/>
      <w:sz w:val="21"/>
      <w:szCs w:val="21"/>
      <w:u w:val="none"/>
    </w:rPr>
  </w:style>
  <w:style w:type="paragraph" w:customStyle="1" w:styleId="62">
    <w:name w:val="正文zhanghuan"/>
    <w:basedOn w:val="1"/>
    <w:qFormat/>
    <w:uiPriority w:val="0"/>
    <w:pPr>
      <w:spacing w:line="360" w:lineRule="auto"/>
      <w:ind w:firstLine="480" w:firstLineChars="200"/>
    </w:pPr>
    <w:rPr>
      <w:rFonts w:cs="宋体"/>
      <w:sz w:val="24"/>
      <w:szCs w:val="24"/>
    </w:rPr>
  </w:style>
  <w:style w:type="paragraph" w:customStyle="1" w:styleId="63">
    <w:name w:val="文字"/>
    <w:basedOn w:val="1"/>
    <w:qFormat/>
    <w:uiPriority w:val="0"/>
    <w:pPr>
      <w:spacing w:line="360" w:lineRule="auto"/>
    </w:pPr>
  </w:style>
  <w:style w:type="paragraph" w:customStyle="1" w:styleId="64">
    <w:name w:val="Table Paragraph"/>
    <w:basedOn w:val="1"/>
    <w:qFormat/>
    <w:uiPriority w:val="1"/>
    <w:pPr>
      <w:jc w:val="left"/>
    </w:pPr>
    <w:rPr>
      <w:rFonts w:ascii="Calibri" w:hAnsi="Calibri" w:cs="黑体"/>
      <w:kern w:val="0"/>
      <w:sz w:val="22"/>
      <w:szCs w:val="22"/>
      <w:lang w:eastAsia="en-US"/>
    </w:rPr>
  </w:style>
  <w:style w:type="character" w:customStyle="1" w:styleId="65">
    <w:name w:val="15"/>
    <w:basedOn w:val="28"/>
    <w:qFormat/>
    <w:uiPriority w:val="0"/>
    <w:rPr>
      <w:rFonts w:hint="default" w:ascii="Times New Roman" w:hAnsi="Times New Roman" w:cs="Times New Roman"/>
    </w:rPr>
  </w:style>
  <w:style w:type="paragraph" w:customStyle="1" w:styleId="66">
    <w:name w:val="xl22"/>
    <w:basedOn w:val="1"/>
    <w:qFormat/>
    <w:uiPriority w:val="0"/>
    <w:pPr>
      <w:widowControl/>
      <w:spacing w:before="100" w:beforeAutospacing="1" w:after="100" w:afterAutospacing="1"/>
      <w:jc w:val="center"/>
    </w:pPr>
    <w:rPr>
      <w:rFonts w:ascii="宋体" w:hAnsi="宋体"/>
      <w:kern w:val="0"/>
      <w:sz w:val="24"/>
      <w:szCs w:val="24"/>
    </w:rPr>
  </w:style>
  <w:style w:type="character" w:customStyle="1" w:styleId="67">
    <w:name w:val="正文内容 Char"/>
    <w:link w:val="51"/>
    <w:qFormat/>
    <w:uiPriority w:val="0"/>
    <w:rPr>
      <w:rFonts w:ascii="Times New Roman" w:hAnsi="Times New Roman" w:eastAsia="宋体" w:cs="宋体"/>
      <w:color w:val="000000"/>
      <w:kern w:val="0"/>
      <w:lang w:bidi="ar"/>
    </w:rPr>
  </w:style>
  <w:style w:type="paragraph" w:customStyle="1" w:styleId="68">
    <w:name w:val="01正文内容加粗"/>
    <w:basedOn w:val="1"/>
    <w:qFormat/>
    <w:uiPriority w:val="0"/>
    <w:pPr>
      <w:topLinePunct/>
      <w:autoSpaceDE w:val="0"/>
      <w:spacing w:line="360" w:lineRule="auto"/>
      <w:ind w:firstLine="482" w:firstLineChars="200"/>
    </w:pPr>
    <w:rPr>
      <w:b/>
      <w:bCs/>
      <w:sz w:val="24"/>
    </w:rPr>
  </w:style>
  <w:style w:type="paragraph" w:styleId="69">
    <w:name w:val="List Paragraph"/>
    <w:basedOn w:val="1"/>
    <w:qFormat/>
    <w:uiPriority w:val="99"/>
    <w:pPr>
      <w:widowControl w:val="0"/>
      <w:ind w:firstLine="420" w:firstLineChars="200"/>
      <w:jc w:val="both"/>
    </w:pPr>
    <w:rPr>
      <w:rFonts w:asciiTheme="minorHAnsi" w:hAnsiTheme="minorHAnsi" w:eastAsiaTheme="minorEastAsia" w:cstheme="minorBid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6.wmf"/><Relationship Id="rId44" Type="http://schemas.openxmlformats.org/officeDocument/2006/relationships/oleObject" Target="embeddings/oleObject11.bin"/><Relationship Id="rId43" Type="http://schemas.openxmlformats.org/officeDocument/2006/relationships/image" Target="media/image25.wmf"/><Relationship Id="rId42" Type="http://schemas.openxmlformats.org/officeDocument/2006/relationships/oleObject" Target="embeddings/oleObject10.bin"/><Relationship Id="rId41" Type="http://schemas.openxmlformats.org/officeDocument/2006/relationships/image" Target="media/image24.wmf"/><Relationship Id="rId40" Type="http://schemas.openxmlformats.org/officeDocument/2006/relationships/oleObject" Target="embeddings/oleObject9.bin"/><Relationship Id="rId4" Type="http://schemas.openxmlformats.org/officeDocument/2006/relationships/footer" Target="footer1.xml"/><Relationship Id="rId39" Type="http://schemas.openxmlformats.org/officeDocument/2006/relationships/image" Target="media/image23.wmf"/><Relationship Id="rId38" Type="http://schemas.openxmlformats.org/officeDocument/2006/relationships/oleObject" Target="embeddings/oleObject8.bin"/><Relationship Id="rId37" Type="http://schemas.openxmlformats.org/officeDocument/2006/relationships/image" Target="media/image22.wmf"/><Relationship Id="rId36" Type="http://schemas.openxmlformats.org/officeDocument/2006/relationships/oleObject" Target="embeddings/oleObject7.bin"/><Relationship Id="rId35" Type="http://schemas.openxmlformats.org/officeDocument/2006/relationships/image" Target="media/image21.wmf"/><Relationship Id="rId34" Type="http://schemas.openxmlformats.org/officeDocument/2006/relationships/oleObject" Target="embeddings/oleObject6.bin"/><Relationship Id="rId33" Type="http://schemas.openxmlformats.org/officeDocument/2006/relationships/image" Target="media/image20.wmf"/><Relationship Id="rId32" Type="http://schemas.openxmlformats.org/officeDocument/2006/relationships/oleObject" Target="embeddings/oleObject5.bin"/><Relationship Id="rId31" Type="http://schemas.openxmlformats.org/officeDocument/2006/relationships/image" Target="media/image19.wmf"/><Relationship Id="rId30" Type="http://schemas.openxmlformats.org/officeDocument/2006/relationships/oleObject" Target="embeddings/oleObject4.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3.bin"/><Relationship Id="rId27" Type="http://schemas.openxmlformats.org/officeDocument/2006/relationships/image" Target="media/image17.wmf"/><Relationship Id="rId26" Type="http://schemas.openxmlformats.org/officeDocument/2006/relationships/oleObject" Target="embeddings/oleObject2.bin"/><Relationship Id="rId25" Type="http://schemas.openxmlformats.org/officeDocument/2006/relationships/image" Target="media/image16.wmf"/><Relationship Id="rId24" Type="http://schemas.openxmlformats.org/officeDocument/2006/relationships/oleObject" Target="embeddings/oleObject1.bin"/><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c3MjgxNjAxMTYxIiwKCSJHcm91cElkIiA6ICIyMjU1MTY4MjEiLAoJIkltYWdlIiA6ICJpVkJPUncwS0dnb0FBQUFOU1VoRVVnQUFCYzRBQUFNY0NBWUFBQUJwVmpZL0FBQUFBWE5TUjBJQXJzNGM2UUFBSUFCSlJFRlVlSnpzM1hkNEZPWDYvL0hQN0NZa2hCQjZrYUtBZElWa3d3RUVFY1NHZWxSc1IwV3NIQXNIUVNTZ1l2blNzZjBBNlZoQlVFRThDR0toS1NvcWlJWmtRd0tCMEhzTkVDQ1F1ak8vUDVMczJjMXVDaUVZeXZ0MVhWNW1wKzJ6U3pJenp6MzNjejhT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4Qzc4ZjRnYXNKbTJWZm1SQUFBQUFFbEZUa1N1UW1DQyIsCgkiVGhlbWUiIDogIiIsCgkiVHlwZSIgOiAiZmxvdyIsCgkiVXNlcklkIiA6ICIyOTA2NDQ0OTUiLAoJIlZlcnNpb24iIDogIjQzIgp9Cg=="/>
    </extobj>
    <extobj name="ECB019B1-382A-4266-B25C-5B523AA43C14-2">
      <extobjdata type="ECB019B1-382A-4266-B25C-5B523AA43C14" data="ewoJIkZpbGVJZCIgOiAiNDc5ODYyNTAyNDk0IiwKCSJHcm91cElkIiA6ICIyMjU1MTY4MjEiLAoJIkltYWdlIiA6ICJpVkJPUncwS0dnb0FBQUFOU1VoRVVnQUFBOUlBQUFGTENBWUFBQUE2WmJSOEFBQUFBWE5TUjBJQXJzNGM2UUFBSUFCSlJFRlVlSnpzM1htY0czWDlQL0RYZXlaN3R0dlNsbGFCaW9zc3RDeHRNcDlQRkVYa2k0QUlnaUFnS0tjSUNnTEtJWXEzS1BmcGdZaUFvcWlJSWlvL1VEd0FVUkFSQzJabXNsdTJMUlFzV0JDb1lPblNkbzlrM3I4L2RsTFROTmxOOXVqdWx0Zno4ZWdqMmZtY3lXNlRlYzk4RG9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pUWZyL0trcXNURUdsSXd3QUFBQUFTVVZPUks1Q1lJST0iLAoJIlRoZW1lIiA6ICIiLAoJIlR5cGUiIDogImZsb3ciLAoJIlVzZXJJZCIgOiAiMjkwNjQ0NDk1IiwKCSJWZXJzaW9uIiA6ICIxNyIKfQo="/>
    </extobj>
    <extobj name="ECB019B1-382A-4266-B25C-5B523AA43C14-3">
      <extobjdata type="ECB019B1-382A-4266-B25C-5B523AA43C14" data="ewoJIkZpbGVJZCIgOiAiNDYzMjQzOTUxMTc4IiwKCSJHcm91cElkIiA6ICIyMjU1MTY4MjEiLAoJIkltYWdlIiA6ICJpVkJPUncwS0dnb0FBQUFOU1VoRVVnQUFCR3NBQUFPMENBWUFBQUFTNXJ2cEFBQUFBWE5TUjBJQXJzNGM2UUFBSUFCSlJFRlVlSnpzM1h0NFZOVzVQL0R2dTJaeTRaSUFBUkVVYTdRb0dNaGtyejIyaXJVV1BWcnJyZFZxdmRXcXgxT3JQZHFqNTZpMWF2MnBSNnZWNDYzYVd1K1gxaHRlVUZId1d2RzAybE90cy9mT2hLWWdVVkdwY3BOd0NaREx6SDUvZjh4TU9zUWtCRWlZaEh3L3o1T0gyV3V2dGZhN1JoNmN2TE11QU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VjRmL0QxbVAxeGF5SUtZdUFBQUFBRWxGVGtTdVFtQ0MiLAoJIlRoZW1lIiA6ICIiLAoJIlR5cGUiIDogImZsb3ciLAoJIlVzZXJJZCIgOiAiMjkwNjQ0NDk1IiwKCSJWZXJzaW9uIiA6ICI2MCIKfQo="/>
    </extobj>
    <extobj name="ECB019B1-382A-4266-B25C-5B523AA43C14-4">
      <extobjdata type="ECB019B1-382A-4266-B25C-5B523AA43C14" data="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"/>
    </extobj>
    <extobj name="ECB019B1-382A-4266-B25C-5B523AA43C14-5">
      <extobjdata type="ECB019B1-382A-4266-B25C-5B523AA43C14" data="ewoJIkZpbGVJZCIgOiAiNDIyMzI0NzAwOTYyIiwKCSJHcm91cElkIiA6ICIyMjU1MTY4MjEiLAoJIkltYWdlIiA6ICJpVkJPUncwS0dnb0FBQUFOU1VoRVVnQUFCZDhBQUFUQ0NBWUFBQUJNcVo4NEFBQUFBWE5TUjBJQXJzNGM2UUFBSUFCSlJFRlVlSnpzM1hkNFZNWCtQL0Qzbk4wMFFpZkpuaE9RcnhRRkxraFRVVUZCcWdKS1IwU0tqVjVFQWdyNnV3aUlWQ2tKWFpCcXBDZ0lTQk81WEtRSUZ6RUNRWnBHa0xxN2FSQksrcDc1L1pIc21zM3VKcHNRUU9IOWVoNGZ5VGx6Wm1hejJYT1N6OHg4Qml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IOUgzdDNIaFpWOWNZQi9IdUdUUVJSaWVVT3B1WldtWmFpbGxxVzVsSXViV2p1dUp0TGF1NUxtcnZaVHpNMTF6UTFRMXlpU0cxeHlZUTB0WkJ3SVhQRlhXQUEyUVJrbi9QN0EyWmltQmtZWUJUVDcrZDVlcEo3ejl4N1poanU4dDczdkll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zl2OW1LL0NVc0dxZ3FnQUFBQUJKUlU1RXJrSmdnZz09IiwKCSJUaGVtZSIgOiAiIiwKCSJUeXBlIiA6ICJmbG93IiwKCSJVc2VySWQiIDogIjI5MDY0NDQ5NSIsCgkiVmVyc2lvbiIgOiAiOTEiCn0K"/>
    </extobj>
    <extobj name="ECB019B1-382A-4266-B25C-5B523AA43C14-6">
      <extobjdata type="ECB019B1-382A-4266-B25C-5B523AA43C14" data="ewoJIkZpbGVJZCIgOiAiNDc4OTQyNjIyNjgwIiwKCSJHcm91cElkIiA6ICIyMjU1MTY4MjEiLAoJIkltYWdlIiA6ICJpVkJPUncwS0dnb0FBQUFOU1VoRVVnQUFCaW9BQUFKVENBWUFBQUNXeEU0NEFBQUFBWE5TUjBJQXJzNGM2UUFBSUFCSlJFRlVlSnpzM1hsMEZGWGV4dkdudTdPU2dJQkJOaU5CUUVFRmtrQlFRRlJXeHcyVVJSRmxSRkJCUlhFSWk0SU1pNHpLTmc0T0NpSXp3cWlqTENPZ3FPd0lDSU95aEFRUUdMWmdRdGdpMmZlazYvM0RkTCtFZElDRUpOWFEzODg1T2RLM2JsWC95bE9FNm43cTNpc0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ZzJtTXh1d0FBQUFBQVFPbUZoWVhkYTdGWXZqUU13MC9TbzFGUlVSdk5yZ2tBQUFBb0M2dlpCUUFBQUFBQUFBQUFBTTlG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OalAvRDhCc3JweHZJc3hNd0FBQUFCSlJVNUVya0pnZ2c9PSIsCgkiVGhlbWUiIDogIiIsCgkiVHlwZSIgOiAiZmxvdyIsCgkiVXNlcklkIiA6ICIyOTA2NDQ0OTUiLAoJIlZlcnNpb24iIDogIjQxIgp9Cg=="/>
    </extobj>
  </extobjs>
</s:customData>
</file>

<file path=customXml/item2.xml><?xml version="1.0" encoding="utf-8"?>
<contractReview xmlns="http://schemas.wps.cn/vas-ai-hub/contract-review">
  <reviewItems>
    <reviewItem>
      <errorID>a00d8489-2acf-4992-8941-028c9fa27985</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19BFD54C</paraID>
      <start>10</start>
      <end>14</end>
      <status>modified</status>
      <modifiedWord>无须设置</modifiedWord>
      <trackRevisions>false</trackRevisions>
    </reviewItem>
    <reviewItem>
      <errorID>50e553b0-5582-4502-b9aa-c255ae6d587c</errorID>
      <errorWord>:</errorWord>
      <group>L1_Format</group>
      <groupName>格式问题</groupName>
      <ability>L2_HalfPunc</ability>
      <abilityName>全半角检查</abilityName>
      <candidateList>
        <item>：</item>
      </candidateList>
      <explain>文本全半角错误。</explain>
      <paraID>212DF8FC</paraID>
      <start>6</start>
      <end>7</end>
      <status>modified</status>
      <modifiedWord>：</modifiedWord>
      <trackRevisions>false</trackRevisions>
    </reviewItem>
    <reviewItem>
      <errorID>59cd8321-1fb7-4ed4-a924-cf6fd12e3e34</errorID>
      <errorWord>(</errorWord>
      <group>L1_Format</group>
      <groupName>格式问题</groupName>
      <ability>L2_HalfPunc</ability>
      <abilityName>全半角检查</abilityName>
      <candidateList>
        <item>（</item>
      </candidateList>
      <explain>文本全半角错误。</explain>
      <paraID>212DF8FC</paraID>
      <start>23</start>
      <end>24</end>
      <status>modified</status>
      <modifiedWord>（</modifiedWord>
      <trackRevisions>false</trackRevisions>
    </reviewItem>
    <reviewItem>
      <errorID>934eaee6-2a46-4729-b3c1-1d2fac37557d</errorID>
      <errorWord>)(</errorWord>
      <group>L1_Format</group>
      <groupName>格式问题</groupName>
      <ability>L2_HalfPunc</ability>
      <abilityName>全半角检查</abilityName>
      <candidateList>
        <item>）（</item>
      </candidateList>
      <explain>文本全半角错误。</explain>
      <paraID>212DF8FC</paraID>
      <start>34</start>
      <end>36</end>
      <status>modified</status>
      <modifiedWord>）（</modifiedWord>
      <trackRevisions>false</trackRevisions>
    </reviewItem>
    <reviewItem>
      <errorID>bd4bc388-e402-4ece-aa0c-a28c8bbd8b3f</errorID>
      <errorWord>)</errorWord>
      <group>L1_Format</group>
      <groupName>格式问题</groupName>
      <ability>L2_HalfPunc</ability>
      <abilityName>全半角检查</abilityName>
      <candidateList>
        <item>）</item>
      </candidateList>
      <explain>文本全半角错误。</explain>
      <paraID>212DF8FC</paraID>
      <start>38</start>
      <end>39</end>
      <status>modified</status>
      <modifiedWord>）</modifiedWord>
      <trackRevisions>false</trackRevisions>
    </reviewItem>
    <reviewItem>
      <errorID>538ea79b-92e8-40b9-b9a6-6c52f5d15a7a</errorID>
      <errorWord>:</errorWord>
      <group>L1_Format</group>
      <groupName>格式问题</groupName>
      <ability>L2_HalfPunc</ability>
      <abilityName>全半角检查</abilityName>
      <candidateList>
        <item>：</item>
      </candidateList>
      <explain>文本全半角错误。</explain>
      <paraID>73054F45</paraID>
      <start>4</start>
      <end>5</end>
      <status>modified</status>
      <modifiedWord>：</modifiedWord>
      <trackRevisions>false</trackRevisions>
    </reviewItem>
    <reviewItem>
      <errorID>63865bd7-00a0-4246-8cdc-16288f2a2ace</errorID>
      <errorWord>:</errorWord>
      <group>L1_Format</group>
      <groupName>格式问题</groupName>
      <ability>L2_HalfPunc</ability>
      <abilityName>全半角检查</abilityName>
      <candidateList>
        <item>：</item>
      </candidateList>
      <explain>文本全半角错误。</explain>
      <paraID>76BC2AD8</paraID>
      <start>10</start>
      <end>11</end>
      <status>modified</status>
      <modifiedWord>：</modifiedWord>
      <trackRevisions>false</trackRevisions>
    </reviewItem>
    <reviewItem>
      <errorID>10af4a1d-9331-49bf-b5c6-cdbd0094f187</errorID>
      <errorWord>(</errorWord>
      <group>L1_Format</group>
      <groupName>格式问题</groupName>
      <ability>L2_HalfPunc</ability>
      <abilityName>全半角检查</abilityName>
      <candidateList>
        <item>（</item>
      </candidateList>
      <explain>文本全半角错误。</explain>
      <paraID>76BC2AD8</paraID>
      <start>40</start>
      <end>41</end>
      <status>modified</status>
      <modifiedWord>（</modifiedWord>
      <trackRevisions>false</trackRevisions>
    </reviewItem>
    <reviewItem>
      <errorID>aaccb131-4626-4b3c-b313-257e2e573968</errorID>
      <errorWord>)(</errorWord>
      <group>L1_Format</group>
      <groupName>格式问题</groupName>
      <ability>L2_HalfPunc</ability>
      <abilityName>全半角检查</abilityName>
      <candidateList>
        <item>）（</item>
      </candidateList>
      <explain>文本全半角错误。</explain>
      <paraID>76BC2AD8</paraID>
      <start>51</start>
      <end>53</end>
      <status>modified</status>
      <modifiedWord>）（</modifiedWord>
      <trackRevisions>false</trackRevisions>
    </reviewItem>
    <reviewItem>
      <errorID>f8fbc8f2-f0cf-4f17-b068-4d44b1094326</errorID>
      <errorWord>)</errorWord>
      <group>L1_Format</group>
      <groupName>格式问题</groupName>
      <ability>L2_HalfPunc</ability>
      <abilityName>全半角检查</abilityName>
      <candidateList>
        <item>）</item>
      </candidateList>
      <explain>文本全半角错误。</explain>
      <paraID>76BC2AD8</paraID>
      <start>55</start>
      <end>56</end>
      <status>modified</status>
      <modifiedWord>）</modifiedWord>
      <trackRevisions>false</trackRevisions>
    </reviewItem>
    <reviewItem>
      <errorID>a4cfb07a-60fb-47b9-80d8-20d65cd2bd31</errorID>
      <errorWord>:</errorWord>
      <group>L1_Format</group>
      <groupName>格式问题</groupName>
      <ability>L2_HalfPunc</ability>
      <abilityName>全半角检查</abilityName>
      <candidateList>
        <item>：</item>
      </candidateList>
      <explain>文本全半角错误。</explain>
      <paraID>6651E254</paraID>
      <start>8</start>
      <end>9</end>
      <status>modified</status>
      <modifiedWord>：</modifiedWord>
      <trackRevisions>false</trackRevisions>
    </reviewItem>
    <reviewItem>
      <errorID>de1d381f-56b5-445a-968a-0d8f0ce9008f</errorID>
      <errorWord>[2020]501号</errorWord>
      <group>L1_Knowledge</group>
      <groupName>知识性问题</groupName>
      <ability>L2_Knowledge</ability>
      <abilityName>其他知识</abilityName>
      <candidateList>
        <item>〔2020〕501号</item>
      </candidateList>
      <explain>发文字号格式错误。</explain>
      <paraID>6651E254</paraID>
      <start>12</start>
      <end>22</end>
      <status>modified</status>
      <modifiedWord>〔2020〕501号</modifiedWord>
      <trackRevisions>false</trackRevisions>
    </reviewItem>
    <reviewItem>
      <errorID>ffeeba34-4c8d-46c2-a42a-d8f9dd0b3a15</errorID>
      <errorWord>,</errorWord>
      <group>L1_Format</group>
      <groupName>格式问题</groupName>
      <ability>L2_HalfPunc</ability>
      <abilityName>全半角检查</abilityName>
      <candidateList>
        <item>，</item>
      </candidateList>
      <explain>文本全半角错误。</explain>
      <paraID>78991FFD</paraID>
      <start>87</start>
      <end>88</end>
      <status>modified</status>
      <modifiedWord>，</modifiedWord>
      <trackRevisions>false</trackRevisions>
    </reviewItem>
    <reviewItem>
      <errorID>00bac2a1-8739-4935-b08d-acbacb1e8ebd</errorID>
      <errorWord>【2020】501号</errorWord>
      <group>L1_Knowledge</group>
      <groupName>知识性问题</groupName>
      <ability>L2_Knowledge</ability>
      <abilityName>其他知识</abilityName>
      <candidateList>
        <item>〔2020〕501号</item>
      </candidateList>
      <explain>发文字号格式错误。</explain>
      <paraID>78991FFD</paraID>
      <start>263</start>
      <end>273</end>
      <status>modified</status>
      <modifiedWord>〔2020〕501号</modifiedWord>
      <trackRevisions>false</trackRevisions>
    </reviewItem>
    <reviewItem>
      <errorID>c01df249-ea32-4d40-87b4-0070bb4e4891</errorID>
      <errorWord>家</errorWord>
      <group>L1_Word</group>
      <groupName>字词问题</groupName>
      <ability>L2_Typo</ability>
      <abilityName>字词错误</abilityName>
      <candidateList>
        <item>家和</item>
      </candidateList>
      <explain/>
      <paraID>465810FF</paraID>
      <start>412</start>
      <end>414</end>
      <status>modified</status>
      <modifiedWord>家和</modifiedWord>
      <trackRevisions>false</trackRevisions>
    </reviewItem>
    <reviewItem>
      <errorID>438c6a65-3fea-450e-bc76-0db86d75a167</errorID>
      <errorWord>(</errorWord>
      <group>L1_Format</group>
      <groupName>格式问题</groupName>
      <ability>L2_HalfPunc</ability>
      <abilityName>全半角检查</abilityName>
      <candidateList>
        <item>（</item>
      </candidateList>
      <explain>文本全半角错误。</explain>
      <paraID>4A81045F</paraID>
      <start>18</start>
      <end>19</end>
      <status>modified</status>
      <modifiedWord>（</modifiedWord>
      <trackRevisions>false</trackRevisions>
    </reviewItem>
    <reviewItem>
      <errorID>df7c08de-381a-4b96-a68d-4d4861af4f09</errorID>
      <errorWord>)</errorWord>
      <group>L1_Format</group>
      <groupName>格式问题</groupName>
      <ability>L2_HalfPunc</ability>
      <abilityName>全半角检查</abilityName>
      <candidateList>
        <item>）</item>
      </candidateList>
      <explain>文本全半角错误。</explain>
      <paraID>4A81045F</paraID>
      <start>32</start>
      <end>33</end>
      <status>modified</status>
      <modifiedWord>）</modifiedWord>
      <trackRevisions>false</trackRevisions>
    </reviewItem>
    <reviewItem>
      <errorID>7c1ec799-198d-4270-b200-cfdd6f23052e</errorID>
      <errorWord>(</errorWord>
      <group>L1_Format</group>
      <groupName>格式问题</groupName>
      <ability>L2_HalfPunc</ability>
      <abilityName>全半角检查</abilityName>
      <candidateList>
        <item>（</item>
      </candidateList>
      <explain>文本全半角错误。</explain>
      <paraID>3C6B7E21</paraID>
      <start>146</start>
      <end>147</end>
      <status>modified</status>
      <modifiedWord>（</modifiedWord>
      <trackRevisions>false</trackRevisions>
    </reviewItem>
    <reviewItem>
      <errorID>1423268f-ec77-4f3e-a21c-8c8d095113e2</errorID>
      <errorWord>(</errorWord>
      <group>L1_Format</group>
      <groupName>格式问题</groupName>
      <ability>L2_HalfPunc</ability>
      <abilityName>全半角检查</abilityName>
      <candidateList>
        <item>（</item>
      </candidateList>
      <explain>文本全半角错误。</explain>
      <paraID>7E7F1E97</paraID>
      <start>13</start>
      <end>14</end>
      <status>modified</status>
      <modifiedWord>（</modifiedWord>
      <trackRevisions>false</trackRevisions>
    </reviewItem>
    <reviewItem>
      <errorID>0673c723-b9ed-4d08-a1fe-a467fb7dfdee</errorID>
      <errorWord>)</errorWord>
      <group>L1_Format</group>
      <groupName>格式问题</groupName>
      <ability>L2_HalfPunc</ability>
      <abilityName>全半角检查</abilityName>
      <candidateList>
        <item>）</item>
      </candidateList>
      <explain>文本全半角错误。</explain>
      <paraID>7E7F1E97</paraID>
      <start>19</start>
      <end>20</end>
      <status>modified</status>
      <modifiedWord>）</modifiedWord>
      <trackRevisions>false</trackRevisions>
    </reviewItem>
    <reviewItem>
      <errorID>e5dcfe1b-9b37-46b7-b37a-8e60ef0db732</errorID>
      <errorWord>:</errorWord>
      <group>L1_Format</group>
      <groupName>格式问题</groupName>
      <ability>L2_HalfPunc</ability>
      <abilityName>全半角检查</abilityName>
      <candidateList>
        <item>：</item>
      </candidateList>
      <explain>文本全半角错误。</explain>
      <paraID>3E0555DD</paraID>
      <start>20</start>
      <end>21</end>
      <status>modified</status>
      <modifiedWord>：</modifiedWord>
      <trackRevisions>false</trackRevisions>
    </reviewItem>
    <reviewItem>
      <errorID>8b650589-e2f4-4823-8061-69d0a79ab723</errorID>
      <errorWord>:</errorWord>
      <group>L1_Format</group>
      <groupName>格式问题</groupName>
      <ability>L2_HalfPunc</ability>
      <abilityName>全半角检查</abilityName>
      <candidateList>
        <item>：</item>
      </candidateList>
      <explain>文本全半角错误。</explain>
      <paraID>2F1CF53E</paraID>
      <start>121</start>
      <end>122</end>
      <status>modified</status>
      <modifiedWord>：</modifiedWord>
      <trackRevisions>false</trackRevisions>
    </reviewItem>
    <reviewItem>
      <errorID>a92fead4-2a37-4ecc-bcf7-a340df5902c8</errorID>
      <errorWord>(</errorWord>
      <group>L1_Format</group>
      <groupName>格式问题</groupName>
      <ability>L2_HalfPunc</ability>
      <abilityName>全半角检查</abilityName>
      <candidateList>
        <item>（</item>
      </candidateList>
      <explain>文本全半角错误。</explain>
      <paraID>21478697</paraID>
      <start>13</start>
      <end>14</end>
      <status>modified</status>
      <modifiedWord>（</modifiedWord>
      <trackRevisions>false</trackRevisions>
    </reviewItem>
    <reviewItem>
      <errorID>5709e25d-8d90-4db9-a5a4-a986cd4b6b85</errorID>
      <errorWord>)</errorWord>
      <group>L1_Format</group>
      <groupName>格式问题</groupName>
      <ability>L2_HalfPunc</ability>
      <abilityName>全半角检查</abilityName>
      <candidateList>
        <item>）</item>
      </candidateList>
      <explain>文本全半角错误。</explain>
      <paraID>21478697</paraID>
      <start>19</start>
      <end>20</end>
      <status>modified</status>
      <modifiedWord>）</modifiedWord>
      <trackRevisions>false</trackRevisions>
    </reviewItem>
    <reviewItem>
      <errorID>d479627d-d392-4ffd-ab74-5e8c1fb37c7f</errorID>
      <errorWord>影影</errorWord>
      <group>L1_Word</group>
      <groupName>字词问题</groupName>
      <ability>L2_Typo</ability>
      <abilityName>字词错误</abilityName>
      <candidateList>
        <item>影</item>
      </candidateList>
      <explain/>
      <paraID>2898FD44</paraID>
      <start>90</start>
      <end>91</end>
      <status>modified</status>
      <modifiedWord>影</modifiedWord>
      <trackRevisions>false</trackRevisions>
    </reviewItem>
    <reviewItem>
      <errorID>6c156abb-1008-4a09-89a8-fd09207386fd</errorID>
      <errorWord>傻子</errorWord>
      <group>L1_Sensitive</group>
      <groupName>敏感问题</groupName>
      <ability>L2_Abuse</ability>
      <abilityName>侮辱言辞</abilityName>
      <candidateList/>
      <explain>【侮辱言辞】句中涉及侮辱性的敏感内容，请注意甄别。</explain>
      <paraID>3B509502</paraID>
      <start>77</start>
      <end>79</end>
      <status>unmodified</status>
      <modifiedWord/>
      <trackRevisions>false</trackRevisions>
    </reviewItem>
    <reviewItem>
      <errorID>66cfca47-7b7f-48a1-8b2c-0f688fef06bd</errorID>
      <errorWord>2025年09月2日</errorWord>
      <group>L1_Knowledge</group>
      <groupName>知识性问题</groupName>
      <ability>L2_Time</ability>
      <abilityName>日期时间</abilityName>
      <candidateList>
        <item>2025年9月2日</item>
      </candidateList>
      <explain>根据日常书写习惯，月份一般会省略前导零。</explain>
      <paraID>7C08C24C</paraID>
      <start>0</start>
      <end>9</end>
      <status>modified</status>
      <modifiedWord>2025年9月2日</modifiedWord>
      <trackRevisions>false</trackRevisions>
    </reviewItem>
    <reviewItem>
      <errorID>89f8225c-8442-42b8-9fad-0f3a390ae400</errorID>
      <errorWord>~</errorWord>
      <group>L1_Format</group>
      <groupName>格式问题</groupName>
      <ability>L2_HalfPunc</ability>
      <abilityName>全半角检查</abilityName>
      <candidateList>
        <item>～</item>
      </candidateList>
      <explain>文本全半角错误。</explain>
      <paraID>56E8ECF9</paraID>
      <start>82</start>
      <end>83</end>
      <status>modified</status>
      <modifiedWord>～</modifiedWord>
      <trackRevisions>false</trackRevisions>
    </reviewItem>
    <reviewItem>
      <errorID>4044155e-2d94-4dde-956c-17ccbf70ca6e</errorID>
      <errorWord>标准中</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38B575FF</paraID>
      <start>45</start>
      <end>47</end>
      <status>modified</status>
      <modifiedWord>标准</modifiedWord>
      <trackRevisions>false</trackRevisions>
    </reviewItem>
    <reviewItem>
      <errorID>9644f335-5673-4f11-a322-902c382b5fc9</errorID>
      <errorWord>”中</errorWord>
      <group>L1_Word</group>
      <groupName>字词问题</groupName>
      <ability>L2_Typo</ability>
      <abilityName>字词错误</abilityName>
      <candidateList>
        <item>”</item>
      </candidateList>
      <explain/>
      <paraID>14CC9CC5</paraID>
      <start>17</start>
      <end>18</end>
      <status>modified</status>
      <modifiedWord>”</modifiedWord>
      <trackRevisions>false</trackRevisions>
    </reviewItem>
    <reviewItem>
      <errorID>12295a5a-6b1e-40a5-b1a3-81bf46ad8a49</errorID>
      <errorWord>第十九条中</errorWord>
      <group>L1_Word</group>
      <groupName>字词问题</groupName>
      <ability>L2_Typo</ability>
      <abilityName>字词错误</abilityName>
      <candidateList>
        <item>第十九条</item>
      </candidateList>
      <explain/>
      <paraID> F3671B2</paraID>
      <start>16</start>
      <end>20</end>
      <status>modified</status>
      <modifiedWord>第十九条</modifiedWord>
      <trackRevisions>false</trackRevisions>
    </reviewItem>
    <reviewItem>
      <errorID>0d61e0bc-d12b-4343-9902-28c3eb61d5c4</errorID>
      <errorWord>借</errorWord>
      <group>L1_Word</group>
      <groupName>字词问题</groupName>
      <ability>L2_Typo</ability>
      <abilityName>字词错误</abilityName>
      <candidateList>
        <item>错</item>
      </candidateList>
      <explain>存在字形相近字词的误用。</explain>
      <paraID>4D2A5AA9</paraID>
      <start>63</start>
      <end>64</end>
      <status>modified</status>
      <modifiedWord>错</modifiedWord>
      <trackRevisions>false</trackRevisions>
    </reviewItem>
    <reviewItem>
      <errorID>d57128c4-1543-4f0f-98f1-6536df3c40e3</errorID>
      <errorWord>(</errorWord>
      <group>L1_Format</group>
      <groupName>格式问题</groupName>
      <ability>L2_HalfPunc</ability>
      <abilityName>全半角检查</abilityName>
      <candidateList>
        <item>（</item>
      </candidateList>
      <explain>文本全半角错误。</explain>
      <paraID>40C0D16D</paraID>
      <start>5</start>
      <end>6</end>
      <status>modified</status>
      <modifiedWord>（</modifiedWord>
      <trackRevisions>false</trackRevisions>
    </reviewItem>
    <reviewItem>
      <errorID>71894463-b103-4e22-9e6f-12ab9dc9dc8d</errorID>
      <errorWord>)</errorWord>
      <group>L1_Format</group>
      <groupName>格式问题</groupName>
      <ability>L2_HalfPunc</ability>
      <abilityName>全半角检查</abilityName>
      <candidateList>
        <item>）</item>
      </candidateList>
      <explain>文本全半角错误。</explain>
      <paraID>40C0D16D</paraID>
      <start>9</start>
      <end>10</end>
      <status>modified</status>
      <modifiedWord>）</modifiedWord>
      <trackRevisions>false</trackRevisions>
    </reviewItem>
    <reviewItem>
      <errorID>2df608da-7963-41ef-be36-5b573aa5733d</errorID>
      <errorWord>。。</errorWord>
      <group>L1_Punc</group>
      <groupName>标点问题</groupName>
      <ability>L2_Punc</ability>
      <abilityName>标点符号检查</abilityName>
      <candidateList>
        <item>。</item>
      </candidateList>
      <explain/>
      <paraID>69DCADAD</paraID>
      <start>63</start>
      <end>64</end>
      <status>modified</status>
      <modifiedWord>。</modifiedWord>
      <trackRevisions>false</trackRevisions>
    </reviewItem>
    <reviewItem>
      <errorID>322a15c7-068b-4141-91c8-ff0fbb5648d5</errorID>
      <errorWord>车间一</errorWord>
      <group>L1_Word</group>
      <groupName>字词问题</groupName>
      <ability>L2_Typo</ability>
      <abilityName>字词错误</abilityName>
      <candidateList>
        <item>车间</item>
      </candidateList>
      <explain/>
      <paraID>29A89D57</paraID>
      <start>9</start>
      <end>12</end>
      <status>unmodified</status>
      <modifiedWord/>
      <trackRevisions>false</trackRevisions>
    </reviewItem>
    <reviewItem>
      <errorID>f1c3c7ad-905a-414d-98d7-99990df0c0fc</errorID>
      <errorWord>设</errorWord>
      <group>L1_Word</group>
      <groupName>字词问题</groupName>
      <ability>L2_Typo</ability>
      <abilityName>字词错误</abilityName>
      <candidateList>
        <item>设置</item>
      </candidateList>
      <explain>〈动〉❶设立：这座剧院是为儿童～的。❷安放；安装：～障碍。</explain>
      <paraID>1B9D8DCA</paraID>
      <start>190</start>
      <end>192</end>
      <status>modified</status>
      <modifiedWord>设置</modifiedWord>
      <trackRevisions>false</trackRevisions>
    </reviewItem>
    <reviewItem>
      <errorID>67b4f8dd-01e6-4ef9-8c60-c32e97e300b1</errorID>
      <errorWord>根据对</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23053445</paraID>
      <start>0</start>
      <end>2</end>
      <status>modified</status>
      <modifiedWord>根据</modifiedWord>
      <trackRevisions>false</trackRevisions>
    </reviewItem>
    <reviewItem>
      <errorID>ed0abb66-6f90-40ee-9fa5-dc4011bf2aaa</errorID>
      <errorWord>,</errorWord>
      <group>L1_Format</group>
      <groupName>格式问题</groupName>
      <ability>L2_HalfPunc</ability>
      <abilityName>全半角检查</abilityName>
      <candidateList>
        <item>，</item>
      </candidateList>
      <explain>文本全半角错误。</explain>
      <paraID>7ABA88DD</paraID>
      <start>62</start>
      <end>63</end>
      <status>modified</status>
      <modifiedWord>，</modifiedWord>
      <trackRevisions>false</trackRevisions>
    </reviewItem>
    <reviewItem>
      <errorID>59451988-a3d5-4e08-a959-d601bb8d7f9c</errorID>
      <errorWord>,</errorWord>
      <group>L1_Format</group>
      <groupName>格式问题</groupName>
      <ability>L2_HalfPunc</ability>
      <abilityName>全半角检查</abilityName>
      <candidateList>
        <item>，</item>
      </candidateList>
      <explain>文本全半角错误。</explain>
      <paraID>7ABA88DD</paraID>
      <start>74</start>
      <end>75</end>
      <status>modified</status>
      <modifiedWord>，</modifiedWord>
      <trackRevisions>false</trackRevisions>
    </reviewItem>
    <reviewItem>
      <errorID>cf49b2ed-c286-469c-863c-7b7a224e5c56</errorID>
      <errorWord>生活废水</errorWord>
      <group>L1_Knowledge</group>
      <groupName>知识性问题</groupName>
      <ability>L2_Term</ability>
      <abilityName>专业术语</abilityName>
      <candidateList>
        <item>生活污水</item>
      </candidateList>
      <explain/>
      <paraID>24AC574C</paraID>
      <start>3</start>
      <end>7</end>
      <status>unmodified</status>
      <modifiedWord/>
      <trackRevisions>false</trackRevisions>
    </reviewItem>
    <reviewItem>
      <errorID>737a3a05-5be0-4286-b794-2d80825abe81</errorID>
      <errorWord>进入到</errorWord>
      <group>L1_Word</group>
      <groupName>字词问题</groupName>
      <ability>L2_Typo</ability>
      <abilityName>字词错误</abilityName>
      <candidateList>
        <item>进入</item>
      </candidateList>
      <explain>〈动〉支进到某个范围或某个时期里：～学校｜～新阶段◇～角色。</explain>
      <paraID>2CC7AF0A</paraID>
      <start>96</start>
      <end>99</end>
      <status>unmodified</status>
      <modifiedWord/>
      <trackRevisions>false</trackRevisions>
    </reviewItem>
    <reviewItem>
      <errorID>0539f79f-e7c2-4b3f-b6ec-621feb7845bf</errorID>
      <errorWord>(</errorWord>
      <group>L1_Format</group>
      <groupName>格式问题</groupName>
      <ability>L2_HalfPunc</ability>
      <abilityName>全半角检查</abilityName>
      <candidateList>
        <item>（</item>
      </candidateList>
      <explain>文本全半角错误。</explain>
      <paraID>2CC7AF0A</paraID>
      <start>127</start>
      <end>128</end>
      <status>modified</status>
      <modifiedWord>（</modifiedWord>
      <trackRevisions>false</trackRevisions>
    </reviewItem>
    <reviewItem>
      <errorID>40c4ede3-898f-442f-9750-7d73dfeeeb2e</errorID>
      <errorWord>)</errorWord>
      <group>L1_Format</group>
      <groupName>格式问题</groupName>
      <ability>L2_HalfPunc</ability>
      <abilityName>全半角检查</abilityName>
      <candidateList>
        <item>）</item>
      </candidateList>
      <explain>文本全半角错误。</explain>
      <paraID>2CC7AF0A</paraID>
      <start>131</start>
      <end>132</end>
      <status>modified</status>
      <modifiedWord>）</modifiedWord>
      <trackRevisions>false</trackRevisions>
    </reviewItem>
    <reviewItem>
      <errorID>59b6421e-ca1c-4048-92ae-77ff83f80e14</errorID>
      <errorWord>)</errorWord>
      <group>L1_Format</group>
      <groupName>格式问题</groupName>
      <ability>L2_HalfPunc</ability>
      <abilityName>全半角检查</abilityName>
      <candidateList>
        <item>）</item>
      </candidateList>
      <explain>文本全半角错误。</explain>
      <paraID>7E28EC76</paraID>
      <start>43</start>
      <end>44</end>
      <status>modified</status>
      <modifiedWord>）</modifiedWord>
      <trackRevisions>false</trackRevisions>
    </reviewItem>
    <reviewItem>
      <errorID>6e25de74-cec8-46d8-9a2f-4b87cc03e8fb</errorID>
      <errorWord>经纱</errorWord>
      <group>L1_Word</group>
      <groupName>字词问题</groupName>
      <ability>L2_Typo</ability>
      <abilityName>字词错误</abilityName>
      <candidateList>
        <item>经络</item>
      </candidateList>
      <explain/>
      <paraID>60B53E38</paraID>
      <start>3</start>
      <end>5</end>
      <status>unmodified</status>
      <modifiedWord/>
      <trackRevisions>false</trackRevisions>
    </reviewItem>
    <reviewItem>
      <errorID>c88f06a7-d636-4178-85a7-bf91cd7f3c1c</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 2D82DCC</paraID>
      <start>89</start>
      <end>93</end>
      <status>modified</status>
      <modifiedWord>无须设置</modifiedWord>
      <trackRevisions>false</trackRevisions>
    </reviewItem>
    <reviewItem>
      <errorID>f90715d3-03e8-41dd-9ff7-cdb6d8466b1d</errorID>
      <errorWord>磨擦</errorWord>
      <group>L1_Word</group>
      <groupName>字词问题</groupName>
      <ability>L2_Variant</ability>
      <abilityName>异形词</abilityName>
      <candidateList>
        <item>摩擦</item>
      </candidateList>
      <explain>词汇[磨擦]的规范词形写作[摩擦]。</explain>
      <paraID>761680B4</paraID>
      <start>24</start>
      <end>26</end>
      <status>modified</status>
      <modifiedWord>摩擦</modifiedWord>
      <trackRevisions>false</trackRevisions>
    </reviewItem>
    <reviewItem>
      <errorID>e16ba558-2a97-4d16-8654-801858f1e3fd</errorID>
      <errorWord>当做</errorWord>
      <group>L1_Word</group>
      <groupName>字词问题</groupName>
      <ability>L2_Alias</ability>
      <abilityName>也作/曾用词</abilityName>
      <candidateList>
        <item>当作</item>
      </candidateList>
      <explain>词汇[当做]为不规范表述或旧称，其规范书面表述为[当作]。</explain>
      <paraID>2EDBCD06</paraID>
      <start>16</start>
      <end>18</end>
      <status>modified</status>
      <modifiedWord>当作</modifiedWord>
      <trackRevisions>false</trackRevisions>
    </reviewItem>
    <reviewItem>
      <errorID>cb3e0d65-e668-4687-b17f-d1959ad70602</errorID>
      <errorWord>(</errorWord>
      <group>L1_Format</group>
      <groupName>格式问题</groupName>
      <ability>L2_HalfPunc</ability>
      <abilityName>全半角检查</abilityName>
      <candidateList>
        <item>（</item>
      </candidateList>
      <explain>文本全半角错误。</explain>
      <paraID>400AAB25</paraID>
      <start>43</start>
      <end>44</end>
      <status>modified</status>
      <modifiedWord>（</modifiedWord>
      <trackRevisions>false</trackRevisions>
    </reviewItem>
    <reviewItem>
      <errorID>ee86c502-a90b-4fba-9083-a1e999495a52</errorID>
      <errorWord>)</errorWord>
      <group>L1_Format</group>
      <groupName>格式问题</groupName>
      <ability>L2_HalfPunc</ability>
      <abilityName>全半角检查</abilityName>
      <candidateList>
        <item>）</item>
      </candidateList>
      <explain>文本全半角错误。</explain>
      <paraID>400AAB25</paraID>
      <start>55</start>
      <end>56</end>
      <status>modified</status>
      <modifiedWord>）</modifiedWord>
      <trackRevisions>false</trackRevisions>
    </reviewItem>
    <reviewItem>
      <errorID>b19f7abf-3f9f-4701-88d0-09e3b5c9b468</errorID>
      <errorWord>达</errorWord>
      <group>L1_Word</group>
      <groupName>字词问题</groupName>
      <ability>L2_Typo</ability>
      <abilityName>字词错误</abilityName>
      <candidateList>
        <item>达到</item>
      </candidateList>
      <explain>〈动〉到（多指抽象事物或程度）：达得到｜达不到｜目的没有～｜～国际水平。</explain>
      <paraID>7492B3DA</paraID>
      <start>88</start>
      <end>90</end>
      <status>modified</status>
      <modifiedWord>达到</modifiedWord>
      <trackRevisions>false</trackRevisions>
    </reviewItem>
    <reviewItem>
      <errorID>cd3e06e8-d83a-4948-a5d1-a27247875bb0</errorID>
      <errorWord>(</errorWord>
      <group>L1_Format</group>
      <groupName>格式问题</groupName>
      <ability>L2_HalfPunc</ability>
      <abilityName>全半角检查</abilityName>
      <candidateList>
        <item>（</item>
      </candidateList>
      <explain>文本全半角错误。</explain>
      <paraID> 90B38CF</paraID>
      <start>15</start>
      <end>16</end>
      <status>modified</status>
      <modifiedWord>（</modifiedWord>
      <trackRevisions>false</trackRevisions>
    </reviewItem>
    <reviewItem>
      <errorID>8f7ae2c6-f0cb-4ce2-a7bd-95a74f4f39d0</errorID>
      <errorWord>)</errorWord>
      <group>L1_Format</group>
      <groupName>格式问题</groupName>
      <ability>L2_HalfPunc</ability>
      <abilityName>全半角检查</abilityName>
      <candidateList>
        <item>）</item>
      </candidateList>
      <explain>文本全半角错误。</explain>
      <paraID> 90B38CF</paraID>
      <start>22</start>
      <end>23</end>
      <status>modified</status>
      <modifiedWord>）</modifiedWord>
      <trackRevisions>false</trackRevisions>
    </reviewItem>
    <reviewItem>
      <errorID>6043f668-9f7d-4d6a-9e92-e652bfc8f643</errorID>
      <errorWord>抛撒</errorWord>
      <group>L1_Word</group>
      <groupName>字词问题</groupName>
      <ability>L2_Typo</ability>
      <abilityName>字词错误</abilityName>
      <candidateList>
        <item>抛洒</item>
      </candidateList>
      <explain>存在发音相同字词的误用。</explain>
      <paraID>31B0469F</paraID>
      <start>38</start>
      <end>40</end>
      <status>modified</status>
      <modifiedWord>抛洒</modifiedWord>
      <trackRevisions>false</trackRevisions>
    </reviewItem>
    <reviewItem>
      <errorID>eadfab0a-50e4-481d-8e6e-2fc0e0169628</errorID>
      <errorWord>(</errorWord>
      <group>L1_Format</group>
      <groupName>格式问题</groupName>
      <ability>L2_HalfPunc</ability>
      <abilityName>全半角检查</abilityName>
      <candidateList>
        <item>（</item>
      </candidateList>
      <explain>文本全半角错误。</explain>
      <paraID>5FF9FEA9</paraID>
      <start>21</start>
      <end>22</end>
      <status>modified</status>
      <modifiedWord>（</modifiedWord>
      <trackRevisions>false</trackRevisions>
    </reviewItem>
    <reviewItem>
      <errorID>3830bf53-b2c9-4515-9b41-a23b95651039</errorID>
      <errorWord>)</errorWord>
      <group>L1_Format</group>
      <groupName>格式问题</groupName>
      <ability>L2_HalfPunc</ability>
      <abilityName>全半角检查</abilityName>
      <candidateList>
        <item>）</item>
      </candidateList>
      <explain>文本全半角错误。</explain>
      <paraID>5FF9FEA9</paraID>
      <start>24</start>
      <end>25</end>
      <status>modified</status>
      <modifiedWord>）</modifiedWord>
      <trackRevisions>false</trackRevisions>
    </reviewItem>
    <reviewItem>
      <errorID>31a6738e-36a2-4949-80f0-6daa1140b5a3</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24821BDF</paraID>
      <start>115</start>
      <end>117</end>
      <status>modified</status>
      <modifiedWord>需要</modifiedWord>
      <trackRevisions>false</trackRevisions>
    </reviewItem>
    <reviewItem>
      <errorID>3b0ddadf-3427-4c57-ad41-615ac9d17ef7</errorID>
      <errorWord>~</errorWord>
      <group>L1_Format</group>
      <groupName>格式问题</groupName>
      <ability>L2_HalfPunc</ability>
      <abilityName>全半角检查</abilityName>
      <candidateList>
        <item>～</item>
      </candidateList>
      <explain>文本全半角错误。</explain>
      <paraID>1BD95C78</paraID>
      <start>66</start>
      <end>67</end>
      <status>modified</status>
      <modifiedWord>～</modifiedWord>
      <trackRevisions>false</trackRevisions>
    </reviewItem>
    <reviewItem>
      <errorID>5be9b751-ca22-46ce-bae1-120012ca351d</errorID>
      <errorWord>油剂含量</errorWord>
      <group>L1_Knowledge</group>
      <groupName>知识性问题</groupName>
      <ability>L2_Term</ability>
      <abilityName>专业术语</abilityName>
      <candidateList>
        <item>油雾含量</item>
      </candidateList>
      <explain/>
      <paraID>1BD95C78</paraID>
      <start>138</start>
      <end>142</end>
      <status>unmodified</status>
      <modifiedWord/>
      <trackRevisions>false</trackRevisions>
    </reviewItem>
    <reviewItem>
      <errorID>97c17cdf-4e3b-4562-b77c-58c76aa98dfd</errorID>
      <errorWord>[2020]08号</errorWord>
      <group>L1_Knowledge</group>
      <groupName>知识性问题</groupName>
      <ability>L2_Knowledge</ability>
      <abilityName>其他知识</abilityName>
      <candidateList>
        <item>〔2020〕8号</item>
      </candidateList>
      <explain>发文字号格式错误。</explain>
      <paraID>229897F2</paraID>
      <start>287</start>
      <end>295</end>
      <status>modified</status>
      <modifiedWord>〔2020〕8号</modifiedWord>
      <trackRevisions>false</trackRevisions>
    </reviewItem>
    <reviewItem>
      <errorID>f6833929-8475-4ebf-9aa0-2c42de96b7b2</errorID>
      <errorWord>根据类比调查和有关资料显示</errorWord>
      <group>L1_Word</group>
      <groupName>字词问题</groupName>
      <ability>L2_Typo</ability>
      <abilityName>字词错误</abilityName>
      <candidateList>
        <item>根据类比调查和有关资料</item>
      </candidateList>
      <explain/>
      <paraID>3EACEE1C</paraID>
      <start>26</start>
      <end>37</end>
      <status>modified</status>
      <modifiedWord>根据类比调查和有关资料</modifiedWord>
      <trackRevisions>false</trackRevisions>
    </reviewItem>
    <reviewItem>
      <errorID>f9aeb1e2-19f3-4175-86e7-212767459241</errorID>
      <errorWord>(</errorWord>
      <group>L1_Format</group>
      <groupName>格式问题</groupName>
      <ability>L2_HalfPunc</ability>
      <abilityName>全半角检查</abilityName>
      <candidateList>
        <item>（</item>
      </candidateList>
      <explain>文本全半角错误。</explain>
      <paraID> B4D9D70</paraID>
      <start>4</start>
      <end>5</end>
      <status>modified</status>
      <modifiedWord>（</modifiedWord>
      <trackRevisions>false</trackRevisions>
    </reviewItem>
    <reviewItem>
      <errorID>4616bbfe-f34b-4c91-8963-8750ededd9a9</errorID>
      <errorWord>)</errorWord>
      <group>L1_Format</group>
      <groupName>格式问题</groupName>
      <ability>L2_HalfPunc</ability>
      <abilityName>全半角检查</abilityName>
      <candidateList>
        <item>）</item>
      </candidateList>
      <explain>文本全半角错误。</explain>
      <paraID> B4D9D70</paraID>
      <start>8</start>
      <end>9</end>
      <status>modified</status>
      <modifiedWord>）</modifiedWord>
      <trackRevisions>false</trackRevisions>
    </reviewItem>
    <reviewItem>
      <errorID>8d9e8c8e-97df-4e60-90ee-e813b817ee46</errorID>
      <errorWord>:</errorWord>
      <group>L1_Format</group>
      <groupName>格式问题</groupName>
      <ability>L2_HalfPunc</ability>
      <abilityName>全半角检查</abilityName>
      <candidateList>
        <item>：</item>
      </candidateList>
      <explain>文本全半角错误。</explain>
      <paraID> B4D9D70</paraID>
      <start>9</start>
      <end>10</end>
      <status>modified</status>
      <modifiedWord>：</modifiedWord>
      <trackRevisions>false</trackRevisions>
    </reviewItem>
    <reviewItem>
      <errorID>e49c1804-4b85-47ba-84d6-b2da0d2849e6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4935730F</paraID>
      <start>179</start>
      <end>180</end>
      <status>unmodified</status>
      <modifiedWord/>
      <trackRevisions>false</trackRevisions>
    </reviewItem>
    <reviewItem>
      <errorID>a7b2438d-0e39-4fd6-90ea-9cba5fd730b9</errorID>
      <errorWord>(</errorWord>
      <group>L1_Format</group>
      <groupName>格式问题</groupName>
      <ability>L2_HalfPunc</ability>
      <abilityName>全半角检查</abilityName>
      <candidateList>
        <item>（</item>
      </candidateList>
      <explain>文本全半角错误。</explain>
      <paraID>16293EED</paraID>
      <start>26</start>
      <end>27</end>
      <status>modified</status>
      <modifiedWord>（</modifiedWord>
      <trackRevisions>false</trackRevisions>
    </reviewItem>
    <reviewItem>
      <errorID>c7bb59aa-d097-4466-ba13-f3bebfc7b28a</errorID>
      <errorWord>)</errorWord>
      <group>L1_Format</group>
      <groupName>格式问题</groupName>
      <ability>L2_HalfPunc</ability>
      <abilityName>全半角检查</abilityName>
      <candidateList>
        <item>）</item>
      </candidateList>
      <explain>文本全半角错误。</explain>
      <paraID>16293EED</paraID>
      <start>31</start>
      <end>32</end>
      <status>modified</status>
      <modifiedWord>）</modifiedWord>
      <trackRevisions>false</trackRevisions>
    </reviewItem>
    <reviewItem>
      <errorID>8a47ecc2-3a74-47b9-a21b-cc01a2e0cb04</errorID>
      <errorWord>(</errorWord>
      <group>L1_Format</group>
      <groupName>格式问题</groupName>
      <ability>L2_HalfPunc</ability>
      <abilityName>全半角检查</abilityName>
      <candidateList>
        <item>（</item>
      </candidateList>
      <explain>文本全半角错误。</explain>
      <paraID> 86B320A</paraID>
      <start>50</start>
      <end>51</end>
      <status>modified</status>
      <modifiedWord>（</modifiedWord>
      <trackRevisions>false</trackRevisions>
    </reviewItem>
    <reviewItem>
      <errorID>b14cdad7-c559-405d-87d1-c1aabb60e523</errorID>
      <errorWord>(</errorWord>
      <group>L1_Format</group>
      <groupName>格式问题</groupName>
      <ability>L2_HalfPunc</ability>
      <abilityName>全半角检查</abilityName>
      <candidateList>
        <item>（</item>
      </candidateList>
      <explain>文本全半角错误。</explain>
      <paraID> 86B320A</paraID>
      <start>113</start>
      <end>114</end>
      <status>modified</status>
      <modifiedWord>（</modifiedWord>
      <trackRevisions>false</trackRevisions>
    </reviewItem>
    <reviewItem>
      <errorID>8d2a5f31-b2f0-40bc-8fe7-b67ebbf4ca44</errorID>
      <errorWord>)</errorWord>
      <group>L1_Format</group>
      <groupName>格式问题</groupName>
      <ability>L2_HalfPunc</ability>
      <abilityName>全半角检查</abilityName>
      <candidateList>
        <item>）</item>
      </candidateList>
      <explain>文本全半角错误。</explain>
      <paraID> 86B320A</paraID>
      <start>124</start>
      <end>125</end>
      <status>modified</status>
      <modifiedWord>）</modifiedWord>
      <trackRevisions>false</trackRevisions>
    </reviewItem>
    <reviewItem>
      <errorID>81838ca2-9e09-4d81-aaa3-dded83d6b11f</errorID>
      <errorWord>(</errorWord>
      <group>L1_Format</group>
      <groupName>格式问题</groupName>
      <ability>L2_HalfPunc</ability>
      <abilityName>全半角检查</abilityName>
      <candidateList>
        <item>（</item>
      </candidateList>
      <explain>文本全半角错误。</explain>
      <paraID> 86B320A</paraID>
      <start>181</start>
      <end>182</end>
      <status>modified</status>
      <modifiedWord>（</modifiedWord>
      <trackRevisions>false</trackRevisions>
    </reviewItem>
    <reviewItem>
      <errorID>246a3db9-d321-438e-a272-0594cddb7a5f</errorID>
      <errorWord>)</errorWord>
      <group>L1_Format</group>
      <groupName>格式问题</groupName>
      <ability>L2_HalfPunc</ability>
      <abilityName>全半角检查</abilityName>
      <candidateList>
        <item>）</item>
      </candidateList>
      <explain>文本全半角错误。</explain>
      <paraID> 86B320A</paraID>
      <start>193</start>
      <end>194</end>
      <status>modified</status>
      <modifiedWord>）</modifiedWord>
      <trackRevisions>false</trackRevisions>
    </reviewItem>
    <reviewItem>
      <errorID>481d8a20-596e-45b5-b477-811a84399008</errorID>
      <errorWord>(</errorWord>
      <group>L1_Format</group>
      <groupName>格式问题</groupName>
      <ability>L2_HalfPunc</ability>
      <abilityName>全半角检查</abilityName>
      <candidateList>
        <item>（</item>
      </candidateList>
      <explain>文本全半角错误。</explain>
      <paraID> 86B320A</paraID>
      <start>201</start>
      <end>202</end>
      <status>modified</status>
      <modifiedWord>（</modifiedWord>
      <trackRevisions>false</trackRevisions>
    </reviewItem>
    <reviewItem>
      <errorID>5dec6694-189f-4c2b-8656-a763120ed44e</errorID>
      <errorWord>)</errorWord>
      <group>L1_Format</group>
      <groupName>格式问题</groupName>
      <ability>L2_HalfPunc</ability>
      <abilityName>全半角检查</abilityName>
      <candidateList>
        <item>）</item>
      </candidateList>
      <explain>文本全半角错误。</explain>
      <paraID> 86B320A</paraID>
      <start>206</start>
      <end>207</end>
      <status>modified</status>
      <modifiedWord>）</modifiedWord>
      <trackRevisions>false</trackRevisions>
    </reviewItem>
    <reviewItem>
      <errorID>12cd576a-688b-4c96-9538-38e4c00d8c91</errorID>
      <errorWord>生活废水</errorWord>
      <group>L1_Knowledge</group>
      <groupName>知识性问题</groupName>
      <ability>L2_Term</ability>
      <abilityName>专业术语</abilityName>
      <candidateList>
        <item>生活污水</item>
      </candidateList>
      <explain/>
      <paraID>45CAA059</paraID>
      <start>3</start>
      <end>7</end>
      <status>modified</status>
      <modifiedWord>生活污水</modifiedWord>
      <trackRevisions>false</trackRevisions>
    </reviewItem>
    <reviewItem>
      <errorID>18223c53-781d-4a15-ba5c-d0b6118f6428</errorID>
      <errorWord>(</errorWord>
      <group>L1_Format</group>
      <groupName>格式问题</groupName>
      <ability>L2_HalfPunc</ability>
      <abilityName>全半角检查</abilityName>
      <candidateList>
        <item>（</item>
      </candidateList>
      <explain>文本全半角错误。</explain>
      <paraID>3D5C318B</paraID>
      <start>6</start>
      <end>7</end>
      <status>modified</status>
      <modifiedWord>（</modifiedWord>
      <trackRevisions>false</trackRevisions>
    </reviewItem>
    <reviewItem>
      <errorID>2c3b6a02-7993-47ac-9a05-1a590c9798f2</errorID>
      <errorWord>织机</errorWord>
      <group>L1_Word</group>
      <groupName>字词问题</groupName>
      <ability>L2_Typo</ability>
      <abilityName>字词错误</abilityName>
      <candidateList>
        <item>织造</item>
      </candidateList>
      <explain/>
      <paraID>3D5C318B</paraID>
      <start>9</start>
      <end>11</end>
      <status>unmodified</status>
      <modifiedWord/>
      <trackRevisions>false</trackRevisions>
    </reviewItem>
    <reviewItem>
      <errorID>8c1e6fee-36d7-458c-9100-9ecf07ed44b8</errorID>
      <errorWord>)</errorWord>
      <group>L1_Format</group>
      <groupName>格式问题</groupName>
      <ability>L2_HalfPunc</ability>
      <abilityName>全半角检查</abilityName>
      <candidateList>
        <item>）</item>
      </candidateList>
      <explain>文本全半角错误。</explain>
      <paraID>3D5C318B</paraID>
      <start>27</start>
      <end>28</end>
      <status>modified</status>
      <modifiedWord>）</modifiedWord>
      <trackRevisions>false</trackRevisions>
    </reviewItem>
    <reviewItem>
      <errorID>87d367a0-3b71-4e32-be3d-020797becd48</errorID>
      <errorWord>紫外线与</errorWord>
      <group>L1_Knowledge</group>
      <groupName>知识性问题</groupName>
      <ability>L2_Term</ability>
      <abilityName>专业术语</abilityName>
      <candidateList>
        <item>紫外线灯</item>
      </candidateList>
      <explain/>
      <paraID>7EF8C979</paraID>
      <start>152</start>
      <end>156</end>
      <status>unmodified</status>
      <modifiedWord/>
      <trackRevisions>false</trackRevisions>
    </reviewItem>
    <reviewItem>
      <errorID>c166a955-86a9-4fc9-82ba-7ec633942687</errorID>
      <errorWord>河</errorWord>
      <group>L1_Word</group>
      <groupName>字词问题</groupName>
      <ability>L2_Typo</ability>
      <abilityName>字词错误</abilityName>
      <candidateList>
        <item>河县</item>
      </candidateList>
      <explain/>
      <paraID>49412970</paraID>
      <start>6</start>
      <end>8</end>
      <status>modified</status>
      <modifiedWord>河县</modifiedWord>
      <trackRevisions>false</trackRevisions>
    </reviewItem>
    <reviewItem>
      <errorID>214a4d9c-75b0-42c8-813c-29a5123510ae</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30A28B0</paraID>
      <start>0</start>
      <end>2</end>
      <status>modified</status>
      <modifiedWord>a.</modifiedWord>
      <trackRevisions>false</trackRevisions>
    </reviewItem>
    <reviewItem>
      <errorID>7bbab8f0-7de6-4c7d-8360-960caa8440c1</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70760DEE</paraID>
      <start>0</start>
      <end>2</end>
      <status>modified</status>
      <modifiedWord>b.</modifiedWord>
      <trackRevisions>false</trackRevisions>
    </reviewItem>
    <reviewItem>
      <errorID>ad316fa9-a552-43e1-b219-b38cecb01c1f</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2C5AA6EC</paraID>
      <start>0</start>
      <end>2</end>
      <status>modified</status>
      <modifiedWord>c.</modifiedWord>
      <trackRevisions>false</trackRevisions>
    </reviewItem>
    <reviewItem>
      <errorID>7eb4e8e7-64a3-46ba-94c3-5308c8973442</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25043B06</paraID>
      <start>0</start>
      <end>2</end>
      <status>modified</status>
      <modifiedWord>d.</modifiedWord>
      <trackRevisions>false</trackRevisions>
    </reviewItem>
    <reviewItem>
      <errorID>40ea1f38-b4eb-4674-b83d-b0af62e532f9</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13DA562C</paraID>
      <start>0</start>
      <end>2</end>
      <status>modified</status>
      <modifiedWord>e.</modifiedWord>
      <trackRevisions>false</trackRevisions>
    </reviewItem>
    <reviewItem>
      <errorID>b3cbed9a-d1bf-475c-ac28-bf95a1f9f107</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3DFA5526</paraID>
      <start>0</start>
      <end>2</end>
      <status>modified</status>
      <modifiedWord>f.</modifiedWord>
      <trackRevisions>false</trackRevisions>
    </reviewItem>
    <reviewItem>
      <errorID>12a9439a-504c-481c-9ead-4f0b57524395</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7FC8A740</paraID>
      <start>0</start>
      <end>2</end>
      <status>modified</status>
      <modifiedWord>g.</modifiedWord>
      <trackRevisions>false</trackRevisions>
    </reviewItem>
    <reviewItem>
      <errorID>83c7e8b0-cb6b-4fb9-bb66-8f47631e9d16</errorID>
      <errorWord>(</errorWord>
      <group>L1_Format</group>
      <groupName>格式问题</groupName>
      <ability>L2_HalfPunc</ability>
      <abilityName>全半角检查</abilityName>
      <candidateList>
        <item>（</item>
      </candidateList>
      <explain>文本全半角错误。</explain>
      <paraID>1D3BADBC</paraID>
      <start>207</start>
      <end>208</end>
      <status>modified</status>
      <modifiedWord>（</modifiedWord>
      <trackRevisions>false</trackRevisions>
    </reviewItem>
    <reviewItem>
      <errorID>f1e85599-cfb0-4630-b63d-bd38b18625b7</errorID>
      <errorWord>)</errorWord>
      <group>L1_Format</group>
      <groupName>格式问题</groupName>
      <ability>L2_HalfPunc</ability>
      <abilityName>全半角检查</abilityName>
      <candidateList>
        <item>）</item>
      </candidateList>
      <explain>文本全半角错误。</explain>
      <paraID>1D3BADBC</paraID>
      <start>211</start>
      <end>212</end>
      <status>modified</status>
      <modifiedWord>）</modifiedWord>
      <trackRevisions>false</trackRevisions>
    </reviewItem>
    <reviewItem>
      <errorID>8bad3457-f62f-4fdd-81df-d131cfb73866</errorID>
      <errorWord>:</errorWord>
      <group>L1_Format</group>
      <groupName>格式问题</groupName>
      <ability>L2_HalfPunc</ability>
      <abilityName>全半角检查</abilityName>
      <candidateList>
        <item>：</item>
      </candidateList>
      <explain>文本全半角错误。</explain>
      <paraID>1D3BADBC</paraID>
      <start>270</start>
      <end>271</end>
      <status>modified</status>
      <modifiedWord>：</modifiedWord>
      <trackRevisions>false</trackRevisions>
    </reviewItem>
    <reviewItem>
      <errorID>d12dff84-ecfc-4a56-b3b9-9fd2c05375d5</errorID>
      <errorWord>(</errorWord>
      <group>L1_Format</group>
      <groupName>格式问题</groupName>
      <ability>L2_HalfPunc</ability>
      <abilityName>全半角检查</abilityName>
      <candidateList>
        <item>（</item>
      </candidateList>
      <explain>文本全半角错误。</explain>
      <paraID>1D3BADBC</paraID>
      <start>316</start>
      <end>317</end>
      <status>modified</status>
      <modifiedWord>（</modifiedWord>
      <trackRevisions>false</trackRevisions>
    </reviewItem>
    <reviewItem>
      <errorID>e39baa7a-5a0d-4569-a87a-78d9a3b557ef</errorID>
      <errorWord>)</errorWord>
      <group>L1_Format</group>
      <groupName>格式问题</groupName>
      <ability>L2_HalfPunc</ability>
      <abilityName>全半角检查</abilityName>
      <candidateList>
        <item>）</item>
      </candidateList>
      <explain>文本全半角错误。</explain>
      <paraID>1D3BADBC</paraID>
      <start>335</start>
      <end>336</end>
      <status>modified</status>
      <modifiedWord>）</modifiedWord>
      <trackRevisions>false</trackRevisions>
    </reviewItem>
    <reviewItem>
      <errorID>28820e50-6e79-46ce-80fb-f6a7fe3f1ac1</errorID>
      <errorWord>)</errorWord>
      <group>L1_Format</group>
      <groupName>格式问题</groupName>
      <ability>L2_HalfPunc</ability>
      <abilityName>全半角检查</abilityName>
      <candidateList>
        <item>）</item>
      </candidateList>
      <explain>文本全半角错误。</explain>
      <paraID>65E0ACEA</paraID>
      <start>102</start>
      <end>103</end>
      <status>unmodified</status>
      <modifiedWord/>
      <trackRevisions>false</trackRevisions>
    </reviewItem>
    <reviewItem>
      <errorID>81446ae2-f9eb-4492-a79a-5edcdafc0b9b</errorID>
      <errorWord>(</errorWord>
      <group>L1_Format</group>
      <groupName>格式问题</groupName>
      <ability>L2_HalfPunc</ability>
      <abilityName>全半角检查</abilityName>
      <candidateList>
        <item>（</item>
      </candidateList>
      <explain>文本全半角错误。</explain>
      <paraID>50ED43EB</paraID>
      <start>39</start>
      <end>40</end>
      <status>modified</status>
      <modifiedWord>（</modifiedWord>
      <trackRevisions>false</trackRevisions>
    </reviewItem>
    <reviewItem>
      <errorID>5a317462-a844-41cb-8761-183bce73e61b</errorID>
      <errorWord>)</errorWord>
      <group>L1_Format</group>
      <groupName>格式问题</groupName>
      <ability>L2_HalfPunc</ability>
      <abilityName>全半角检查</abilityName>
      <candidateList>
        <item>）</item>
      </candidateList>
      <explain>文本全半角错误。</explain>
      <paraID>50ED43EB</paraID>
      <start>62</start>
      <end>63</end>
      <status>unmodified</status>
      <modifiedWord/>
      <trackRevisions>false</trackRevisions>
    </reviewItem>
    <reviewItem>
      <errorID>c2ad9f6d-fc29-4c10-b23d-b9e1a03e4e0e</errorID>
      <errorWord>(</errorWord>
      <group>L1_Format</group>
      <groupName>格式问题</groupName>
      <ability>L2_HalfPunc</ability>
      <abilityName>全半角检查</abilityName>
      <candidateList>
        <item>（</item>
      </candidateList>
      <explain>文本全半角错误。</explain>
      <paraID>50ED43EB</paraID>
      <start>214</start>
      <end>215</end>
      <status>modified</status>
      <modifiedWord>（</modifiedWord>
      <trackRevisions>false</trackRevisions>
    </reviewItem>
    <reviewItem>
      <errorID>ba2b2b7d-a599-4fba-b245-86a0a396c22c</errorID>
      <errorWord>)</errorWord>
      <group>L1_Format</group>
      <groupName>格式问题</groupName>
      <ability>L2_HalfPunc</ability>
      <abilityName>全半角检查</abilityName>
      <candidateList>
        <item>）</item>
      </candidateList>
      <explain>文本全半角错误。</explain>
      <paraID>50ED43EB</paraID>
      <start>220</start>
      <end>221</end>
      <status>modified</status>
      <modifiedWord>）</modifiedWord>
      <trackRevisions>false</trackRevisions>
    </reviewItem>
    <reviewItem>
      <errorID>13718403-a1f6-42a9-ad7d-696c009a832d</errorID>
      <errorWord>(</errorWord>
      <group>L1_Format</group>
      <groupName>格式问题</groupName>
      <ability>L2_HalfPunc</ability>
      <abilityName>全半角检查</abilityName>
      <candidateList>
        <item>（</item>
      </candidateList>
      <explain>文本全半角错误。</explain>
      <paraID>50ED43EB</paraID>
      <start>300</start>
      <end>301</end>
      <status>unmodified</status>
      <modifiedWord/>
      <trackRevisions>false</trackRevisions>
    </reviewItem>
    <reviewItem>
      <errorID>bdb760e3-1e03-4356-9334-02250315de08</errorID>
      <errorWord>)</errorWord>
      <group>L1_Format</group>
      <groupName>格式问题</groupName>
      <ability>L2_HalfPunc</ability>
      <abilityName>全半角检查</abilityName>
      <candidateList>
        <item>）</item>
      </candidateList>
      <explain>文本全半角错误。</explain>
      <paraID>50ED43EB</paraID>
      <start>302</start>
      <end>303</end>
      <status>unmodified</status>
      <modifiedWord/>
      <trackRevisions>false</trackRevisions>
    </reviewItem>
    <reviewItem>
      <errorID>2ab2ab7c-3e7e-45c2-8e37-2d6c2525c4f7</errorID>
      <errorWord>料</errorWord>
      <group>L1_Word</group>
      <groupName>字词问题</groupName>
      <ability>L2_Typo</ability>
      <abilityName>字词错误</abilityName>
      <candidateList>
        <item>料和</item>
      </candidateList>
      <explain/>
      <paraID> 44D4420</paraID>
      <start>98</start>
      <end>100</end>
      <status>modified</status>
      <modifiedWord>料和</modifiedWord>
      <trackRevisions>false</trackRevisions>
    </reviewItem>
    <reviewItem>
      <errorID>dbfa4436-0e87-4629-ae82-fdb822fd077d</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 44D4420</paraID>
      <start>122</start>
      <end>127</end>
      <status>modified</status>
      <modifiedWord>4%～6%</modifiedWord>
      <trackRevisions>false</trackRevisions>
    </reviewItem>
    <reviewItem>
      <errorID>2569a6bf-5ec5-4b2c-8c82-da37e04c7baa</errorID>
      <errorWord>(</errorWord>
      <group>L1_Format</group>
      <groupName>格式问题</groupName>
      <ability>L2_HalfPunc</ability>
      <abilityName>全半角检查</abilityName>
      <candidateList>
        <item>（</item>
      </candidateList>
      <explain>文本全半角错误。</explain>
      <paraID> 44D4420</paraID>
      <start>129</start>
      <end>130</end>
      <status>modified</status>
      <modifiedWord>（</modifiedWord>
      <trackRevisions>false</trackRevisions>
    </reviewItem>
    <reviewItem>
      <errorID>4741dbb4-c97a-46ce-82d6-1f98e3e869af</errorID>
      <errorWord>)</errorWord>
      <group>L1_Format</group>
      <groupName>格式问题</groupName>
      <ability>L2_HalfPunc</ability>
      <abilityName>全半角检查</abilityName>
      <candidateList>
        <item>）</item>
      </candidateList>
      <explain>文本全半角错误。</explain>
      <paraID> 44D4420</paraID>
      <start>135</start>
      <end>136</end>
      <status>modified</status>
      <modifiedWord>）</modifiedWord>
      <trackRevisions>false</trackRevisions>
    </reviewItem>
    <reviewItem>
      <errorID>7c9b37f1-5924-4268-9efb-54d2dc6602e8</errorID>
      <errorWord>~</errorWord>
      <group>L1_Format</group>
      <groupName>格式问题</groupName>
      <ability>L2_HalfPunc</ability>
      <abilityName>全半角检查</abilityName>
      <candidateList>
        <item>～</item>
      </candidateList>
      <explain>文本全半角错误。</explain>
      <paraID> 44D4420</paraID>
      <start>148</start>
      <end>149</end>
      <status>modified</status>
      <modifiedWord>～</modifiedWord>
      <trackRevisions>false</trackRevisions>
    </reviewItem>
    <reviewItem>
      <errorID>819c29ef-b49a-4d03-9738-5d8a014a20a5</errorID>
      <errorWord>(</errorWord>
      <group>L1_Format</group>
      <groupName>格式问题</groupName>
      <ability>L2_HalfPunc</ability>
      <abilityName>全半角检查</abilityName>
      <candidateList>
        <item>（</item>
      </candidateList>
      <explain>文本全半角错误。</explain>
      <paraID> 44D4420</paraID>
      <start>154</start>
      <end>155</end>
      <status>modified</status>
      <modifiedWord>（</modifiedWord>
      <trackRevisions>false</trackRevisions>
    </reviewItem>
    <reviewItem>
      <errorID>cf9f6bc3-bb42-4cb4-bf30-4e6e1fabe9f0</errorID>
      <errorWord>)</errorWord>
      <group>L1_Format</group>
      <groupName>格式问题</groupName>
      <ability>L2_HalfPunc</ability>
      <abilityName>全半角检查</abilityName>
      <candidateList>
        <item>）</item>
      </candidateList>
      <explain>文本全半角错误。</explain>
      <paraID> 44D4420</paraID>
      <start>163</start>
      <end>164</end>
      <status>modified</status>
      <modifiedWord>）</modifiedWord>
      <trackRevisions>false</trackRevisions>
    </reviewItem>
    <reviewItem>
      <errorID>d5f29dc5-2584-4ccc-a388-594d280e060a</errorID>
      <errorWord>交有</errorWord>
      <group>L1_Word</group>
      <groupName>字词问题</groupName>
      <ability>L2_Typo</ability>
      <abilityName>字词错误</abilityName>
      <candidateList>
        <item>交由</item>
      </candidateList>
      <explain>存在发音相同字词的误用。</explain>
      <paraID>74540765</paraID>
      <start>178</start>
      <end>180</end>
      <status>modified</status>
      <modifiedWord>交由</modifiedWord>
      <trackRevisions>false</trackRevisions>
    </reviewItem>
    <reviewItem>
      <errorID>6b87349c-9c16-4e16-a479-1a6b4fc5bce5</errorID>
      <errorWord>当做</errorWord>
      <group>L1_Word</group>
      <groupName>字词问题</groupName>
      <ability>L2_Alias</ability>
      <abilityName>也作/曾用词</abilityName>
      <candidateList>
        <item>当作</item>
      </candidateList>
      <explain>词汇[当做]为不规范表述或旧称，其规范书面表述为[当作]。</explain>
      <paraID> 42D1AF0</paraID>
      <start>199</start>
      <end>201</end>
      <status>modified</status>
      <modifiedWord>当作</modifiedWord>
      <trackRevisions>false</trackRevisions>
    </reviewItem>
    <reviewItem>
      <errorID>309f7375-bdd2-4bcc-9931-ce3beb0fb571</errorID>
      <errorWord>解吸</errorWord>
      <group>L1_Word</group>
      <groupName>字词问题</groupName>
      <ability>L2_Typo</ability>
      <abilityName>字词错误</abilityName>
      <candidateList>
        <item>解析</item>
      </candidateList>
      <explain/>
      <paraID>4CAB1D16</paraID>
      <start>8</start>
      <end>10</end>
      <status>modified</status>
      <modifiedWord>解析</modifiedWord>
      <trackRevisions>false</trackRevisions>
    </reviewItem>
    <reviewItem>
      <errorID>6012386b-d3d1-47c1-9c1f-c40de5594410</errorID>
      <errorWord>脱附脱附</errorWord>
      <group>L1_Word</group>
      <groupName>字词问题</groupName>
      <ability>L2_Typo</ability>
      <abilityName>字词错误</abilityName>
      <candidateList>
        <item>脱附</item>
      </candidateList>
      <explain/>
      <paraID>4CAB1D16</paraID>
      <start>41</start>
      <end>43</end>
      <status>modified</status>
      <modifiedWord>脱附</modifiedWord>
      <trackRevisions>false</trackRevisions>
    </reviewItem>
    <reviewItem>
      <errorID>5025f215-f977-46c9-808d-c4117f9b44ad</errorID>
      <errorWord>(</errorWord>
      <group>L1_Format</group>
      <groupName>格式问题</groupName>
      <ability>L2_HalfPunc</ability>
      <abilityName>全半角检查</abilityName>
      <candidateList>
        <item>（</item>
      </candidateList>
      <explain>文本全半角错误。</explain>
      <paraID>4CAB1D16</paraID>
      <start>147</start>
      <end>148</end>
      <status>modified</status>
      <modifiedWord>（</modifiedWord>
      <trackRevisions>false</trackRevisions>
    </reviewItem>
    <reviewItem>
      <errorID>94664a6d-b269-4fc8-b45c-5b5a0116743e</errorID>
      <errorWord>)</errorWord>
      <group>L1_Format</group>
      <groupName>格式问题</groupName>
      <ability>L2_HalfPunc</ability>
      <abilityName>全半角检查</abilityName>
      <candidateList>
        <item>）</item>
      </candidateList>
      <explain>文本全半角错误。</explain>
      <paraID>4CAB1D16</paraID>
      <start>156</start>
      <end>157</end>
      <status>modified</status>
      <modifiedWord>）</modifiedWord>
      <trackRevisions>false</trackRevisions>
    </reviewItem>
    <reviewItem>
      <errorID>162e167e-21c0-4153-896a-4cb2998c8774</errorID>
      <errorWord>当做</errorWord>
      <group>L1_Word</group>
      <groupName>字词问题</groupName>
      <ability>L2_Alias</ability>
      <abilityName>也作/曾用词</abilityName>
      <candidateList>
        <item>当作</item>
      </candidateList>
      <explain>词汇[当做]为不规范表述或旧称，其规范书面表述为[当作]。</explain>
      <paraID>1444309F</paraID>
      <start>16</start>
      <end>18</end>
      <status>modified</status>
      <modifiedWord>当作</modifiedWord>
      <trackRevisions>false</trackRevisions>
    </reviewItem>
    <reviewItem>
      <errorID>bfb758cc-c98c-4155-b7dd-cd070debfcda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5DFEE10D</paraID>
      <start>127</start>
      <end>128</end>
      <status>unmodified</status>
      <modifiedWord/>
      <trackRevisions>false</trackRevisions>
    </reviewItem>
    <reviewItem>
      <errorID>62734cd9-9038-4b66-ba91-d1cd8cb666d6</errorID>
      <errorWord>接受</errorWord>
      <group>L1_Word</group>
      <groupName>字词问题</groupName>
      <ability>L2_Typo</ability>
      <abilityName>字词错误</abilityName>
      <candidateList>
        <item>接收</item>
      </candidateList>
      <explain>存在发音相同字词的误用。</explain>
      <paraID>6EEBA929</paraID>
      <start>39</start>
      <end>41</end>
      <status>modified</status>
      <modifiedWord>接收</modifiedWord>
      <trackRevisions>false</trackRevisions>
    </reviewItem>
    <reviewItem>
      <errorID>28539c39-5c85-4b71-bd96-094b42b79229</errorID>
      <errorWord>泄露</errorWord>
      <group>L1_Word</group>
      <groupName>字词问题</groupName>
      <ability>L2_Typo</ability>
      <abilityName>字词错误</abilityName>
      <candidateList>
        <item>泄漏</item>
      </candidateList>
      <explain>存在发音相同字词的误用。</explain>
      <paraID>6CE21177</paraID>
      <start>62</start>
      <end>64</end>
      <status>modified</status>
      <modifiedWord>泄漏</modifiedWord>
      <trackRevisions>false</trackRevisions>
    </reviewItem>
    <reviewItem>
      <errorID>8608a339-9ffa-4426-8b91-9703d0103885</errorID>
      <errorWord>清下</errorWord>
      <group>L1_Word</group>
      <groupName>字词问题</groupName>
      <ability>L2_Typo</ability>
      <abilityName>字词错误</abilityName>
      <candidateList>
        <item>井下</item>
      </candidateList>
      <explain/>
      <paraID>475127C6</paraID>
      <start>101</start>
      <end>103</end>
      <status>unmodified</status>
      <modifiedWord/>
      <trackRevisions>false</trackRevisions>
    </reviewItem>
    <reviewItem>
      <errorID>70457c04-ea42-432e-8d47-33974c540b45</errorID>
      <errorWord>转输</errorWord>
      <group>L1_Word</group>
      <groupName>字词问题</groupName>
      <ability>L2_Typo</ability>
      <abilityName>字词错误</abilityName>
      <candidateList>
        <item>传输</item>
      </candidateList>
      <explain>存在发音相同字词的误用。</explain>
      <paraID>2B84CA22</paraID>
      <start>11</start>
      <end>13</end>
      <status>unmodified</status>
      <modifiedWord/>
      <trackRevisions>false</trackRevisions>
    </reviewItem>
    <reviewItem>
      <errorID>c8a5373e-d0c9-4f75-b1c3-0dbec00ae655</errorID>
      <errorWord>；</errorWord>
      <group>L1_Format</group>
      <groupName>格式问题</groupName>
      <ability>L2_HalfPunc</ability>
      <abilityName>全半角检查</abilityName>
      <candidateList>
        <item>;</item>
      </candidateList>
      <explain>文本全半角错误。</explain>
      <paraID>69F1EBD5</paraID>
      <start>10</start>
      <end>11</end>
      <status>unmodified</status>
      <modifiedWord/>
      <trackRevisions>false</trackRevisions>
    </reviewItem>
    <reviewItem>
      <errorID>ac06fdf0-9c35-48f7-a8f4-5fc15d443573</errorID>
      <errorWord>遗失</errorWord>
      <group>L1_Word</group>
      <groupName>字词问题</groupName>
      <ability>L2_Typo</ability>
      <abilityName>字词错误</abilityName>
      <candidateList>
        <item>丢失</item>
      </candidateList>
      <explain/>
      <paraID>2BBB8B24</paraID>
      <start>14</start>
      <end>16</end>
      <status>unmodified</status>
      <modifiedWord/>
      <trackRevisions>false</trackRevisions>
    </reviewItem>
    <reviewItem>
      <errorID>79725201-d731-4c05-b5f3-739d02fe2ad2</errorID>
      <errorWord>生活废水</errorWord>
      <group>L1_Knowledge</group>
      <groupName>知识性问题</groupName>
      <ability>L2_Term</ability>
      <abilityName>专业术语</abilityName>
      <candidateList>
        <item>生活污水</item>
      </candidateList>
      <explain/>
      <paraID>4561BD07</paraID>
      <start>0</start>
      <end>4</end>
      <status>modified</status>
      <modifiedWord>生活污水</modifiedWord>
      <trackRevisions>false</trackRevisions>
    </reviewItem>
    <reviewItem>
      <errorID>cabf77f5-c954-4813-8a89-d830de7114ee</errorID>
      <errorWord>当做</errorWord>
      <group>L1_Word</group>
      <groupName>字词问题</groupName>
      <ability>L2_Alias</ability>
      <abilityName>也作/曾用词</abilityName>
      <candidateList>
        <item>当作</item>
      </candidateList>
      <explain>词汇[当做]为不规范表述或旧称，其规范书面表述为[当作]。</explain>
      <paraID>6183F9EB</paraID>
      <start>23</start>
      <end>25</end>
      <status>modified</status>
      <modifiedWord>当作</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050776-44fb-494c-86ce-d427cfe31dd0}">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84</Pages>
  <Words>57432</Words>
  <Characters>64738</Characters>
  <Lines>1</Lines>
  <Paragraphs>1</Paragraphs>
  <TotalTime>221</TotalTime>
  <ScaleCrop>false</ScaleCrop>
  <LinksUpToDate>false</LinksUpToDate>
  <CharactersWithSpaces>65005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cp:lastModifiedBy>
  <cp:lastPrinted>2022-03-25T01:45:00Z</cp:lastPrinted>
  <dcterms:modified xsi:type="dcterms:W3CDTF">2026-01-07T10:28:28Z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08CDB62925BC487FA869C37DAE9AA58A_13</vt:lpwstr>
  </property>
  <property fmtid="{D5CDD505-2E9C-101B-9397-08002B2CF9AE}" pid="4" name="KSOTemplateDocerSaveRecord">
    <vt:lpwstr>eyJoZGlkIjoiNTliZWE4YWYyODczNzAyOWFkZmI1YzViYzhkNDhkZjUiLCJ1c2VySWQiOiIyOTA2NDQ0OTUifQ==</vt:lpwstr>
  </property>
</Properties>
</file>